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6F4B" w:rsidR="007A6F4B" w:rsidP="0063076A" w:rsidRDefault="002918E9" w14:paraId="5E70BE17" w14:textId="47C0A8B2">
      <w:pPr>
        <w:tabs>
          <w:tab w:val="right" w:pos="9360"/>
        </w:tabs>
        <w:suppressAutoHyphens/>
        <w:rPr>
          <w:b/>
          <w:bCs/>
        </w:rPr>
      </w:pPr>
      <w:r w:rsidRPr="000E3C66">
        <w:t>ALJ/NIL/nd3</w:t>
      </w:r>
      <w:r w:rsidRPr="000E3C66">
        <w:tab/>
      </w:r>
      <w:r w:rsidR="0063076A">
        <w:t>Date of Issuance 7/3/2025</w:t>
      </w:r>
    </w:p>
    <w:p w:rsidRPr="000E3C66" w:rsidR="002918E9" w:rsidP="002F3AB9" w:rsidRDefault="002918E9" w14:paraId="7D276D28" w14:textId="77777777">
      <w:pPr>
        <w:suppressAutoHyphens/>
      </w:pPr>
    </w:p>
    <w:p w:rsidRPr="000E3C66" w:rsidR="002918E9" w:rsidP="002F3AB9" w:rsidRDefault="002918E9" w14:paraId="74A6DF40" w14:textId="77777777">
      <w:pPr>
        <w:suppressAutoHyphens/>
      </w:pPr>
    </w:p>
    <w:p w:rsidRPr="000E3C66" w:rsidR="00A92D0B" w:rsidP="002F3AB9" w:rsidRDefault="00A92D0B" w14:paraId="5BDA9FD4" w14:textId="783723F7">
      <w:pPr>
        <w:suppressAutoHyphens/>
      </w:pPr>
      <w:r w:rsidRPr="000E3C66">
        <w:t xml:space="preserve">Decision </w:t>
      </w:r>
      <w:r w:rsidRPr="000924F9" w:rsidR="0063076A">
        <w:t>25-06-062</w:t>
      </w:r>
      <w:r w:rsidR="0063076A">
        <w:t xml:space="preserve">  June 26, 2025</w:t>
      </w:r>
    </w:p>
    <w:p w:rsidRPr="000E3C66" w:rsidR="00A92D0B" w:rsidP="0082615D" w:rsidRDefault="00A92D0B" w14:paraId="6D327C87" w14:textId="77777777">
      <w:pPr>
        <w:pStyle w:val="titlebar"/>
        <w:jc w:val="left"/>
        <w:rPr>
          <w:rFonts w:ascii="Times New Roman" w:hAnsi="Times New Roman"/>
          <w:sz w:val="24"/>
          <w:szCs w:val="24"/>
        </w:rPr>
      </w:pPr>
    </w:p>
    <w:p w:rsidRPr="000E3C66" w:rsidR="00A92D0B" w:rsidP="0082615D" w:rsidRDefault="00A92D0B" w14:paraId="44E03231" w14:textId="77777777">
      <w:pPr>
        <w:pStyle w:val="titlebar"/>
        <w:jc w:val="left"/>
        <w:rPr>
          <w:rFonts w:ascii="Times New Roman" w:hAnsi="Times New Roman"/>
          <w:sz w:val="24"/>
          <w:szCs w:val="24"/>
        </w:rPr>
      </w:pPr>
    </w:p>
    <w:p w:rsidRPr="000E3C66" w:rsidR="00A92D0B" w:rsidP="002F3AB9" w:rsidRDefault="00A92D0B" w14:paraId="67F2520C" w14:textId="77777777">
      <w:pPr>
        <w:pStyle w:val="titlebar"/>
        <w:rPr>
          <w:rFonts w:ascii="Arial" w:hAnsi="Arial"/>
          <w:sz w:val="24"/>
          <w:szCs w:val="24"/>
        </w:rPr>
      </w:pPr>
      <w:r w:rsidRPr="000E3C66">
        <w:rPr>
          <w:rFonts w:ascii="Arial" w:hAnsi="Arial"/>
          <w:sz w:val="24"/>
          <w:szCs w:val="24"/>
        </w:rPr>
        <w:t>BEFORE THE PUBLIC UTILITIES COMMISSION OF THE STATE OF CALIFORNIA</w:t>
      </w:r>
    </w:p>
    <w:p w:rsidRPr="000E3C66" w:rsidR="00A92D0B" w:rsidP="002F3AB9" w:rsidRDefault="00A92D0B" w14:paraId="564284CD" w14:textId="53686081">
      <w:pPr>
        <w:suppressAutoHyphens/>
      </w:pPr>
    </w:p>
    <w:tbl>
      <w:tblPr>
        <w:tblW w:w="9360" w:type="dxa"/>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4770"/>
        <w:gridCol w:w="4590"/>
      </w:tblGrid>
      <w:tr w:rsidRPr="000E3C66" w:rsidR="00A92D0B" w:rsidTr="001422EB" w14:paraId="3942D7B4" w14:textId="77777777">
        <w:tc>
          <w:tcPr>
            <w:tcW w:w="4770" w:type="dxa"/>
            <w:shd w:val="clear" w:color="auto" w:fill="auto"/>
          </w:tcPr>
          <w:p w:rsidRPr="000E3C66" w:rsidR="00985057" w:rsidP="002F3AB9" w:rsidRDefault="00CA08ED" w14:paraId="0F338AC3" w14:textId="7725BDE5">
            <w:r w:rsidRPr="000E3C66">
              <w:t xml:space="preserve">Implementing </w:t>
            </w:r>
            <w:r w:rsidR="00813231">
              <w:t>Senate Bill </w:t>
            </w:r>
            <w:r w:rsidRPr="000E3C66">
              <w:t>846 Concerning Potential Extension of Diablo Canyon Power Plant Operations.</w:t>
            </w:r>
          </w:p>
          <w:p w:rsidRPr="000E3C66" w:rsidR="002918E9" w:rsidP="002F3AB9" w:rsidRDefault="002918E9" w14:paraId="47850BD9" w14:textId="28BAFD83"/>
        </w:tc>
        <w:tc>
          <w:tcPr>
            <w:tcW w:w="4590" w:type="dxa"/>
            <w:tcBorders>
              <w:top w:val="nil"/>
              <w:bottom w:val="nil"/>
            </w:tcBorders>
            <w:shd w:val="clear" w:color="auto" w:fill="auto"/>
            <w:vAlign w:val="center"/>
          </w:tcPr>
          <w:p w:rsidRPr="000E3C66" w:rsidR="00A92D0B" w:rsidP="002F3AB9" w:rsidRDefault="00985057" w14:paraId="7EC7277D" w14:textId="51856F5B">
            <w:pPr>
              <w:jc w:val="center"/>
            </w:pPr>
            <w:r w:rsidRPr="000E3C66">
              <w:rPr>
                <w:rFonts w:eastAsia="Calibri"/>
              </w:rPr>
              <w:t>Rulemaking</w:t>
            </w:r>
            <w:r w:rsidRPr="000E3C66">
              <w:rPr>
                <w:rFonts w:eastAsia="Calibri"/>
                <w:spacing w:val="-7"/>
              </w:rPr>
              <w:t xml:space="preserve"> </w:t>
            </w:r>
            <w:r w:rsidRPr="000E3C66">
              <w:rPr>
                <w:rFonts w:eastAsia="Calibri"/>
              </w:rPr>
              <w:t>23</w:t>
            </w:r>
            <w:r w:rsidRPr="000E3C66" w:rsidR="00F949CB">
              <w:rPr>
                <w:rFonts w:eastAsia="Calibri"/>
              </w:rPr>
              <w:noBreakHyphen/>
            </w:r>
            <w:r w:rsidRPr="000E3C66">
              <w:rPr>
                <w:rFonts w:eastAsia="Calibri"/>
              </w:rPr>
              <w:t>01</w:t>
            </w:r>
            <w:r w:rsidRPr="000E3C66" w:rsidR="00F949CB">
              <w:rPr>
                <w:rFonts w:eastAsia="Calibri"/>
              </w:rPr>
              <w:noBreakHyphen/>
            </w:r>
            <w:r w:rsidRPr="000E3C66">
              <w:rPr>
                <w:rFonts w:eastAsia="Calibri"/>
              </w:rPr>
              <w:t>007</w:t>
            </w:r>
          </w:p>
        </w:tc>
      </w:tr>
    </w:tbl>
    <w:p w:rsidRPr="000E3C66" w:rsidR="00FC72B7" w:rsidP="002F3AB9" w:rsidRDefault="00FC72B7" w14:paraId="5459E071" w14:textId="77777777">
      <w:pPr>
        <w:jc w:val="center"/>
        <w:rPr>
          <w:b/>
        </w:rPr>
      </w:pPr>
    </w:p>
    <w:p w:rsidRPr="000E3C66" w:rsidR="002918E9" w:rsidP="002F3AB9" w:rsidRDefault="002918E9" w14:paraId="258F8145" w14:textId="77777777">
      <w:pPr>
        <w:jc w:val="center"/>
        <w:rPr>
          <w:b/>
        </w:rPr>
      </w:pPr>
    </w:p>
    <w:p w:rsidRPr="000E3C66" w:rsidR="002918E9" w:rsidP="002F3AB9" w:rsidRDefault="00F52B5E" w14:paraId="11A29A98" w14:textId="2C45E058">
      <w:pPr>
        <w:jc w:val="center"/>
        <w:rPr>
          <w:b/>
        </w:rPr>
      </w:pPr>
      <w:r w:rsidRPr="000E3C66">
        <w:rPr>
          <w:b/>
        </w:rPr>
        <w:t>DECISION GRANTING COMPENSATION TO</w:t>
      </w:r>
    </w:p>
    <w:p w:rsidRPr="000E3C66" w:rsidR="002918E9" w:rsidP="002F3AB9" w:rsidRDefault="00F52B5E" w14:paraId="09498EE3" w14:textId="0FBC4B17">
      <w:pPr>
        <w:jc w:val="center"/>
        <w:rPr>
          <w:b/>
        </w:rPr>
      </w:pPr>
      <w:r w:rsidRPr="000E3C66">
        <w:rPr>
          <w:b/>
        </w:rPr>
        <w:t>ALLIANCE FOR NUCLEAR RESPONSIBILITY</w:t>
      </w:r>
    </w:p>
    <w:p w:rsidRPr="000E3C66" w:rsidR="00374FD1" w:rsidP="002F3AB9" w:rsidRDefault="00F52B5E" w14:paraId="7DD45571" w14:textId="7E519D14">
      <w:pPr>
        <w:jc w:val="center"/>
        <w:rPr>
          <w:b/>
          <w:shd w:val="clear" w:color="auto" w:fill="CCFFCC"/>
        </w:rPr>
      </w:pPr>
      <w:r w:rsidRPr="000E3C66">
        <w:rPr>
          <w:b/>
        </w:rPr>
        <w:t>FOR SUBSTANTIAL CONTRIBUTION TO DECISION</w:t>
      </w:r>
      <w:r w:rsidRPr="000E3C66" w:rsidR="002918E9">
        <w:rPr>
          <w:b/>
        </w:rPr>
        <w:t> </w:t>
      </w:r>
      <w:r w:rsidRPr="000E3C66">
        <w:rPr>
          <w:b/>
        </w:rPr>
        <w:t>23</w:t>
      </w:r>
      <w:r w:rsidRPr="000E3C66" w:rsidR="00F949CB">
        <w:rPr>
          <w:b/>
        </w:rPr>
        <w:noBreakHyphen/>
      </w:r>
      <w:r w:rsidRPr="000E3C66">
        <w:rPr>
          <w:b/>
        </w:rPr>
        <w:t>12</w:t>
      </w:r>
      <w:r w:rsidRPr="000E3C66" w:rsidR="00F949CB">
        <w:rPr>
          <w:b/>
        </w:rPr>
        <w:noBreakHyphen/>
      </w:r>
      <w:r w:rsidRPr="000E3C66">
        <w:rPr>
          <w:b/>
        </w:rPr>
        <w:t>036</w:t>
      </w:r>
    </w:p>
    <w:p w:rsidRPr="000E3C66" w:rsidR="00A92D0B" w:rsidP="002F3AB9" w:rsidRDefault="00A92D0B" w14:paraId="4BEAFF75" w14:textId="77777777">
      <w:pPr>
        <w:suppressAutoHyphens/>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4585"/>
        <w:gridCol w:w="4775"/>
      </w:tblGrid>
      <w:tr w:rsidRPr="000E3C66" w:rsidR="000E3C66" w:rsidTr="001E5AF2" w14:paraId="0FE98F62" w14:textId="77777777">
        <w:tc>
          <w:tcPr>
            <w:tcW w:w="4585" w:type="dxa"/>
            <w:shd w:val="clear" w:color="auto" w:fill="auto"/>
          </w:tcPr>
          <w:p w:rsidRPr="000E3C66" w:rsidR="00A92D0B" w:rsidP="002F3AB9" w:rsidRDefault="005A63D4" w14:paraId="11570D4A" w14:textId="5C8AC028">
            <w:pPr>
              <w:rPr>
                <w:rFonts w:cstheme="minorHAnsi"/>
                <w:b/>
              </w:rPr>
            </w:pPr>
            <w:r w:rsidRPr="000E3C66">
              <w:rPr>
                <w:b/>
              </w:rPr>
              <w:t>Intervenor</w:t>
            </w:r>
            <w:r w:rsidRPr="000E3C66" w:rsidR="00F63C29">
              <w:rPr>
                <w:b/>
              </w:rPr>
              <w:t>:</w:t>
            </w:r>
            <w:r w:rsidRPr="000E3C66" w:rsidR="00691528">
              <w:rPr>
                <w:b/>
              </w:rPr>
              <w:t xml:space="preserve"> </w:t>
            </w:r>
            <w:bookmarkStart w:name="_Hlk155957194" w:id="0"/>
            <w:r w:rsidRPr="000E3C66" w:rsidR="00926603">
              <w:rPr>
                <w:rFonts w:cstheme="minorHAnsi"/>
              </w:rPr>
              <w:t>Alliance For Nuclear Responsibility</w:t>
            </w:r>
            <w:r w:rsidRPr="000E3C66" w:rsidR="00985057">
              <w:rPr>
                <w:rFonts w:cstheme="minorHAnsi"/>
              </w:rPr>
              <w:t xml:space="preserve"> </w:t>
            </w:r>
            <w:bookmarkEnd w:id="0"/>
            <w:r w:rsidRPr="000E3C66" w:rsidR="00A40339">
              <w:rPr>
                <w:rFonts w:cstheme="minorHAnsi"/>
              </w:rPr>
              <w:t>(“A4NR”)</w:t>
            </w:r>
          </w:p>
        </w:tc>
        <w:tc>
          <w:tcPr>
            <w:tcW w:w="4775" w:type="dxa"/>
            <w:shd w:val="clear" w:color="auto" w:fill="auto"/>
          </w:tcPr>
          <w:p w:rsidRPr="000E3C66" w:rsidR="00A92D0B" w:rsidP="002F3AB9" w:rsidRDefault="00A92D0B" w14:paraId="53A584EE" w14:textId="11BCD1ED">
            <w:pPr>
              <w:tabs>
                <w:tab w:val="left" w:pos="1872"/>
                <w:tab w:val="right" w:pos="3672"/>
              </w:tabs>
              <w:rPr>
                <w:b/>
              </w:rPr>
            </w:pPr>
            <w:r w:rsidRPr="000E3C66">
              <w:rPr>
                <w:b/>
              </w:rPr>
              <w:t>For contribution to D</w:t>
            </w:r>
            <w:r w:rsidRPr="000E3C66" w:rsidR="00DE3A5D">
              <w:rPr>
                <w:b/>
              </w:rPr>
              <w:t>ecision (D.)</w:t>
            </w:r>
            <w:r w:rsidR="00873118">
              <w:rPr>
                <w:b/>
              </w:rPr>
              <w:t> </w:t>
            </w:r>
            <w:r w:rsidRPr="000E3C66" w:rsidR="00985057">
              <w:rPr>
                <w:rFonts w:cstheme="minorHAnsi"/>
                <w:b/>
              </w:rPr>
              <w:t>23</w:t>
            </w:r>
            <w:r w:rsidRPr="000E3C66" w:rsidR="00F949CB">
              <w:rPr>
                <w:rFonts w:cstheme="minorHAnsi"/>
                <w:b/>
              </w:rPr>
              <w:noBreakHyphen/>
            </w:r>
            <w:r w:rsidRPr="000E3C66" w:rsidR="00985057">
              <w:rPr>
                <w:rFonts w:cstheme="minorHAnsi"/>
                <w:b/>
              </w:rPr>
              <w:t>12</w:t>
            </w:r>
            <w:r w:rsidRPr="000E3C66" w:rsidR="00F949CB">
              <w:rPr>
                <w:rFonts w:cstheme="minorHAnsi"/>
                <w:b/>
              </w:rPr>
              <w:noBreakHyphen/>
            </w:r>
            <w:r w:rsidRPr="000E3C66" w:rsidR="00985057">
              <w:rPr>
                <w:rFonts w:cstheme="minorHAnsi"/>
                <w:b/>
              </w:rPr>
              <w:t>036</w:t>
            </w:r>
          </w:p>
        </w:tc>
      </w:tr>
      <w:tr w:rsidRPr="000E3C66" w:rsidR="000E3C66" w:rsidTr="001E5AF2" w14:paraId="47003B8E" w14:textId="77777777">
        <w:tc>
          <w:tcPr>
            <w:tcW w:w="4585" w:type="dxa"/>
            <w:shd w:val="clear" w:color="auto" w:fill="auto"/>
          </w:tcPr>
          <w:p w:rsidRPr="000E3C66" w:rsidR="00A92D0B" w:rsidP="002F3AB9" w:rsidRDefault="00A92D0B" w14:paraId="0E2E4BD1" w14:textId="57EC0EFA">
            <w:pPr>
              <w:tabs>
                <w:tab w:val="left" w:pos="1620"/>
                <w:tab w:val="right" w:pos="4500"/>
              </w:tabs>
              <w:rPr>
                <w:b/>
                <w:u w:val="single"/>
              </w:rPr>
            </w:pPr>
            <w:r w:rsidRPr="000E3C66">
              <w:rPr>
                <w:b/>
              </w:rPr>
              <w:t>Claimed:</w:t>
            </w:r>
            <w:r w:rsidRPr="000E3C66" w:rsidR="00F63C29">
              <w:rPr>
                <w:b/>
              </w:rPr>
              <w:t xml:space="preserve"> </w:t>
            </w:r>
            <w:r w:rsidRPr="000E3C66" w:rsidR="002D21CA">
              <w:rPr>
                <w:b/>
              </w:rPr>
              <w:t xml:space="preserve"> </w:t>
            </w:r>
            <w:r w:rsidRPr="000E3C66" w:rsidR="00FC72B7">
              <w:rPr>
                <w:bCs/>
              </w:rPr>
              <w:t>$</w:t>
            </w:r>
            <w:r w:rsidRPr="000E3C66" w:rsidR="004B1960">
              <w:rPr>
                <w:bCs/>
              </w:rPr>
              <w:t>662,2</w:t>
            </w:r>
            <w:r w:rsidRPr="000E3C66" w:rsidR="00A73A49">
              <w:rPr>
                <w:bCs/>
              </w:rPr>
              <w:t>94.49</w:t>
            </w:r>
          </w:p>
        </w:tc>
        <w:tc>
          <w:tcPr>
            <w:tcW w:w="4775" w:type="dxa"/>
            <w:tcBorders>
              <w:bottom w:val="single" w:color="auto" w:sz="4" w:space="0"/>
            </w:tcBorders>
            <w:shd w:val="clear" w:color="auto" w:fill="auto"/>
          </w:tcPr>
          <w:p w:rsidRPr="000E3C66" w:rsidR="00A92D0B" w:rsidP="002F3AB9" w:rsidRDefault="00A92D0B" w14:paraId="211F40A8" w14:textId="28B4B6C2">
            <w:pPr>
              <w:tabs>
                <w:tab w:val="left" w:pos="1872"/>
                <w:tab w:val="right" w:pos="3672"/>
              </w:tabs>
              <w:rPr>
                <w:b/>
                <w:u w:val="single"/>
              </w:rPr>
            </w:pPr>
            <w:r w:rsidRPr="000E3C66">
              <w:rPr>
                <w:b/>
              </w:rPr>
              <w:t>Awarded:</w:t>
            </w:r>
            <w:r w:rsidRPr="000E3C66" w:rsidR="00FC72B7">
              <w:rPr>
                <w:b/>
              </w:rPr>
              <w:t xml:space="preserve">  </w:t>
            </w:r>
            <w:r w:rsidRPr="000E3C66" w:rsidR="008818C1">
              <w:rPr>
                <w:bCs/>
              </w:rPr>
              <w:t>$</w:t>
            </w:r>
            <w:r w:rsidR="00621C73">
              <w:rPr>
                <w:bCs/>
              </w:rPr>
              <w:t>319,085.71</w:t>
            </w:r>
          </w:p>
        </w:tc>
      </w:tr>
      <w:tr w:rsidRPr="000E3C66" w:rsidR="000E3C66" w:rsidTr="001E5AF2" w14:paraId="5C56877D" w14:textId="77777777">
        <w:tc>
          <w:tcPr>
            <w:tcW w:w="4585" w:type="dxa"/>
            <w:shd w:val="clear" w:color="auto" w:fill="auto"/>
          </w:tcPr>
          <w:p w:rsidRPr="000E3C66" w:rsidR="00A92D0B" w:rsidP="002F3AB9" w:rsidRDefault="00A92D0B" w14:paraId="6EF99E36" w14:textId="195CDA37">
            <w:pPr>
              <w:tabs>
                <w:tab w:val="left" w:pos="3060"/>
                <w:tab w:val="right" w:pos="4500"/>
              </w:tabs>
              <w:rPr>
                <w:rFonts w:cstheme="minorHAnsi"/>
                <w:u w:val="single"/>
              </w:rPr>
            </w:pPr>
            <w:r w:rsidRPr="000E3C66">
              <w:rPr>
                <w:b/>
              </w:rPr>
              <w:t xml:space="preserve">Assigned Commissioner: </w:t>
            </w:r>
            <w:r w:rsidRPr="000E3C66" w:rsidR="00985057">
              <w:rPr>
                <w:rFonts w:cstheme="minorHAnsi"/>
                <w:bCs/>
              </w:rPr>
              <w:t>Karen Douglas</w:t>
            </w:r>
          </w:p>
        </w:tc>
        <w:tc>
          <w:tcPr>
            <w:tcW w:w="4775" w:type="dxa"/>
            <w:shd w:val="clear" w:color="auto" w:fill="auto"/>
          </w:tcPr>
          <w:p w:rsidRPr="000E3C66" w:rsidR="00A92D0B" w:rsidP="002F3AB9" w:rsidRDefault="00A92D0B" w14:paraId="79375F78" w14:textId="67B1C7A3">
            <w:pPr>
              <w:tabs>
                <w:tab w:val="left" w:pos="1872"/>
                <w:tab w:val="right" w:pos="3672"/>
              </w:tabs>
              <w:rPr>
                <w:rFonts w:cstheme="minorHAnsi"/>
                <w:u w:val="single"/>
              </w:rPr>
            </w:pPr>
            <w:r w:rsidRPr="000E3C66">
              <w:rPr>
                <w:b/>
              </w:rPr>
              <w:t>Assigned ALJ:</w:t>
            </w:r>
            <w:r w:rsidRPr="000E3C66" w:rsidR="00F63C29">
              <w:rPr>
                <w:b/>
              </w:rPr>
              <w:t xml:space="preserve"> </w:t>
            </w:r>
            <w:r w:rsidRPr="000E3C66" w:rsidR="00280DC8">
              <w:rPr>
                <w:rFonts w:cstheme="minorHAnsi"/>
                <w:bCs/>
              </w:rPr>
              <w:t>Nilgun Atamturk</w:t>
            </w:r>
            <w:r w:rsidRPr="000E3C66" w:rsidR="00280DC8">
              <w:rPr>
                <w:rFonts w:cstheme="minorHAnsi"/>
                <w:bCs/>
                <w:vertAlign w:val="superscript"/>
              </w:rPr>
              <w:footnoteReference w:id="2"/>
            </w:r>
          </w:p>
        </w:tc>
      </w:tr>
    </w:tbl>
    <w:p w:rsidRPr="000E3C66" w:rsidR="00A92D0B" w:rsidP="004A228C" w:rsidRDefault="00A92D0B" w14:paraId="31F24E14" w14:textId="01BA8BB4">
      <w:pPr>
        <w:keepNext/>
        <w:spacing w:before="480" w:after="240"/>
        <w:jc w:val="center"/>
        <w:rPr>
          <w:b/>
        </w:rPr>
      </w:pPr>
      <w:r w:rsidRPr="000E3C66">
        <w:rPr>
          <w:b/>
        </w:rPr>
        <w:t>PART I:</w:t>
      </w:r>
      <w:r w:rsidRPr="000E3C66" w:rsidR="008E182E">
        <w:rPr>
          <w:b/>
        </w:rPr>
        <w:t xml:space="preserve">  </w:t>
      </w:r>
      <w:r w:rsidRPr="000E3C66">
        <w:rPr>
          <w:b/>
        </w:rPr>
        <w:t>PROCEDURAL ISSUES</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3685"/>
        <w:gridCol w:w="5675"/>
      </w:tblGrid>
      <w:tr w:rsidRPr="000E3C66" w:rsidR="000E3C66" w:rsidTr="00926603" w14:paraId="3C5C25ED" w14:textId="77777777">
        <w:tc>
          <w:tcPr>
            <w:tcW w:w="3685" w:type="dxa"/>
            <w:shd w:val="clear" w:color="auto" w:fill="auto"/>
          </w:tcPr>
          <w:p w:rsidRPr="000E3C66" w:rsidR="00A92D0B" w:rsidP="002F3AB9" w:rsidRDefault="00A92D0B" w14:paraId="1576A0A6" w14:textId="77777777">
            <w:pPr>
              <w:rPr>
                <w:b/>
              </w:rPr>
            </w:pPr>
            <w:r w:rsidRPr="000E3C66">
              <w:rPr>
                <w:b/>
              </w:rPr>
              <w:t xml:space="preserve">A.  Brief </w:t>
            </w:r>
            <w:r w:rsidRPr="000E3C66" w:rsidR="00A319DE">
              <w:rPr>
                <w:b/>
              </w:rPr>
              <w:t>d</w:t>
            </w:r>
            <w:r w:rsidRPr="000E3C66">
              <w:rPr>
                <w:b/>
              </w:rPr>
              <w:t xml:space="preserve">escription of Decision: </w:t>
            </w:r>
          </w:p>
        </w:tc>
        <w:tc>
          <w:tcPr>
            <w:tcW w:w="5675" w:type="dxa"/>
            <w:shd w:val="clear" w:color="auto" w:fill="auto"/>
          </w:tcPr>
          <w:p w:rsidRPr="000E3C66" w:rsidR="00C02649" w:rsidP="00C00384" w:rsidRDefault="00D90C56" w14:paraId="67B8ECAA" w14:textId="722D1CBD">
            <w:pPr>
              <w:spacing w:after="240"/>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conditionally authorizes extended operations at Diablo Canyon Nuclear Power Plant (DCPP) until October 31, 2029 (</w:t>
            </w:r>
            <w:r w:rsidRPr="000E3C66" w:rsidR="00A73E7F">
              <w:rPr>
                <w:rFonts w:cstheme="minorHAnsi"/>
              </w:rPr>
              <w:t>Unit 1</w:t>
            </w:r>
            <w:r w:rsidRPr="000E3C66">
              <w:rPr>
                <w:rFonts w:cstheme="minorHAnsi"/>
              </w:rPr>
              <w:t>) and October</w:t>
            </w:r>
            <w:r w:rsidR="00B83DEC">
              <w:rPr>
                <w:rFonts w:cstheme="minorHAnsi"/>
              </w:rPr>
              <w:t> </w:t>
            </w:r>
            <w:r w:rsidRPr="000E3C66">
              <w:rPr>
                <w:rFonts w:cstheme="minorHAnsi"/>
              </w:rPr>
              <w:t>31, 2030 (</w:t>
            </w:r>
            <w:r w:rsidRPr="000E3C66" w:rsidR="00A73E7F">
              <w:rPr>
                <w:rFonts w:cstheme="minorHAnsi"/>
              </w:rPr>
              <w:t>Unit 2</w:t>
            </w:r>
            <w:r w:rsidRPr="000E3C66">
              <w:rPr>
                <w:rFonts w:cstheme="minorHAnsi"/>
              </w:rPr>
              <w:t>). The approval is subject to the following conditions: (1) the United States Nuclear Regulatory Commission continues to authorize DCPP operations; (2) the $1.4</w:t>
            </w:r>
            <w:r w:rsidRPr="000E3C66" w:rsidR="003C1828">
              <w:rPr>
                <w:rFonts w:cstheme="minorHAnsi"/>
              </w:rPr>
              <w:t> billion</w:t>
            </w:r>
            <w:r w:rsidRPr="000E3C66">
              <w:rPr>
                <w:rFonts w:cstheme="minorHAnsi"/>
              </w:rPr>
              <w:t xml:space="preserve"> loan agreement authorized by </w:t>
            </w:r>
            <w:r w:rsidR="00813231">
              <w:rPr>
                <w:rFonts w:cstheme="minorHAnsi"/>
              </w:rPr>
              <w:t>SB </w:t>
            </w:r>
            <w:r w:rsidRPr="000E3C66">
              <w:rPr>
                <w:rFonts w:cstheme="minorHAnsi"/>
              </w:rPr>
              <w:t>846 is not terminated; and (3) the Commission does not make a future determination that DCPP extended operations are imprudent or unreasonable. Additional processes are established for the Commission to continue to consider the prudence and cost</w:t>
            </w:r>
            <w:r w:rsidRPr="000E3C66" w:rsidR="00F949CB">
              <w:rPr>
                <w:rFonts w:cstheme="minorHAnsi"/>
              </w:rPr>
              <w:noBreakHyphen/>
            </w:r>
            <w:r w:rsidRPr="000E3C66">
              <w:rPr>
                <w:rFonts w:cstheme="minorHAnsi"/>
              </w:rPr>
              <w:t>effectiveness of extended DCPP operations.</w:t>
            </w:r>
          </w:p>
        </w:tc>
      </w:tr>
    </w:tbl>
    <w:p w:rsidRPr="000E3C66" w:rsidR="00A92D0B" w:rsidP="002F3AB9" w:rsidRDefault="005A63D4" w14:paraId="2FBF046C" w14:textId="0988CF89">
      <w:pPr>
        <w:keepNext/>
        <w:numPr>
          <w:ilvl w:val="0"/>
          <w:numId w:val="5"/>
        </w:numPr>
        <w:spacing w:before="240" w:after="240"/>
        <w:rPr>
          <w:b/>
        </w:rPr>
      </w:pPr>
      <w:r w:rsidRPr="000E3C66">
        <w:rPr>
          <w:b/>
        </w:rPr>
        <w:lastRenderedPageBreak/>
        <w:t xml:space="preserve">Intervenor </w:t>
      </w:r>
      <w:r w:rsidRPr="000E3C66" w:rsidR="00A92D0B">
        <w:rPr>
          <w:b/>
        </w:rPr>
        <w:t xml:space="preserve">must satisfy intervenor compensation </w:t>
      </w:r>
      <w:r w:rsidRPr="000E3C66" w:rsidR="00DE3A5D">
        <w:rPr>
          <w:b/>
        </w:rPr>
        <w:t xml:space="preserve">requirements set forth in </w:t>
      </w:r>
      <w:r w:rsidRPr="000E3C66" w:rsidR="00AE4FEE">
        <w:rPr>
          <w:b/>
        </w:rPr>
        <w:t>Pub. Util.</w:t>
      </w:r>
      <w:r w:rsidRPr="000E3C66" w:rsidR="00A92D0B">
        <w:rPr>
          <w:b/>
        </w:rPr>
        <w:t xml:space="preserve"> Code </w:t>
      </w:r>
      <w:r w:rsidRPr="000E3C66" w:rsidR="00AE4FEE">
        <w:rPr>
          <w:b/>
        </w:rPr>
        <w:t>§§ </w:t>
      </w:r>
      <w:r w:rsidRPr="000E3C66" w:rsidR="00A92D0B">
        <w:rPr>
          <w:b/>
        </w:rPr>
        <w:t>1801</w:t>
      </w:r>
      <w:r w:rsidRPr="000E3C66" w:rsidR="00F949CB">
        <w:rPr>
          <w:b/>
        </w:rPr>
        <w:noBreakHyphen/>
      </w:r>
      <w:r w:rsidRPr="000E3C66" w:rsidR="00A92D0B">
        <w:rPr>
          <w:b/>
        </w:rPr>
        <w:t>1812</w:t>
      </w:r>
      <w:r w:rsidRPr="000E3C66" w:rsidR="003B6A1B">
        <w:rPr>
          <w:rStyle w:val="FootnoteReference"/>
          <w:b/>
        </w:rPr>
        <w:footnoteReference w:id="3"/>
      </w:r>
      <w:r w:rsidRPr="000E3C66" w:rsidR="00A92D0B">
        <w:rPr>
          <w:b/>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5485"/>
        <w:gridCol w:w="1620"/>
        <w:gridCol w:w="2255"/>
      </w:tblGrid>
      <w:tr w:rsidRPr="000E3C66" w:rsidR="000E3C66" w:rsidTr="0010234D" w14:paraId="640CF70A" w14:textId="77777777">
        <w:trPr>
          <w:tblHeader/>
        </w:trPr>
        <w:tc>
          <w:tcPr>
            <w:tcW w:w="5485" w:type="dxa"/>
            <w:tcBorders>
              <w:bottom w:val="single" w:color="auto" w:sz="4" w:space="0"/>
            </w:tcBorders>
            <w:shd w:val="clear" w:color="auto" w:fill="D9D9D9" w:themeFill="background1" w:themeFillShade="D9"/>
            <w:vAlign w:val="bottom"/>
          </w:tcPr>
          <w:p w:rsidRPr="000E3C66" w:rsidR="00A92D0B" w:rsidP="00926603" w:rsidRDefault="00A92D0B" w14:paraId="409E4D92" w14:textId="77777777">
            <w:pPr>
              <w:keepNext/>
              <w:tabs>
                <w:tab w:val="left" w:pos="360"/>
              </w:tabs>
              <w:jc w:val="center"/>
            </w:pPr>
          </w:p>
        </w:tc>
        <w:tc>
          <w:tcPr>
            <w:tcW w:w="1620" w:type="dxa"/>
            <w:tcBorders>
              <w:bottom w:val="single" w:color="auto" w:sz="4" w:space="0"/>
            </w:tcBorders>
            <w:shd w:val="clear" w:color="auto" w:fill="D9D9D9" w:themeFill="background1" w:themeFillShade="D9"/>
            <w:vAlign w:val="bottom"/>
          </w:tcPr>
          <w:p w:rsidRPr="000E3C66" w:rsidR="00A92D0B" w:rsidP="00926603" w:rsidRDefault="005A63D4" w14:paraId="1412A3C6" w14:textId="77777777">
            <w:pPr>
              <w:keepNext/>
              <w:tabs>
                <w:tab w:val="left" w:pos="360"/>
              </w:tabs>
              <w:jc w:val="center"/>
              <w:rPr>
                <w:b/>
              </w:rPr>
            </w:pPr>
            <w:r w:rsidRPr="000E3C66">
              <w:rPr>
                <w:b/>
              </w:rPr>
              <w:t>Intervenor</w:t>
            </w:r>
          </w:p>
        </w:tc>
        <w:tc>
          <w:tcPr>
            <w:tcW w:w="2255" w:type="dxa"/>
            <w:tcBorders>
              <w:bottom w:val="single" w:color="auto" w:sz="4" w:space="0"/>
            </w:tcBorders>
            <w:shd w:val="clear" w:color="auto" w:fill="D9D9D9" w:themeFill="background1" w:themeFillShade="D9"/>
            <w:vAlign w:val="bottom"/>
          </w:tcPr>
          <w:p w:rsidRPr="000E3C66" w:rsidR="00A92D0B" w:rsidP="00926603" w:rsidRDefault="00A92D0B" w14:paraId="2A218C38" w14:textId="386C9A6A">
            <w:pPr>
              <w:keepNext/>
              <w:tabs>
                <w:tab w:val="left" w:pos="360"/>
              </w:tabs>
              <w:jc w:val="center"/>
              <w:rPr>
                <w:b/>
              </w:rPr>
            </w:pPr>
            <w:r w:rsidRPr="000E3C66">
              <w:rPr>
                <w:b/>
              </w:rPr>
              <w:t xml:space="preserve">CPUC </w:t>
            </w:r>
            <w:r w:rsidRPr="000E3C66" w:rsidR="0081626F">
              <w:rPr>
                <w:b/>
              </w:rPr>
              <w:t>Verification</w:t>
            </w:r>
          </w:p>
        </w:tc>
      </w:tr>
      <w:tr w:rsidRPr="000E3C66" w:rsidR="000E3C66" w:rsidTr="00926603" w14:paraId="7D83D00D"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E3C66" w:rsidR="00A92D0B" w:rsidP="002F3AB9" w:rsidRDefault="00A92D0B" w14:paraId="606E2B66" w14:textId="35991117">
            <w:pPr>
              <w:keepNext/>
              <w:tabs>
                <w:tab w:val="left" w:pos="360"/>
              </w:tabs>
              <w:jc w:val="center"/>
              <w:rPr>
                <w:b/>
              </w:rPr>
            </w:pPr>
            <w:r w:rsidRPr="000E3C66">
              <w:rPr>
                <w:b/>
              </w:rPr>
              <w:t>Timely filing of notice of intent to claim compensation (NOI) (</w:t>
            </w:r>
            <w:r w:rsidRPr="000E3C66" w:rsidR="00AE4FEE">
              <w:rPr>
                <w:b/>
              </w:rPr>
              <w:t>§ </w:t>
            </w:r>
            <w:r w:rsidRPr="000E3C66">
              <w:rPr>
                <w:b/>
              </w:rPr>
              <w:t>1804(a)):</w:t>
            </w:r>
          </w:p>
        </w:tc>
      </w:tr>
      <w:tr w:rsidRPr="000E3C66" w:rsidR="000E3C66" w:rsidTr="0010234D" w14:paraId="160E284A" w14:textId="77777777">
        <w:tc>
          <w:tcPr>
            <w:tcW w:w="5485" w:type="dxa"/>
            <w:tcBorders>
              <w:top w:val="single" w:color="auto" w:sz="4" w:space="0"/>
            </w:tcBorders>
            <w:shd w:val="clear" w:color="auto" w:fill="auto"/>
          </w:tcPr>
          <w:p w:rsidRPr="000E3C66" w:rsidR="00A92D0B" w:rsidP="002F3AB9" w:rsidRDefault="00A92D0B" w14:paraId="44D1876C" w14:textId="478A95F3">
            <w:pPr>
              <w:keepNext/>
              <w:tabs>
                <w:tab w:val="left" w:pos="360"/>
              </w:tabs>
              <w:ind w:left="360" w:hanging="360"/>
            </w:pPr>
            <w:r w:rsidRPr="000E3C66">
              <w:t>1.</w:t>
            </w:r>
            <w:r w:rsidRPr="000E3C66" w:rsidR="001E7EE2">
              <w:tab/>
            </w:r>
            <w:r w:rsidRPr="000E3C66">
              <w:t>Date of Prehearing Conference:</w:t>
            </w:r>
          </w:p>
        </w:tc>
        <w:tc>
          <w:tcPr>
            <w:tcW w:w="1620" w:type="dxa"/>
            <w:tcBorders>
              <w:top w:val="single" w:color="auto" w:sz="4" w:space="0"/>
            </w:tcBorders>
            <w:shd w:val="clear" w:color="auto" w:fill="auto"/>
          </w:tcPr>
          <w:p w:rsidRPr="000E3C66" w:rsidR="00A92D0B" w:rsidP="002F3AB9" w:rsidRDefault="00000000" w14:paraId="35450816" w14:textId="124D9198">
            <w:pPr>
              <w:keepNext/>
              <w:tabs>
                <w:tab w:val="left" w:pos="360"/>
              </w:tabs>
              <w:ind w:left="360" w:hanging="360"/>
            </w:pPr>
            <w:sdt>
              <w:sdtPr>
                <w:rPr>
                  <w:rFonts w:cstheme="minorHAnsi"/>
                </w:rPr>
                <w:alias w:val="Date"/>
                <w:id w:val="109406824"/>
                <w:date w:fullDate="2023-03-17T00:00:00Z">
                  <w:dateFormat w:val="M/d/yyyy"/>
                  <w:lid w:val="en-US"/>
                  <w:storeMappedDataAs w:val="dateTime"/>
                  <w:calendar w:val="gregorian"/>
                </w:date>
              </w:sdtPr>
              <w:sdtContent>
                <w:r w:rsidR="00BF18A1">
                  <w:rPr>
                    <w:rFonts w:cstheme="minorHAnsi"/>
                  </w:rPr>
                  <w:t>3/17/2023</w:t>
                </w:r>
              </w:sdtContent>
            </w:sdt>
          </w:p>
        </w:tc>
        <w:tc>
          <w:tcPr>
            <w:tcW w:w="2255" w:type="dxa"/>
            <w:tcBorders>
              <w:top w:val="single" w:color="auto" w:sz="4" w:space="0"/>
            </w:tcBorders>
            <w:shd w:val="clear" w:color="auto" w:fill="auto"/>
          </w:tcPr>
          <w:p w:rsidRPr="000E3C66" w:rsidR="00A92D0B" w:rsidP="002F3AB9" w:rsidRDefault="00B55463" w14:paraId="34540344" w14:textId="54D7D026">
            <w:pPr>
              <w:keepNext/>
              <w:tabs>
                <w:tab w:val="left" w:pos="360"/>
              </w:tabs>
              <w:jc w:val="both"/>
            </w:pPr>
            <w:r w:rsidRPr="000E3C66">
              <w:t>Verified</w:t>
            </w:r>
          </w:p>
        </w:tc>
      </w:tr>
      <w:tr w:rsidRPr="000E3C66" w:rsidR="000E3C66" w:rsidTr="0010234D" w14:paraId="24C85564" w14:textId="77777777">
        <w:tc>
          <w:tcPr>
            <w:tcW w:w="5485" w:type="dxa"/>
            <w:shd w:val="clear" w:color="auto" w:fill="auto"/>
          </w:tcPr>
          <w:p w:rsidRPr="000E3C66" w:rsidR="00A92D0B" w:rsidP="002F3AB9" w:rsidRDefault="00A92D0B" w14:paraId="382C5788" w14:textId="49F0E39E">
            <w:pPr>
              <w:tabs>
                <w:tab w:val="left" w:pos="360"/>
              </w:tabs>
              <w:ind w:left="360" w:hanging="360"/>
            </w:pPr>
            <w:r w:rsidRPr="000E3C66">
              <w:t>2.</w:t>
            </w:r>
            <w:r w:rsidRPr="000E3C66" w:rsidR="001E7EE2">
              <w:tab/>
            </w:r>
            <w:r w:rsidRPr="000E3C66">
              <w:t xml:space="preserve">Other </w:t>
            </w:r>
            <w:r w:rsidRPr="000E3C66" w:rsidR="00A319DE">
              <w:t>s</w:t>
            </w:r>
            <w:r w:rsidRPr="000E3C66">
              <w:t xml:space="preserve">pecified </w:t>
            </w:r>
            <w:r w:rsidRPr="000E3C66" w:rsidR="00A319DE">
              <w:t>d</w:t>
            </w:r>
            <w:r w:rsidRPr="000E3C66">
              <w:t>ate for NOI:</w:t>
            </w:r>
          </w:p>
        </w:tc>
        <w:tc>
          <w:tcPr>
            <w:tcW w:w="1620" w:type="dxa"/>
            <w:shd w:val="clear" w:color="auto" w:fill="auto"/>
          </w:tcPr>
          <w:p w:rsidRPr="000E3C66" w:rsidR="00A92D0B" w:rsidP="002F3AB9" w:rsidRDefault="00A92D0B" w14:paraId="1826BC2C" w14:textId="77777777">
            <w:pPr>
              <w:keepNext/>
              <w:tabs>
                <w:tab w:val="left" w:pos="360"/>
              </w:tabs>
              <w:ind w:left="360" w:hanging="360"/>
            </w:pPr>
          </w:p>
        </w:tc>
        <w:tc>
          <w:tcPr>
            <w:tcW w:w="2255" w:type="dxa"/>
            <w:shd w:val="clear" w:color="auto" w:fill="auto"/>
          </w:tcPr>
          <w:p w:rsidRPr="000E3C66" w:rsidR="00A92D0B" w:rsidP="002F3AB9" w:rsidRDefault="00A92D0B" w14:paraId="210DAD91" w14:textId="77777777">
            <w:pPr>
              <w:tabs>
                <w:tab w:val="left" w:pos="360"/>
              </w:tabs>
              <w:jc w:val="both"/>
            </w:pPr>
          </w:p>
        </w:tc>
      </w:tr>
      <w:tr w:rsidRPr="000E3C66" w:rsidR="000E3C66" w:rsidTr="0010234D" w14:paraId="4836EEA6" w14:textId="77777777">
        <w:tc>
          <w:tcPr>
            <w:tcW w:w="5485" w:type="dxa"/>
            <w:shd w:val="clear" w:color="auto" w:fill="auto"/>
          </w:tcPr>
          <w:p w:rsidRPr="000E3C66" w:rsidR="00A92D0B" w:rsidP="002F3AB9" w:rsidRDefault="00A92D0B" w14:paraId="34809C45" w14:textId="2501A8A3">
            <w:pPr>
              <w:tabs>
                <w:tab w:val="left" w:pos="360"/>
              </w:tabs>
              <w:ind w:left="360" w:hanging="360"/>
            </w:pPr>
            <w:r w:rsidRPr="000E3C66">
              <w:t>3.</w:t>
            </w:r>
            <w:r w:rsidRPr="000E3C66" w:rsidR="001E7EE2">
              <w:tab/>
            </w:r>
            <w:r w:rsidRPr="000E3C66">
              <w:t xml:space="preserve">Date NOI </w:t>
            </w:r>
            <w:r w:rsidRPr="000E3C66" w:rsidR="00A319DE">
              <w:t>f</w:t>
            </w:r>
            <w:r w:rsidRPr="000E3C66">
              <w:t>iled:</w:t>
            </w:r>
          </w:p>
        </w:tc>
        <w:tc>
          <w:tcPr>
            <w:tcW w:w="1620" w:type="dxa"/>
            <w:tcBorders>
              <w:bottom w:val="single" w:color="auto" w:sz="4" w:space="0"/>
            </w:tcBorders>
            <w:shd w:val="clear" w:color="auto" w:fill="auto"/>
          </w:tcPr>
          <w:p w:rsidRPr="000E3C66" w:rsidR="00A92D0B" w:rsidP="002F3AB9" w:rsidRDefault="00D90C56" w14:paraId="44F7CCB9" w14:textId="1F851A7C">
            <w:pPr>
              <w:keepNext/>
              <w:tabs>
                <w:tab w:val="left" w:pos="360"/>
              </w:tabs>
              <w:ind w:left="360" w:hanging="360"/>
              <w:rPr>
                <w:rFonts w:asciiTheme="minorHAnsi" w:hAnsiTheme="minorHAnsi" w:cstheme="minorHAnsi"/>
              </w:rPr>
            </w:pPr>
            <w:r w:rsidRPr="000E3C66">
              <w:rPr>
                <w:rFonts w:cstheme="minorHAnsi"/>
              </w:rPr>
              <w:t>3/20/2023</w:t>
            </w:r>
          </w:p>
        </w:tc>
        <w:tc>
          <w:tcPr>
            <w:tcW w:w="2255" w:type="dxa"/>
            <w:tcBorders>
              <w:bottom w:val="single" w:color="auto" w:sz="4" w:space="0"/>
            </w:tcBorders>
            <w:shd w:val="clear" w:color="auto" w:fill="auto"/>
          </w:tcPr>
          <w:p w:rsidRPr="000E3C66" w:rsidR="00A92D0B" w:rsidP="002F3AB9" w:rsidRDefault="00B55463" w14:paraId="71759DE3" w14:textId="460060B4">
            <w:pPr>
              <w:tabs>
                <w:tab w:val="left" w:pos="360"/>
              </w:tabs>
              <w:jc w:val="both"/>
            </w:pPr>
            <w:r w:rsidRPr="000E3C66">
              <w:t>Verified</w:t>
            </w:r>
          </w:p>
        </w:tc>
      </w:tr>
      <w:tr w:rsidRPr="000E3C66" w:rsidR="000E3C66" w:rsidTr="00C00384" w14:paraId="22BBCDE3" w14:textId="77777777">
        <w:tc>
          <w:tcPr>
            <w:tcW w:w="7105" w:type="dxa"/>
            <w:gridSpan w:val="2"/>
            <w:tcBorders>
              <w:bottom w:val="single" w:color="auto" w:sz="4" w:space="0"/>
            </w:tcBorders>
            <w:shd w:val="clear" w:color="auto" w:fill="auto"/>
          </w:tcPr>
          <w:p w:rsidRPr="000E3C66" w:rsidR="00A92D0B" w:rsidP="002F3AB9" w:rsidRDefault="00A92D0B" w14:paraId="7E6E2068" w14:textId="1D4DD6B8">
            <w:pPr>
              <w:tabs>
                <w:tab w:val="left" w:pos="360"/>
              </w:tabs>
              <w:ind w:left="360" w:hanging="360"/>
            </w:pPr>
            <w:r w:rsidRPr="000E3C66">
              <w:t>4.</w:t>
            </w:r>
            <w:r w:rsidRPr="000E3C66" w:rsidR="001E7EE2">
              <w:tab/>
            </w:r>
            <w:r w:rsidRPr="000E3C66">
              <w:t>Was the NOI timely filed?</w:t>
            </w:r>
          </w:p>
        </w:tc>
        <w:tc>
          <w:tcPr>
            <w:tcW w:w="2255" w:type="dxa"/>
            <w:tcBorders>
              <w:bottom w:val="single" w:color="auto" w:sz="4" w:space="0"/>
            </w:tcBorders>
            <w:shd w:val="clear" w:color="auto" w:fill="auto"/>
          </w:tcPr>
          <w:p w:rsidRPr="000E3C66" w:rsidR="00A92D0B" w:rsidP="002F3AB9" w:rsidRDefault="00B55463" w14:paraId="61DE2845" w14:textId="538FD540">
            <w:pPr>
              <w:tabs>
                <w:tab w:val="left" w:pos="360"/>
              </w:tabs>
            </w:pPr>
            <w:r w:rsidRPr="000E3C66">
              <w:t>Yes</w:t>
            </w:r>
          </w:p>
        </w:tc>
      </w:tr>
      <w:tr w:rsidRPr="000E3C66" w:rsidR="000E3C66" w:rsidTr="00926603" w14:paraId="4CD7D46A"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E3C66" w:rsidR="00F028C8" w:rsidP="002F3AB9" w:rsidRDefault="00A92D0B" w14:paraId="003AB151" w14:textId="4F2BBB62">
            <w:pPr>
              <w:keepNext/>
              <w:tabs>
                <w:tab w:val="left" w:pos="360"/>
              </w:tabs>
              <w:jc w:val="center"/>
              <w:rPr>
                <w:b/>
              </w:rPr>
            </w:pPr>
            <w:r w:rsidRPr="000E3C66">
              <w:rPr>
                <w:b/>
              </w:rPr>
              <w:t xml:space="preserve">Showing of </w:t>
            </w:r>
            <w:r w:rsidRPr="000E3C66" w:rsidR="00F63C29">
              <w:rPr>
                <w:b/>
              </w:rPr>
              <w:t xml:space="preserve">eligible </w:t>
            </w:r>
            <w:r w:rsidRPr="000E3C66">
              <w:rPr>
                <w:b/>
              </w:rPr>
              <w:t xml:space="preserve">customer </w:t>
            </w:r>
            <w:r w:rsidRPr="000E3C66" w:rsidR="00F63C29">
              <w:rPr>
                <w:b/>
              </w:rPr>
              <w:t>status (</w:t>
            </w:r>
            <w:r w:rsidRPr="000E3C66" w:rsidR="00AE4FEE">
              <w:rPr>
                <w:b/>
              </w:rPr>
              <w:t>§ </w:t>
            </w:r>
            <w:r w:rsidRPr="000E3C66" w:rsidR="00F63C29">
              <w:rPr>
                <w:b/>
              </w:rPr>
              <w:t>1802(b)</w:t>
            </w:r>
            <w:r w:rsidRPr="000E3C66" w:rsidR="00F028C8">
              <w:rPr>
                <w:b/>
              </w:rPr>
              <w:t>)</w:t>
            </w:r>
          </w:p>
          <w:p w:rsidRPr="000E3C66" w:rsidR="00A92D0B" w:rsidP="002F3AB9" w:rsidRDefault="00F63C29" w14:paraId="19D649BF" w14:textId="191D800D">
            <w:pPr>
              <w:keepNext/>
              <w:tabs>
                <w:tab w:val="left" w:pos="360"/>
              </w:tabs>
              <w:jc w:val="center"/>
              <w:rPr>
                <w:b/>
              </w:rPr>
            </w:pPr>
            <w:r w:rsidRPr="000E3C66">
              <w:rPr>
                <w:b/>
              </w:rPr>
              <w:t xml:space="preserve"> or eligible local government entity </w:t>
            </w:r>
            <w:r w:rsidRPr="000E3C66" w:rsidR="00ED6B6B">
              <w:rPr>
                <w:b/>
              </w:rPr>
              <w:t>status</w:t>
            </w:r>
            <w:r w:rsidRPr="000E3C66" w:rsidR="00F028C8">
              <w:rPr>
                <w:b/>
              </w:rPr>
              <w:t xml:space="preserve"> </w:t>
            </w:r>
            <w:r w:rsidRPr="000E3C66">
              <w:rPr>
                <w:b/>
              </w:rPr>
              <w:t>(</w:t>
            </w:r>
            <w:r w:rsidRPr="000E3C66" w:rsidR="00AE4FEE">
              <w:rPr>
                <w:b/>
              </w:rPr>
              <w:t>§§ </w:t>
            </w:r>
            <w:r w:rsidRPr="000E3C66">
              <w:rPr>
                <w:b/>
              </w:rPr>
              <w:t>1802(d), 1802.4)</w:t>
            </w:r>
            <w:r w:rsidRPr="000E3C66" w:rsidR="00A92D0B">
              <w:rPr>
                <w:b/>
              </w:rPr>
              <w:t>:</w:t>
            </w:r>
          </w:p>
        </w:tc>
      </w:tr>
      <w:tr w:rsidRPr="000E3C66" w:rsidR="000E3C66" w:rsidTr="0010234D" w14:paraId="259EC227" w14:textId="77777777">
        <w:tc>
          <w:tcPr>
            <w:tcW w:w="5485" w:type="dxa"/>
            <w:tcBorders>
              <w:top w:val="single" w:color="auto" w:sz="4" w:space="0"/>
            </w:tcBorders>
            <w:shd w:val="clear" w:color="auto" w:fill="auto"/>
          </w:tcPr>
          <w:p w:rsidRPr="000E3C66" w:rsidR="00A92D0B" w:rsidP="002F3AB9" w:rsidRDefault="00A92D0B" w14:paraId="0EFCD0E9" w14:textId="25419472">
            <w:pPr>
              <w:keepNext/>
              <w:ind w:left="360" w:hanging="360"/>
            </w:pPr>
            <w:r w:rsidRPr="000E3C66">
              <w:t>5.</w:t>
            </w:r>
            <w:r w:rsidRPr="000E3C66" w:rsidR="001E7EE2">
              <w:tab/>
            </w:r>
            <w:r w:rsidRPr="000E3C66">
              <w:t>Based on ALJ ruling issued in proceeding</w:t>
            </w:r>
            <w:r w:rsidRPr="000E3C66" w:rsidR="00E3786F">
              <w:t xml:space="preserve"> </w:t>
            </w:r>
            <w:r w:rsidRPr="000E3C66">
              <w:t>number:</w:t>
            </w:r>
          </w:p>
        </w:tc>
        <w:tc>
          <w:tcPr>
            <w:tcW w:w="1620" w:type="dxa"/>
            <w:tcBorders>
              <w:top w:val="single" w:color="auto" w:sz="4" w:space="0"/>
            </w:tcBorders>
            <w:shd w:val="clear" w:color="auto" w:fill="auto"/>
          </w:tcPr>
          <w:p w:rsidRPr="000E3C66" w:rsidR="00A92D0B" w:rsidP="002F3AB9" w:rsidRDefault="00D90C56" w14:paraId="13E72B6D" w14:textId="4F550036">
            <w:pPr>
              <w:keepNext/>
              <w:tabs>
                <w:tab w:val="left" w:pos="360"/>
              </w:tabs>
              <w:ind w:left="360" w:hanging="360"/>
              <w:rPr>
                <w:rFonts w:asciiTheme="minorHAnsi" w:hAnsiTheme="minorHAnsi" w:cstheme="minorHAnsi"/>
              </w:rPr>
            </w:pPr>
            <w:r w:rsidRPr="000E3C66">
              <w:rPr>
                <w:rFonts w:cstheme="minorHAnsi"/>
              </w:rPr>
              <w:t>R.23</w:t>
            </w:r>
            <w:r w:rsidRPr="000E3C66" w:rsidR="00F949CB">
              <w:rPr>
                <w:rFonts w:cstheme="minorHAnsi"/>
              </w:rPr>
              <w:noBreakHyphen/>
            </w:r>
            <w:r w:rsidRPr="000E3C66">
              <w:rPr>
                <w:rFonts w:cstheme="minorHAnsi"/>
              </w:rPr>
              <w:t>01</w:t>
            </w:r>
            <w:r w:rsidRPr="000E3C66" w:rsidR="00F949CB">
              <w:rPr>
                <w:rFonts w:cstheme="minorHAnsi"/>
              </w:rPr>
              <w:noBreakHyphen/>
            </w:r>
            <w:r w:rsidRPr="000E3C66">
              <w:rPr>
                <w:rFonts w:cstheme="minorHAnsi"/>
              </w:rPr>
              <w:t>007</w:t>
            </w:r>
          </w:p>
        </w:tc>
        <w:tc>
          <w:tcPr>
            <w:tcW w:w="2255" w:type="dxa"/>
            <w:tcBorders>
              <w:top w:val="single" w:color="auto" w:sz="4" w:space="0"/>
            </w:tcBorders>
            <w:shd w:val="clear" w:color="auto" w:fill="auto"/>
          </w:tcPr>
          <w:p w:rsidRPr="000E3C66" w:rsidR="00A92D0B" w:rsidP="002F3AB9" w:rsidRDefault="00497692" w14:paraId="2679B197" w14:textId="5D0CC1DC">
            <w:pPr>
              <w:keepNext/>
              <w:tabs>
                <w:tab w:val="left" w:pos="360"/>
              </w:tabs>
            </w:pPr>
            <w:r w:rsidRPr="000E3C66">
              <w:t>Verified</w:t>
            </w:r>
          </w:p>
        </w:tc>
      </w:tr>
      <w:tr w:rsidRPr="000E3C66" w:rsidR="000E3C66" w:rsidTr="0010234D" w14:paraId="4E0FB3B6" w14:textId="77777777">
        <w:tc>
          <w:tcPr>
            <w:tcW w:w="5485" w:type="dxa"/>
            <w:shd w:val="clear" w:color="auto" w:fill="auto"/>
          </w:tcPr>
          <w:p w:rsidRPr="000E3C66" w:rsidR="00A92D0B" w:rsidP="002F3AB9" w:rsidRDefault="00A92D0B" w14:paraId="568B12E8" w14:textId="6121FC05">
            <w:pPr>
              <w:tabs>
                <w:tab w:val="left" w:pos="360"/>
              </w:tabs>
              <w:ind w:left="360" w:hanging="360"/>
            </w:pPr>
            <w:r w:rsidRPr="000E3C66">
              <w:t>6.</w:t>
            </w:r>
            <w:r w:rsidRPr="000E3C66" w:rsidR="001E7EE2">
              <w:tab/>
            </w:r>
            <w:r w:rsidRPr="000E3C66">
              <w:t>Date of ALJ ruling:</w:t>
            </w:r>
          </w:p>
        </w:tc>
        <w:tc>
          <w:tcPr>
            <w:tcW w:w="1620" w:type="dxa"/>
            <w:shd w:val="clear" w:color="auto" w:fill="auto"/>
          </w:tcPr>
          <w:p w:rsidRPr="000E3C66" w:rsidR="00A92D0B" w:rsidP="002F3AB9" w:rsidRDefault="00D90C56" w14:paraId="306125B9" w14:textId="06A88E6F">
            <w:pPr>
              <w:tabs>
                <w:tab w:val="left" w:pos="360"/>
              </w:tabs>
              <w:ind w:left="360" w:hanging="360"/>
              <w:rPr>
                <w:rFonts w:asciiTheme="minorHAnsi" w:hAnsiTheme="minorHAnsi" w:cstheme="minorHAnsi"/>
              </w:rPr>
            </w:pPr>
            <w:r w:rsidRPr="000E3C66">
              <w:rPr>
                <w:rFonts w:cstheme="minorHAnsi"/>
              </w:rPr>
              <w:t>6/14/2023</w:t>
            </w:r>
          </w:p>
        </w:tc>
        <w:tc>
          <w:tcPr>
            <w:tcW w:w="2255" w:type="dxa"/>
            <w:shd w:val="clear" w:color="auto" w:fill="auto"/>
          </w:tcPr>
          <w:p w:rsidRPr="000E3C66" w:rsidR="00A92D0B" w:rsidP="002F3AB9" w:rsidRDefault="00497692" w14:paraId="19F10313" w14:textId="7A5B3FE6">
            <w:pPr>
              <w:tabs>
                <w:tab w:val="left" w:pos="360"/>
              </w:tabs>
            </w:pPr>
            <w:r w:rsidRPr="000E3C66">
              <w:t>Verified</w:t>
            </w:r>
          </w:p>
        </w:tc>
      </w:tr>
      <w:tr w:rsidRPr="000E3C66" w:rsidR="000E3C66" w:rsidTr="0010234D" w14:paraId="7F6C1E54" w14:textId="77777777">
        <w:tc>
          <w:tcPr>
            <w:tcW w:w="5485" w:type="dxa"/>
            <w:shd w:val="clear" w:color="auto" w:fill="auto"/>
          </w:tcPr>
          <w:p w:rsidRPr="000E3C66" w:rsidR="00A92D0B" w:rsidP="002F3AB9" w:rsidRDefault="00A92D0B" w14:paraId="4B6E35B7" w14:textId="56E59D65">
            <w:pPr>
              <w:tabs>
                <w:tab w:val="left" w:pos="360"/>
              </w:tabs>
              <w:ind w:left="360" w:hanging="360"/>
            </w:pPr>
            <w:r w:rsidRPr="000E3C66">
              <w:t>7.</w:t>
            </w:r>
            <w:r w:rsidRPr="000E3C66" w:rsidR="001E7EE2">
              <w:tab/>
            </w:r>
            <w:r w:rsidRPr="000E3C66">
              <w:t>Based on another CPUC determination (specify):</w:t>
            </w:r>
          </w:p>
        </w:tc>
        <w:tc>
          <w:tcPr>
            <w:tcW w:w="1620" w:type="dxa"/>
            <w:tcBorders>
              <w:bottom w:val="single" w:color="auto" w:sz="4" w:space="0"/>
            </w:tcBorders>
            <w:shd w:val="clear" w:color="auto" w:fill="auto"/>
          </w:tcPr>
          <w:p w:rsidRPr="000E3C66" w:rsidR="00A92D0B" w:rsidP="002F3AB9" w:rsidRDefault="00A92D0B" w14:paraId="5E0F9D32" w14:textId="77777777">
            <w:pPr>
              <w:tabs>
                <w:tab w:val="left" w:pos="360"/>
              </w:tabs>
              <w:ind w:left="360" w:hanging="360"/>
            </w:pPr>
          </w:p>
        </w:tc>
        <w:tc>
          <w:tcPr>
            <w:tcW w:w="2255" w:type="dxa"/>
            <w:tcBorders>
              <w:bottom w:val="single" w:color="auto" w:sz="4" w:space="0"/>
            </w:tcBorders>
            <w:shd w:val="clear" w:color="auto" w:fill="auto"/>
          </w:tcPr>
          <w:p w:rsidRPr="000E3C66" w:rsidR="00A92D0B" w:rsidP="002F3AB9" w:rsidRDefault="00A92D0B" w14:paraId="180E80B3" w14:textId="77777777">
            <w:pPr>
              <w:tabs>
                <w:tab w:val="left" w:pos="360"/>
              </w:tabs>
            </w:pPr>
          </w:p>
        </w:tc>
      </w:tr>
      <w:tr w:rsidRPr="000E3C66" w:rsidR="000E3C66" w:rsidTr="00C00384" w14:paraId="397CC4AD" w14:textId="77777777">
        <w:tc>
          <w:tcPr>
            <w:tcW w:w="7105" w:type="dxa"/>
            <w:gridSpan w:val="2"/>
            <w:tcBorders>
              <w:bottom w:val="single" w:color="auto" w:sz="4" w:space="0"/>
            </w:tcBorders>
            <w:shd w:val="clear" w:color="auto" w:fill="auto"/>
          </w:tcPr>
          <w:p w:rsidRPr="000E3C66" w:rsidR="00A92D0B" w:rsidP="002F3AB9" w:rsidRDefault="00A92D0B" w14:paraId="71D46B68" w14:textId="56857D2E">
            <w:pPr>
              <w:tabs>
                <w:tab w:val="left" w:pos="360"/>
              </w:tabs>
              <w:ind w:left="360" w:hanging="360"/>
            </w:pPr>
            <w:r w:rsidRPr="000E3C66">
              <w:t>8.</w:t>
            </w:r>
            <w:r w:rsidRPr="000E3C66" w:rsidR="001E7EE2">
              <w:tab/>
            </w:r>
            <w:r w:rsidRPr="000E3C66">
              <w:t xml:space="preserve">Has the </w:t>
            </w:r>
            <w:r w:rsidRPr="000E3C66" w:rsidR="005A63D4">
              <w:t xml:space="preserve">Intervenor </w:t>
            </w:r>
            <w:r w:rsidRPr="000E3C66">
              <w:t xml:space="preserve">demonstrated customer </w:t>
            </w:r>
            <w:r w:rsidRPr="000E3C66" w:rsidR="00ED6B6B">
              <w:t>status or eligible government entity status</w:t>
            </w:r>
            <w:r w:rsidRPr="000E3C66">
              <w:t>?</w:t>
            </w:r>
          </w:p>
        </w:tc>
        <w:tc>
          <w:tcPr>
            <w:tcW w:w="2255" w:type="dxa"/>
            <w:tcBorders>
              <w:bottom w:val="single" w:color="auto" w:sz="4" w:space="0"/>
            </w:tcBorders>
            <w:shd w:val="clear" w:color="auto" w:fill="auto"/>
          </w:tcPr>
          <w:p w:rsidRPr="000E3C66" w:rsidR="00A92D0B" w:rsidP="002F3AB9" w:rsidRDefault="00497692" w14:paraId="7D296E63" w14:textId="78ED92E9">
            <w:pPr>
              <w:tabs>
                <w:tab w:val="left" w:pos="360"/>
              </w:tabs>
            </w:pPr>
            <w:r w:rsidRPr="000E3C66">
              <w:t>Yes</w:t>
            </w:r>
          </w:p>
        </w:tc>
      </w:tr>
      <w:tr w:rsidRPr="000E3C66" w:rsidR="000E3C66" w:rsidTr="00926603" w14:paraId="33231C71"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E3C66" w:rsidR="00A92D0B" w:rsidP="002F3AB9" w:rsidRDefault="00A92D0B" w14:paraId="0291EC4E" w14:textId="4DF735FB">
            <w:pPr>
              <w:keepNext/>
              <w:tabs>
                <w:tab w:val="left" w:pos="360"/>
              </w:tabs>
              <w:jc w:val="center"/>
            </w:pPr>
            <w:r w:rsidRPr="000E3C66">
              <w:rPr>
                <w:b/>
              </w:rPr>
              <w:t>Showing of “significant</w:t>
            </w:r>
            <w:r w:rsidRPr="000E3C66" w:rsidR="00F63C29">
              <w:rPr>
                <w:b/>
              </w:rPr>
              <w:t xml:space="preserve"> financial hardship” (</w:t>
            </w:r>
            <w:r w:rsidRPr="000E3C66" w:rsidR="00AE4FEE">
              <w:rPr>
                <w:b/>
              </w:rPr>
              <w:t>§ </w:t>
            </w:r>
            <w:r w:rsidRPr="000E3C66" w:rsidR="00F63C29">
              <w:rPr>
                <w:b/>
              </w:rPr>
              <w:t>1802(</w:t>
            </w:r>
            <w:r w:rsidRPr="000E3C66" w:rsidR="00175865">
              <w:rPr>
                <w:b/>
              </w:rPr>
              <w:t>h</w:t>
            </w:r>
            <w:r w:rsidRPr="000E3C66" w:rsidR="00F63C29">
              <w:rPr>
                <w:b/>
              </w:rPr>
              <w:t xml:space="preserve">) or </w:t>
            </w:r>
            <w:r w:rsidRPr="000E3C66" w:rsidR="00AE4FEE">
              <w:rPr>
                <w:b/>
              </w:rPr>
              <w:t>§ </w:t>
            </w:r>
            <w:r w:rsidRPr="000E3C66" w:rsidR="00F63C29">
              <w:rPr>
                <w:b/>
              </w:rPr>
              <w:t>1803.1(b))</w:t>
            </w:r>
            <w:r w:rsidRPr="000E3C66" w:rsidR="00C02649">
              <w:rPr>
                <w:b/>
              </w:rPr>
              <w:t>:</w:t>
            </w:r>
          </w:p>
        </w:tc>
      </w:tr>
      <w:tr w:rsidRPr="000E3C66" w:rsidR="000E3C66" w:rsidTr="0010234D" w14:paraId="77F91856" w14:textId="77777777">
        <w:tc>
          <w:tcPr>
            <w:tcW w:w="5485" w:type="dxa"/>
            <w:tcBorders>
              <w:top w:val="single" w:color="auto" w:sz="4" w:space="0"/>
            </w:tcBorders>
            <w:shd w:val="clear" w:color="auto" w:fill="auto"/>
          </w:tcPr>
          <w:p w:rsidRPr="000E3C66" w:rsidR="00A92D0B" w:rsidP="002F3AB9" w:rsidRDefault="00A92D0B" w14:paraId="6506E60E" w14:textId="7F0FF6A0">
            <w:pPr>
              <w:tabs>
                <w:tab w:val="left" w:pos="315"/>
              </w:tabs>
              <w:ind w:left="360" w:hanging="360"/>
            </w:pPr>
            <w:r w:rsidRPr="000E3C66">
              <w:t>9.</w:t>
            </w:r>
            <w:r w:rsidRPr="000E3C66" w:rsidR="001E7EE2">
              <w:tab/>
            </w:r>
            <w:r w:rsidRPr="000E3C66">
              <w:t>Based on ALJ ruling issued in proceeding number:</w:t>
            </w:r>
          </w:p>
        </w:tc>
        <w:tc>
          <w:tcPr>
            <w:tcW w:w="1620" w:type="dxa"/>
            <w:tcBorders>
              <w:top w:val="single" w:color="auto" w:sz="4" w:space="0"/>
            </w:tcBorders>
            <w:shd w:val="clear" w:color="auto" w:fill="auto"/>
          </w:tcPr>
          <w:p w:rsidRPr="000E3C66" w:rsidR="00A92D0B" w:rsidP="002F3AB9" w:rsidRDefault="00D90C56" w14:paraId="54B4911C" w14:textId="2ED641D6">
            <w:pPr>
              <w:tabs>
                <w:tab w:val="left" w:pos="360"/>
              </w:tabs>
              <w:ind w:left="360" w:hanging="360"/>
            </w:pPr>
            <w:r w:rsidRPr="000E3C66">
              <w:rPr>
                <w:rFonts w:cstheme="minorHAnsi"/>
              </w:rPr>
              <w:t>R.23</w:t>
            </w:r>
            <w:r w:rsidRPr="000E3C66" w:rsidR="00F949CB">
              <w:rPr>
                <w:rFonts w:cstheme="minorHAnsi"/>
              </w:rPr>
              <w:noBreakHyphen/>
            </w:r>
            <w:r w:rsidRPr="000E3C66">
              <w:rPr>
                <w:rFonts w:cstheme="minorHAnsi"/>
              </w:rPr>
              <w:t>01</w:t>
            </w:r>
            <w:r w:rsidRPr="000E3C66" w:rsidR="00F949CB">
              <w:rPr>
                <w:rFonts w:cstheme="minorHAnsi"/>
              </w:rPr>
              <w:noBreakHyphen/>
            </w:r>
            <w:r w:rsidRPr="000E3C66">
              <w:rPr>
                <w:rFonts w:cstheme="minorHAnsi"/>
              </w:rPr>
              <w:t>007</w:t>
            </w:r>
          </w:p>
        </w:tc>
        <w:tc>
          <w:tcPr>
            <w:tcW w:w="2255" w:type="dxa"/>
            <w:tcBorders>
              <w:top w:val="single" w:color="auto" w:sz="4" w:space="0"/>
            </w:tcBorders>
            <w:shd w:val="clear" w:color="auto" w:fill="auto"/>
          </w:tcPr>
          <w:p w:rsidRPr="000E3C66" w:rsidR="00A92D0B" w:rsidP="002F3AB9" w:rsidRDefault="00497692" w14:paraId="2E2FB9D6" w14:textId="7421EE0E">
            <w:pPr>
              <w:tabs>
                <w:tab w:val="left" w:pos="360"/>
              </w:tabs>
            </w:pPr>
            <w:r w:rsidRPr="000E3C66">
              <w:t>Verified</w:t>
            </w:r>
          </w:p>
        </w:tc>
      </w:tr>
      <w:tr w:rsidRPr="000E3C66" w:rsidR="000E3C66" w:rsidTr="0010234D" w14:paraId="4AD750C1" w14:textId="77777777">
        <w:tc>
          <w:tcPr>
            <w:tcW w:w="5485" w:type="dxa"/>
            <w:shd w:val="clear" w:color="auto" w:fill="auto"/>
          </w:tcPr>
          <w:p w:rsidRPr="000E3C66" w:rsidR="00A92D0B" w:rsidP="002F3AB9" w:rsidRDefault="00A92D0B" w14:paraId="2A279407" w14:textId="1E831EEE">
            <w:pPr>
              <w:ind w:left="360" w:hanging="360"/>
            </w:pPr>
            <w:r w:rsidRPr="000E3C66">
              <w:t>10.</w:t>
            </w:r>
            <w:r w:rsidRPr="000E3C66" w:rsidR="001E7EE2">
              <w:tab/>
            </w:r>
            <w:r w:rsidRPr="000E3C66">
              <w:t>Date of ALJ ruling:</w:t>
            </w:r>
          </w:p>
        </w:tc>
        <w:tc>
          <w:tcPr>
            <w:tcW w:w="1620" w:type="dxa"/>
            <w:shd w:val="clear" w:color="auto" w:fill="auto"/>
          </w:tcPr>
          <w:p w:rsidRPr="000E3C66" w:rsidR="00A92D0B" w:rsidP="002F3AB9" w:rsidRDefault="00A40339" w14:paraId="4B66A2E4" w14:textId="331D0645">
            <w:pPr>
              <w:tabs>
                <w:tab w:val="left" w:pos="360"/>
              </w:tabs>
              <w:ind w:left="360" w:hanging="360"/>
            </w:pPr>
            <w:r w:rsidRPr="000E3C66">
              <w:rPr>
                <w:rFonts w:cstheme="minorHAnsi"/>
              </w:rPr>
              <w:t>6/14/2023</w:t>
            </w:r>
          </w:p>
        </w:tc>
        <w:tc>
          <w:tcPr>
            <w:tcW w:w="2255" w:type="dxa"/>
            <w:shd w:val="clear" w:color="auto" w:fill="auto"/>
          </w:tcPr>
          <w:p w:rsidRPr="000E3C66" w:rsidR="00A92D0B" w:rsidP="002F3AB9" w:rsidRDefault="00497692" w14:paraId="3B83D035" w14:textId="7F586020">
            <w:pPr>
              <w:tabs>
                <w:tab w:val="left" w:pos="360"/>
              </w:tabs>
            </w:pPr>
            <w:r w:rsidRPr="000E3C66">
              <w:t>Verified</w:t>
            </w:r>
          </w:p>
        </w:tc>
      </w:tr>
      <w:tr w:rsidRPr="000E3C66" w:rsidR="000E3C66" w:rsidTr="0010234D" w14:paraId="7C183C5E" w14:textId="77777777">
        <w:tc>
          <w:tcPr>
            <w:tcW w:w="5485" w:type="dxa"/>
            <w:shd w:val="clear" w:color="auto" w:fill="auto"/>
          </w:tcPr>
          <w:p w:rsidRPr="000E3C66" w:rsidR="00357F1A" w:rsidP="002F3AB9" w:rsidRDefault="00357F1A" w14:paraId="4141CB3D" w14:textId="2DCA8797">
            <w:pPr>
              <w:ind w:left="360" w:hanging="360"/>
            </w:pPr>
            <w:r w:rsidRPr="000E3C66">
              <w:t>11.</w:t>
            </w:r>
            <w:r w:rsidRPr="000E3C66" w:rsidR="001E7EE2">
              <w:tab/>
            </w:r>
            <w:r w:rsidRPr="000E3C66">
              <w:t>Based on another CPUC determination (specify):</w:t>
            </w:r>
          </w:p>
        </w:tc>
        <w:tc>
          <w:tcPr>
            <w:tcW w:w="1620" w:type="dxa"/>
            <w:shd w:val="clear" w:color="auto" w:fill="auto"/>
          </w:tcPr>
          <w:p w:rsidRPr="000E3C66" w:rsidR="00357F1A" w:rsidP="002F3AB9" w:rsidRDefault="00357F1A" w14:paraId="141EB5CF" w14:textId="77777777">
            <w:pPr>
              <w:tabs>
                <w:tab w:val="left" w:pos="360"/>
              </w:tabs>
              <w:ind w:left="360" w:hanging="360"/>
            </w:pPr>
          </w:p>
        </w:tc>
        <w:tc>
          <w:tcPr>
            <w:tcW w:w="2255" w:type="dxa"/>
            <w:shd w:val="clear" w:color="auto" w:fill="auto"/>
          </w:tcPr>
          <w:p w:rsidRPr="000E3C66" w:rsidR="00357F1A" w:rsidP="002F3AB9" w:rsidRDefault="00357F1A" w14:paraId="79318715" w14:textId="77777777">
            <w:pPr>
              <w:tabs>
                <w:tab w:val="left" w:pos="360"/>
              </w:tabs>
            </w:pPr>
          </w:p>
        </w:tc>
      </w:tr>
      <w:tr w:rsidRPr="000E3C66" w:rsidR="000E3C66" w:rsidTr="00C00384" w14:paraId="4E8D20BF" w14:textId="77777777">
        <w:tc>
          <w:tcPr>
            <w:tcW w:w="7105" w:type="dxa"/>
            <w:gridSpan w:val="2"/>
            <w:tcBorders>
              <w:bottom w:val="single" w:color="auto" w:sz="4" w:space="0"/>
            </w:tcBorders>
            <w:shd w:val="clear" w:color="auto" w:fill="auto"/>
          </w:tcPr>
          <w:p w:rsidRPr="000E3C66" w:rsidR="00A92D0B" w:rsidP="002F3AB9" w:rsidRDefault="00180E8C" w14:paraId="48D0D936" w14:textId="6A3DF8B8">
            <w:pPr>
              <w:tabs>
                <w:tab w:val="left" w:pos="360"/>
              </w:tabs>
              <w:ind w:left="360" w:hanging="360"/>
            </w:pPr>
            <w:r w:rsidRPr="000E3C66">
              <w:t>12</w:t>
            </w:r>
            <w:r w:rsidRPr="000E3C66" w:rsidR="00A92D0B">
              <w:t>.</w:t>
            </w:r>
            <w:r w:rsidRPr="000E3C66" w:rsidR="001E7EE2">
              <w:tab/>
            </w:r>
            <w:r w:rsidRPr="000E3C66" w:rsidR="00A92D0B">
              <w:t>Has the</w:t>
            </w:r>
            <w:r w:rsidRPr="000E3C66" w:rsidR="00A319DE">
              <w:t xml:space="preserve"> </w:t>
            </w:r>
            <w:r w:rsidRPr="000E3C66" w:rsidR="005A63D4">
              <w:t>Intervenor</w:t>
            </w:r>
            <w:r w:rsidRPr="000E3C66" w:rsidR="00A92D0B">
              <w:t xml:space="preserve"> demonstrated significant financial hardship?</w:t>
            </w:r>
          </w:p>
        </w:tc>
        <w:tc>
          <w:tcPr>
            <w:tcW w:w="2255" w:type="dxa"/>
            <w:tcBorders>
              <w:bottom w:val="single" w:color="auto" w:sz="4" w:space="0"/>
            </w:tcBorders>
            <w:shd w:val="clear" w:color="auto" w:fill="auto"/>
          </w:tcPr>
          <w:p w:rsidRPr="000E3C66" w:rsidR="00A92D0B" w:rsidP="002F3AB9" w:rsidRDefault="00497692" w14:paraId="0F29B839" w14:textId="563B46F1">
            <w:pPr>
              <w:tabs>
                <w:tab w:val="left" w:pos="360"/>
              </w:tabs>
            </w:pPr>
            <w:r w:rsidRPr="000E3C66">
              <w:t>Yes</w:t>
            </w:r>
          </w:p>
        </w:tc>
      </w:tr>
      <w:tr w:rsidRPr="000E3C66" w:rsidR="000E3C66" w:rsidTr="00926603" w14:paraId="60D4FD5C"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E3C66" w:rsidR="00A92D0B" w:rsidP="002F3AB9" w:rsidRDefault="00A92D0B" w14:paraId="172E2884" w14:textId="79B4E44B">
            <w:pPr>
              <w:keepNext/>
              <w:tabs>
                <w:tab w:val="left" w:pos="360"/>
              </w:tabs>
              <w:jc w:val="center"/>
            </w:pPr>
            <w:r w:rsidRPr="000E3C66">
              <w:rPr>
                <w:b/>
              </w:rPr>
              <w:t>Timely request for compensation (</w:t>
            </w:r>
            <w:r w:rsidRPr="000E3C66" w:rsidR="00AE4FEE">
              <w:rPr>
                <w:b/>
              </w:rPr>
              <w:t>§ </w:t>
            </w:r>
            <w:r w:rsidRPr="000E3C66">
              <w:rPr>
                <w:b/>
              </w:rPr>
              <w:t>1804(c)):</w:t>
            </w:r>
          </w:p>
        </w:tc>
      </w:tr>
      <w:tr w:rsidRPr="000E3C66" w:rsidR="000E3C66" w:rsidTr="0010234D" w14:paraId="3E7938B0" w14:textId="77777777">
        <w:tc>
          <w:tcPr>
            <w:tcW w:w="5485" w:type="dxa"/>
            <w:tcBorders>
              <w:top w:val="single" w:color="auto" w:sz="4" w:space="0"/>
            </w:tcBorders>
            <w:shd w:val="clear" w:color="auto" w:fill="auto"/>
          </w:tcPr>
          <w:p w:rsidRPr="000E3C66" w:rsidR="00A92D0B" w:rsidP="002F3AB9" w:rsidRDefault="00A92D0B" w14:paraId="66088F1B" w14:textId="2DB4A731">
            <w:pPr>
              <w:keepNext/>
              <w:tabs>
                <w:tab w:val="left" w:pos="612"/>
              </w:tabs>
              <w:ind w:left="360" w:hanging="360"/>
            </w:pPr>
            <w:r w:rsidRPr="000E3C66">
              <w:t>13.</w:t>
            </w:r>
            <w:r w:rsidRPr="000E3C66" w:rsidR="001E7EE2">
              <w:tab/>
            </w:r>
            <w:r w:rsidRPr="000E3C66">
              <w:t>Identify Final Decision:</w:t>
            </w:r>
          </w:p>
        </w:tc>
        <w:tc>
          <w:tcPr>
            <w:tcW w:w="1620" w:type="dxa"/>
            <w:tcBorders>
              <w:top w:val="single" w:color="auto" w:sz="4" w:space="0"/>
            </w:tcBorders>
            <w:shd w:val="clear" w:color="auto" w:fill="auto"/>
          </w:tcPr>
          <w:p w:rsidRPr="000E3C66" w:rsidR="00A92D0B" w:rsidP="002F3AB9" w:rsidRDefault="00A40339" w14:paraId="7166F318" w14:textId="12BB050A">
            <w:pPr>
              <w:tabs>
                <w:tab w:val="left" w:pos="360"/>
              </w:tabs>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w:t>
            </w:r>
          </w:p>
        </w:tc>
        <w:tc>
          <w:tcPr>
            <w:tcW w:w="2255" w:type="dxa"/>
            <w:tcBorders>
              <w:top w:val="single" w:color="auto" w:sz="4" w:space="0"/>
            </w:tcBorders>
            <w:shd w:val="clear" w:color="auto" w:fill="auto"/>
          </w:tcPr>
          <w:p w:rsidRPr="000E3C66" w:rsidR="00A92D0B" w:rsidP="002F3AB9" w:rsidRDefault="00497692" w14:paraId="1588DC54" w14:textId="7F2CB6C4">
            <w:pPr>
              <w:tabs>
                <w:tab w:val="left" w:pos="360"/>
              </w:tabs>
            </w:pPr>
            <w:r w:rsidRPr="000E3C66">
              <w:t>Verified</w:t>
            </w:r>
          </w:p>
        </w:tc>
      </w:tr>
      <w:tr w:rsidRPr="000E3C66" w:rsidR="000E3C66" w:rsidTr="0010234D" w14:paraId="6360DE59" w14:textId="77777777">
        <w:tc>
          <w:tcPr>
            <w:tcW w:w="5485" w:type="dxa"/>
            <w:shd w:val="clear" w:color="auto" w:fill="auto"/>
          </w:tcPr>
          <w:p w:rsidRPr="000E3C66" w:rsidR="00A92D0B" w:rsidP="002F3AB9" w:rsidRDefault="00A92D0B" w14:paraId="4B809E4A" w14:textId="4BEED0BB">
            <w:pPr>
              <w:tabs>
                <w:tab w:val="left" w:pos="612"/>
              </w:tabs>
              <w:ind w:left="360" w:hanging="360"/>
            </w:pPr>
            <w:r w:rsidRPr="000E3C66">
              <w:t>14.</w:t>
            </w:r>
            <w:r w:rsidRPr="000E3C66" w:rsidR="001E7EE2">
              <w:tab/>
            </w:r>
            <w:r w:rsidRPr="000E3C66">
              <w:t xml:space="preserve">Date of </w:t>
            </w:r>
            <w:r w:rsidRPr="000E3C66" w:rsidR="00A319DE">
              <w:t>i</w:t>
            </w:r>
            <w:r w:rsidRPr="000E3C66">
              <w:t xml:space="preserve">ssuance of Final Order or Decision:    </w:t>
            </w:r>
          </w:p>
        </w:tc>
        <w:tc>
          <w:tcPr>
            <w:tcW w:w="1620" w:type="dxa"/>
            <w:shd w:val="clear" w:color="auto" w:fill="auto"/>
          </w:tcPr>
          <w:p w:rsidRPr="000E3C66" w:rsidR="00A92D0B" w:rsidP="002F3AB9" w:rsidRDefault="00A40339" w14:paraId="20455B5F" w14:textId="5C5E10E1">
            <w:pPr>
              <w:tabs>
                <w:tab w:val="left" w:pos="360"/>
              </w:tabs>
              <w:rPr>
                <w:rFonts w:asciiTheme="minorHAnsi" w:hAnsiTheme="minorHAnsi" w:cstheme="minorHAnsi"/>
              </w:rPr>
            </w:pPr>
            <w:r w:rsidRPr="000E3C66">
              <w:rPr>
                <w:rFonts w:cstheme="minorHAnsi"/>
                <w:szCs w:val="26"/>
              </w:rPr>
              <w:t>12/15/2023</w:t>
            </w:r>
          </w:p>
        </w:tc>
        <w:tc>
          <w:tcPr>
            <w:tcW w:w="2255" w:type="dxa"/>
            <w:shd w:val="clear" w:color="auto" w:fill="auto"/>
          </w:tcPr>
          <w:p w:rsidRPr="000E3C66" w:rsidR="00A92D0B" w:rsidP="002F3AB9" w:rsidRDefault="00497692" w14:paraId="1FCF00DD" w14:textId="2D3380C1">
            <w:pPr>
              <w:tabs>
                <w:tab w:val="left" w:pos="360"/>
              </w:tabs>
            </w:pPr>
            <w:r w:rsidRPr="000E3C66">
              <w:t>Verified</w:t>
            </w:r>
          </w:p>
        </w:tc>
      </w:tr>
      <w:tr w:rsidRPr="000E3C66" w:rsidR="000E3C66" w:rsidTr="0010234D" w14:paraId="723259E3" w14:textId="77777777">
        <w:tc>
          <w:tcPr>
            <w:tcW w:w="5485" w:type="dxa"/>
            <w:shd w:val="clear" w:color="auto" w:fill="auto"/>
          </w:tcPr>
          <w:p w:rsidRPr="000E3C66" w:rsidR="00A92D0B" w:rsidP="002F3AB9" w:rsidRDefault="00A92D0B" w14:paraId="163EE1CA" w14:textId="2B64EB9E">
            <w:pPr>
              <w:tabs>
                <w:tab w:val="left" w:pos="612"/>
              </w:tabs>
              <w:ind w:left="360" w:hanging="360"/>
            </w:pPr>
            <w:r w:rsidRPr="000E3C66">
              <w:t>15.</w:t>
            </w:r>
            <w:r w:rsidRPr="000E3C66" w:rsidR="001E7EE2">
              <w:tab/>
            </w:r>
            <w:r w:rsidRPr="000E3C66">
              <w:t>File date of compensation request:</w:t>
            </w:r>
          </w:p>
        </w:tc>
        <w:tc>
          <w:tcPr>
            <w:tcW w:w="1620" w:type="dxa"/>
            <w:shd w:val="clear" w:color="auto" w:fill="auto"/>
          </w:tcPr>
          <w:p w:rsidRPr="000E3C66" w:rsidR="00A92D0B" w:rsidP="002F3AB9" w:rsidRDefault="005425EB" w14:paraId="0568B39D" w14:textId="1AF054FB">
            <w:pPr>
              <w:tabs>
                <w:tab w:val="left" w:pos="360"/>
              </w:tabs>
              <w:rPr>
                <w:rFonts w:asciiTheme="minorHAnsi" w:hAnsiTheme="minorHAnsi" w:cstheme="minorHAnsi"/>
              </w:rPr>
            </w:pPr>
            <w:r w:rsidRPr="000E3C66">
              <w:rPr>
                <w:rFonts w:cstheme="minorHAnsi"/>
              </w:rPr>
              <w:t>2/13/2024</w:t>
            </w:r>
          </w:p>
        </w:tc>
        <w:tc>
          <w:tcPr>
            <w:tcW w:w="2255" w:type="dxa"/>
            <w:shd w:val="clear" w:color="auto" w:fill="auto"/>
          </w:tcPr>
          <w:p w:rsidRPr="000E3C66" w:rsidR="00A92D0B" w:rsidP="002F3AB9" w:rsidRDefault="00497692" w14:paraId="1CBF4E7A" w14:textId="64A848F5">
            <w:pPr>
              <w:tabs>
                <w:tab w:val="left" w:pos="360"/>
              </w:tabs>
            </w:pPr>
            <w:r w:rsidRPr="000E3C66">
              <w:t>Verified</w:t>
            </w:r>
          </w:p>
        </w:tc>
      </w:tr>
      <w:tr w:rsidRPr="000E3C66" w:rsidR="000E3C66" w:rsidTr="00C00384" w14:paraId="406BCA3A" w14:textId="77777777">
        <w:tc>
          <w:tcPr>
            <w:tcW w:w="7105" w:type="dxa"/>
            <w:gridSpan w:val="2"/>
            <w:shd w:val="clear" w:color="auto" w:fill="auto"/>
          </w:tcPr>
          <w:p w:rsidRPr="000E3C66" w:rsidR="00A92D0B" w:rsidP="002F3AB9" w:rsidRDefault="00A92D0B" w14:paraId="10AF42D1" w14:textId="67695104">
            <w:pPr>
              <w:tabs>
                <w:tab w:val="left" w:pos="360"/>
              </w:tabs>
              <w:ind w:left="360" w:hanging="360"/>
            </w:pPr>
            <w:r w:rsidRPr="000E3C66">
              <w:t>16</w:t>
            </w:r>
            <w:r w:rsidRPr="000E3C66" w:rsidR="001E7EE2">
              <w:t>.</w:t>
            </w:r>
            <w:r w:rsidRPr="000E3C66" w:rsidR="001E7EE2">
              <w:tab/>
            </w:r>
            <w:r w:rsidRPr="000E3C66">
              <w:t>Was the request for compensation timely?</w:t>
            </w:r>
          </w:p>
        </w:tc>
        <w:tc>
          <w:tcPr>
            <w:tcW w:w="2255" w:type="dxa"/>
            <w:shd w:val="clear" w:color="auto" w:fill="auto"/>
          </w:tcPr>
          <w:p w:rsidRPr="000E3C66" w:rsidR="00A92D0B" w:rsidP="002F3AB9" w:rsidRDefault="00497692" w14:paraId="2EA30E63" w14:textId="4E03E666">
            <w:pPr>
              <w:tabs>
                <w:tab w:val="left" w:pos="360"/>
              </w:tabs>
            </w:pPr>
            <w:r w:rsidRPr="000E3C66">
              <w:t>Yes</w:t>
            </w:r>
          </w:p>
        </w:tc>
      </w:tr>
    </w:tbl>
    <w:p w:rsidRPr="000E3C66" w:rsidR="00A92D0B" w:rsidP="004A228C" w:rsidRDefault="00A92D0B" w14:paraId="45219348" w14:textId="1F216302">
      <w:pPr>
        <w:keepNext/>
        <w:spacing w:before="480" w:after="240"/>
        <w:jc w:val="center"/>
        <w:rPr>
          <w:b/>
        </w:rPr>
      </w:pPr>
      <w:r w:rsidRPr="000E3C66">
        <w:rPr>
          <w:b/>
        </w:rPr>
        <w:lastRenderedPageBreak/>
        <w:t>PART II:</w:t>
      </w:r>
      <w:r w:rsidRPr="000E3C66" w:rsidR="00D1778A">
        <w:rPr>
          <w:b/>
        </w:rPr>
        <w:t xml:space="preserve">  </w:t>
      </w:r>
      <w:r w:rsidRPr="000E3C66">
        <w:rPr>
          <w:b/>
        </w:rPr>
        <w:t>SUBSTANTIAL CONTRIBUTION</w:t>
      </w:r>
    </w:p>
    <w:p w:rsidRPr="000E3C66" w:rsidR="009D318F" w:rsidP="009B471B" w:rsidRDefault="009D318F" w14:paraId="58E651E1" w14:textId="4A6B8D3F">
      <w:pPr>
        <w:keepNext/>
        <w:numPr>
          <w:ilvl w:val="0"/>
          <w:numId w:val="19"/>
        </w:numPr>
        <w:spacing w:before="240" w:after="240"/>
        <w:rPr>
          <w:b/>
        </w:rPr>
      </w:pPr>
      <w:r w:rsidRPr="000E3C66">
        <w:rPr>
          <w:b/>
        </w:rPr>
        <w:t>Did the Intervenor substantially contribute to the final decision (</w:t>
      </w:r>
      <w:r w:rsidRPr="000E3C66">
        <w:rPr>
          <w:b/>
          <w:i/>
        </w:rPr>
        <w:t>see</w:t>
      </w:r>
      <w:r w:rsidRPr="000E3C66">
        <w:rPr>
          <w:b/>
        </w:rPr>
        <w:t xml:space="preserve"> </w:t>
      </w:r>
      <w:r w:rsidRPr="000E3C66" w:rsidR="00AE4FEE">
        <w:rPr>
          <w:b/>
        </w:rPr>
        <w:t>§ </w:t>
      </w:r>
      <w:r w:rsidRPr="000E3C66">
        <w:rPr>
          <w:b/>
        </w:rPr>
        <w:t xml:space="preserve">1802(j), </w:t>
      </w:r>
      <w:r w:rsidRPr="000E3C66">
        <w:rPr>
          <w:b/>
        </w:rPr>
        <w:br/>
      </w:r>
      <w:r w:rsidRPr="000E3C66" w:rsidR="00AE4FEE">
        <w:rPr>
          <w:b/>
        </w:rPr>
        <w:t>§ </w:t>
      </w:r>
      <w:r w:rsidRPr="000E3C66">
        <w:rPr>
          <w:b/>
        </w:rPr>
        <w:t>1803(a), 1803.1(a) and D.98</w:t>
      </w:r>
      <w:r w:rsidRPr="000E3C66" w:rsidR="00F949CB">
        <w:rPr>
          <w:b/>
        </w:rPr>
        <w:noBreakHyphen/>
      </w:r>
      <w:r w:rsidRPr="000E3C66">
        <w:rPr>
          <w:b/>
        </w:rPr>
        <w:t>04</w:t>
      </w:r>
      <w:r w:rsidRPr="000E3C66" w:rsidR="00F949CB">
        <w:rPr>
          <w:b/>
        </w:rPr>
        <w:noBreakHyphen/>
      </w:r>
      <w:r w:rsidRPr="000E3C66">
        <w:rPr>
          <w:b/>
        </w:rPr>
        <w:t xml:space="preserve">059):  </w:t>
      </w:r>
    </w:p>
    <w:tbl>
      <w:tblPr>
        <w:tblpPr w:leftFromText="187" w:rightFromText="187" w:vertAnchor="text" w:tblpY="1"/>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2785"/>
        <w:gridCol w:w="3870"/>
        <w:gridCol w:w="2705"/>
      </w:tblGrid>
      <w:tr w:rsidRPr="000E3C66" w:rsidR="000E3C66" w:rsidTr="00885CF8" w14:paraId="67755362" w14:textId="77777777">
        <w:trPr>
          <w:tblHeader/>
        </w:trPr>
        <w:tc>
          <w:tcPr>
            <w:tcW w:w="2785" w:type="dxa"/>
            <w:tcBorders>
              <w:bottom w:val="single" w:color="auto" w:sz="4" w:space="0"/>
            </w:tcBorders>
            <w:shd w:val="clear" w:color="auto" w:fill="D9D9D9" w:themeFill="background1" w:themeFillShade="D9"/>
            <w:vAlign w:val="bottom"/>
          </w:tcPr>
          <w:p w:rsidRPr="000E3C66" w:rsidR="00913CC8" w:rsidP="00926603" w:rsidRDefault="00D075B1" w14:paraId="7CFB751F" w14:textId="77777777">
            <w:pPr>
              <w:keepNext/>
              <w:jc w:val="center"/>
              <w:rPr>
                <w:b/>
              </w:rPr>
            </w:pPr>
            <w:r w:rsidRPr="000E3C66">
              <w:rPr>
                <w:b/>
              </w:rPr>
              <w:t xml:space="preserve">Intervenor’s </w:t>
            </w:r>
          </w:p>
          <w:p w:rsidRPr="000E3C66" w:rsidR="00A92D0B" w:rsidP="00926603" w:rsidRDefault="00D075B1" w14:paraId="7CE2E5BB" w14:textId="7357739E">
            <w:pPr>
              <w:keepNext/>
              <w:jc w:val="center"/>
              <w:rPr>
                <w:b/>
              </w:rPr>
            </w:pPr>
            <w:r w:rsidRPr="000E3C66">
              <w:rPr>
                <w:b/>
              </w:rPr>
              <w:t>Claimed Contribution(s)</w:t>
            </w:r>
          </w:p>
        </w:tc>
        <w:tc>
          <w:tcPr>
            <w:tcW w:w="3870" w:type="dxa"/>
            <w:tcBorders>
              <w:bottom w:val="single" w:color="auto" w:sz="4" w:space="0"/>
            </w:tcBorders>
            <w:shd w:val="clear" w:color="auto" w:fill="D9D9D9" w:themeFill="background1" w:themeFillShade="D9"/>
            <w:vAlign w:val="bottom"/>
          </w:tcPr>
          <w:p w:rsidRPr="000E3C66" w:rsidR="00885CF8" w:rsidP="00885CF8" w:rsidRDefault="00A92D0B" w14:paraId="75AABFE2" w14:textId="796AD1A4">
            <w:pPr>
              <w:keepNext/>
              <w:jc w:val="center"/>
              <w:rPr>
                <w:b/>
              </w:rPr>
            </w:pPr>
            <w:r w:rsidRPr="000E3C66">
              <w:rPr>
                <w:b/>
              </w:rPr>
              <w:t>Specific References</w:t>
            </w:r>
            <w:r w:rsidRPr="000E3C66" w:rsidR="00885CF8">
              <w:rPr>
                <w:b/>
              </w:rPr>
              <w:t xml:space="preserve"> </w:t>
            </w:r>
            <w:r w:rsidRPr="000E3C66">
              <w:rPr>
                <w:b/>
              </w:rPr>
              <w:t xml:space="preserve">to </w:t>
            </w:r>
            <w:r w:rsidRPr="000E3C66" w:rsidR="00D075B1">
              <w:rPr>
                <w:b/>
              </w:rPr>
              <w:t xml:space="preserve">Intervenor’s </w:t>
            </w:r>
          </w:p>
          <w:p w:rsidRPr="000E3C66" w:rsidR="00A92D0B" w:rsidP="00885CF8" w:rsidRDefault="00D075B1" w14:paraId="2794272E" w14:textId="5408EE4C">
            <w:pPr>
              <w:keepNext/>
              <w:jc w:val="center"/>
              <w:rPr>
                <w:b/>
              </w:rPr>
            </w:pPr>
            <w:r w:rsidRPr="000E3C66">
              <w:rPr>
                <w:b/>
              </w:rPr>
              <w:t>Claimed Contribution(s)</w:t>
            </w:r>
          </w:p>
        </w:tc>
        <w:tc>
          <w:tcPr>
            <w:tcW w:w="2705" w:type="dxa"/>
            <w:shd w:val="clear" w:color="auto" w:fill="D9D9D9" w:themeFill="background1" w:themeFillShade="D9"/>
            <w:vAlign w:val="bottom"/>
          </w:tcPr>
          <w:p w:rsidRPr="000E3C66" w:rsidR="00A92D0B" w:rsidP="00926603" w:rsidRDefault="00D075B1" w14:paraId="79AFC714" w14:textId="77777777">
            <w:pPr>
              <w:keepNext/>
              <w:jc w:val="center"/>
              <w:rPr>
                <w:b/>
              </w:rPr>
            </w:pPr>
            <w:r w:rsidRPr="000E3C66">
              <w:rPr>
                <w:b/>
              </w:rPr>
              <w:t>CPUC Discussion</w:t>
            </w:r>
          </w:p>
        </w:tc>
      </w:tr>
      <w:tr w:rsidRPr="000E3C66" w:rsidR="000E3C66" w:rsidTr="00885CF8" w14:paraId="2E691FFC" w14:textId="77777777">
        <w:tc>
          <w:tcPr>
            <w:tcW w:w="2785" w:type="dxa"/>
            <w:shd w:val="clear" w:color="auto" w:fill="auto"/>
          </w:tcPr>
          <w:p w:rsidRPr="000E3C66" w:rsidR="00E25078" w:rsidP="00F973E9" w:rsidRDefault="00A92D0B" w14:paraId="1B0CC007" w14:textId="270D439E">
            <w:pPr>
              <w:keepNext/>
              <w:spacing w:after="240"/>
              <w:rPr>
                <w:rFonts w:asciiTheme="minorHAnsi" w:hAnsiTheme="minorHAnsi" w:cstheme="minorHAnsi"/>
              </w:rPr>
            </w:pPr>
            <w:r w:rsidRPr="000E3C66">
              <w:t>1.</w:t>
            </w:r>
            <w:r w:rsidRPr="000E3C66" w:rsidR="00E25078">
              <w:t xml:space="preserve"> </w:t>
            </w:r>
            <w:r w:rsidRPr="000E3C66" w:rsidR="00C0232B">
              <w:rPr>
                <w:rFonts w:cstheme="minorHAnsi"/>
              </w:rPr>
              <w:t xml:space="preserve">Scoping Memo </w:t>
            </w:r>
            <w:r w:rsidRPr="000E3C66" w:rsidR="000D1C97">
              <w:rPr>
                <w:rFonts w:cstheme="minorHAnsi"/>
              </w:rPr>
              <w:t>Issue 1</w:t>
            </w:r>
            <w:r w:rsidRPr="000E3C66" w:rsidR="002E5CC1">
              <w:rPr>
                <w:rFonts w:cstheme="minorHAnsi"/>
              </w:rPr>
              <w:t>:</w:t>
            </w:r>
            <w:r w:rsidRPr="000E3C66" w:rsidR="00C0232B">
              <w:rPr>
                <w:rFonts w:cstheme="minorHAnsi"/>
              </w:rPr>
              <w:t xml:space="preserve"> A4NR </w:t>
            </w:r>
            <w:r w:rsidRPr="000E3C66" w:rsidR="00245FD5">
              <w:rPr>
                <w:rFonts w:cstheme="minorHAnsi"/>
              </w:rPr>
              <w:t>contend</w:t>
            </w:r>
            <w:r w:rsidRPr="000E3C66" w:rsidR="00C0232B">
              <w:rPr>
                <w:rFonts w:cstheme="minorHAnsi"/>
              </w:rPr>
              <w:t xml:space="preserve">ed that the </w:t>
            </w:r>
            <w:r w:rsidR="000E3C66">
              <w:rPr>
                <w:rFonts w:cstheme="minorHAnsi"/>
              </w:rPr>
              <w:t>Phase 1</w:t>
            </w:r>
            <w:r w:rsidRPr="000E3C66" w:rsidR="002E5CC1">
              <w:rPr>
                <w:rFonts w:cstheme="minorHAnsi"/>
              </w:rPr>
              <w:t xml:space="preserve">: </w:t>
            </w:r>
            <w:r w:rsidR="000E3C66">
              <w:rPr>
                <w:rFonts w:cstheme="minorHAnsi"/>
              </w:rPr>
              <w:t>Track 2</w:t>
            </w:r>
            <w:r w:rsidRPr="000E3C66" w:rsidR="00245FD5">
              <w:rPr>
                <w:rFonts w:cstheme="minorHAnsi"/>
              </w:rPr>
              <w:t xml:space="preserve"> </w:t>
            </w:r>
            <w:r w:rsidRPr="000E3C66" w:rsidR="00C0232B">
              <w:rPr>
                <w:rFonts w:cstheme="minorHAnsi"/>
              </w:rPr>
              <w:t xml:space="preserve">evidentiary record </w:t>
            </w:r>
            <w:r w:rsidRPr="000E3C66" w:rsidR="00245FD5">
              <w:rPr>
                <w:rFonts w:cstheme="minorHAnsi"/>
              </w:rPr>
              <w:t xml:space="preserve">was insufficient to find </w:t>
            </w:r>
            <w:r w:rsidRPr="000E3C66" w:rsidR="00C0232B">
              <w:rPr>
                <w:rFonts w:cstheme="minorHAnsi"/>
              </w:rPr>
              <w:t xml:space="preserve">extended operations of Diablo Canyon would be reasonable, prudent, </w:t>
            </w:r>
            <w:r w:rsidRPr="000E3C66" w:rsidR="00823F91">
              <w:rPr>
                <w:rFonts w:cstheme="minorHAnsi"/>
              </w:rPr>
              <w:t>and</w:t>
            </w:r>
            <w:r w:rsidRPr="000E3C66" w:rsidR="00C0232B">
              <w:rPr>
                <w:rFonts w:cstheme="minorHAnsi"/>
              </w:rPr>
              <w:t xml:space="preserve"> cost</w:t>
            </w:r>
            <w:r w:rsidRPr="000E3C66" w:rsidR="00F949CB">
              <w:rPr>
                <w:rFonts w:cstheme="minorHAnsi"/>
              </w:rPr>
              <w:noBreakHyphen/>
            </w:r>
            <w:r w:rsidRPr="000E3C66" w:rsidR="00C0232B">
              <w:rPr>
                <w:rFonts w:cstheme="minorHAnsi"/>
              </w:rPr>
              <w:t>effective</w:t>
            </w:r>
            <w:r w:rsidRPr="000E3C66" w:rsidR="00245FD5">
              <w:rPr>
                <w:rFonts w:cstheme="minorHAnsi"/>
              </w:rPr>
              <w:t>.</w:t>
            </w:r>
            <w:r w:rsidRPr="000E3C66" w:rsidR="00C0232B">
              <w:rPr>
                <w:rFonts w:cstheme="minorHAnsi"/>
              </w:rPr>
              <w:t xml:space="preserve">   </w:t>
            </w:r>
          </w:p>
        </w:tc>
        <w:tc>
          <w:tcPr>
            <w:tcW w:w="3870" w:type="dxa"/>
            <w:shd w:val="clear" w:color="auto" w:fill="auto"/>
          </w:tcPr>
          <w:p w:rsidRPr="000E3C66" w:rsidR="00A92D0B" w:rsidP="009D4181" w:rsidRDefault="00D2478B" w14:paraId="68E35946" w14:textId="27FA547C">
            <w:pPr>
              <w:keepNext/>
              <w:spacing w:after="240"/>
              <w:rPr>
                <w:rFonts w:cstheme="minorHAnsi"/>
              </w:rPr>
            </w:pPr>
            <w:r w:rsidRPr="000E3C66">
              <w:rPr>
                <w:rFonts w:cstheme="minorHAnsi"/>
              </w:rPr>
              <w:t>9/15/2023 A4NR Opening Brief,</w:t>
            </w:r>
            <w:r w:rsidRPr="000E3C66" w:rsidR="009D4181">
              <w:rPr>
                <w:rFonts w:cstheme="minorHAnsi"/>
              </w:rPr>
              <w:t xml:space="preserve"> pp. </w:t>
            </w:r>
            <w:r w:rsidRPr="000E3C66">
              <w:rPr>
                <w:rFonts w:cstheme="minorHAnsi"/>
              </w:rPr>
              <w:t>1</w:t>
            </w:r>
            <w:r w:rsidRPr="000E3C66" w:rsidR="00913CC8">
              <w:rPr>
                <w:rFonts w:cstheme="minorHAnsi"/>
              </w:rPr>
              <w:noBreakHyphen/>
            </w:r>
            <w:r w:rsidRPr="000E3C66">
              <w:rPr>
                <w:rFonts w:cstheme="minorHAnsi"/>
              </w:rPr>
              <w:t>5; 9/29/2023 A4NR Reply Brief,</w:t>
            </w:r>
            <w:r w:rsidRPr="000E3C66" w:rsidR="009D4181">
              <w:rPr>
                <w:rFonts w:cstheme="minorHAnsi"/>
              </w:rPr>
              <w:t xml:space="preserve"> pp. </w:t>
            </w:r>
            <w:r w:rsidRPr="000E3C66">
              <w:rPr>
                <w:rFonts w:cstheme="minorHAnsi"/>
              </w:rPr>
              <w:t>2</w:t>
            </w:r>
            <w:r w:rsidRPr="000E3C66" w:rsidR="009D4181">
              <w:rPr>
                <w:rFonts w:cstheme="minorHAnsi"/>
              </w:rPr>
              <w:noBreakHyphen/>
            </w:r>
            <w:r w:rsidRPr="000E3C66" w:rsidR="00823F91">
              <w:rPr>
                <w:rFonts w:cstheme="minorHAnsi"/>
              </w:rPr>
              <w:t>3</w:t>
            </w:r>
            <w:r w:rsidRPr="000E3C66" w:rsidR="001C5C35">
              <w:rPr>
                <w:rFonts w:cstheme="minorHAnsi"/>
              </w:rPr>
              <w:t>; A4NR</w:t>
            </w:r>
            <w:r w:rsidRPr="000E3C66" w:rsidR="00F949CB">
              <w:rPr>
                <w:rFonts w:cstheme="minorHAnsi"/>
              </w:rPr>
              <w:noBreakHyphen/>
            </w:r>
            <w:r w:rsidRPr="000E3C66" w:rsidR="001C5C35">
              <w:rPr>
                <w:rFonts w:cstheme="minorHAnsi"/>
              </w:rPr>
              <w:t>0</w:t>
            </w:r>
            <w:r w:rsidRPr="000E3C66" w:rsidR="00C2062D">
              <w:rPr>
                <w:rFonts w:cstheme="minorHAnsi"/>
              </w:rPr>
              <w:t>4</w:t>
            </w:r>
            <w:r w:rsidRPr="000E3C66" w:rsidR="001C5C35">
              <w:rPr>
                <w:rFonts w:cstheme="minorHAnsi"/>
              </w:rPr>
              <w:t xml:space="preserve"> (served 8/8/2023, admitted 8/30/2023),</w:t>
            </w:r>
            <w:r w:rsidRPr="000E3C66" w:rsidR="009D4181">
              <w:rPr>
                <w:rFonts w:cstheme="minorHAnsi"/>
              </w:rPr>
              <w:t xml:space="preserve"> p. </w:t>
            </w:r>
            <w:r w:rsidRPr="000E3C66" w:rsidR="001C5C35">
              <w:rPr>
                <w:rFonts w:cstheme="minorHAnsi"/>
              </w:rPr>
              <w:t xml:space="preserve">2, </w:t>
            </w:r>
            <w:r w:rsidRPr="000E3C66" w:rsidR="00964D3B">
              <w:rPr>
                <w:rFonts w:cstheme="minorHAnsi"/>
              </w:rPr>
              <w:t>line 5</w:t>
            </w:r>
            <w:r w:rsidRPr="000E3C66" w:rsidR="009D4181">
              <w:rPr>
                <w:rFonts w:cstheme="minorHAnsi"/>
              </w:rPr>
              <w:t> </w:t>
            </w:r>
            <w:r w:rsidRPr="000E3C66" w:rsidR="009D4181">
              <w:rPr>
                <w:rFonts w:cstheme="minorHAnsi"/>
              </w:rPr>
              <w:noBreakHyphen/>
              <w:t xml:space="preserve"> p. </w:t>
            </w:r>
            <w:r w:rsidRPr="000E3C66" w:rsidR="00C2062D">
              <w:rPr>
                <w:rFonts w:cstheme="minorHAnsi"/>
              </w:rPr>
              <w:t>4</w:t>
            </w:r>
            <w:r w:rsidRPr="000E3C66" w:rsidR="001C5C35">
              <w:rPr>
                <w:rFonts w:cstheme="minorHAnsi"/>
              </w:rPr>
              <w:t xml:space="preserve">, </w:t>
            </w:r>
            <w:r w:rsidRPr="000E3C66" w:rsidR="00964D3B">
              <w:rPr>
                <w:rFonts w:cstheme="minorHAnsi"/>
              </w:rPr>
              <w:t>line 2</w:t>
            </w:r>
            <w:r w:rsidRPr="000E3C66" w:rsidR="00C2062D">
              <w:rPr>
                <w:rFonts w:cstheme="minorHAnsi"/>
              </w:rPr>
              <w:t>1</w:t>
            </w:r>
            <w:r w:rsidRPr="000E3C66" w:rsidR="00D4191A">
              <w:rPr>
                <w:rFonts w:cstheme="minorHAnsi"/>
              </w:rPr>
              <w:t xml:space="preserve">; </w:t>
            </w:r>
            <w:r w:rsidRPr="000E3C66" w:rsidR="0072067D">
              <w:t>11</w:t>
            </w:r>
            <w:r w:rsidRPr="000E3C66" w:rsidR="0072067D">
              <w:rPr>
                <w:rFonts w:cstheme="minorHAnsi"/>
              </w:rPr>
              <w:t xml:space="preserve">/7/2023 </w:t>
            </w:r>
            <w:r w:rsidRPr="000E3C66" w:rsidR="00D4191A">
              <w:rPr>
                <w:rFonts w:cstheme="minorHAnsi"/>
              </w:rPr>
              <w:t>Oral Argument Transcr</w:t>
            </w:r>
            <w:r w:rsidRPr="000E3C66" w:rsidR="0072067D">
              <w:rPr>
                <w:rFonts w:cstheme="minorHAnsi"/>
              </w:rPr>
              <w:t>ipt,</w:t>
            </w:r>
            <w:r w:rsidRPr="000E3C66" w:rsidR="009D4181">
              <w:rPr>
                <w:rFonts w:cstheme="minorHAnsi"/>
              </w:rPr>
              <w:t xml:space="preserve"> p. </w:t>
            </w:r>
            <w:r w:rsidRPr="000E3C66" w:rsidR="0027021F">
              <w:rPr>
                <w:rFonts w:cstheme="minorHAnsi"/>
              </w:rPr>
              <w:t xml:space="preserve">394, </w:t>
            </w:r>
            <w:r w:rsidRPr="000E3C66" w:rsidR="00964D3B">
              <w:rPr>
                <w:rFonts w:cstheme="minorHAnsi"/>
              </w:rPr>
              <w:t>lines 6</w:t>
            </w:r>
            <w:r w:rsidRPr="000E3C66" w:rsidR="009D4181">
              <w:rPr>
                <w:rFonts w:cstheme="minorHAnsi"/>
              </w:rPr>
              <w:noBreakHyphen/>
            </w:r>
            <w:r w:rsidRPr="000E3C66" w:rsidR="0089163C">
              <w:rPr>
                <w:rFonts w:cstheme="minorHAnsi"/>
              </w:rPr>
              <w:t>8, 17</w:t>
            </w:r>
            <w:r w:rsidRPr="000E3C66" w:rsidR="009D4181">
              <w:rPr>
                <w:rFonts w:cstheme="minorHAnsi"/>
              </w:rPr>
              <w:noBreakHyphen/>
            </w:r>
            <w:r w:rsidRPr="000E3C66" w:rsidR="0089163C">
              <w:rPr>
                <w:rFonts w:cstheme="minorHAnsi"/>
              </w:rPr>
              <w:t>19.</w:t>
            </w:r>
          </w:p>
          <w:p w:rsidRPr="000E3C66" w:rsidR="00823F91" w:rsidP="00FB31D7" w:rsidRDefault="00823F91" w14:paraId="080469F4" w14:textId="698F02DD">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#16: “PG&amp;E’s cost forecast does not reflect all of the costs associated with DCPP extended operations, and therefore is not an adequate foundation upon which to evaluate the cost</w:t>
            </w:r>
            <w:r w:rsidRPr="000E3C66" w:rsidR="00F949CB">
              <w:rPr>
                <w:rFonts w:cstheme="minorHAnsi"/>
              </w:rPr>
              <w:noBreakHyphen/>
            </w:r>
            <w:r w:rsidRPr="000E3C66">
              <w:rPr>
                <w:rFonts w:cstheme="minorHAnsi"/>
              </w:rPr>
              <w:t>effectiveness, prudence, or reasonableness of DCPP operations.”</w:t>
            </w:r>
          </w:p>
          <w:p w:rsidRPr="000E3C66" w:rsidR="00823F91" w:rsidP="00FB31D7" w:rsidRDefault="00141AC5" w14:paraId="5343639A" w14:textId="617943FD">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dicta at</w:t>
            </w:r>
            <w:r w:rsidRPr="000E3C66" w:rsidR="009D4181">
              <w:rPr>
                <w:rFonts w:cstheme="minorHAnsi"/>
              </w:rPr>
              <w:t xml:space="preserve"> p. </w:t>
            </w:r>
            <w:r w:rsidRPr="000E3C66">
              <w:rPr>
                <w:rFonts w:cstheme="minorHAnsi"/>
              </w:rPr>
              <w:t>48: “</w:t>
            </w:r>
            <w:r w:rsidRPr="000E3C66" w:rsidR="00D73979">
              <w:rPr>
                <w:rFonts w:cstheme="minorHAnsi"/>
              </w:rPr>
              <w:t xml:space="preserve">we find the Commission does not have sufficient information at this time to be able to determine whether extended operations at DCPP </w:t>
            </w:r>
            <w:r w:rsidRPr="000E3C66">
              <w:rPr>
                <w:rFonts w:cstheme="minorHAnsi"/>
              </w:rPr>
              <w:t>are ‘too high to justify,’ or ‘not cost effective or imprudent, or both.’</w:t>
            </w:r>
            <w:r w:rsidRPr="000E3C66" w:rsidR="00863ACC">
              <w:rPr>
                <w:rFonts w:cstheme="minorHAnsi"/>
              </w:rPr>
              <w:t xml:space="preserve"> ”</w:t>
            </w:r>
          </w:p>
          <w:p w:rsidRPr="000E3C66" w:rsidR="00FB31D7" w:rsidP="00FB31D7" w:rsidRDefault="00141AC5" w14:paraId="532F95D2" w14:textId="10300D21">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dicta at</w:t>
            </w:r>
            <w:r w:rsidRPr="000E3C66" w:rsidR="009D4181">
              <w:rPr>
                <w:rFonts w:cstheme="minorHAnsi"/>
              </w:rPr>
              <w:t xml:space="preserve"> p. </w:t>
            </w:r>
            <w:r w:rsidRPr="000E3C66">
              <w:rPr>
                <w:rFonts w:cstheme="minorHAnsi"/>
              </w:rPr>
              <w:t xml:space="preserve">53: “the Commission is unable to determine whether DCPP extended operations are </w:t>
            </w:r>
            <w:r w:rsidRPr="000E3C66" w:rsidR="00D73979">
              <w:rPr>
                <w:rFonts w:cstheme="minorHAnsi"/>
              </w:rPr>
              <w:t>‘</w:t>
            </w:r>
            <w:r w:rsidRPr="000E3C66">
              <w:rPr>
                <w:rFonts w:cstheme="minorHAnsi"/>
              </w:rPr>
              <w:t>too high to justify,</w:t>
            </w:r>
            <w:r w:rsidRPr="000E3C66" w:rsidR="00D73979">
              <w:rPr>
                <w:rFonts w:cstheme="minorHAnsi"/>
              </w:rPr>
              <w:t>’</w:t>
            </w:r>
            <w:r w:rsidRPr="000E3C66">
              <w:rPr>
                <w:rFonts w:cstheme="minorHAnsi"/>
              </w:rPr>
              <w:t xml:space="preserve"> or </w:t>
            </w:r>
            <w:r w:rsidRPr="000E3C66" w:rsidR="00D73979">
              <w:rPr>
                <w:rFonts w:cstheme="minorHAnsi"/>
              </w:rPr>
              <w:t>‘</w:t>
            </w:r>
            <w:r w:rsidRPr="000E3C66">
              <w:rPr>
                <w:rFonts w:cstheme="minorHAnsi"/>
              </w:rPr>
              <w:t>not cost effective or imprudent, or both.</w:t>
            </w:r>
            <w:r w:rsidRPr="000E3C66" w:rsidR="00D73979">
              <w:rPr>
                <w:rFonts w:cstheme="minorHAnsi"/>
              </w:rPr>
              <w:t>’</w:t>
            </w:r>
            <w:r w:rsidRPr="000E3C66" w:rsidR="00FB31D7">
              <w:rPr>
                <w:rFonts w:cstheme="minorHAnsi"/>
              </w:rPr>
              <w:t>”</w:t>
            </w:r>
          </w:p>
        </w:tc>
        <w:tc>
          <w:tcPr>
            <w:tcW w:w="2705" w:type="dxa"/>
            <w:shd w:val="clear" w:color="auto" w:fill="auto"/>
          </w:tcPr>
          <w:p w:rsidRPr="000E3C66" w:rsidR="004F6738" w:rsidP="00471EE6" w:rsidRDefault="004F6738" w14:paraId="0E334989" w14:textId="77777777">
            <w:pPr>
              <w:keepNext/>
              <w:spacing w:after="240"/>
            </w:pPr>
            <w:r w:rsidRPr="000E3C66">
              <w:t>Noted</w:t>
            </w:r>
          </w:p>
          <w:p w:rsidRPr="000E3C66" w:rsidR="00A92D0B" w:rsidP="00471EE6" w:rsidRDefault="004F6738" w14:paraId="63938BDA" w14:textId="7AE9566C">
            <w:pPr>
              <w:keepNext/>
              <w:spacing w:after="240"/>
            </w:pPr>
            <w:r w:rsidRPr="000E3C66">
              <w:t>D.23</w:t>
            </w:r>
            <w:r w:rsidRPr="000E3C66" w:rsidR="00F949CB">
              <w:noBreakHyphen/>
            </w:r>
            <w:r w:rsidRPr="000E3C66">
              <w:t>12</w:t>
            </w:r>
            <w:r w:rsidRPr="000E3C66" w:rsidR="00F949CB">
              <w:noBreakHyphen/>
            </w:r>
            <w:r w:rsidRPr="000E3C66">
              <w:t xml:space="preserve">036 at 53 states, “…the Commission is unable to determine whether DCPP extended operations are “too high to justify,” or “not cost effective or imprudent, or both.” As of the date of this decision, we find the conditions set forth in </w:t>
            </w:r>
            <w:r w:rsidRPr="000E3C66" w:rsidR="00885CF8">
              <w:t>Section </w:t>
            </w:r>
            <w:r w:rsidRPr="000E3C66">
              <w:t xml:space="preserve">712.8(c)(2)(B) and </w:t>
            </w:r>
            <w:r w:rsidRPr="000E3C66" w:rsidR="00885CF8">
              <w:t>Pub. Res.</w:t>
            </w:r>
            <w:r w:rsidRPr="000E3C66">
              <w:t xml:space="preserve"> Code </w:t>
            </w:r>
            <w:r w:rsidRPr="000E3C66" w:rsidR="00885CF8">
              <w:t>Section </w:t>
            </w:r>
            <w:r w:rsidRPr="000E3C66">
              <w:t>25548.3(c)(5)(C) have not been met.”</w:t>
            </w:r>
          </w:p>
        </w:tc>
      </w:tr>
      <w:tr w:rsidRPr="000E3C66" w:rsidR="000E3C66" w:rsidTr="00885CF8" w14:paraId="74C962DB" w14:textId="77777777">
        <w:tc>
          <w:tcPr>
            <w:tcW w:w="2785" w:type="dxa"/>
            <w:shd w:val="clear" w:color="auto" w:fill="auto"/>
          </w:tcPr>
          <w:p w:rsidRPr="000E3C66" w:rsidR="003949B3" w:rsidP="00F973E9" w:rsidRDefault="00712E3A" w14:paraId="1EE5FFE8" w14:textId="0D05FA24">
            <w:pPr>
              <w:keepNext/>
              <w:spacing w:after="240"/>
            </w:pPr>
            <w:r w:rsidRPr="000E3C66">
              <w:t>2.</w:t>
            </w:r>
            <w:r w:rsidRPr="000E3C66">
              <w:rPr>
                <w:rFonts w:cstheme="minorHAnsi"/>
              </w:rPr>
              <w:t xml:space="preserve"> </w:t>
            </w:r>
            <w:r w:rsidRPr="000E3C66" w:rsidR="003949B3">
              <w:rPr>
                <w:rFonts w:cstheme="minorHAnsi"/>
              </w:rPr>
              <w:t xml:space="preserve">Scoping Memo </w:t>
            </w:r>
            <w:r w:rsidRPr="000E3C66" w:rsidR="000D1C97">
              <w:rPr>
                <w:rFonts w:cstheme="minorHAnsi"/>
              </w:rPr>
              <w:t>Issue 1</w:t>
            </w:r>
            <w:r w:rsidRPr="000E3C66" w:rsidR="003949B3">
              <w:rPr>
                <w:rFonts w:cstheme="minorHAnsi"/>
              </w:rPr>
              <w:t xml:space="preserve">: A4NR contended that the Draft CEC </w:t>
            </w:r>
            <w:r w:rsidRPr="000E3C66" w:rsidR="007B65C3">
              <w:rPr>
                <w:rFonts w:cstheme="minorHAnsi"/>
              </w:rPr>
              <w:t xml:space="preserve">Cost Comparison </w:t>
            </w:r>
            <w:r w:rsidRPr="000E3C66" w:rsidR="003949B3">
              <w:rPr>
                <w:rFonts w:cstheme="minorHAnsi"/>
              </w:rPr>
              <w:t xml:space="preserve">Report </w:t>
            </w:r>
            <w:r w:rsidRPr="000E3C66" w:rsidR="007B177E">
              <w:rPr>
                <w:rFonts w:cstheme="minorHAnsi"/>
              </w:rPr>
              <w:t xml:space="preserve">required by </w:t>
            </w:r>
            <w:r w:rsidRPr="000E3C66" w:rsidR="00885CF8">
              <w:rPr>
                <w:rFonts w:cstheme="minorHAnsi"/>
              </w:rPr>
              <w:t>Pub. Res.</w:t>
            </w:r>
            <w:r w:rsidRPr="000E3C66" w:rsidR="007B177E">
              <w:rPr>
                <w:rFonts w:cstheme="minorHAnsi"/>
              </w:rPr>
              <w:t xml:space="preserve"> Code </w:t>
            </w:r>
            <w:r w:rsidRPr="000E3C66" w:rsidR="00AE4FEE">
              <w:rPr>
                <w:rFonts w:cstheme="minorHAnsi"/>
              </w:rPr>
              <w:t>§ </w:t>
            </w:r>
            <w:r w:rsidRPr="000E3C66" w:rsidR="007B65C3">
              <w:rPr>
                <w:rFonts w:cstheme="minorHAnsi"/>
              </w:rPr>
              <w:t>25233.2</w:t>
            </w:r>
            <w:r w:rsidRPr="000E3C66">
              <w:rPr>
                <w:rFonts w:cstheme="minorHAnsi"/>
              </w:rPr>
              <w:t>(a)</w:t>
            </w:r>
            <w:r w:rsidRPr="000E3C66" w:rsidR="007B65C3">
              <w:rPr>
                <w:rFonts w:cstheme="minorHAnsi"/>
              </w:rPr>
              <w:t xml:space="preserve"> was entitled to no weight in </w:t>
            </w:r>
            <w:r w:rsidRPr="000E3C66" w:rsidR="007B65C3">
              <w:rPr>
                <w:rFonts w:cstheme="minorHAnsi"/>
              </w:rPr>
              <w:lastRenderedPageBreak/>
              <w:t>the CPUC determination of cost</w:t>
            </w:r>
            <w:r w:rsidRPr="000E3C66" w:rsidR="00F949CB">
              <w:rPr>
                <w:rFonts w:cstheme="minorHAnsi"/>
              </w:rPr>
              <w:noBreakHyphen/>
            </w:r>
            <w:r w:rsidRPr="000E3C66" w:rsidR="007B65C3">
              <w:rPr>
                <w:rFonts w:cstheme="minorHAnsi"/>
              </w:rPr>
              <w:t xml:space="preserve">effectiveness because, among other </w:t>
            </w:r>
            <w:r w:rsidRPr="000E3C66" w:rsidR="00236D5C">
              <w:rPr>
                <w:rFonts w:cstheme="minorHAnsi"/>
              </w:rPr>
              <w:t>flaw</w:t>
            </w:r>
            <w:r w:rsidRPr="000E3C66" w:rsidR="007B65C3">
              <w:rPr>
                <w:rFonts w:cstheme="minorHAnsi"/>
              </w:rPr>
              <w:t>s, it relied</w:t>
            </w:r>
            <w:r w:rsidRPr="000E3C66">
              <w:rPr>
                <w:rFonts w:cstheme="minorHAnsi"/>
              </w:rPr>
              <w:t xml:space="preserve"> exclusively</w:t>
            </w:r>
            <w:r w:rsidRPr="000E3C66" w:rsidR="007B65C3">
              <w:rPr>
                <w:rFonts w:cstheme="minorHAnsi"/>
              </w:rPr>
              <w:t xml:space="preserve"> on a cost forecast PG&amp;E </w:t>
            </w:r>
            <w:r w:rsidRPr="000E3C66">
              <w:rPr>
                <w:rFonts w:cstheme="minorHAnsi"/>
              </w:rPr>
              <w:t>had already repudiated with a</w:t>
            </w:r>
            <w:r w:rsidRPr="000E3C66" w:rsidR="00236D5C">
              <w:rPr>
                <w:rFonts w:cstheme="minorHAnsi"/>
              </w:rPr>
              <w:t xml:space="preserve"> revision </w:t>
            </w:r>
            <w:r w:rsidRPr="000E3C66" w:rsidR="00894E5B">
              <w:rPr>
                <w:rFonts w:cstheme="minorHAnsi"/>
              </w:rPr>
              <w:t>increas</w:t>
            </w:r>
            <w:r w:rsidRPr="000E3C66" w:rsidR="00236D5C">
              <w:rPr>
                <w:rFonts w:cstheme="minorHAnsi"/>
              </w:rPr>
              <w:t>ing PG&amp;E’s estimate by</w:t>
            </w:r>
            <w:r w:rsidRPr="000E3C66" w:rsidR="00894E5B">
              <w:rPr>
                <w:rFonts w:cstheme="minorHAnsi"/>
              </w:rPr>
              <w:t xml:space="preserve"> $2.</w:t>
            </w:r>
            <w:r w:rsidRPr="000E3C66" w:rsidR="00CE58BE">
              <w:rPr>
                <w:rFonts w:cstheme="minorHAnsi"/>
              </w:rPr>
              <w:t>8</w:t>
            </w:r>
            <w:r w:rsidRPr="000E3C66" w:rsidR="003C1828">
              <w:rPr>
                <w:rFonts w:cstheme="minorHAnsi"/>
              </w:rPr>
              <w:t> billion</w:t>
            </w:r>
            <w:r w:rsidRPr="000E3C66">
              <w:rPr>
                <w:rFonts w:cstheme="minorHAnsi"/>
              </w:rPr>
              <w:t>.</w:t>
            </w:r>
          </w:p>
        </w:tc>
        <w:tc>
          <w:tcPr>
            <w:tcW w:w="3870" w:type="dxa"/>
            <w:shd w:val="clear" w:color="auto" w:fill="auto"/>
          </w:tcPr>
          <w:p w:rsidRPr="000E3C66" w:rsidR="003949B3" w:rsidP="00FB31D7" w:rsidRDefault="00894E5B" w14:paraId="7DB73EBB" w14:textId="350230FE">
            <w:pPr>
              <w:keepNext/>
              <w:spacing w:after="240"/>
              <w:rPr>
                <w:rFonts w:cstheme="minorHAnsi"/>
              </w:rPr>
            </w:pPr>
            <w:r w:rsidRPr="000E3C66">
              <w:rPr>
                <w:rFonts w:cstheme="minorHAnsi"/>
              </w:rPr>
              <w:lastRenderedPageBreak/>
              <w:t>10/6/2023 A4NR Comments on Draft CEC Report,</w:t>
            </w:r>
            <w:r w:rsidRPr="000E3C66" w:rsidR="009D4181">
              <w:rPr>
                <w:rFonts w:cstheme="minorHAnsi"/>
              </w:rPr>
              <w:t xml:space="preserve"> pp. </w:t>
            </w:r>
            <w:r w:rsidRPr="000E3C66">
              <w:rPr>
                <w:rFonts w:cstheme="minorHAnsi"/>
              </w:rPr>
              <w:t>8</w:t>
            </w:r>
            <w:r w:rsidRPr="000E3C66" w:rsidR="009D4181">
              <w:rPr>
                <w:rFonts w:cstheme="minorHAnsi"/>
              </w:rPr>
              <w:noBreakHyphen/>
            </w:r>
            <w:r w:rsidRPr="000E3C66">
              <w:rPr>
                <w:rFonts w:cstheme="minorHAnsi"/>
              </w:rPr>
              <w:t>9.</w:t>
            </w:r>
          </w:p>
          <w:p w:rsidRPr="000E3C66" w:rsidR="00236D5C" w:rsidP="00FB31D7" w:rsidRDefault="003726B4" w14:paraId="1058D86F" w14:textId="0B089268">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sidR="007423F4">
              <w:rPr>
                <w:rFonts w:cstheme="minorHAnsi"/>
              </w:rPr>
              <w:t xml:space="preserve">036 </w:t>
            </w:r>
            <w:r w:rsidRPr="000E3C66" w:rsidR="00236D5C">
              <w:rPr>
                <w:rFonts w:cstheme="minorHAnsi"/>
              </w:rPr>
              <w:t xml:space="preserve">FOF #24: “The CEC’s Draft Cost Comparison Report relies on PG&amp;E’s May 19, 2023 testimony to forecast DCPP extended operations </w:t>
            </w:r>
            <w:r w:rsidRPr="000E3C66" w:rsidR="00236D5C">
              <w:rPr>
                <w:rFonts w:cstheme="minorHAnsi"/>
              </w:rPr>
              <w:lastRenderedPageBreak/>
              <w:t xml:space="preserve">costs, and does not reflect the </w:t>
            </w:r>
            <w:r w:rsidRPr="000E3C66" w:rsidR="00481180">
              <w:rPr>
                <w:rFonts w:cstheme="minorHAnsi"/>
              </w:rPr>
              <w:t>costs associated with PG&amp;E’s forthcoming license renewal application or any DCISC recommendations concerning seismic safety and deferred maintenance.”</w:t>
            </w:r>
          </w:p>
          <w:p w:rsidRPr="000E3C66" w:rsidR="00481180" w:rsidP="00FB31D7" w:rsidRDefault="001E51DE" w14:paraId="217AEE0C" w14:textId="22864736">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481180">
              <w:rPr>
                <w:rFonts w:cstheme="minorHAnsi"/>
              </w:rPr>
              <w:t>FOF #26: “No party in this proceeding disputes that the omitted costs in PG&amp;E’s May 19, 2023 testimony are relevant to the cost</w:t>
            </w:r>
            <w:r w:rsidRPr="000E3C66" w:rsidR="00F949CB">
              <w:rPr>
                <w:rFonts w:cstheme="minorHAnsi"/>
              </w:rPr>
              <w:noBreakHyphen/>
            </w:r>
            <w:r w:rsidRPr="000E3C66" w:rsidR="00481180">
              <w:rPr>
                <w:rFonts w:cstheme="minorHAnsi"/>
              </w:rPr>
              <w:t>effectiveness of DCPP extended operations.”</w:t>
            </w:r>
          </w:p>
          <w:p w:rsidRPr="000E3C66" w:rsidR="00FB31D7" w:rsidP="00FB31D7" w:rsidRDefault="00236D5C" w14:paraId="78973521" w14:textId="603A706A">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dicta at</w:t>
            </w:r>
            <w:r w:rsidRPr="000E3C66" w:rsidR="009D4181">
              <w:rPr>
                <w:rFonts w:cstheme="minorHAnsi"/>
              </w:rPr>
              <w:t xml:space="preserve"> p. </w:t>
            </w:r>
            <w:r w:rsidRPr="000E3C66">
              <w:rPr>
                <w:rFonts w:cstheme="minorHAnsi"/>
              </w:rPr>
              <w:t>58: “it is clear from the record in this proceeding that the CEC’s report relies on PG&amp;E’s May 2023 cost testimony in this proceeding, and therefore excludes several cost categories associated with actual DCPP extended operations. Given current available information, the CEC’s report also does not reflect the costs associated with PG&amp;E’s forthcoming license renewal application or any DCISC recommendations concerning seismic safety and deferred maintenance. PG&amp;E does not contest the relevancy of these omitted costs, but merely asserts the CEC is charged with performing the relevant cost</w:t>
            </w:r>
            <w:r w:rsidRPr="000E3C66" w:rsidR="00F949CB">
              <w:rPr>
                <w:rFonts w:cstheme="minorHAnsi"/>
              </w:rPr>
              <w:noBreakHyphen/>
            </w:r>
            <w:r w:rsidRPr="000E3C66">
              <w:rPr>
                <w:rFonts w:cstheme="minorHAnsi"/>
              </w:rPr>
              <w:t>effective analysis. PG&amp;E’s arguments are unpersuasive.”</w:t>
            </w:r>
          </w:p>
        </w:tc>
        <w:tc>
          <w:tcPr>
            <w:tcW w:w="2705" w:type="dxa"/>
            <w:shd w:val="clear" w:color="auto" w:fill="auto"/>
          </w:tcPr>
          <w:p w:rsidRPr="000E3C66" w:rsidR="003949B3" w:rsidP="00471EE6" w:rsidRDefault="003352A3" w14:paraId="5BDE28A0" w14:textId="628A04D7">
            <w:pPr>
              <w:keepNext/>
              <w:spacing w:after="240"/>
            </w:pPr>
            <w:r w:rsidRPr="000E3C66">
              <w:lastRenderedPageBreak/>
              <w:t>Verified</w:t>
            </w:r>
          </w:p>
        </w:tc>
      </w:tr>
      <w:tr w:rsidRPr="000E3C66" w:rsidR="000E3C66" w:rsidTr="00885CF8" w14:paraId="4AAA05AE" w14:textId="77777777">
        <w:tc>
          <w:tcPr>
            <w:tcW w:w="2785" w:type="dxa"/>
            <w:shd w:val="clear" w:color="auto" w:fill="auto"/>
          </w:tcPr>
          <w:p w:rsidRPr="000E3C66" w:rsidR="00E25078" w:rsidP="00F973E9" w:rsidRDefault="00236D5C" w14:paraId="11FCCEB5" w14:textId="4CE39497">
            <w:pPr>
              <w:keepNext/>
              <w:spacing w:after="240"/>
            </w:pPr>
            <w:r w:rsidRPr="000E3C66">
              <w:t>3</w:t>
            </w:r>
            <w:r w:rsidRPr="000E3C66" w:rsidR="00A92D0B">
              <w:t>.</w:t>
            </w:r>
            <w:r w:rsidRPr="000E3C66" w:rsidR="00E25078">
              <w:t xml:space="preserve"> </w:t>
            </w:r>
            <w:r w:rsidRPr="000E3C66" w:rsidR="00823F91">
              <w:rPr>
                <w:rFonts w:cstheme="minorHAnsi"/>
              </w:rPr>
              <w:t xml:space="preserve">Scoping Memo </w:t>
            </w:r>
            <w:r w:rsidRPr="000E3C66" w:rsidR="000D1C97">
              <w:rPr>
                <w:rFonts w:cstheme="minorHAnsi"/>
              </w:rPr>
              <w:t>Issue 1</w:t>
            </w:r>
            <w:r w:rsidRPr="000E3C66" w:rsidR="00823F91">
              <w:rPr>
                <w:rFonts w:cstheme="minorHAnsi"/>
              </w:rPr>
              <w:t>.a.:</w:t>
            </w:r>
            <w:r w:rsidRPr="000E3C66" w:rsidR="00431B04">
              <w:rPr>
                <w:rFonts w:cstheme="minorHAnsi"/>
              </w:rPr>
              <w:t xml:space="preserve">  A4NR contended that PG&amp;E had materially understated its forecast of </w:t>
            </w:r>
            <w:r w:rsidRPr="000E3C66" w:rsidR="0051047E">
              <w:rPr>
                <w:rFonts w:cstheme="minorHAnsi"/>
              </w:rPr>
              <w:t xml:space="preserve">Diablo Canyon extended </w:t>
            </w:r>
            <w:r w:rsidRPr="000E3C66" w:rsidR="00E31A43">
              <w:rPr>
                <w:rFonts w:cstheme="minorHAnsi"/>
              </w:rPr>
              <w:t>operating costs.</w:t>
            </w:r>
          </w:p>
        </w:tc>
        <w:tc>
          <w:tcPr>
            <w:tcW w:w="3870" w:type="dxa"/>
            <w:shd w:val="clear" w:color="auto" w:fill="auto"/>
          </w:tcPr>
          <w:p w:rsidRPr="000E3C66" w:rsidR="00A92D0B" w:rsidP="00FB31D7" w:rsidRDefault="00E31A43" w14:paraId="0584AEE7" w14:textId="57F36EC0">
            <w:pPr>
              <w:keepNext/>
              <w:spacing w:after="240"/>
              <w:rPr>
                <w:rFonts w:cstheme="minorHAnsi"/>
              </w:rPr>
            </w:pPr>
            <w:r w:rsidRPr="000E3C66">
              <w:rPr>
                <w:rFonts w:cstheme="minorHAnsi"/>
              </w:rPr>
              <w:t>9/15/2023 A4NR Opening Brief,</w:t>
            </w:r>
            <w:r w:rsidRPr="000E3C66" w:rsidR="009D4181">
              <w:rPr>
                <w:rFonts w:cstheme="minorHAnsi"/>
              </w:rPr>
              <w:t xml:space="preserve"> p. </w:t>
            </w:r>
            <w:r w:rsidRPr="000E3C66">
              <w:rPr>
                <w:rFonts w:cstheme="minorHAnsi"/>
              </w:rPr>
              <w:t>2</w:t>
            </w:r>
            <w:r w:rsidRPr="000E3C66" w:rsidR="00354A27">
              <w:rPr>
                <w:rFonts w:cstheme="minorHAnsi"/>
              </w:rPr>
              <w:t>;</w:t>
            </w:r>
            <w:r w:rsidRPr="000E3C66">
              <w:rPr>
                <w:rFonts w:cstheme="minorHAnsi"/>
              </w:rPr>
              <w:t xml:space="preserve"> A4NR</w:t>
            </w:r>
            <w:r w:rsidRPr="000E3C66" w:rsidR="00F949CB">
              <w:rPr>
                <w:rFonts w:cstheme="minorHAnsi"/>
              </w:rPr>
              <w:noBreakHyphen/>
            </w:r>
            <w:r w:rsidRPr="000E3C66">
              <w:rPr>
                <w:rFonts w:cstheme="minorHAnsi"/>
              </w:rPr>
              <w:t>01</w:t>
            </w:r>
            <w:r w:rsidRPr="000E3C66" w:rsidR="00467570">
              <w:rPr>
                <w:rFonts w:cstheme="minorHAnsi"/>
              </w:rPr>
              <w:t xml:space="preserve"> (</w:t>
            </w:r>
            <w:r w:rsidRPr="000E3C66" w:rsidR="00B41E47">
              <w:rPr>
                <w:rFonts w:cstheme="minorHAnsi"/>
              </w:rPr>
              <w:t xml:space="preserve">served 6/30/2023, </w:t>
            </w:r>
            <w:r w:rsidRPr="000E3C66" w:rsidR="00467570">
              <w:rPr>
                <w:rFonts w:cstheme="minorHAnsi"/>
              </w:rPr>
              <w:t>admitted 8/30/2023)</w:t>
            </w:r>
            <w:r w:rsidRPr="000E3C66">
              <w:rPr>
                <w:rFonts w:cstheme="minorHAnsi"/>
              </w:rPr>
              <w:t>,</w:t>
            </w:r>
            <w:r w:rsidRPr="000E3C66" w:rsidR="009D4181">
              <w:rPr>
                <w:rFonts w:cstheme="minorHAnsi"/>
              </w:rPr>
              <w:t xml:space="preserve"> p. </w:t>
            </w:r>
            <w:r w:rsidRPr="000E3C66">
              <w:rPr>
                <w:rFonts w:cstheme="minorHAnsi"/>
              </w:rPr>
              <w:t xml:space="preserve">34, </w:t>
            </w:r>
            <w:r w:rsidRPr="000E3C66" w:rsidR="00964D3B">
              <w:rPr>
                <w:rFonts w:cstheme="minorHAnsi"/>
              </w:rPr>
              <w:t>lines 4</w:t>
            </w:r>
            <w:r w:rsidRPr="000E3C66" w:rsidR="009D4181">
              <w:rPr>
                <w:rFonts w:cstheme="minorHAnsi"/>
              </w:rPr>
              <w:noBreakHyphen/>
            </w:r>
            <w:r w:rsidRPr="000E3C66">
              <w:rPr>
                <w:rFonts w:cstheme="minorHAnsi"/>
              </w:rPr>
              <w:t>17</w:t>
            </w:r>
            <w:r w:rsidRPr="000E3C66" w:rsidR="001D2AF7">
              <w:rPr>
                <w:rFonts w:cstheme="minorHAnsi"/>
              </w:rPr>
              <w:t>; 11/7/2023 Oral Argument Transcript,</w:t>
            </w:r>
            <w:r w:rsidRPr="000E3C66" w:rsidR="009D4181">
              <w:rPr>
                <w:rFonts w:cstheme="minorHAnsi"/>
              </w:rPr>
              <w:t xml:space="preserve"> p. </w:t>
            </w:r>
            <w:r w:rsidRPr="000E3C66" w:rsidR="00FA1D34">
              <w:rPr>
                <w:rFonts w:cstheme="minorHAnsi"/>
              </w:rPr>
              <w:t xml:space="preserve">394, </w:t>
            </w:r>
            <w:r w:rsidRPr="000E3C66" w:rsidR="00964D3B">
              <w:rPr>
                <w:rFonts w:cstheme="minorHAnsi"/>
              </w:rPr>
              <w:t>line 2</w:t>
            </w:r>
            <w:r w:rsidRPr="000E3C66" w:rsidR="00411890">
              <w:rPr>
                <w:rFonts w:cstheme="minorHAnsi"/>
              </w:rPr>
              <w:t>3</w:t>
            </w:r>
            <w:r w:rsidRPr="000E3C66" w:rsidR="009D4181">
              <w:rPr>
                <w:rFonts w:cstheme="minorHAnsi"/>
              </w:rPr>
              <w:t> </w:t>
            </w:r>
            <w:r w:rsidRPr="000E3C66" w:rsidR="009D4181">
              <w:rPr>
                <w:rFonts w:cstheme="minorHAnsi"/>
              </w:rPr>
              <w:noBreakHyphen/>
              <w:t xml:space="preserve"> p. </w:t>
            </w:r>
            <w:r w:rsidRPr="000E3C66" w:rsidR="00411890">
              <w:rPr>
                <w:rFonts w:cstheme="minorHAnsi"/>
              </w:rPr>
              <w:t xml:space="preserve">395, </w:t>
            </w:r>
            <w:r w:rsidRPr="000E3C66" w:rsidR="00964D3B">
              <w:rPr>
                <w:rFonts w:cstheme="minorHAnsi"/>
              </w:rPr>
              <w:t>line 3</w:t>
            </w:r>
            <w:r w:rsidRPr="000E3C66" w:rsidR="00411890">
              <w:rPr>
                <w:rFonts w:cstheme="minorHAnsi"/>
              </w:rPr>
              <w:t>.</w:t>
            </w:r>
          </w:p>
          <w:p w:rsidRPr="000E3C66" w:rsidR="00FB31D7" w:rsidP="00FB31D7" w:rsidRDefault="00E31A43" w14:paraId="2A92A629" w14:textId="2CE894A7">
            <w:pPr>
              <w:keepNext/>
              <w:spacing w:after="240"/>
              <w:rPr>
                <w:rFonts w:cstheme="minorHAnsi"/>
              </w:rPr>
            </w:pPr>
            <w:r w:rsidRPr="000E3C66">
              <w:rPr>
                <w:rFonts w:cstheme="minorHAnsi"/>
              </w:rPr>
              <w:lastRenderedPageBreak/>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FOF #26: “No party in this proceeding disputes that the omitted costs in PG&amp;E’s May 19, 2023 testimony are relevant to the cost</w:t>
            </w:r>
            <w:r w:rsidRPr="000E3C66" w:rsidR="00F949CB">
              <w:rPr>
                <w:rFonts w:cstheme="minorHAnsi"/>
              </w:rPr>
              <w:noBreakHyphen/>
            </w:r>
            <w:r w:rsidRPr="000E3C66">
              <w:rPr>
                <w:rFonts w:cstheme="minorHAnsi"/>
              </w:rPr>
              <w:t>effectiveness of DCPP extended operations.”</w:t>
            </w:r>
          </w:p>
        </w:tc>
        <w:tc>
          <w:tcPr>
            <w:tcW w:w="2705" w:type="dxa"/>
            <w:shd w:val="clear" w:color="auto" w:fill="auto"/>
          </w:tcPr>
          <w:p w:rsidRPr="000E3C66" w:rsidR="00A92D0B" w:rsidP="00471EE6" w:rsidRDefault="00CF1632" w14:paraId="1B5742E3" w14:textId="77777777">
            <w:pPr>
              <w:keepNext/>
              <w:spacing w:after="240"/>
            </w:pPr>
            <w:r w:rsidRPr="000E3C66">
              <w:lastRenderedPageBreak/>
              <w:t>Noted</w:t>
            </w:r>
          </w:p>
          <w:p w:rsidRPr="000E3C66" w:rsidR="00CF1632" w:rsidP="00471EE6" w:rsidRDefault="00CF1632" w14:paraId="56FD3368" w14:textId="521BC70E">
            <w:pPr>
              <w:keepNext/>
              <w:spacing w:after="240"/>
            </w:pPr>
            <w:r w:rsidRPr="000E3C66">
              <w:t>D.23</w:t>
            </w:r>
            <w:r w:rsidRPr="000E3C66" w:rsidR="00F949CB">
              <w:noBreakHyphen/>
            </w:r>
            <w:r w:rsidRPr="000E3C66">
              <w:t>12</w:t>
            </w:r>
            <w:r w:rsidRPr="000E3C66" w:rsidR="00F949CB">
              <w:noBreakHyphen/>
            </w:r>
            <w:r w:rsidRPr="000E3C66">
              <w:t xml:space="preserve">036 at 53 states, “…the Commission is unable to determine whether DCPP extended operations are “too high to justify,” or “not cost </w:t>
            </w:r>
            <w:r w:rsidRPr="000E3C66">
              <w:lastRenderedPageBreak/>
              <w:t xml:space="preserve">effective or imprudent, or both.” As of the date of this decision, we find the conditions set forth in </w:t>
            </w:r>
            <w:r w:rsidRPr="000E3C66" w:rsidR="00885CF8">
              <w:t>Section </w:t>
            </w:r>
            <w:r w:rsidRPr="000E3C66">
              <w:t xml:space="preserve">712.8(c)(2)(B) and </w:t>
            </w:r>
            <w:r w:rsidRPr="000E3C66" w:rsidR="00885CF8">
              <w:t>Pub. Res.</w:t>
            </w:r>
            <w:r w:rsidRPr="000E3C66">
              <w:t xml:space="preserve"> Code </w:t>
            </w:r>
            <w:r w:rsidRPr="000E3C66" w:rsidR="00885CF8">
              <w:t>Section </w:t>
            </w:r>
            <w:r w:rsidRPr="000E3C66">
              <w:t>25548.3(c)(5)(C) have not been met.”</w:t>
            </w:r>
          </w:p>
        </w:tc>
      </w:tr>
      <w:tr w:rsidRPr="000E3C66" w:rsidR="000E3C66" w:rsidTr="00885CF8" w14:paraId="36FF786B" w14:textId="77777777">
        <w:tc>
          <w:tcPr>
            <w:tcW w:w="2785" w:type="dxa"/>
            <w:shd w:val="clear" w:color="auto" w:fill="auto"/>
          </w:tcPr>
          <w:p w:rsidRPr="000E3C66" w:rsidR="00E25078" w:rsidP="007A784D" w:rsidRDefault="00481180" w14:paraId="77A8C970" w14:textId="09596D01">
            <w:pPr>
              <w:keepNext/>
              <w:spacing w:after="240"/>
            </w:pPr>
            <w:r w:rsidRPr="000E3C66">
              <w:lastRenderedPageBreak/>
              <w:t>4</w:t>
            </w:r>
            <w:r w:rsidRPr="000E3C66" w:rsidR="00691528">
              <w:t>.</w:t>
            </w:r>
            <w:r w:rsidRPr="000E3C66" w:rsidR="00E25078">
              <w:t xml:space="preserve"> </w:t>
            </w:r>
            <w:r w:rsidRPr="000E3C66" w:rsidR="00493E9D">
              <w:rPr>
                <w:rFonts w:cstheme="minorHAnsi"/>
              </w:rPr>
              <w:t xml:space="preserve">Scoping Memo </w:t>
            </w:r>
            <w:r w:rsidRPr="000E3C66" w:rsidR="000D1C97">
              <w:rPr>
                <w:rFonts w:cstheme="minorHAnsi"/>
              </w:rPr>
              <w:t>Issue 1</w:t>
            </w:r>
            <w:r w:rsidRPr="000E3C66" w:rsidR="00493E9D">
              <w:rPr>
                <w:rFonts w:cstheme="minorHAnsi"/>
              </w:rPr>
              <w:t xml:space="preserve">.a.:  A4NR contended that PG&amp;E had acknowledged that a substantial portion of </w:t>
            </w:r>
            <w:r w:rsidRPr="000E3C66" w:rsidR="0051047E">
              <w:rPr>
                <w:rFonts w:cstheme="minorHAnsi"/>
              </w:rPr>
              <w:t xml:space="preserve">Diablo Canyon’s </w:t>
            </w:r>
            <w:r w:rsidRPr="000E3C66" w:rsidR="00493E9D">
              <w:rPr>
                <w:rFonts w:cstheme="minorHAnsi"/>
              </w:rPr>
              <w:t>extended operations fuel costs had not been identified in PG&amp;E’s DOE grant application.</w:t>
            </w:r>
          </w:p>
        </w:tc>
        <w:tc>
          <w:tcPr>
            <w:tcW w:w="3870" w:type="dxa"/>
            <w:shd w:val="clear" w:color="auto" w:fill="auto"/>
          </w:tcPr>
          <w:p w:rsidRPr="000E3C66" w:rsidR="00493E9D" w:rsidP="00FB31D7" w:rsidRDefault="00493E9D" w14:paraId="52F3E9DC" w14:textId="497E0428">
            <w:pPr>
              <w:keepNext/>
              <w:spacing w:after="240"/>
              <w:rPr>
                <w:rFonts w:cstheme="minorHAnsi"/>
              </w:rPr>
            </w:pPr>
            <w:r w:rsidRPr="000E3C66">
              <w:rPr>
                <w:rFonts w:cstheme="minorHAnsi"/>
              </w:rPr>
              <w:t>9/15/2023 A4NR Opening Brief,</w:t>
            </w:r>
            <w:r w:rsidRPr="000E3C66" w:rsidR="009D4181">
              <w:rPr>
                <w:rFonts w:cstheme="minorHAnsi"/>
              </w:rPr>
              <w:t xml:space="preserve"> p. </w:t>
            </w:r>
            <w:r w:rsidRPr="000E3C66">
              <w:rPr>
                <w:rFonts w:cstheme="minorHAnsi"/>
              </w:rPr>
              <w:t>3, citing A4NR</w:t>
            </w:r>
            <w:r w:rsidRPr="000E3C66" w:rsidR="00F949CB">
              <w:rPr>
                <w:rFonts w:cstheme="minorHAnsi"/>
              </w:rPr>
              <w:noBreakHyphen/>
            </w:r>
            <w:r w:rsidRPr="000E3C66">
              <w:rPr>
                <w:rFonts w:cstheme="minorHAnsi"/>
              </w:rPr>
              <w:t>03</w:t>
            </w:r>
            <w:r w:rsidRPr="000E3C66" w:rsidR="00F949CB">
              <w:rPr>
                <w:rFonts w:cstheme="minorHAnsi"/>
              </w:rPr>
              <w:noBreakHyphen/>
            </w:r>
            <w:r w:rsidRPr="000E3C66">
              <w:rPr>
                <w:rFonts w:cstheme="minorHAnsi"/>
              </w:rPr>
              <w:t>C</w:t>
            </w:r>
            <w:r w:rsidRPr="000E3C66" w:rsidR="00467570">
              <w:rPr>
                <w:rFonts w:cstheme="minorHAnsi"/>
              </w:rPr>
              <w:t xml:space="preserve"> (admitted 8/30/2023)</w:t>
            </w:r>
            <w:r w:rsidRPr="000E3C66">
              <w:rPr>
                <w:rFonts w:cstheme="minorHAnsi"/>
              </w:rPr>
              <w:t>,</w:t>
            </w:r>
            <w:r w:rsidRPr="000E3C66" w:rsidR="009D4181">
              <w:rPr>
                <w:rFonts w:cstheme="minorHAnsi"/>
              </w:rPr>
              <w:t xml:space="preserve"> p. </w:t>
            </w:r>
            <w:r w:rsidRPr="000E3C66">
              <w:rPr>
                <w:rFonts w:cstheme="minorHAnsi"/>
              </w:rPr>
              <w:t xml:space="preserve">6, </w:t>
            </w:r>
            <w:r w:rsidRPr="000E3C66" w:rsidR="00964D3B">
              <w:rPr>
                <w:rFonts w:cstheme="minorHAnsi"/>
              </w:rPr>
              <w:t>line 6</w:t>
            </w:r>
            <w:r w:rsidRPr="000E3C66" w:rsidR="009D4181">
              <w:rPr>
                <w:rFonts w:cstheme="minorHAnsi"/>
              </w:rPr>
              <w:t> </w:t>
            </w:r>
            <w:r w:rsidRPr="000E3C66" w:rsidR="009D4181">
              <w:rPr>
                <w:rFonts w:cstheme="minorHAnsi"/>
              </w:rPr>
              <w:noBreakHyphen/>
              <w:t xml:space="preserve"> p. </w:t>
            </w:r>
            <w:r w:rsidRPr="000E3C66">
              <w:rPr>
                <w:rFonts w:cstheme="minorHAnsi"/>
              </w:rPr>
              <w:t xml:space="preserve">7, </w:t>
            </w:r>
            <w:r w:rsidRPr="000E3C66" w:rsidR="00964D3B">
              <w:rPr>
                <w:rFonts w:cstheme="minorHAnsi"/>
              </w:rPr>
              <w:t>line 4</w:t>
            </w:r>
            <w:r w:rsidRPr="000E3C66" w:rsidR="00DF16AA">
              <w:rPr>
                <w:rFonts w:cstheme="minorHAnsi"/>
              </w:rPr>
              <w:t>; A4NR</w:t>
            </w:r>
            <w:r w:rsidRPr="000E3C66" w:rsidR="00F949CB">
              <w:rPr>
                <w:rFonts w:cstheme="minorHAnsi"/>
              </w:rPr>
              <w:noBreakHyphen/>
            </w:r>
            <w:r w:rsidRPr="000E3C66" w:rsidR="00DF16AA">
              <w:rPr>
                <w:rFonts w:cstheme="minorHAnsi"/>
              </w:rPr>
              <w:t>03 (</w:t>
            </w:r>
            <w:r w:rsidRPr="000E3C66" w:rsidR="00421EC0">
              <w:rPr>
                <w:rFonts w:cstheme="minorHAnsi"/>
              </w:rPr>
              <w:t xml:space="preserve">served 7/28/2023, </w:t>
            </w:r>
            <w:r w:rsidRPr="000E3C66" w:rsidR="00DF16AA">
              <w:rPr>
                <w:rFonts w:cstheme="minorHAnsi"/>
              </w:rPr>
              <w:t>admitted 8/30/2023),</w:t>
            </w:r>
            <w:r w:rsidRPr="000E3C66" w:rsidR="009D4181">
              <w:rPr>
                <w:rFonts w:cstheme="minorHAnsi"/>
              </w:rPr>
              <w:t xml:space="preserve"> p. </w:t>
            </w:r>
            <w:r w:rsidRPr="000E3C66" w:rsidR="00DF16AA">
              <w:rPr>
                <w:rFonts w:cstheme="minorHAnsi"/>
              </w:rPr>
              <w:t xml:space="preserve">5, </w:t>
            </w:r>
            <w:r w:rsidRPr="000E3C66" w:rsidR="00964D3B">
              <w:rPr>
                <w:rFonts w:cstheme="minorHAnsi"/>
              </w:rPr>
              <w:t>line 2</w:t>
            </w:r>
            <w:r w:rsidRPr="000E3C66" w:rsidR="00DF16AA">
              <w:rPr>
                <w:rFonts w:cstheme="minorHAnsi"/>
              </w:rPr>
              <w:t>3</w:t>
            </w:r>
            <w:r w:rsidRPr="000E3C66" w:rsidR="009D4181">
              <w:rPr>
                <w:rFonts w:cstheme="minorHAnsi"/>
              </w:rPr>
              <w:t> </w:t>
            </w:r>
            <w:r w:rsidRPr="000E3C66" w:rsidR="009D4181">
              <w:rPr>
                <w:rFonts w:cstheme="minorHAnsi"/>
              </w:rPr>
              <w:noBreakHyphen/>
              <w:t xml:space="preserve"> p. </w:t>
            </w:r>
            <w:r w:rsidRPr="000E3C66" w:rsidR="00DF16AA">
              <w:rPr>
                <w:rFonts w:cstheme="minorHAnsi"/>
              </w:rPr>
              <w:t xml:space="preserve">7, </w:t>
            </w:r>
            <w:r w:rsidRPr="000E3C66" w:rsidR="00964D3B">
              <w:rPr>
                <w:rFonts w:cstheme="minorHAnsi"/>
              </w:rPr>
              <w:t>line 4</w:t>
            </w:r>
            <w:r w:rsidRPr="000E3C66" w:rsidR="00DF16AA">
              <w:rPr>
                <w:rFonts w:cstheme="minorHAnsi"/>
              </w:rPr>
              <w:t>.</w:t>
            </w:r>
          </w:p>
          <w:p w:rsidRPr="000E3C66" w:rsidR="00D73979" w:rsidP="00FB31D7" w:rsidRDefault="00D73979" w14:paraId="3323F685" w14:textId="3A928C15">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#16: “PG&amp;E’s cost forecast does not reflect all of the costs associated with DCPP extended operations, and therefore is not an adequate foundation upon which to evaluate the cost</w:t>
            </w:r>
            <w:r w:rsidRPr="000E3C66" w:rsidR="00F949CB">
              <w:rPr>
                <w:rFonts w:cstheme="minorHAnsi"/>
              </w:rPr>
              <w:noBreakHyphen/>
            </w:r>
            <w:r w:rsidRPr="000E3C66">
              <w:rPr>
                <w:rFonts w:cstheme="minorHAnsi"/>
              </w:rPr>
              <w:t>effectiveness, prudence, or reasonableness of DCPP operations.”</w:t>
            </w:r>
          </w:p>
          <w:p w:rsidRPr="000E3C66" w:rsidR="00691528" w:rsidP="00FB31D7" w:rsidRDefault="0051047E" w14:paraId="2144B6BD" w14:textId="43607CC7">
            <w:pPr>
              <w:keepNext/>
              <w:spacing w:after="240"/>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#18: “It is reasonable for PG&amp;E to provide, in a single forecast analysis, any and all costs PG&amp;E expects to be recovered from utility ratepayers for DCPP extended operations.”</w:t>
            </w:r>
          </w:p>
        </w:tc>
        <w:tc>
          <w:tcPr>
            <w:tcW w:w="2705" w:type="dxa"/>
            <w:shd w:val="clear" w:color="auto" w:fill="auto"/>
          </w:tcPr>
          <w:p w:rsidRPr="000E3C66" w:rsidR="00691528" w:rsidP="00471EE6" w:rsidRDefault="00342441" w14:paraId="14BB150F" w14:textId="77777777">
            <w:pPr>
              <w:keepNext/>
              <w:spacing w:after="240"/>
            </w:pPr>
            <w:r w:rsidRPr="000E3C66">
              <w:t>Noted</w:t>
            </w:r>
          </w:p>
          <w:p w:rsidRPr="000E3C66" w:rsidR="00342441" w:rsidP="00471EE6" w:rsidRDefault="00342441" w14:paraId="64233D9C" w14:textId="10ED93A6">
            <w:pPr>
              <w:keepNext/>
              <w:spacing w:after="240"/>
            </w:pPr>
            <w:r w:rsidRPr="000E3C66">
              <w:t>D.23</w:t>
            </w:r>
            <w:r w:rsidRPr="000E3C66" w:rsidR="00F949CB">
              <w:noBreakHyphen/>
            </w:r>
            <w:r w:rsidRPr="000E3C66">
              <w:t>12</w:t>
            </w:r>
            <w:r w:rsidRPr="000E3C66" w:rsidR="00F949CB">
              <w:noBreakHyphen/>
            </w:r>
            <w:r w:rsidRPr="000E3C66">
              <w:t xml:space="preserve">036 at 49 states, “A4NR attempts to argue DCPP extended operations costs are “too high to justify”…A4NR’s argument, however, relies on broad cost categories — including costs authorized under </w:t>
            </w:r>
            <w:r w:rsidR="00813231">
              <w:t>SB </w:t>
            </w:r>
            <w:r w:rsidRPr="000E3C66">
              <w:t>846, DOE reimbursements, authorized funding from DWR, as well as fuel costs — all of which are well beyond the scope of potential (let alone known) DCISC recommendations or NRC’s conditions of license renewal.”</w:t>
            </w:r>
          </w:p>
        </w:tc>
      </w:tr>
      <w:tr w:rsidRPr="000E3C66" w:rsidR="000E3C66" w:rsidTr="00885CF8" w14:paraId="1E4CCAEB" w14:textId="77777777">
        <w:tc>
          <w:tcPr>
            <w:tcW w:w="2785" w:type="dxa"/>
            <w:shd w:val="clear" w:color="auto" w:fill="auto"/>
          </w:tcPr>
          <w:p w:rsidRPr="000E3C66" w:rsidR="0051047E" w:rsidP="007A784D" w:rsidRDefault="00481180" w14:paraId="12E07291" w14:textId="07CE877F">
            <w:pPr>
              <w:keepNext/>
              <w:spacing w:after="240"/>
            </w:pPr>
            <w:r w:rsidRPr="000E3C66">
              <w:t>5</w:t>
            </w:r>
            <w:r w:rsidRPr="000E3C66" w:rsidR="0051047E">
              <w:t xml:space="preserve">. </w:t>
            </w:r>
            <w:r w:rsidRPr="000E3C66" w:rsidR="0051047E">
              <w:rPr>
                <w:rFonts w:cstheme="minorHAnsi"/>
              </w:rPr>
              <w:t xml:space="preserve">Scoping Memo </w:t>
            </w:r>
            <w:r w:rsidRPr="000E3C66" w:rsidR="000D1C97">
              <w:rPr>
                <w:rFonts w:cstheme="minorHAnsi"/>
              </w:rPr>
              <w:t>Issue 1</w:t>
            </w:r>
            <w:r w:rsidRPr="000E3C66" w:rsidR="0051047E">
              <w:rPr>
                <w:rFonts w:cstheme="minorHAnsi"/>
              </w:rPr>
              <w:t xml:space="preserve">.a.:  </w:t>
            </w:r>
            <w:r w:rsidRPr="000E3C66" w:rsidR="0051047E">
              <w:t xml:space="preserve"> </w:t>
            </w:r>
            <w:r w:rsidRPr="000E3C66" w:rsidR="0051047E">
              <w:rPr>
                <w:rFonts w:cstheme="minorHAnsi"/>
              </w:rPr>
              <w:t xml:space="preserve">A4NR contended that PG&amp;E </w:t>
            </w:r>
            <w:r w:rsidRPr="000E3C66" w:rsidR="005E5AD3">
              <w:rPr>
                <w:rFonts w:cstheme="minorHAnsi"/>
              </w:rPr>
              <w:t xml:space="preserve">disclosures to DOE indicated a similar omission of costs of incremental employee retention benefits from PG&amp;E’s forecast of </w:t>
            </w:r>
            <w:r w:rsidRPr="000E3C66" w:rsidR="005E5AD3">
              <w:rPr>
                <w:rFonts w:cstheme="minorHAnsi"/>
              </w:rPr>
              <w:lastRenderedPageBreak/>
              <w:t>Diablo Canyon extended operating costs.</w:t>
            </w:r>
          </w:p>
        </w:tc>
        <w:tc>
          <w:tcPr>
            <w:tcW w:w="3870" w:type="dxa"/>
            <w:shd w:val="clear" w:color="auto" w:fill="auto"/>
          </w:tcPr>
          <w:p w:rsidRPr="000E3C66" w:rsidR="005E5AD3" w:rsidP="00FB31D7" w:rsidRDefault="005E5AD3" w14:paraId="34DE5F8D" w14:textId="0214FE6E">
            <w:pPr>
              <w:keepNext/>
              <w:spacing w:after="240"/>
              <w:rPr>
                <w:rFonts w:cstheme="minorHAnsi"/>
              </w:rPr>
            </w:pPr>
            <w:r w:rsidRPr="000E3C66">
              <w:rPr>
                <w:rFonts w:cstheme="minorHAnsi"/>
              </w:rPr>
              <w:lastRenderedPageBreak/>
              <w:t>9/15/2023 A4NR Opening Brief,</w:t>
            </w:r>
            <w:r w:rsidRPr="000E3C66" w:rsidR="009D4181">
              <w:rPr>
                <w:rFonts w:cstheme="minorHAnsi"/>
              </w:rPr>
              <w:t xml:space="preserve"> p. </w:t>
            </w:r>
            <w:r w:rsidRPr="000E3C66">
              <w:rPr>
                <w:rFonts w:cstheme="minorHAnsi"/>
              </w:rPr>
              <w:t>3, citing A4NR</w:t>
            </w:r>
            <w:r w:rsidRPr="000E3C66" w:rsidR="00F949CB">
              <w:rPr>
                <w:rFonts w:cstheme="minorHAnsi"/>
              </w:rPr>
              <w:noBreakHyphen/>
            </w:r>
            <w:r w:rsidRPr="000E3C66">
              <w:rPr>
                <w:rFonts w:cstheme="minorHAnsi"/>
              </w:rPr>
              <w:t>03</w:t>
            </w:r>
            <w:r w:rsidRPr="000E3C66" w:rsidR="00F949CB">
              <w:rPr>
                <w:rFonts w:cstheme="minorHAnsi"/>
              </w:rPr>
              <w:noBreakHyphen/>
            </w:r>
            <w:r w:rsidRPr="000E3C66">
              <w:rPr>
                <w:rFonts w:cstheme="minorHAnsi"/>
              </w:rPr>
              <w:t>C</w:t>
            </w:r>
            <w:r w:rsidRPr="000E3C66" w:rsidR="00467570">
              <w:rPr>
                <w:rFonts w:cstheme="minorHAnsi"/>
              </w:rPr>
              <w:t xml:space="preserve"> (admitted 8/30/2023)</w:t>
            </w:r>
            <w:r w:rsidRPr="000E3C66">
              <w:rPr>
                <w:rFonts w:cstheme="minorHAnsi"/>
              </w:rPr>
              <w:t>,</w:t>
            </w:r>
            <w:r w:rsidRPr="000E3C66" w:rsidR="009D4181">
              <w:t xml:space="preserve"> p. </w:t>
            </w:r>
            <w:r w:rsidRPr="000E3C66">
              <w:rPr>
                <w:rFonts w:cstheme="minorHAnsi"/>
              </w:rPr>
              <w:t xml:space="preserve">7, </w:t>
            </w:r>
            <w:r w:rsidRPr="000E3C66" w:rsidR="00964D3B">
              <w:rPr>
                <w:rFonts w:cstheme="minorHAnsi"/>
              </w:rPr>
              <w:t>lines 5</w:t>
            </w:r>
            <w:r w:rsidRPr="000E3C66" w:rsidR="009D4181">
              <w:rPr>
                <w:rFonts w:cstheme="minorHAnsi"/>
              </w:rPr>
              <w:noBreakHyphen/>
            </w:r>
            <w:r w:rsidRPr="000E3C66">
              <w:rPr>
                <w:rFonts w:cstheme="minorHAnsi"/>
              </w:rPr>
              <w:t>16</w:t>
            </w:r>
            <w:r w:rsidRPr="000E3C66" w:rsidR="006F1CF7">
              <w:rPr>
                <w:rFonts w:cstheme="minorHAnsi"/>
              </w:rPr>
              <w:t>;</w:t>
            </w:r>
            <w:r w:rsidRPr="000E3C66">
              <w:rPr>
                <w:rFonts w:cstheme="minorHAnsi"/>
              </w:rPr>
              <w:t xml:space="preserve"> </w:t>
            </w:r>
            <w:r w:rsidRPr="000E3C66" w:rsidR="00DF16AA">
              <w:rPr>
                <w:rFonts w:cstheme="minorHAnsi"/>
              </w:rPr>
              <w:t>A4NR</w:t>
            </w:r>
            <w:r w:rsidRPr="000E3C66" w:rsidR="00F949CB">
              <w:rPr>
                <w:rFonts w:cstheme="minorHAnsi"/>
              </w:rPr>
              <w:noBreakHyphen/>
            </w:r>
            <w:r w:rsidRPr="000E3C66" w:rsidR="00DF16AA">
              <w:rPr>
                <w:rFonts w:cstheme="minorHAnsi"/>
              </w:rPr>
              <w:t>03 (</w:t>
            </w:r>
            <w:r w:rsidRPr="000E3C66" w:rsidR="00421EC0">
              <w:rPr>
                <w:rFonts w:cstheme="minorHAnsi"/>
              </w:rPr>
              <w:t xml:space="preserve">served 7/28/2023, </w:t>
            </w:r>
            <w:r w:rsidRPr="000E3C66" w:rsidR="00DF16AA">
              <w:rPr>
                <w:rFonts w:cstheme="minorHAnsi"/>
              </w:rPr>
              <w:t>admitted 8/30/2023),</w:t>
            </w:r>
            <w:r w:rsidRPr="000E3C66" w:rsidR="009D4181">
              <w:rPr>
                <w:rFonts w:cstheme="minorHAnsi"/>
              </w:rPr>
              <w:t xml:space="preserve"> p. </w:t>
            </w:r>
            <w:r w:rsidRPr="000E3C66" w:rsidR="00DF16AA">
              <w:rPr>
                <w:rFonts w:cstheme="minorHAnsi"/>
              </w:rPr>
              <w:t xml:space="preserve">7, </w:t>
            </w:r>
            <w:r w:rsidRPr="000E3C66" w:rsidR="00964D3B">
              <w:rPr>
                <w:rFonts w:cstheme="minorHAnsi"/>
              </w:rPr>
              <w:t>lines 5</w:t>
            </w:r>
            <w:r w:rsidRPr="000E3C66" w:rsidR="009D4181">
              <w:rPr>
                <w:rFonts w:cstheme="minorHAnsi"/>
              </w:rPr>
              <w:noBreakHyphen/>
            </w:r>
            <w:r w:rsidRPr="000E3C66" w:rsidR="00DF16AA">
              <w:rPr>
                <w:rFonts w:cstheme="minorHAnsi"/>
              </w:rPr>
              <w:t>13.</w:t>
            </w:r>
          </w:p>
          <w:p w:rsidRPr="000E3C66" w:rsidR="00D73979" w:rsidP="00FB31D7" w:rsidRDefault="00D73979" w14:paraId="1BA34CDA" w14:textId="03106420">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COL #16: “PG&amp;E’s cost forecast does not reflect all of the costs associated with DCPP </w:t>
            </w:r>
            <w:r w:rsidRPr="000E3C66">
              <w:rPr>
                <w:rFonts w:cstheme="minorHAnsi"/>
              </w:rPr>
              <w:lastRenderedPageBreak/>
              <w:t>extended operations, and therefore is not an adequate foundation upon which to evaluate the cost</w:t>
            </w:r>
            <w:r w:rsidRPr="000E3C66" w:rsidR="00F949CB">
              <w:rPr>
                <w:rFonts w:cstheme="minorHAnsi"/>
              </w:rPr>
              <w:noBreakHyphen/>
            </w:r>
            <w:r w:rsidRPr="000E3C66">
              <w:rPr>
                <w:rFonts w:cstheme="minorHAnsi"/>
              </w:rPr>
              <w:t>effectiveness, prudence, or reasonableness of DCPP operations.”</w:t>
            </w:r>
          </w:p>
          <w:p w:rsidRPr="000E3C66" w:rsidR="00371336" w:rsidP="00FB31D7" w:rsidRDefault="005E5AD3" w14:paraId="4797F347" w14:textId="5186F21A">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#18: “It is reasonable for PG&amp;E to provide, in a single forecast analysis, any and all costs PG&amp;E expects to be recovered from utility ratepayers for DCPP extended operations.”</w:t>
            </w:r>
          </w:p>
        </w:tc>
        <w:tc>
          <w:tcPr>
            <w:tcW w:w="2705" w:type="dxa"/>
            <w:shd w:val="clear" w:color="auto" w:fill="auto"/>
          </w:tcPr>
          <w:p w:rsidRPr="000E3C66" w:rsidR="00452442" w:rsidP="00471EE6" w:rsidRDefault="00452442" w14:paraId="44A60339" w14:textId="77777777">
            <w:pPr>
              <w:keepNext/>
              <w:spacing w:after="240"/>
            </w:pPr>
            <w:r w:rsidRPr="000E3C66">
              <w:lastRenderedPageBreak/>
              <w:t>Noted</w:t>
            </w:r>
          </w:p>
          <w:p w:rsidRPr="000E3C66" w:rsidR="0051047E" w:rsidP="00471EE6" w:rsidRDefault="00452442" w14:paraId="2B5CB307" w14:textId="1C6F45D0">
            <w:pPr>
              <w:keepNext/>
              <w:spacing w:after="240"/>
            </w:pPr>
            <w:r w:rsidRPr="000E3C66">
              <w:t>D.23</w:t>
            </w:r>
            <w:r w:rsidRPr="000E3C66" w:rsidR="00F949CB">
              <w:noBreakHyphen/>
            </w:r>
            <w:r w:rsidRPr="000E3C66">
              <w:t>12</w:t>
            </w:r>
            <w:r w:rsidRPr="000E3C66" w:rsidR="00F949CB">
              <w:noBreakHyphen/>
            </w:r>
            <w:r w:rsidRPr="000E3C66">
              <w:t xml:space="preserve">036 at 53 states, “…the Commission is unable to determine whether DCPP extended operations are “too high to justify,” or “not cost effective or imprudent, or </w:t>
            </w:r>
            <w:r w:rsidRPr="000E3C66">
              <w:lastRenderedPageBreak/>
              <w:t xml:space="preserve">both.” As of the date of this decision, we find the conditions set forth in </w:t>
            </w:r>
            <w:r w:rsidRPr="000E3C66" w:rsidR="00885CF8">
              <w:t>Section </w:t>
            </w:r>
            <w:r w:rsidRPr="000E3C66">
              <w:t xml:space="preserve">712.8(c)(2)(B) and </w:t>
            </w:r>
            <w:r w:rsidRPr="000E3C66" w:rsidR="00885CF8">
              <w:t>Pub. Res.</w:t>
            </w:r>
            <w:r w:rsidRPr="000E3C66">
              <w:t xml:space="preserve"> Code </w:t>
            </w:r>
            <w:r w:rsidRPr="000E3C66" w:rsidR="00885CF8">
              <w:t>Section </w:t>
            </w:r>
            <w:r w:rsidRPr="000E3C66">
              <w:t>25548.3(c)(5)(C) have not been met.”</w:t>
            </w:r>
          </w:p>
        </w:tc>
      </w:tr>
      <w:tr w:rsidRPr="000E3C66" w:rsidR="000E3C66" w:rsidTr="00885CF8" w14:paraId="2BC3F7C9" w14:textId="77777777">
        <w:tc>
          <w:tcPr>
            <w:tcW w:w="2785" w:type="dxa"/>
            <w:shd w:val="clear" w:color="auto" w:fill="auto"/>
          </w:tcPr>
          <w:p w:rsidRPr="000E3C66" w:rsidR="006A2F1D" w:rsidP="007A784D" w:rsidRDefault="00481180" w14:paraId="56424818" w14:textId="7E01350F">
            <w:pPr>
              <w:keepNext/>
              <w:spacing w:after="240"/>
            </w:pPr>
            <w:r w:rsidRPr="000E3C66">
              <w:lastRenderedPageBreak/>
              <w:t>6</w:t>
            </w:r>
            <w:r w:rsidRPr="000E3C66" w:rsidR="006A2F1D">
              <w:t xml:space="preserve">. </w:t>
            </w:r>
            <w:r w:rsidRPr="000E3C66" w:rsidR="006A2F1D">
              <w:rPr>
                <w:rFonts w:cstheme="minorHAnsi"/>
              </w:rPr>
              <w:t xml:space="preserve">Scoping Memo </w:t>
            </w:r>
            <w:r w:rsidRPr="000E3C66" w:rsidR="000D1C97">
              <w:rPr>
                <w:rFonts w:cstheme="minorHAnsi"/>
              </w:rPr>
              <w:t>Issue 1</w:t>
            </w:r>
            <w:r w:rsidRPr="000E3C66" w:rsidR="006A2F1D">
              <w:rPr>
                <w:rFonts w:cstheme="minorHAnsi"/>
              </w:rPr>
              <w:t>.c.:  A4NR contended that PG&amp;E’s cost forecast had understated</w:t>
            </w:r>
            <w:r w:rsidRPr="000E3C66" w:rsidR="00021BFF">
              <w:rPr>
                <w:rFonts w:cstheme="minorHAnsi"/>
              </w:rPr>
              <w:t xml:space="preserve"> costs of seismic upgrades by delaying commencement of the statutorily required update. </w:t>
            </w:r>
            <w:r w:rsidRPr="000E3C66" w:rsidR="006A2F1D">
              <w:rPr>
                <w:rFonts w:cstheme="minorHAnsi"/>
              </w:rPr>
              <w:t xml:space="preserve"> </w:t>
            </w:r>
          </w:p>
        </w:tc>
        <w:tc>
          <w:tcPr>
            <w:tcW w:w="3870" w:type="dxa"/>
            <w:shd w:val="clear" w:color="auto" w:fill="auto"/>
          </w:tcPr>
          <w:p w:rsidRPr="000E3C66" w:rsidR="00D25993" w:rsidP="00FB31D7" w:rsidRDefault="00021BFF" w14:paraId="6CB89ADC" w14:textId="6D8F15A4">
            <w:pPr>
              <w:keepNext/>
              <w:spacing w:after="240"/>
              <w:rPr>
                <w:rFonts w:cstheme="minorHAnsi"/>
              </w:rPr>
            </w:pPr>
            <w:r w:rsidRPr="000E3C66">
              <w:rPr>
                <w:rFonts w:cstheme="minorHAnsi"/>
              </w:rPr>
              <w:t>9/15/2023 A4NR Opening Brief,</w:t>
            </w:r>
            <w:r w:rsidRPr="000E3C66" w:rsidR="009D4181">
              <w:rPr>
                <w:rFonts w:cstheme="minorHAnsi"/>
              </w:rPr>
              <w:t xml:space="preserve"> p. </w:t>
            </w:r>
            <w:r w:rsidRPr="000E3C66">
              <w:rPr>
                <w:rFonts w:cstheme="minorHAnsi"/>
              </w:rPr>
              <w:t>5</w:t>
            </w:r>
            <w:r w:rsidRPr="000E3C66" w:rsidR="00225EC5">
              <w:rPr>
                <w:rFonts w:cstheme="minorHAnsi"/>
              </w:rPr>
              <w:t xml:space="preserve">; </w:t>
            </w:r>
            <w:r w:rsidRPr="000E3C66" w:rsidR="00725521">
              <w:rPr>
                <w:rFonts w:cstheme="minorHAnsi"/>
              </w:rPr>
              <w:t>9/29/2023 A4NR Reply Brief,</w:t>
            </w:r>
            <w:r w:rsidRPr="000E3C66" w:rsidR="009D4181">
              <w:rPr>
                <w:rFonts w:cstheme="minorHAnsi"/>
              </w:rPr>
              <w:t xml:space="preserve"> pp. </w:t>
            </w:r>
            <w:r w:rsidRPr="000E3C66" w:rsidR="00725521">
              <w:rPr>
                <w:rFonts w:cstheme="minorHAnsi"/>
              </w:rPr>
              <w:t>9</w:t>
            </w:r>
            <w:r w:rsidRPr="000E3C66" w:rsidR="009D4181">
              <w:rPr>
                <w:rFonts w:cstheme="minorHAnsi"/>
              </w:rPr>
              <w:noBreakHyphen/>
            </w:r>
            <w:r w:rsidRPr="000E3C66" w:rsidR="00725521">
              <w:rPr>
                <w:rFonts w:cstheme="minorHAnsi"/>
              </w:rPr>
              <w:t>10; A4NR</w:t>
            </w:r>
            <w:r w:rsidRPr="000E3C66" w:rsidR="00F949CB">
              <w:rPr>
                <w:rFonts w:cstheme="minorHAnsi"/>
              </w:rPr>
              <w:noBreakHyphen/>
            </w:r>
            <w:r w:rsidRPr="000E3C66" w:rsidR="00725521">
              <w:rPr>
                <w:rFonts w:cstheme="minorHAnsi"/>
              </w:rPr>
              <w:t>01 (</w:t>
            </w:r>
            <w:r w:rsidRPr="000E3C66" w:rsidR="00B41E47">
              <w:rPr>
                <w:rFonts w:cstheme="minorHAnsi"/>
              </w:rPr>
              <w:t xml:space="preserve">served 6/30/2023, </w:t>
            </w:r>
            <w:r w:rsidRPr="000E3C66" w:rsidR="00725521">
              <w:rPr>
                <w:rFonts w:cstheme="minorHAnsi"/>
              </w:rPr>
              <w:t>admitted 8/30/</w:t>
            </w:r>
            <w:r w:rsidRPr="000E3C66" w:rsidR="00354A27">
              <w:rPr>
                <w:rFonts w:cstheme="minorHAnsi"/>
              </w:rPr>
              <w:t>20</w:t>
            </w:r>
            <w:r w:rsidRPr="000E3C66" w:rsidR="00725521">
              <w:rPr>
                <w:rFonts w:cstheme="minorHAnsi"/>
              </w:rPr>
              <w:t>23),</w:t>
            </w:r>
            <w:r w:rsidRPr="000E3C66" w:rsidR="009D4181">
              <w:rPr>
                <w:rFonts w:cstheme="minorHAnsi"/>
              </w:rPr>
              <w:t xml:space="preserve"> p. </w:t>
            </w:r>
            <w:r w:rsidRPr="000E3C66" w:rsidR="00725521">
              <w:rPr>
                <w:rFonts w:cstheme="minorHAnsi"/>
              </w:rPr>
              <w:t xml:space="preserve">3, </w:t>
            </w:r>
            <w:r w:rsidRPr="000E3C66" w:rsidR="00964D3B">
              <w:rPr>
                <w:rFonts w:cstheme="minorHAnsi"/>
              </w:rPr>
              <w:t>line 2</w:t>
            </w:r>
            <w:r w:rsidRPr="000E3C66" w:rsidR="00725521">
              <w:rPr>
                <w:rFonts w:cstheme="minorHAnsi"/>
              </w:rPr>
              <w:t>1</w:t>
            </w:r>
            <w:r w:rsidRPr="000E3C66" w:rsidR="009D4181">
              <w:rPr>
                <w:rFonts w:cstheme="minorHAnsi"/>
              </w:rPr>
              <w:t> </w:t>
            </w:r>
            <w:r w:rsidRPr="000E3C66" w:rsidR="009D4181">
              <w:rPr>
                <w:rFonts w:cstheme="minorHAnsi"/>
              </w:rPr>
              <w:noBreakHyphen/>
              <w:t xml:space="preserve"> p. </w:t>
            </w:r>
            <w:r w:rsidRPr="000E3C66" w:rsidR="00725521">
              <w:rPr>
                <w:rFonts w:cstheme="minorHAnsi"/>
              </w:rPr>
              <w:t xml:space="preserve">5, </w:t>
            </w:r>
            <w:r w:rsidRPr="000E3C66" w:rsidR="00964D3B">
              <w:rPr>
                <w:rFonts w:cstheme="minorHAnsi"/>
              </w:rPr>
              <w:t>line 1</w:t>
            </w:r>
            <w:r w:rsidRPr="000E3C66" w:rsidR="00725521">
              <w:rPr>
                <w:rFonts w:cstheme="minorHAnsi"/>
              </w:rPr>
              <w:t>8</w:t>
            </w:r>
            <w:r w:rsidRPr="000E3C66" w:rsidR="00354A27">
              <w:rPr>
                <w:rFonts w:cstheme="minorHAnsi"/>
              </w:rPr>
              <w:t>,</w:t>
            </w:r>
            <w:r w:rsidRPr="000E3C66" w:rsidR="009D4181">
              <w:rPr>
                <w:rFonts w:cstheme="minorHAnsi"/>
              </w:rPr>
              <w:t xml:space="preserve"> p. </w:t>
            </w:r>
            <w:r w:rsidRPr="000E3C66" w:rsidR="00354A27">
              <w:rPr>
                <w:rFonts w:cstheme="minorHAnsi"/>
              </w:rPr>
              <w:t xml:space="preserve">9, </w:t>
            </w:r>
            <w:r w:rsidRPr="000E3C66" w:rsidR="00964D3B">
              <w:rPr>
                <w:rFonts w:cstheme="minorHAnsi"/>
              </w:rPr>
              <w:t>line 1</w:t>
            </w:r>
            <w:r w:rsidRPr="000E3C66" w:rsidR="00354A27">
              <w:rPr>
                <w:rFonts w:cstheme="minorHAnsi"/>
              </w:rPr>
              <w:t>3</w:t>
            </w:r>
            <w:r w:rsidRPr="000E3C66" w:rsidR="009D4181">
              <w:rPr>
                <w:rFonts w:cstheme="minorHAnsi"/>
              </w:rPr>
              <w:t> </w:t>
            </w:r>
            <w:r w:rsidRPr="000E3C66" w:rsidR="009D4181">
              <w:rPr>
                <w:rFonts w:cstheme="minorHAnsi"/>
              </w:rPr>
              <w:noBreakHyphen/>
              <w:t xml:space="preserve"> p. </w:t>
            </w:r>
            <w:r w:rsidRPr="000E3C66" w:rsidR="00354A27">
              <w:rPr>
                <w:rFonts w:cstheme="minorHAnsi"/>
              </w:rPr>
              <w:t xml:space="preserve">11, </w:t>
            </w:r>
            <w:r w:rsidRPr="000E3C66" w:rsidR="00964D3B">
              <w:rPr>
                <w:rFonts w:cstheme="minorHAnsi"/>
              </w:rPr>
              <w:t>line 1</w:t>
            </w:r>
            <w:r w:rsidRPr="000E3C66" w:rsidR="00354A27">
              <w:rPr>
                <w:rFonts w:cstheme="minorHAnsi"/>
              </w:rPr>
              <w:t>6</w:t>
            </w:r>
            <w:r w:rsidRPr="000E3C66" w:rsidR="00725521">
              <w:rPr>
                <w:rFonts w:cstheme="minorHAnsi"/>
              </w:rPr>
              <w:t>; A4NR</w:t>
            </w:r>
            <w:r w:rsidRPr="000E3C66" w:rsidR="00F949CB">
              <w:rPr>
                <w:rFonts w:cstheme="minorHAnsi"/>
              </w:rPr>
              <w:noBreakHyphen/>
            </w:r>
            <w:r w:rsidRPr="000E3C66" w:rsidR="00725521">
              <w:rPr>
                <w:rFonts w:cstheme="minorHAnsi"/>
              </w:rPr>
              <w:t>02 (</w:t>
            </w:r>
            <w:r w:rsidRPr="000E3C66" w:rsidR="00B41E47">
              <w:rPr>
                <w:rFonts w:cstheme="minorHAnsi"/>
              </w:rPr>
              <w:t xml:space="preserve">served 7/28/2023, </w:t>
            </w:r>
            <w:r w:rsidRPr="000E3C66" w:rsidR="00725521">
              <w:rPr>
                <w:rFonts w:cstheme="minorHAnsi"/>
              </w:rPr>
              <w:t>admitted 8/30/2023),</w:t>
            </w:r>
            <w:r w:rsidRPr="000E3C66" w:rsidR="009D4181">
              <w:rPr>
                <w:rFonts w:cstheme="minorHAnsi"/>
              </w:rPr>
              <w:t xml:space="preserve"> p. </w:t>
            </w:r>
            <w:r w:rsidRPr="000E3C66" w:rsidR="00725521">
              <w:rPr>
                <w:rFonts w:cstheme="minorHAnsi"/>
              </w:rPr>
              <w:t xml:space="preserve">4, </w:t>
            </w:r>
            <w:r w:rsidRPr="000E3C66" w:rsidR="00964D3B">
              <w:rPr>
                <w:rFonts w:cstheme="minorHAnsi"/>
              </w:rPr>
              <w:t>line 1</w:t>
            </w:r>
            <w:r w:rsidRPr="000E3C66" w:rsidR="00D25993">
              <w:rPr>
                <w:rFonts w:cstheme="minorHAnsi"/>
              </w:rPr>
              <w:t>7</w:t>
            </w:r>
            <w:r w:rsidRPr="000E3C66" w:rsidR="009D4181">
              <w:rPr>
                <w:rFonts w:cstheme="minorHAnsi"/>
              </w:rPr>
              <w:t> </w:t>
            </w:r>
            <w:r w:rsidRPr="000E3C66" w:rsidR="009D4181">
              <w:rPr>
                <w:rFonts w:cstheme="minorHAnsi"/>
              </w:rPr>
              <w:noBreakHyphen/>
              <w:t xml:space="preserve"> p. </w:t>
            </w:r>
            <w:r w:rsidRPr="000E3C66" w:rsidR="00D25993">
              <w:rPr>
                <w:rFonts w:cstheme="minorHAnsi"/>
              </w:rPr>
              <w:t xml:space="preserve">8, </w:t>
            </w:r>
            <w:r w:rsidRPr="000E3C66" w:rsidR="00964D3B">
              <w:rPr>
                <w:rFonts w:cstheme="minorHAnsi"/>
              </w:rPr>
              <w:t>line 3</w:t>
            </w:r>
            <w:r w:rsidRPr="000E3C66" w:rsidR="00354A27">
              <w:rPr>
                <w:rFonts w:cstheme="minorHAnsi"/>
              </w:rPr>
              <w:t>;</w:t>
            </w:r>
            <w:r w:rsidRPr="000E3C66" w:rsidR="006F1CF7">
              <w:rPr>
                <w:rFonts w:cstheme="minorHAnsi"/>
              </w:rPr>
              <w:t xml:space="preserve"> A4NR</w:t>
            </w:r>
            <w:r w:rsidRPr="000E3C66" w:rsidR="00F949CB">
              <w:rPr>
                <w:rFonts w:cstheme="minorHAnsi"/>
              </w:rPr>
              <w:noBreakHyphen/>
            </w:r>
            <w:r w:rsidRPr="000E3C66" w:rsidR="006F1CF7">
              <w:rPr>
                <w:rFonts w:cstheme="minorHAnsi"/>
              </w:rPr>
              <w:t>04 (served 8/8/2023, admitted 8/30/2023),</w:t>
            </w:r>
            <w:r w:rsidRPr="000E3C66" w:rsidR="009D4181">
              <w:rPr>
                <w:rFonts w:cstheme="minorHAnsi"/>
              </w:rPr>
              <w:t xml:space="preserve"> p. </w:t>
            </w:r>
            <w:r w:rsidRPr="000E3C66" w:rsidR="006F1CF7">
              <w:rPr>
                <w:rFonts w:cstheme="minorHAnsi"/>
              </w:rPr>
              <w:t xml:space="preserve">2, </w:t>
            </w:r>
            <w:r w:rsidRPr="000E3C66" w:rsidR="00964D3B">
              <w:rPr>
                <w:rFonts w:cstheme="minorHAnsi"/>
              </w:rPr>
              <w:t>line 5</w:t>
            </w:r>
            <w:r w:rsidRPr="000E3C66" w:rsidR="009D4181">
              <w:rPr>
                <w:rFonts w:cstheme="minorHAnsi"/>
              </w:rPr>
              <w:t> </w:t>
            </w:r>
            <w:r w:rsidRPr="000E3C66" w:rsidR="009D4181">
              <w:rPr>
                <w:rFonts w:cstheme="minorHAnsi"/>
              </w:rPr>
              <w:noBreakHyphen/>
              <w:t xml:space="preserve"> p. </w:t>
            </w:r>
            <w:r w:rsidRPr="000E3C66" w:rsidR="006F1CF7">
              <w:rPr>
                <w:rFonts w:cstheme="minorHAnsi"/>
              </w:rPr>
              <w:t xml:space="preserve">3, </w:t>
            </w:r>
            <w:r w:rsidRPr="000E3C66" w:rsidR="00964D3B">
              <w:rPr>
                <w:rFonts w:cstheme="minorHAnsi"/>
              </w:rPr>
              <w:t>line 5</w:t>
            </w:r>
            <w:r w:rsidRPr="000E3C66" w:rsidR="006F1CF7">
              <w:rPr>
                <w:rFonts w:cstheme="minorHAnsi"/>
              </w:rPr>
              <w:t>;</w:t>
            </w:r>
            <w:r w:rsidRPr="000E3C66" w:rsidR="00354A27">
              <w:rPr>
                <w:rFonts w:cstheme="minorHAnsi"/>
              </w:rPr>
              <w:t xml:space="preserve"> A4NR</w:t>
            </w:r>
            <w:r w:rsidRPr="000E3C66" w:rsidR="00F949CB">
              <w:rPr>
                <w:rFonts w:cstheme="minorHAnsi"/>
              </w:rPr>
              <w:noBreakHyphen/>
            </w:r>
            <w:r w:rsidRPr="000E3C66" w:rsidR="00354A27">
              <w:rPr>
                <w:rFonts w:cstheme="minorHAnsi"/>
              </w:rPr>
              <w:t xml:space="preserve">05 (admitted </w:t>
            </w:r>
            <w:r w:rsidRPr="000E3C66" w:rsidR="001C5C35">
              <w:rPr>
                <w:rFonts w:cstheme="minorHAnsi"/>
              </w:rPr>
              <w:t>9</w:t>
            </w:r>
            <w:r w:rsidRPr="000E3C66" w:rsidR="00354A27">
              <w:rPr>
                <w:rFonts w:cstheme="minorHAnsi"/>
              </w:rPr>
              <w:t>/</w:t>
            </w:r>
            <w:r w:rsidRPr="000E3C66" w:rsidR="001C5C35">
              <w:rPr>
                <w:rFonts w:cstheme="minorHAnsi"/>
              </w:rPr>
              <w:t>6</w:t>
            </w:r>
            <w:r w:rsidRPr="000E3C66" w:rsidR="00354A27">
              <w:rPr>
                <w:rFonts w:cstheme="minorHAnsi"/>
              </w:rPr>
              <w:t>/2023), part 3</w:t>
            </w:r>
            <w:r w:rsidRPr="000E3C66" w:rsidR="000E587C">
              <w:rPr>
                <w:rFonts w:cstheme="minorHAnsi"/>
              </w:rPr>
              <w:t>; 11/7/2023 Oral Argument Transcript,</w:t>
            </w:r>
            <w:r w:rsidRPr="000E3C66" w:rsidR="009D4181">
              <w:rPr>
                <w:rFonts w:cstheme="minorHAnsi"/>
              </w:rPr>
              <w:t xml:space="preserve"> p. </w:t>
            </w:r>
            <w:r w:rsidRPr="000E3C66" w:rsidR="00CD399A">
              <w:rPr>
                <w:rFonts w:cstheme="minorHAnsi"/>
              </w:rPr>
              <w:t xml:space="preserve">394, </w:t>
            </w:r>
            <w:r w:rsidRPr="000E3C66" w:rsidR="00964D3B">
              <w:rPr>
                <w:rFonts w:cstheme="minorHAnsi"/>
              </w:rPr>
              <w:t>lines 2</w:t>
            </w:r>
            <w:r w:rsidRPr="000E3C66" w:rsidR="00CD399A">
              <w:rPr>
                <w:rFonts w:cstheme="minorHAnsi"/>
              </w:rPr>
              <w:t>0</w:t>
            </w:r>
            <w:r w:rsidRPr="000E3C66" w:rsidR="009D4181">
              <w:rPr>
                <w:rFonts w:cstheme="minorHAnsi"/>
              </w:rPr>
              <w:noBreakHyphen/>
            </w:r>
            <w:r w:rsidRPr="000E3C66" w:rsidR="00CD399A">
              <w:rPr>
                <w:rFonts w:cstheme="minorHAnsi"/>
              </w:rPr>
              <w:t>22</w:t>
            </w:r>
            <w:r w:rsidRPr="000E3C66" w:rsidR="00D25993">
              <w:rPr>
                <w:rFonts w:cstheme="minorHAnsi"/>
              </w:rPr>
              <w:t>.</w:t>
            </w:r>
          </w:p>
          <w:p w:rsidRPr="000E3C66" w:rsidR="00D25993" w:rsidP="00FB31D7" w:rsidRDefault="00D25993" w14:paraId="23500A1D" w14:textId="4BBFC1D9">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#16: “PG&amp;E’s cost forecast does not reflect all of the costs associated with DCPP extended operations, and therefore is not an adequate foundation upon which to evaluate the cost</w:t>
            </w:r>
            <w:r w:rsidRPr="000E3C66" w:rsidR="00F949CB">
              <w:rPr>
                <w:rFonts w:cstheme="minorHAnsi"/>
              </w:rPr>
              <w:noBreakHyphen/>
            </w:r>
            <w:r w:rsidRPr="000E3C66">
              <w:rPr>
                <w:rFonts w:cstheme="minorHAnsi"/>
              </w:rPr>
              <w:t>effectiveness, prudence, or reasonableness of DCPP operations.”</w:t>
            </w:r>
          </w:p>
          <w:p w:rsidRPr="000E3C66" w:rsidR="006A2F1D" w:rsidP="00FB31D7" w:rsidRDefault="001A1C66" w14:paraId="67FED262" w14:textId="71478E12">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D25993">
              <w:rPr>
                <w:rFonts w:cstheme="minorHAnsi"/>
              </w:rPr>
              <w:t>Dicta at</w:t>
            </w:r>
            <w:r w:rsidRPr="000E3C66" w:rsidR="009D4181">
              <w:rPr>
                <w:rFonts w:cstheme="minorHAnsi"/>
              </w:rPr>
              <w:t xml:space="preserve"> pp. </w:t>
            </w:r>
            <w:r w:rsidRPr="000E3C66" w:rsidR="00D25993">
              <w:rPr>
                <w:rFonts w:cstheme="minorHAnsi"/>
              </w:rPr>
              <w:t>48</w:t>
            </w:r>
            <w:r w:rsidRPr="000E3C66" w:rsidR="009D4181">
              <w:rPr>
                <w:rFonts w:cstheme="minorHAnsi"/>
              </w:rPr>
              <w:noBreakHyphen/>
            </w:r>
            <w:r w:rsidRPr="000E3C66" w:rsidR="00D25993">
              <w:rPr>
                <w:rFonts w:cstheme="minorHAnsi"/>
              </w:rPr>
              <w:t>49: “Absent any actual</w:t>
            </w:r>
            <w:r w:rsidRPr="000E3C66" w:rsidR="00D25993">
              <w:t xml:space="preserve"> </w:t>
            </w:r>
            <w:r w:rsidRPr="000E3C66" w:rsidR="00D25993">
              <w:rPr>
                <w:rFonts w:cstheme="minorHAnsi"/>
              </w:rPr>
              <w:t xml:space="preserve">recommendations and conditions from the DCISC …, it is not possible for the Commission to assess whether associated, unknown costs render the extension of Diablo </w:t>
            </w:r>
            <w:r w:rsidRPr="000E3C66" w:rsidR="00D25993">
              <w:rPr>
                <w:rFonts w:cstheme="minorHAnsi"/>
              </w:rPr>
              <w:lastRenderedPageBreak/>
              <w:t>Canyon operations too high to justify.”</w:t>
            </w:r>
          </w:p>
          <w:p w:rsidRPr="000E3C66" w:rsidR="00160603" w:rsidP="00FB31D7" w:rsidRDefault="001A1C66" w14:paraId="47D4A725" w14:textId="182EB40F">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9D318F">
              <w:rPr>
                <w:rFonts w:cstheme="minorHAnsi"/>
              </w:rPr>
              <w:t>Dicta at</w:t>
            </w:r>
            <w:r w:rsidRPr="000E3C66" w:rsidR="009D4181">
              <w:rPr>
                <w:rFonts w:cstheme="minorHAnsi"/>
              </w:rPr>
              <w:t xml:space="preserve"> p. </w:t>
            </w:r>
            <w:r w:rsidRPr="000E3C66" w:rsidR="009D318F">
              <w:rPr>
                <w:rFonts w:cstheme="minorHAnsi"/>
              </w:rPr>
              <w:t>50: “</w:t>
            </w:r>
            <w:r w:rsidRPr="000E3C66" w:rsidR="003949B3">
              <w:rPr>
                <w:rFonts w:cstheme="minorHAnsi"/>
              </w:rPr>
              <w:t>we find party proposals that assert DCPP extended operations are cost</w:t>
            </w:r>
            <w:r w:rsidRPr="000E3C66" w:rsidR="00F949CB">
              <w:rPr>
                <w:rFonts w:cstheme="minorHAnsi"/>
              </w:rPr>
              <w:noBreakHyphen/>
            </w:r>
            <w:r w:rsidRPr="000E3C66" w:rsidR="003949B3">
              <w:rPr>
                <w:rFonts w:cstheme="minorHAnsi"/>
              </w:rPr>
              <w:t>effective to be materially incomplete or inconclusive, and further highlight the uncertainty of costs presented in this proceeding.”</w:t>
            </w:r>
          </w:p>
        </w:tc>
        <w:tc>
          <w:tcPr>
            <w:tcW w:w="2705" w:type="dxa"/>
            <w:shd w:val="clear" w:color="auto" w:fill="auto"/>
          </w:tcPr>
          <w:p w:rsidRPr="000E3C66" w:rsidR="009D318F" w:rsidP="00471EE6" w:rsidRDefault="001C45B4" w14:paraId="441D1BE5" w14:textId="2847581F">
            <w:pPr>
              <w:keepNext/>
              <w:spacing w:after="240"/>
            </w:pPr>
            <w:r w:rsidRPr="000E3C66">
              <w:lastRenderedPageBreak/>
              <w:t>Noted</w:t>
            </w:r>
          </w:p>
        </w:tc>
      </w:tr>
      <w:tr w:rsidRPr="000E3C66" w:rsidR="000E3C66" w:rsidTr="00885CF8" w14:paraId="0CD77AD0" w14:textId="77777777">
        <w:tc>
          <w:tcPr>
            <w:tcW w:w="2785" w:type="dxa"/>
            <w:shd w:val="clear" w:color="auto" w:fill="auto"/>
          </w:tcPr>
          <w:p w:rsidRPr="000E3C66" w:rsidR="006A2F1D" w:rsidP="007A784D" w:rsidRDefault="00481180" w14:paraId="699CD6A8" w14:textId="109BFE50">
            <w:pPr>
              <w:keepNext/>
              <w:spacing w:after="240"/>
            </w:pPr>
            <w:r w:rsidRPr="000E3C66">
              <w:t>7</w:t>
            </w:r>
            <w:r w:rsidRPr="000E3C66" w:rsidR="006A2F1D">
              <w:t xml:space="preserve">. </w:t>
            </w:r>
            <w:r w:rsidRPr="000E3C66" w:rsidR="006A2F1D">
              <w:rPr>
                <w:rFonts w:cstheme="minorHAnsi"/>
              </w:rPr>
              <w:t xml:space="preserve">Scoping Memo </w:t>
            </w:r>
            <w:r w:rsidRPr="000E3C66" w:rsidR="000D1C97">
              <w:rPr>
                <w:rFonts w:cstheme="minorHAnsi"/>
              </w:rPr>
              <w:t>Issue 1</w:t>
            </w:r>
            <w:r w:rsidRPr="000E3C66" w:rsidR="006A2F1D">
              <w:rPr>
                <w:rFonts w:cstheme="minorHAnsi"/>
              </w:rPr>
              <w:t>.c.:  A4NR contended that PG&amp;E’s cost forecast had understated</w:t>
            </w:r>
            <w:r w:rsidRPr="000E3C66" w:rsidR="00D25993">
              <w:rPr>
                <w:rFonts w:cstheme="minorHAnsi"/>
              </w:rPr>
              <w:t xml:space="preserve"> costs of addressing deferred maintenance issues </w:t>
            </w:r>
            <w:r w:rsidRPr="000E3C66" w:rsidR="00354A27">
              <w:rPr>
                <w:rFonts w:cstheme="minorHAnsi"/>
              </w:rPr>
              <w:t xml:space="preserve">by </w:t>
            </w:r>
            <w:r w:rsidRPr="000E3C66" w:rsidR="007C1DAC">
              <w:rPr>
                <w:rFonts w:cstheme="minorHAnsi"/>
              </w:rPr>
              <w:t>delayed commencement of its statutorily required independent consultant study and semantic opacity in its internal reviews.</w:t>
            </w:r>
          </w:p>
        </w:tc>
        <w:tc>
          <w:tcPr>
            <w:tcW w:w="3870" w:type="dxa"/>
            <w:shd w:val="clear" w:color="auto" w:fill="auto"/>
          </w:tcPr>
          <w:p w:rsidRPr="000E3C66" w:rsidR="006A2F1D" w:rsidP="00FB31D7" w:rsidRDefault="00021BFF" w14:paraId="1A8EA298" w14:textId="41531510">
            <w:pPr>
              <w:keepNext/>
              <w:spacing w:after="240"/>
              <w:rPr>
                <w:rFonts w:cstheme="minorHAnsi"/>
              </w:rPr>
            </w:pPr>
            <w:r w:rsidRPr="000E3C66">
              <w:rPr>
                <w:rFonts w:cstheme="minorHAnsi"/>
              </w:rPr>
              <w:t>9/15/2023 A4NR Opening Brief,</w:t>
            </w:r>
            <w:r w:rsidRPr="000E3C66" w:rsidR="009D4181">
              <w:rPr>
                <w:rFonts w:cstheme="minorHAnsi"/>
              </w:rPr>
              <w:t xml:space="preserve"> pp. </w:t>
            </w:r>
            <w:r w:rsidRPr="000E3C66">
              <w:rPr>
                <w:rFonts w:cstheme="minorHAnsi"/>
              </w:rPr>
              <w:t>5</w:t>
            </w:r>
            <w:r w:rsidRPr="000E3C66" w:rsidR="009D4181">
              <w:rPr>
                <w:rFonts w:cstheme="minorHAnsi"/>
              </w:rPr>
              <w:noBreakHyphen/>
            </w:r>
            <w:r w:rsidRPr="000E3C66" w:rsidR="007C1DAC">
              <w:rPr>
                <w:rFonts w:cstheme="minorHAnsi"/>
              </w:rPr>
              <w:t>6; 9/29/2023 A4NR Reply Brief,</w:t>
            </w:r>
            <w:r w:rsidRPr="000E3C66" w:rsidR="009D4181">
              <w:rPr>
                <w:rFonts w:cstheme="minorHAnsi"/>
              </w:rPr>
              <w:t xml:space="preserve"> pp. </w:t>
            </w:r>
            <w:r w:rsidRPr="000E3C66" w:rsidR="007C1DAC">
              <w:rPr>
                <w:rFonts w:cstheme="minorHAnsi"/>
              </w:rPr>
              <w:t>10</w:t>
            </w:r>
            <w:r w:rsidRPr="000E3C66" w:rsidR="009D4181">
              <w:rPr>
                <w:rFonts w:cstheme="minorHAnsi"/>
              </w:rPr>
              <w:noBreakHyphen/>
            </w:r>
            <w:r w:rsidRPr="000E3C66" w:rsidR="007C1DAC">
              <w:rPr>
                <w:rFonts w:cstheme="minorHAnsi"/>
              </w:rPr>
              <w:t>11; A4NR</w:t>
            </w:r>
            <w:r w:rsidRPr="000E3C66" w:rsidR="00F949CB">
              <w:rPr>
                <w:rFonts w:cstheme="minorHAnsi"/>
              </w:rPr>
              <w:noBreakHyphen/>
            </w:r>
            <w:r w:rsidRPr="000E3C66" w:rsidR="007C1DAC">
              <w:rPr>
                <w:rFonts w:cstheme="minorHAnsi"/>
              </w:rPr>
              <w:t>01 (</w:t>
            </w:r>
            <w:r w:rsidRPr="000E3C66" w:rsidR="00B41E47">
              <w:rPr>
                <w:rFonts w:cstheme="minorHAnsi"/>
              </w:rPr>
              <w:t xml:space="preserve">served 6/30/2023, </w:t>
            </w:r>
            <w:r w:rsidRPr="000E3C66" w:rsidR="007C1DAC">
              <w:rPr>
                <w:rFonts w:cstheme="minorHAnsi"/>
              </w:rPr>
              <w:t>admitted 8/30/2023),</w:t>
            </w:r>
            <w:r w:rsidRPr="000E3C66" w:rsidR="009D4181">
              <w:rPr>
                <w:rFonts w:cstheme="minorHAnsi"/>
              </w:rPr>
              <w:t xml:space="preserve"> p. </w:t>
            </w:r>
            <w:r w:rsidRPr="000E3C66" w:rsidR="007C1DAC">
              <w:rPr>
                <w:rFonts w:cstheme="minorHAnsi"/>
              </w:rPr>
              <w:t xml:space="preserve">2, </w:t>
            </w:r>
            <w:r w:rsidRPr="000E3C66" w:rsidR="00964D3B">
              <w:rPr>
                <w:rFonts w:cstheme="minorHAnsi"/>
              </w:rPr>
              <w:t>line 2</w:t>
            </w:r>
            <w:r w:rsidRPr="000E3C66" w:rsidR="007C1DAC">
              <w:rPr>
                <w:rFonts w:cstheme="minorHAnsi"/>
              </w:rPr>
              <w:t>9</w:t>
            </w:r>
            <w:r w:rsidRPr="000E3C66" w:rsidR="009D4181">
              <w:rPr>
                <w:rFonts w:cstheme="minorHAnsi"/>
              </w:rPr>
              <w:t> </w:t>
            </w:r>
            <w:r w:rsidRPr="000E3C66" w:rsidR="009D4181">
              <w:rPr>
                <w:rFonts w:cstheme="minorHAnsi"/>
              </w:rPr>
              <w:noBreakHyphen/>
              <w:t xml:space="preserve"> p. </w:t>
            </w:r>
            <w:r w:rsidRPr="000E3C66" w:rsidR="0094244C">
              <w:rPr>
                <w:rFonts w:cstheme="minorHAnsi"/>
              </w:rPr>
              <w:t xml:space="preserve">3, </w:t>
            </w:r>
            <w:r w:rsidRPr="000E3C66" w:rsidR="00964D3B">
              <w:rPr>
                <w:rFonts w:cstheme="minorHAnsi"/>
              </w:rPr>
              <w:t>line 2</w:t>
            </w:r>
            <w:r w:rsidRPr="000E3C66" w:rsidR="0094244C">
              <w:rPr>
                <w:rFonts w:cstheme="minorHAnsi"/>
              </w:rPr>
              <w:t>0,</w:t>
            </w:r>
            <w:r w:rsidRPr="000E3C66" w:rsidR="009D4181">
              <w:rPr>
                <w:rFonts w:cstheme="minorHAnsi"/>
              </w:rPr>
              <w:t xml:space="preserve"> p. </w:t>
            </w:r>
            <w:r w:rsidRPr="000E3C66" w:rsidR="0094244C">
              <w:rPr>
                <w:rFonts w:cstheme="minorHAnsi"/>
              </w:rPr>
              <w:t xml:space="preserve">8, </w:t>
            </w:r>
            <w:r w:rsidRPr="000E3C66" w:rsidR="00964D3B">
              <w:rPr>
                <w:rFonts w:cstheme="minorHAnsi"/>
              </w:rPr>
              <w:t>lines 7</w:t>
            </w:r>
            <w:r w:rsidRPr="000E3C66" w:rsidR="009D4181">
              <w:rPr>
                <w:rFonts w:cstheme="minorHAnsi"/>
              </w:rPr>
              <w:noBreakHyphen/>
            </w:r>
            <w:r w:rsidRPr="000E3C66" w:rsidR="0094244C">
              <w:rPr>
                <w:rFonts w:cstheme="minorHAnsi"/>
              </w:rPr>
              <w:t xml:space="preserve">23, p.28, </w:t>
            </w:r>
            <w:r w:rsidRPr="000E3C66" w:rsidR="00964D3B">
              <w:rPr>
                <w:rFonts w:cstheme="minorHAnsi"/>
              </w:rPr>
              <w:t>lines 9</w:t>
            </w:r>
            <w:r w:rsidRPr="000E3C66" w:rsidR="009D4181">
              <w:rPr>
                <w:rFonts w:cstheme="minorHAnsi"/>
              </w:rPr>
              <w:noBreakHyphen/>
            </w:r>
            <w:r w:rsidRPr="000E3C66" w:rsidR="0094244C">
              <w:rPr>
                <w:rFonts w:cstheme="minorHAnsi"/>
              </w:rPr>
              <w:t>31; A4NR</w:t>
            </w:r>
            <w:r w:rsidRPr="000E3C66" w:rsidR="00F949CB">
              <w:rPr>
                <w:rFonts w:cstheme="minorHAnsi"/>
              </w:rPr>
              <w:noBreakHyphen/>
            </w:r>
            <w:r w:rsidRPr="000E3C66" w:rsidR="0094244C">
              <w:rPr>
                <w:rFonts w:cstheme="minorHAnsi"/>
              </w:rPr>
              <w:t>02 (</w:t>
            </w:r>
            <w:r w:rsidRPr="000E3C66" w:rsidR="00B41E47">
              <w:rPr>
                <w:rFonts w:cstheme="minorHAnsi"/>
              </w:rPr>
              <w:t xml:space="preserve">served 7/28/2023, </w:t>
            </w:r>
            <w:r w:rsidRPr="000E3C66" w:rsidR="0094244C">
              <w:rPr>
                <w:rFonts w:cstheme="minorHAnsi"/>
              </w:rPr>
              <w:t>admitted 8/30/2023),</w:t>
            </w:r>
            <w:r w:rsidRPr="000E3C66" w:rsidR="009D4181">
              <w:rPr>
                <w:rFonts w:cstheme="minorHAnsi"/>
              </w:rPr>
              <w:t xml:space="preserve"> p. </w:t>
            </w:r>
            <w:r w:rsidRPr="000E3C66" w:rsidR="0094244C">
              <w:rPr>
                <w:rFonts w:cstheme="minorHAnsi"/>
              </w:rPr>
              <w:t xml:space="preserve">9, </w:t>
            </w:r>
            <w:r w:rsidRPr="000E3C66" w:rsidR="00964D3B">
              <w:rPr>
                <w:rFonts w:cstheme="minorHAnsi"/>
              </w:rPr>
              <w:t>line 2</w:t>
            </w:r>
            <w:r w:rsidRPr="000E3C66" w:rsidR="009D4181">
              <w:rPr>
                <w:rFonts w:cstheme="minorHAnsi"/>
              </w:rPr>
              <w:t> </w:t>
            </w:r>
            <w:r w:rsidRPr="000E3C66" w:rsidR="009D4181">
              <w:rPr>
                <w:rFonts w:cstheme="minorHAnsi"/>
              </w:rPr>
              <w:noBreakHyphen/>
              <w:t xml:space="preserve"> p. </w:t>
            </w:r>
            <w:r w:rsidRPr="000E3C66" w:rsidR="001C54E3">
              <w:rPr>
                <w:rFonts w:cstheme="minorHAnsi"/>
              </w:rPr>
              <w:t xml:space="preserve">11, </w:t>
            </w:r>
            <w:r w:rsidRPr="000E3C66" w:rsidR="00964D3B">
              <w:rPr>
                <w:rFonts w:cstheme="minorHAnsi"/>
              </w:rPr>
              <w:t>line 1</w:t>
            </w:r>
            <w:r w:rsidRPr="000E3C66" w:rsidR="001C54E3">
              <w:rPr>
                <w:rFonts w:cstheme="minorHAnsi"/>
              </w:rPr>
              <w:t>8</w:t>
            </w:r>
            <w:r w:rsidRPr="000E3C66" w:rsidR="00C2062D">
              <w:rPr>
                <w:rFonts w:cstheme="minorHAnsi"/>
              </w:rPr>
              <w:t>; A4NR</w:t>
            </w:r>
            <w:r w:rsidRPr="000E3C66" w:rsidR="00F949CB">
              <w:rPr>
                <w:rFonts w:cstheme="minorHAnsi"/>
              </w:rPr>
              <w:noBreakHyphen/>
            </w:r>
            <w:r w:rsidRPr="000E3C66" w:rsidR="00C2062D">
              <w:rPr>
                <w:rFonts w:cstheme="minorHAnsi"/>
              </w:rPr>
              <w:t>04 (served 8/8/23, admitted 8/30/2023),</w:t>
            </w:r>
            <w:r w:rsidRPr="000E3C66" w:rsidR="009D4181">
              <w:rPr>
                <w:rFonts w:cstheme="minorHAnsi"/>
              </w:rPr>
              <w:t xml:space="preserve"> p. </w:t>
            </w:r>
            <w:r w:rsidRPr="000E3C66" w:rsidR="00C2062D">
              <w:rPr>
                <w:rFonts w:cstheme="minorHAnsi"/>
              </w:rPr>
              <w:t xml:space="preserve">3, </w:t>
            </w:r>
            <w:r w:rsidRPr="000E3C66" w:rsidR="00964D3B">
              <w:rPr>
                <w:rFonts w:cstheme="minorHAnsi"/>
              </w:rPr>
              <w:t>lines 6</w:t>
            </w:r>
            <w:r w:rsidRPr="000E3C66" w:rsidR="009D4181">
              <w:rPr>
                <w:rFonts w:cstheme="minorHAnsi"/>
              </w:rPr>
              <w:noBreakHyphen/>
            </w:r>
            <w:r w:rsidRPr="000E3C66" w:rsidR="00C2062D">
              <w:rPr>
                <w:rFonts w:cstheme="minorHAnsi"/>
              </w:rPr>
              <w:t>12;</w:t>
            </w:r>
            <w:r w:rsidRPr="000E3C66" w:rsidR="009D4181">
              <w:rPr>
                <w:rFonts w:cstheme="minorHAnsi"/>
              </w:rPr>
              <w:t xml:space="preserve"> p. </w:t>
            </w:r>
            <w:r w:rsidRPr="000E3C66" w:rsidR="00C2062D">
              <w:rPr>
                <w:rFonts w:cstheme="minorHAnsi"/>
              </w:rPr>
              <w:t xml:space="preserve">4, </w:t>
            </w:r>
            <w:r w:rsidRPr="000E3C66" w:rsidR="00964D3B">
              <w:rPr>
                <w:rFonts w:cstheme="minorHAnsi"/>
              </w:rPr>
              <w:t>lines 5</w:t>
            </w:r>
            <w:r w:rsidRPr="000E3C66" w:rsidR="009D4181">
              <w:rPr>
                <w:rFonts w:cstheme="minorHAnsi"/>
              </w:rPr>
              <w:noBreakHyphen/>
            </w:r>
            <w:r w:rsidRPr="000E3C66" w:rsidR="00C2062D">
              <w:rPr>
                <w:rFonts w:cstheme="minorHAnsi"/>
              </w:rPr>
              <w:t>21</w:t>
            </w:r>
            <w:r w:rsidRPr="000E3C66" w:rsidR="00F004B5">
              <w:rPr>
                <w:rFonts w:cstheme="minorHAnsi"/>
              </w:rPr>
              <w:t>; 11/7/2023 Oral Argument Transcript,</w:t>
            </w:r>
            <w:r w:rsidRPr="000E3C66" w:rsidR="009D4181">
              <w:rPr>
                <w:rFonts w:cstheme="minorHAnsi"/>
              </w:rPr>
              <w:t xml:space="preserve"> p. </w:t>
            </w:r>
            <w:r w:rsidRPr="000E3C66" w:rsidR="00F004B5">
              <w:rPr>
                <w:rFonts w:cstheme="minorHAnsi"/>
              </w:rPr>
              <w:t xml:space="preserve">394, </w:t>
            </w:r>
            <w:r w:rsidRPr="000E3C66" w:rsidR="00964D3B">
              <w:rPr>
                <w:rFonts w:cstheme="minorHAnsi"/>
              </w:rPr>
              <w:t>lines 2</w:t>
            </w:r>
            <w:r w:rsidRPr="000E3C66" w:rsidR="00F004B5">
              <w:rPr>
                <w:rFonts w:cstheme="minorHAnsi"/>
              </w:rPr>
              <w:t xml:space="preserve">0 </w:t>
            </w:r>
            <w:r w:rsidRPr="000E3C66" w:rsidR="00F949CB">
              <w:rPr>
                <w:rFonts w:cstheme="minorHAnsi"/>
              </w:rPr>
              <w:noBreakHyphen/>
            </w:r>
            <w:r w:rsidRPr="000E3C66" w:rsidR="00F949CB">
              <w:rPr>
                <w:rFonts w:cstheme="minorHAnsi"/>
              </w:rPr>
              <w:noBreakHyphen/>
            </w:r>
            <w:r w:rsidRPr="000E3C66" w:rsidR="00F004B5">
              <w:rPr>
                <w:rFonts w:cstheme="minorHAnsi"/>
              </w:rPr>
              <w:t xml:space="preserve"> 22</w:t>
            </w:r>
            <w:r w:rsidRPr="000E3C66" w:rsidR="00C2062D">
              <w:rPr>
                <w:rFonts w:cstheme="minorHAnsi"/>
              </w:rPr>
              <w:t>.</w:t>
            </w:r>
            <w:r w:rsidRPr="000E3C66" w:rsidR="0094244C">
              <w:rPr>
                <w:rFonts w:cstheme="minorHAnsi"/>
              </w:rPr>
              <w:t xml:space="preserve"> </w:t>
            </w:r>
          </w:p>
          <w:p w:rsidRPr="000E3C66" w:rsidR="001C54E3" w:rsidP="00FB31D7" w:rsidRDefault="001C54E3" w14:paraId="4680A8BA" w14:textId="2109FE83">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#16: “PG&amp;E’s cost forecast does not reflect all of the costs associated with DCPP extended operations, and therefore is not an adequate foundation upon which to evaluate the cost</w:t>
            </w:r>
            <w:r w:rsidRPr="000E3C66" w:rsidR="00F949CB">
              <w:rPr>
                <w:rFonts w:cstheme="minorHAnsi"/>
              </w:rPr>
              <w:noBreakHyphen/>
            </w:r>
            <w:r w:rsidRPr="000E3C66">
              <w:rPr>
                <w:rFonts w:cstheme="minorHAnsi"/>
              </w:rPr>
              <w:t>effectiveness, prudence, or reasonableness of DCPP operations.”</w:t>
            </w:r>
          </w:p>
          <w:p w:rsidRPr="000E3C66" w:rsidR="001C54E3" w:rsidP="00FB31D7" w:rsidRDefault="00477325" w14:paraId="0194AEE3" w14:textId="10F192A0">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1C54E3">
              <w:rPr>
                <w:rFonts w:cstheme="minorHAnsi"/>
              </w:rPr>
              <w:t>Dicta at</w:t>
            </w:r>
            <w:r w:rsidRPr="000E3C66" w:rsidR="009D4181">
              <w:rPr>
                <w:rFonts w:cstheme="minorHAnsi"/>
              </w:rPr>
              <w:t xml:space="preserve"> pp. </w:t>
            </w:r>
            <w:r w:rsidRPr="000E3C66" w:rsidR="001C54E3">
              <w:rPr>
                <w:rFonts w:cstheme="minorHAnsi"/>
              </w:rPr>
              <w:t>48</w:t>
            </w:r>
            <w:r w:rsidRPr="000E3C66" w:rsidR="009D4181">
              <w:rPr>
                <w:rFonts w:cstheme="minorHAnsi"/>
              </w:rPr>
              <w:noBreakHyphen/>
            </w:r>
            <w:r w:rsidRPr="000E3C66" w:rsidR="001C54E3">
              <w:rPr>
                <w:rFonts w:cstheme="minorHAnsi"/>
              </w:rPr>
              <w:t>49: “Absent any actual</w:t>
            </w:r>
            <w:r w:rsidRPr="000E3C66" w:rsidR="001C54E3">
              <w:t xml:space="preserve"> </w:t>
            </w:r>
            <w:r w:rsidRPr="000E3C66" w:rsidR="001C54E3">
              <w:rPr>
                <w:rFonts w:cstheme="minorHAnsi"/>
              </w:rPr>
              <w:t>recommendations and conditions from the DCISC …, it is not possible for the Commission to assess whether associated, unknown costs render the extension of Diablo Canyon operations too high to justify.”</w:t>
            </w:r>
          </w:p>
          <w:p w:rsidRPr="000E3C66" w:rsidR="00FB31D7" w:rsidP="00FB31D7" w:rsidRDefault="00F02A68" w14:paraId="40E3C7B8" w14:textId="18BFD97F">
            <w:pPr>
              <w:keepNext/>
              <w:spacing w:after="240"/>
              <w:rPr>
                <w:rFonts w:cstheme="minorHAnsi"/>
              </w:rPr>
            </w:pPr>
            <w:r w:rsidRPr="000E3C66">
              <w:rPr>
                <w:rFonts w:cstheme="minorHAnsi"/>
              </w:rPr>
              <w:lastRenderedPageBreak/>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3949B3">
              <w:rPr>
                <w:rFonts w:cstheme="minorHAnsi"/>
              </w:rPr>
              <w:t>Dicta at</w:t>
            </w:r>
            <w:r w:rsidRPr="000E3C66" w:rsidR="009D4181">
              <w:rPr>
                <w:rFonts w:cstheme="minorHAnsi"/>
              </w:rPr>
              <w:t xml:space="preserve"> p. </w:t>
            </w:r>
            <w:r w:rsidRPr="000E3C66" w:rsidR="003949B3">
              <w:rPr>
                <w:rFonts w:cstheme="minorHAnsi"/>
              </w:rPr>
              <w:t>50: “we find party proposals that assert DCPP extended operations are cost</w:t>
            </w:r>
            <w:r w:rsidRPr="000E3C66" w:rsidR="00F949CB">
              <w:rPr>
                <w:rFonts w:cstheme="minorHAnsi"/>
              </w:rPr>
              <w:noBreakHyphen/>
            </w:r>
            <w:r w:rsidRPr="000E3C66" w:rsidR="003949B3">
              <w:rPr>
                <w:rFonts w:cstheme="minorHAnsi"/>
              </w:rPr>
              <w:t>effective to be materially incomplete or inconclusive, and further highlight the uncertainty of costs presented in this proceeding.”</w:t>
            </w:r>
          </w:p>
        </w:tc>
        <w:tc>
          <w:tcPr>
            <w:tcW w:w="2705" w:type="dxa"/>
            <w:shd w:val="clear" w:color="auto" w:fill="auto"/>
          </w:tcPr>
          <w:p w:rsidRPr="000E3C66" w:rsidR="006A2F1D" w:rsidP="00471EE6" w:rsidRDefault="00EE75B2" w14:paraId="7D71ABC4" w14:textId="4A1A1263">
            <w:pPr>
              <w:keepNext/>
              <w:spacing w:after="240"/>
            </w:pPr>
            <w:r w:rsidRPr="000E3C66">
              <w:lastRenderedPageBreak/>
              <w:t>Noted</w:t>
            </w:r>
          </w:p>
        </w:tc>
      </w:tr>
      <w:tr w:rsidRPr="000E3C66" w:rsidR="000E3C66" w:rsidTr="00885CF8" w14:paraId="51C2DD13" w14:textId="77777777">
        <w:tc>
          <w:tcPr>
            <w:tcW w:w="2785" w:type="dxa"/>
            <w:shd w:val="clear" w:color="auto" w:fill="auto"/>
          </w:tcPr>
          <w:p w:rsidRPr="000E3C66" w:rsidR="0051047E" w:rsidP="007A784D" w:rsidRDefault="00481180" w14:paraId="01157889" w14:textId="554AF185">
            <w:pPr>
              <w:keepNext/>
              <w:spacing w:after="240"/>
            </w:pPr>
            <w:r w:rsidRPr="000E3C66">
              <w:t>8</w:t>
            </w:r>
            <w:r w:rsidRPr="000E3C66" w:rsidR="00141AC5">
              <w:t xml:space="preserve">. </w:t>
            </w:r>
            <w:r w:rsidRPr="000E3C66" w:rsidR="00D73979">
              <w:rPr>
                <w:rFonts w:cstheme="minorHAnsi"/>
              </w:rPr>
              <w:t xml:space="preserve">Scoping Memo </w:t>
            </w:r>
            <w:r w:rsidRPr="000E3C66" w:rsidR="000D1C97">
              <w:rPr>
                <w:rFonts w:cstheme="minorHAnsi"/>
              </w:rPr>
              <w:t>Issue 1</w:t>
            </w:r>
            <w:r w:rsidRPr="000E3C66" w:rsidR="00D73979">
              <w:rPr>
                <w:rFonts w:cstheme="minorHAnsi"/>
              </w:rPr>
              <w:t>.</w:t>
            </w:r>
            <w:r w:rsidRPr="000E3C66" w:rsidR="006A2F1D">
              <w:rPr>
                <w:rFonts w:cstheme="minorHAnsi"/>
              </w:rPr>
              <w:t>c</w:t>
            </w:r>
            <w:r w:rsidRPr="000E3C66" w:rsidR="00D73979">
              <w:rPr>
                <w:rFonts w:cstheme="minorHAnsi"/>
              </w:rPr>
              <w:t>.:</w:t>
            </w:r>
            <w:r w:rsidRPr="000E3C66" w:rsidR="00467570">
              <w:rPr>
                <w:rFonts w:cstheme="minorHAnsi"/>
              </w:rPr>
              <w:t xml:space="preserve">  A4NR contended that PG&amp;E’s cost forecast had understated likely </w:t>
            </w:r>
            <w:r w:rsidRPr="000E3C66" w:rsidR="006A2F1D">
              <w:rPr>
                <w:rFonts w:cstheme="minorHAnsi"/>
              </w:rPr>
              <w:t xml:space="preserve">costs of </w:t>
            </w:r>
            <w:r w:rsidRPr="000E3C66" w:rsidR="00467570">
              <w:rPr>
                <w:rFonts w:cstheme="minorHAnsi"/>
              </w:rPr>
              <w:t xml:space="preserve">NRC license </w:t>
            </w:r>
            <w:r w:rsidRPr="000E3C66" w:rsidR="006A2F1D">
              <w:rPr>
                <w:rFonts w:cstheme="minorHAnsi"/>
              </w:rPr>
              <w:t xml:space="preserve">renewal </w:t>
            </w:r>
            <w:r w:rsidRPr="000E3C66" w:rsidR="00467570">
              <w:rPr>
                <w:rFonts w:cstheme="minorHAnsi"/>
              </w:rPr>
              <w:t>condition</w:t>
            </w:r>
            <w:r w:rsidRPr="000E3C66" w:rsidR="006A2F1D">
              <w:rPr>
                <w:rFonts w:cstheme="minorHAnsi"/>
              </w:rPr>
              <w:t xml:space="preserve">s </w:t>
            </w:r>
            <w:r w:rsidRPr="000E3C66" w:rsidR="00467570">
              <w:rPr>
                <w:rFonts w:cstheme="minorHAnsi"/>
              </w:rPr>
              <w:t>by relying on stale assumptions.</w:t>
            </w:r>
            <w:r w:rsidRPr="000E3C66" w:rsidR="00D73979">
              <w:rPr>
                <w:rFonts w:cstheme="minorHAnsi"/>
              </w:rPr>
              <w:t xml:space="preserve">  </w:t>
            </w:r>
            <w:r w:rsidRPr="000E3C66" w:rsidR="00D73979">
              <w:t xml:space="preserve"> </w:t>
            </w:r>
          </w:p>
        </w:tc>
        <w:tc>
          <w:tcPr>
            <w:tcW w:w="3870" w:type="dxa"/>
            <w:shd w:val="clear" w:color="auto" w:fill="auto"/>
          </w:tcPr>
          <w:p w:rsidRPr="000E3C66" w:rsidR="006A2F1D" w:rsidP="00FB31D7" w:rsidRDefault="00021BFF" w14:paraId="610DB816" w14:textId="6C464740">
            <w:pPr>
              <w:keepNext/>
              <w:spacing w:after="240"/>
              <w:rPr>
                <w:rFonts w:cstheme="minorHAnsi"/>
              </w:rPr>
            </w:pPr>
            <w:r w:rsidRPr="000E3C66">
              <w:rPr>
                <w:rFonts w:cstheme="minorHAnsi"/>
              </w:rPr>
              <w:t>9/15/2023 A4NR Opening Brief,</w:t>
            </w:r>
            <w:r w:rsidRPr="000E3C66" w:rsidR="009D4181">
              <w:rPr>
                <w:rFonts w:cstheme="minorHAnsi"/>
              </w:rPr>
              <w:t xml:space="preserve"> p. </w:t>
            </w:r>
            <w:r w:rsidRPr="000E3C66">
              <w:rPr>
                <w:rFonts w:cstheme="minorHAnsi"/>
              </w:rPr>
              <w:t>5;</w:t>
            </w:r>
            <w:r w:rsidRPr="000E3C66" w:rsidR="00225EC5">
              <w:rPr>
                <w:rFonts w:cstheme="minorHAnsi"/>
              </w:rPr>
              <w:t xml:space="preserve"> 9/29/2023 A4NR Reply Brief,</w:t>
            </w:r>
            <w:r w:rsidRPr="000E3C66" w:rsidR="009D4181">
              <w:rPr>
                <w:rFonts w:cstheme="minorHAnsi"/>
              </w:rPr>
              <w:t xml:space="preserve"> pp. </w:t>
            </w:r>
            <w:r w:rsidRPr="000E3C66" w:rsidR="00225EC5">
              <w:rPr>
                <w:rFonts w:cstheme="minorHAnsi"/>
              </w:rPr>
              <w:t>11</w:t>
            </w:r>
            <w:r w:rsidRPr="000E3C66" w:rsidR="009D4181">
              <w:rPr>
                <w:rFonts w:cstheme="minorHAnsi"/>
              </w:rPr>
              <w:noBreakHyphen/>
            </w:r>
            <w:r w:rsidRPr="000E3C66" w:rsidR="00225EC5">
              <w:rPr>
                <w:rFonts w:cstheme="minorHAnsi"/>
              </w:rPr>
              <w:t xml:space="preserve">12; </w:t>
            </w:r>
            <w:r w:rsidRPr="000E3C66" w:rsidR="00467570">
              <w:rPr>
                <w:rFonts w:cstheme="minorHAnsi"/>
              </w:rPr>
              <w:t>A4NR</w:t>
            </w:r>
            <w:r w:rsidRPr="000E3C66" w:rsidR="00F949CB">
              <w:rPr>
                <w:rFonts w:cstheme="minorHAnsi"/>
              </w:rPr>
              <w:noBreakHyphen/>
            </w:r>
            <w:r w:rsidRPr="000E3C66" w:rsidR="00467570">
              <w:rPr>
                <w:rFonts w:cstheme="minorHAnsi"/>
              </w:rPr>
              <w:t>01 (</w:t>
            </w:r>
            <w:r w:rsidRPr="000E3C66" w:rsidR="00B41E47">
              <w:rPr>
                <w:rFonts w:cstheme="minorHAnsi"/>
              </w:rPr>
              <w:t xml:space="preserve">served 6/30/2023, </w:t>
            </w:r>
            <w:r w:rsidRPr="000E3C66" w:rsidR="00467570">
              <w:rPr>
                <w:rFonts w:cstheme="minorHAnsi"/>
              </w:rPr>
              <w:t>admitted 8/30/23),</w:t>
            </w:r>
            <w:r w:rsidRPr="000E3C66" w:rsidR="009D4181">
              <w:rPr>
                <w:rFonts w:cstheme="minorHAnsi"/>
              </w:rPr>
              <w:t xml:space="preserve"> p. </w:t>
            </w:r>
            <w:r w:rsidRPr="000E3C66" w:rsidR="00467570">
              <w:rPr>
                <w:rFonts w:cstheme="minorHAnsi"/>
              </w:rPr>
              <w:t xml:space="preserve">6, </w:t>
            </w:r>
            <w:r w:rsidRPr="000E3C66" w:rsidR="00964D3B">
              <w:rPr>
                <w:rFonts w:cstheme="minorHAnsi"/>
              </w:rPr>
              <w:t>line 1</w:t>
            </w:r>
            <w:r w:rsidRPr="000E3C66" w:rsidR="00467570">
              <w:rPr>
                <w:rFonts w:cstheme="minorHAnsi"/>
              </w:rPr>
              <w:t>3</w:t>
            </w:r>
            <w:r w:rsidRPr="000E3C66" w:rsidR="009D4181">
              <w:rPr>
                <w:rFonts w:cstheme="minorHAnsi"/>
              </w:rPr>
              <w:t> </w:t>
            </w:r>
            <w:r w:rsidRPr="000E3C66" w:rsidR="009D4181">
              <w:rPr>
                <w:rFonts w:cstheme="minorHAnsi"/>
              </w:rPr>
              <w:noBreakHyphen/>
              <w:t xml:space="preserve"> p. </w:t>
            </w:r>
            <w:r w:rsidRPr="000E3C66" w:rsidR="00467570">
              <w:rPr>
                <w:rFonts w:cstheme="minorHAnsi"/>
              </w:rPr>
              <w:t xml:space="preserve">7, </w:t>
            </w:r>
            <w:r w:rsidRPr="000E3C66" w:rsidR="00964D3B">
              <w:rPr>
                <w:rFonts w:cstheme="minorHAnsi"/>
              </w:rPr>
              <w:t>line 1</w:t>
            </w:r>
            <w:r w:rsidRPr="000E3C66" w:rsidR="00633EDD">
              <w:rPr>
                <w:rFonts w:cstheme="minorHAnsi"/>
              </w:rPr>
              <w:t>6; A4NR</w:t>
            </w:r>
            <w:r w:rsidRPr="000E3C66" w:rsidR="00F949CB">
              <w:rPr>
                <w:rFonts w:cstheme="minorHAnsi"/>
              </w:rPr>
              <w:noBreakHyphen/>
            </w:r>
            <w:r w:rsidRPr="000E3C66" w:rsidR="00633EDD">
              <w:rPr>
                <w:rFonts w:cstheme="minorHAnsi"/>
              </w:rPr>
              <w:t>02 (</w:t>
            </w:r>
            <w:r w:rsidRPr="000E3C66" w:rsidR="00B41E47">
              <w:rPr>
                <w:rFonts w:cstheme="minorHAnsi"/>
              </w:rPr>
              <w:t xml:space="preserve">served 7/28/2023, </w:t>
            </w:r>
            <w:r w:rsidRPr="000E3C66" w:rsidR="00633EDD">
              <w:rPr>
                <w:rFonts w:cstheme="minorHAnsi"/>
              </w:rPr>
              <w:t>admitted 8/</w:t>
            </w:r>
            <w:r w:rsidRPr="000E3C66" w:rsidR="00725521">
              <w:rPr>
                <w:rFonts w:cstheme="minorHAnsi"/>
              </w:rPr>
              <w:t>3</w:t>
            </w:r>
            <w:r w:rsidRPr="000E3C66" w:rsidR="00633EDD">
              <w:rPr>
                <w:rFonts w:cstheme="minorHAnsi"/>
              </w:rPr>
              <w:t>0/</w:t>
            </w:r>
            <w:r w:rsidRPr="000E3C66" w:rsidR="00725521">
              <w:rPr>
                <w:rFonts w:cstheme="minorHAnsi"/>
              </w:rPr>
              <w:t>20</w:t>
            </w:r>
            <w:r w:rsidRPr="000E3C66" w:rsidR="00633EDD">
              <w:rPr>
                <w:rFonts w:cstheme="minorHAnsi"/>
              </w:rPr>
              <w:t>23),</w:t>
            </w:r>
            <w:r w:rsidRPr="000E3C66" w:rsidR="009D4181">
              <w:rPr>
                <w:rFonts w:cstheme="minorHAnsi"/>
              </w:rPr>
              <w:t xml:space="preserve"> p. </w:t>
            </w:r>
            <w:r w:rsidRPr="000E3C66" w:rsidR="00633EDD">
              <w:rPr>
                <w:rFonts w:cstheme="minorHAnsi"/>
              </w:rPr>
              <w:t xml:space="preserve">8, </w:t>
            </w:r>
            <w:r w:rsidRPr="000E3C66" w:rsidR="00964D3B">
              <w:rPr>
                <w:rFonts w:cstheme="minorHAnsi"/>
              </w:rPr>
              <w:t>lines 5</w:t>
            </w:r>
            <w:r w:rsidRPr="000E3C66" w:rsidR="009D4181">
              <w:rPr>
                <w:rFonts w:cstheme="minorHAnsi"/>
              </w:rPr>
              <w:noBreakHyphen/>
            </w:r>
            <w:r w:rsidRPr="000E3C66" w:rsidR="00633EDD">
              <w:rPr>
                <w:rFonts w:cstheme="minorHAnsi"/>
              </w:rPr>
              <w:t>25.</w:t>
            </w:r>
          </w:p>
          <w:p w:rsidRPr="000E3C66" w:rsidR="006A2F1D" w:rsidP="00FB31D7" w:rsidRDefault="006A2F1D" w14:paraId="19007247" w14:textId="31D06D08">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#16: “PG&amp;E’s cost forecast does not reflect all of the costs associated with DCPP extended operations, and therefore is not an adequate foundation upon which to evaluate the cost</w:t>
            </w:r>
            <w:r w:rsidRPr="000E3C66" w:rsidR="00F949CB">
              <w:rPr>
                <w:rFonts w:cstheme="minorHAnsi"/>
              </w:rPr>
              <w:noBreakHyphen/>
            </w:r>
            <w:r w:rsidRPr="000E3C66">
              <w:rPr>
                <w:rFonts w:cstheme="minorHAnsi"/>
              </w:rPr>
              <w:t>effectiveness, prudence, or reasonableness of DCPP operations.”</w:t>
            </w:r>
          </w:p>
          <w:p w:rsidRPr="000E3C66" w:rsidR="0051047E" w:rsidP="00FB31D7" w:rsidRDefault="00F02A68" w14:paraId="08B08B19" w14:textId="57440D36">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6A2F1D">
              <w:rPr>
                <w:rFonts w:cstheme="minorHAnsi"/>
              </w:rPr>
              <w:t>Dicta at</w:t>
            </w:r>
            <w:r w:rsidRPr="000E3C66" w:rsidR="009D4181">
              <w:rPr>
                <w:rFonts w:cstheme="minorHAnsi"/>
              </w:rPr>
              <w:t xml:space="preserve"> pp. </w:t>
            </w:r>
            <w:r w:rsidRPr="000E3C66" w:rsidR="006A2F1D">
              <w:rPr>
                <w:rFonts w:cstheme="minorHAnsi"/>
              </w:rPr>
              <w:t>48</w:t>
            </w:r>
            <w:r w:rsidRPr="000E3C66" w:rsidR="009D4181">
              <w:rPr>
                <w:rFonts w:cstheme="minorHAnsi"/>
              </w:rPr>
              <w:noBreakHyphen/>
            </w:r>
            <w:r w:rsidRPr="000E3C66" w:rsidR="006A2F1D">
              <w:rPr>
                <w:rFonts w:cstheme="minorHAnsi"/>
              </w:rPr>
              <w:t>49: “Absent any actual</w:t>
            </w:r>
            <w:r w:rsidRPr="000E3C66" w:rsidR="006A2F1D">
              <w:t xml:space="preserve"> </w:t>
            </w:r>
            <w:r w:rsidRPr="000E3C66" w:rsidR="006A2F1D">
              <w:rPr>
                <w:rFonts w:cstheme="minorHAnsi"/>
              </w:rPr>
              <w:t>recommendations and conditions from the … NRC, it is not possible for the Commission to assess whether associated, unknown costs render the extension of Diablo Canyon operations too high to justify.”</w:t>
            </w:r>
          </w:p>
          <w:p w:rsidRPr="000E3C66" w:rsidR="00FB31D7" w:rsidP="00FB31D7" w:rsidRDefault="00F02A68" w14:paraId="2FBDD3C5" w14:textId="6DC79AFF">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3949B3">
              <w:rPr>
                <w:rFonts w:cstheme="minorHAnsi"/>
              </w:rPr>
              <w:t>Dicta at</w:t>
            </w:r>
            <w:r w:rsidRPr="000E3C66" w:rsidR="009D4181">
              <w:rPr>
                <w:rFonts w:cstheme="minorHAnsi"/>
              </w:rPr>
              <w:t xml:space="preserve"> p. </w:t>
            </w:r>
            <w:r w:rsidRPr="000E3C66" w:rsidR="003949B3">
              <w:rPr>
                <w:rFonts w:cstheme="minorHAnsi"/>
              </w:rPr>
              <w:t>50: “we find party proposals that assert DCPP extended operations are cost</w:t>
            </w:r>
            <w:r w:rsidRPr="000E3C66" w:rsidR="00F949CB">
              <w:rPr>
                <w:rFonts w:cstheme="minorHAnsi"/>
              </w:rPr>
              <w:noBreakHyphen/>
            </w:r>
            <w:r w:rsidRPr="000E3C66" w:rsidR="003949B3">
              <w:rPr>
                <w:rFonts w:cstheme="minorHAnsi"/>
              </w:rPr>
              <w:t>effective to be materially incomplete or inconclusive, and further highlight the uncertainty of costs presented in this proceeding.”</w:t>
            </w:r>
          </w:p>
        </w:tc>
        <w:tc>
          <w:tcPr>
            <w:tcW w:w="2705" w:type="dxa"/>
            <w:shd w:val="clear" w:color="auto" w:fill="auto"/>
          </w:tcPr>
          <w:p w:rsidRPr="000E3C66" w:rsidR="00795985" w:rsidP="00471EE6" w:rsidRDefault="00795985" w14:paraId="207208A8" w14:textId="79CF168E">
            <w:pPr>
              <w:keepNext/>
              <w:spacing w:after="240"/>
            </w:pPr>
            <w:r w:rsidRPr="000E3C66">
              <w:t>Noted</w:t>
            </w:r>
          </w:p>
        </w:tc>
      </w:tr>
      <w:tr w:rsidRPr="000E3C66" w:rsidR="000E3C66" w:rsidTr="00885CF8" w14:paraId="5615A537" w14:textId="77777777">
        <w:tc>
          <w:tcPr>
            <w:tcW w:w="2785" w:type="dxa"/>
            <w:shd w:val="clear" w:color="auto" w:fill="auto"/>
          </w:tcPr>
          <w:p w:rsidRPr="000E3C66" w:rsidR="0051047E" w:rsidP="007A784D" w:rsidRDefault="00481180" w14:paraId="69EA9663" w14:textId="6D309F8E">
            <w:pPr>
              <w:keepNext/>
              <w:spacing w:after="240"/>
            </w:pPr>
            <w:r w:rsidRPr="000E3C66">
              <w:lastRenderedPageBreak/>
              <w:t>9</w:t>
            </w:r>
            <w:r w:rsidRPr="000E3C66" w:rsidR="009D318F">
              <w:t xml:space="preserve">. </w:t>
            </w:r>
            <w:r w:rsidRPr="000E3C66" w:rsidR="007F4B87">
              <w:rPr>
                <w:rFonts w:cstheme="minorHAnsi"/>
              </w:rPr>
              <w:t xml:space="preserve">Scoping Memo </w:t>
            </w:r>
            <w:r w:rsidRPr="000E3C66" w:rsidR="000D1C97">
              <w:rPr>
                <w:rFonts w:cstheme="minorHAnsi"/>
              </w:rPr>
              <w:t>Issue 1</w:t>
            </w:r>
            <w:r w:rsidRPr="000E3C66" w:rsidR="007F4B87">
              <w:rPr>
                <w:rFonts w:cstheme="minorHAnsi"/>
              </w:rPr>
              <w:t>.e.:  A4NR contended that</w:t>
            </w:r>
            <w:r w:rsidRPr="000E3C66" w:rsidR="00E26613">
              <w:rPr>
                <w:rFonts w:cstheme="minorHAnsi"/>
              </w:rPr>
              <w:t xml:space="preserve"> </w:t>
            </w:r>
            <w:r w:rsidRPr="000E3C66" w:rsidR="00C9112F">
              <w:rPr>
                <w:rFonts w:cstheme="minorHAnsi"/>
              </w:rPr>
              <w:t xml:space="preserve">a </w:t>
            </w:r>
            <w:r w:rsidRPr="000E3C66" w:rsidR="007F4B87">
              <w:rPr>
                <w:rFonts w:cstheme="minorHAnsi"/>
              </w:rPr>
              <w:t>six</w:t>
            </w:r>
            <w:r w:rsidRPr="000E3C66" w:rsidR="00F949CB">
              <w:rPr>
                <w:rFonts w:cstheme="minorHAnsi"/>
              </w:rPr>
              <w:noBreakHyphen/>
            </w:r>
            <w:r w:rsidRPr="000E3C66" w:rsidR="007F4B87">
              <w:rPr>
                <w:rFonts w:cstheme="minorHAnsi"/>
              </w:rPr>
              <w:t xml:space="preserve">month orderly shutdown estimate </w:t>
            </w:r>
            <w:r w:rsidRPr="000E3C66" w:rsidR="00C9112F">
              <w:rPr>
                <w:rFonts w:cstheme="minorHAnsi"/>
              </w:rPr>
              <w:t>appeared</w:t>
            </w:r>
            <w:r w:rsidRPr="000E3C66" w:rsidR="007F4B87">
              <w:rPr>
                <w:rFonts w:cstheme="minorHAnsi"/>
              </w:rPr>
              <w:t xml:space="preserve"> reasonable, </w:t>
            </w:r>
            <w:r w:rsidRPr="000E3C66" w:rsidR="00E26613">
              <w:rPr>
                <w:rFonts w:cstheme="minorHAnsi"/>
              </w:rPr>
              <w:t xml:space="preserve">but </w:t>
            </w:r>
            <w:r w:rsidRPr="000E3C66" w:rsidR="007F4B87">
              <w:rPr>
                <w:rFonts w:cstheme="minorHAnsi"/>
              </w:rPr>
              <w:t xml:space="preserve">actions on retirement dates should </w:t>
            </w:r>
            <w:r w:rsidRPr="000E3C66" w:rsidR="00E26613">
              <w:rPr>
                <w:rFonts w:cstheme="minorHAnsi"/>
              </w:rPr>
              <w:t xml:space="preserve">be shaped to </w:t>
            </w:r>
            <w:r w:rsidRPr="000E3C66" w:rsidR="007F4B87">
              <w:rPr>
                <w:rFonts w:cstheme="minorHAnsi"/>
              </w:rPr>
              <w:t>maximize the ongoing value of the $109.4</w:t>
            </w:r>
            <w:r w:rsidRPr="000E3C66" w:rsidR="003C1828">
              <w:rPr>
                <w:rFonts w:cstheme="minorHAnsi"/>
              </w:rPr>
              <w:t> million</w:t>
            </w:r>
            <w:r w:rsidRPr="000E3C66" w:rsidR="007F4B87">
              <w:rPr>
                <w:rFonts w:cstheme="minorHAnsi"/>
              </w:rPr>
              <w:t xml:space="preserve"> already invested in decommissioning planning</w:t>
            </w:r>
            <w:r w:rsidRPr="000E3C66" w:rsidR="00C9112F">
              <w:rPr>
                <w:rFonts w:cstheme="minorHAnsi"/>
              </w:rPr>
              <w:t xml:space="preserve"> while maintaining flexibility for incremental adjustments, if needed.</w:t>
            </w:r>
          </w:p>
        </w:tc>
        <w:tc>
          <w:tcPr>
            <w:tcW w:w="3870" w:type="dxa"/>
            <w:shd w:val="clear" w:color="auto" w:fill="auto"/>
          </w:tcPr>
          <w:p w:rsidRPr="000E3C66" w:rsidR="00E26613" w:rsidP="00FB31D7" w:rsidRDefault="00E26613" w14:paraId="3745C06B" w14:textId="519E53E8">
            <w:pPr>
              <w:keepNext/>
              <w:spacing w:after="240"/>
              <w:rPr>
                <w:rFonts w:cstheme="minorHAnsi"/>
              </w:rPr>
            </w:pPr>
            <w:r w:rsidRPr="000E3C66">
              <w:rPr>
                <w:rFonts w:cstheme="minorHAnsi"/>
              </w:rPr>
              <w:t>9/15/2023 A4NR Opening Brief,</w:t>
            </w:r>
            <w:r w:rsidRPr="000E3C66" w:rsidR="009D4181">
              <w:rPr>
                <w:rFonts w:cstheme="minorHAnsi"/>
              </w:rPr>
              <w:t xml:space="preserve"> pp. </w:t>
            </w:r>
            <w:r w:rsidRPr="000E3C66">
              <w:rPr>
                <w:rFonts w:cstheme="minorHAnsi"/>
              </w:rPr>
              <w:t>7</w:t>
            </w:r>
            <w:r w:rsidRPr="000E3C66" w:rsidR="009D4181">
              <w:rPr>
                <w:rFonts w:cstheme="minorHAnsi"/>
              </w:rPr>
              <w:noBreakHyphen/>
            </w:r>
            <w:r w:rsidRPr="000E3C66">
              <w:rPr>
                <w:rFonts w:cstheme="minorHAnsi"/>
              </w:rPr>
              <w:t>8; 9/29/2023 A4NR Reply Brief,</w:t>
            </w:r>
            <w:r w:rsidRPr="000E3C66" w:rsidR="009D4181">
              <w:rPr>
                <w:rFonts w:cstheme="minorHAnsi"/>
              </w:rPr>
              <w:t xml:space="preserve"> p. </w:t>
            </w:r>
            <w:r w:rsidRPr="000E3C66">
              <w:rPr>
                <w:rFonts w:cstheme="minorHAnsi"/>
              </w:rPr>
              <w:t>14; A4NR</w:t>
            </w:r>
            <w:r w:rsidRPr="000E3C66" w:rsidR="00F949CB">
              <w:rPr>
                <w:rFonts w:cstheme="minorHAnsi"/>
              </w:rPr>
              <w:noBreakHyphen/>
            </w:r>
            <w:r w:rsidRPr="000E3C66">
              <w:rPr>
                <w:rFonts w:cstheme="minorHAnsi"/>
              </w:rPr>
              <w:t>01</w:t>
            </w:r>
            <w:r w:rsidRPr="000E3C66" w:rsidR="00EF1FFE">
              <w:rPr>
                <w:rFonts w:cstheme="minorHAnsi"/>
              </w:rPr>
              <w:t xml:space="preserve"> (</w:t>
            </w:r>
            <w:r w:rsidRPr="000E3C66" w:rsidR="00B41E47">
              <w:rPr>
                <w:rFonts w:cstheme="minorHAnsi"/>
              </w:rPr>
              <w:t xml:space="preserve">served 6/30/2023, </w:t>
            </w:r>
            <w:r w:rsidRPr="000E3C66" w:rsidR="00EF1FFE">
              <w:rPr>
                <w:rFonts w:cstheme="minorHAnsi"/>
              </w:rPr>
              <w:t>admitted 8/30/23)</w:t>
            </w:r>
            <w:r w:rsidRPr="000E3C66">
              <w:rPr>
                <w:rFonts w:cstheme="minorHAnsi"/>
              </w:rPr>
              <w:t>,</w:t>
            </w:r>
            <w:r w:rsidRPr="000E3C66" w:rsidR="009D4181">
              <w:rPr>
                <w:rFonts w:cstheme="minorHAnsi"/>
              </w:rPr>
              <w:t xml:space="preserve"> p. </w:t>
            </w:r>
            <w:r w:rsidRPr="000E3C66">
              <w:rPr>
                <w:rFonts w:cstheme="minorHAnsi"/>
              </w:rPr>
              <w:t xml:space="preserve">26, </w:t>
            </w:r>
            <w:r w:rsidRPr="000E3C66" w:rsidR="00964D3B">
              <w:rPr>
                <w:rFonts w:cstheme="minorHAnsi"/>
              </w:rPr>
              <w:t>line 2</w:t>
            </w:r>
            <w:r w:rsidRPr="000E3C66">
              <w:rPr>
                <w:rFonts w:cstheme="minorHAnsi"/>
              </w:rPr>
              <w:t>3</w:t>
            </w:r>
            <w:r w:rsidRPr="000E3C66" w:rsidR="009D4181">
              <w:rPr>
                <w:rFonts w:cstheme="minorHAnsi"/>
              </w:rPr>
              <w:t> </w:t>
            </w:r>
            <w:r w:rsidRPr="000E3C66" w:rsidR="009D4181">
              <w:rPr>
                <w:rFonts w:cstheme="minorHAnsi"/>
              </w:rPr>
              <w:noBreakHyphen/>
              <w:t xml:space="preserve"> p. </w:t>
            </w:r>
            <w:r w:rsidRPr="000E3C66">
              <w:rPr>
                <w:rFonts w:cstheme="minorHAnsi"/>
              </w:rPr>
              <w:t xml:space="preserve">27, </w:t>
            </w:r>
            <w:r w:rsidRPr="000E3C66" w:rsidR="00964D3B">
              <w:rPr>
                <w:rFonts w:cstheme="minorHAnsi"/>
              </w:rPr>
              <w:t>line 9</w:t>
            </w:r>
            <w:r w:rsidRPr="000E3C66">
              <w:rPr>
                <w:rFonts w:cstheme="minorHAnsi"/>
              </w:rPr>
              <w:t>; A4NR</w:t>
            </w:r>
            <w:r w:rsidRPr="000E3C66" w:rsidR="00F949CB">
              <w:rPr>
                <w:rFonts w:cstheme="minorHAnsi"/>
              </w:rPr>
              <w:noBreakHyphen/>
            </w:r>
            <w:r w:rsidRPr="000E3C66">
              <w:rPr>
                <w:rFonts w:cstheme="minorHAnsi"/>
              </w:rPr>
              <w:t>02</w:t>
            </w:r>
            <w:r w:rsidRPr="000E3C66" w:rsidR="00EF1FFE">
              <w:rPr>
                <w:rFonts w:cstheme="minorHAnsi"/>
              </w:rPr>
              <w:t xml:space="preserve"> (</w:t>
            </w:r>
            <w:r w:rsidRPr="000E3C66" w:rsidR="00B41E47">
              <w:rPr>
                <w:rFonts w:cstheme="minorHAnsi"/>
              </w:rPr>
              <w:t xml:space="preserve">served 7/28/2023, </w:t>
            </w:r>
            <w:r w:rsidRPr="000E3C66" w:rsidR="00EF1FFE">
              <w:rPr>
                <w:rFonts w:cstheme="minorHAnsi"/>
              </w:rPr>
              <w:t>admitted 8/30/23)</w:t>
            </w:r>
            <w:r w:rsidRPr="000E3C66">
              <w:rPr>
                <w:rFonts w:cstheme="minorHAnsi"/>
              </w:rPr>
              <w:t>,</w:t>
            </w:r>
            <w:r w:rsidRPr="000E3C66" w:rsidR="009D4181">
              <w:rPr>
                <w:rFonts w:cstheme="minorHAnsi"/>
              </w:rPr>
              <w:t xml:space="preserve"> p. </w:t>
            </w:r>
            <w:r w:rsidRPr="000E3C66">
              <w:rPr>
                <w:rFonts w:cstheme="minorHAnsi"/>
              </w:rPr>
              <w:t xml:space="preserve">21, </w:t>
            </w:r>
            <w:r w:rsidRPr="000E3C66" w:rsidR="00964D3B">
              <w:rPr>
                <w:rFonts w:cstheme="minorHAnsi"/>
              </w:rPr>
              <w:t>line 2</w:t>
            </w:r>
            <w:r w:rsidRPr="000E3C66" w:rsidR="00EF1FFE">
              <w:rPr>
                <w:rFonts w:cstheme="minorHAnsi"/>
              </w:rPr>
              <w:t>2</w:t>
            </w:r>
            <w:r w:rsidRPr="000E3C66" w:rsidR="009D4181">
              <w:rPr>
                <w:rFonts w:cstheme="minorHAnsi"/>
              </w:rPr>
              <w:t> </w:t>
            </w:r>
            <w:r w:rsidRPr="000E3C66" w:rsidR="009D4181">
              <w:rPr>
                <w:rFonts w:cstheme="minorHAnsi"/>
              </w:rPr>
              <w:noBreakHyphen/>
              <w:t xml:space="preserve"> p. </w:t>
            </w:r>
            <w:r w:rsidRPr="000E3C66" w:rsidR="00EF1FFE">
              <w:rPr>
                <w:rFonts w:cstheme="minorHAnsi"/>
              </w:rPr>
              <w:t xml:space="preserve">22, </w:t>
            </w:r>
            <w:r w:rsidRPr="000E3C66" w:rsidR="00964D3B">
              <w:rPr>
                <w:rFonts w:cstheme="minorHAnsi"/>
              </w:rPr>
              <w:t>line 1</w:t>
            </w:r>
            <w:r w:rsidRPr="000E3C66" w:rsidR="00EF1FFE">
              <w:rPr>
                <w:rFonts w:cstheme="minorHAnsi"/>
              </w:rPr>
              <w:t>3.</w:t>
            </w:r>
            <w:r w:rsidRPr="000E3C66">
              <w:rPr>
                <w:rFonts w:cstheme="minorHAnsi"/>
              </w:rPr>
              <w:t xml:space="preserve"> </w:t>
            </w:r>
          </w:p>
          <w:p w:rsidRPr="000E3C66" w:rsidR="00C9112F" w:rsidP="00FB31D7" w:rsidRDefault="000A3CFC" w14:paraId="7274801D" w14:textId="23A3A152">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C9112F">
              <w:rPr>
                <w:rFonts w:cstheme="minorHAnsi"/>
              </w:rPr>
              <w:t xml:space="preserve">COL #23: “In the event earlier retirement dates for </w:t>
            </w:r>
            <w:r w:rsidRPr="000E3C66" w:rsidR="00570792">
              <w:rPr>
                <w:rFonts w:cstheme="minorHAnsi"/>
              </w:rPr>
              <w:t>115</w:t>
            </w:r>
            <w:r w:rsidRPr="000E3C66" w:rsidR="00C9112F">
              <w:rPr>
                <w:rFonts w:cstheme="minorHAnsi"/>
              </w:rPr>
              <w:t>DCPP are approved or requested, PG&amp;E should be directed to explain whether and why there are any deviations from the six</w:t>
            </w:r>
            <w:r w:rsidRPr="000E3C66" w:rsidR="00F949CB">
              <w:rPr>
                <w:rFonts w:cstheme="minorHAnsi"/>
              </w:rPr>
              <w:noBreakHyphen/>
            </w:r>
            <w:r w:rsidRPr="000E3C66" w:rsidR="00C9112F">
              <w:rPr>
                <w:rFonts w:cstheme="minorHAnsi"/>
              </w:rPr>
              <w:t>month timeframe for an orderly shutdown of DCPP.”</w:t>
            </w:r>
          </w:p>
          <w:p w:rsidRPr="000E3C66" w:rsidR="00A73E7F" w:rsidP="00FB31D7" w:rsidRDefault="00CC1FFD" w14:paraId="6798390B" w14:textId="75ABD29B">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C9112F">
              <w:rPr>
                <w:rFonts w:cstheme="minorHAnsi"/>
              </w:rPr>
              <w:t>Dicta at</w:t>
            </w:r>
            <w:r w:rsidRPr="000E3C66" w:rsidR="009D4181">
              <w:rPr>
                <w:rFonts w:cstheme="minorHAnsi"/>
              </w:rPr>
              <w:t xml:space="preserve"> p. </w:t>
            </w:r>
            <w:r w:rsidRPr="000E3C66" w:rsidR="00C9112F">
              <w:rPr>
                <w:rFonts w:cstheme="minorHAnsi"/>
              </w:rPr>
              <w:t>65: “We generally find PG&amp;E’s six</w:t>
            </w:r>
            <w:r w:rsidRPr="000E3C66" w:rsidR="00F949CB">
              <w:rPr>
                <w:rFonts w:cstheme="minorHAnsi"/>
              </w:rPr>
              <w:noBreakHyphen/>
            </w:r>
            <w:r w:rsidRPr="000E3C66" w:rsidR="00C9112F">
              <w:rPr>
                <w:rFonts w:cstheme="minorHAnsi"/>
              </w:rPr>
              <w:t>month estimate for an orderly shutdown of Diablo Canyon to be reasonable, but agree with A4NR that some additional adjustments may be warranted in the future. In the event PG&amp;E proposes to shutdown Diablo Canyon earlier than October 31, 2029 (</w:t>
            </w:r>
            <w:r w:rsidRPr="000E3C66" w:rsidR="00A73E7F">
              <w:rPr>
                <w:rFonts w:cstheme="minorHAnsi"/>
              </w:rPr>
              <w:t>Unit 1</w:t>
            </w:r>
            <w:r w:rsidRPr="000E3C66" w:rsidR="00C9112F">
              <w:rPr>
                <w:rFonts w:cstheme="minorHAnsi"/>
              </w:rPr>
              <w:t>) and October 31, 2030 (</w:t>
            </w:r>
            <w:r w:rsidRPr="000E3C66" w:rsidR="00A73E7F">
              <w:rPr>
                <w:rFonts w:cstheme="minorHAnsi"/>
              </w:rPr>
              <w:t>Unit 2</w:t>
            </w:r>
            <w:r w:rsidRPr="000E3C66" w:rsidR="00C9112F">
              <w:rPr>
                <w:rFonts w:cstheme="minorHAnsi"/>
              </w:rPr>
              <w:t>) … PG&amp;E shall explain whether there are any deviations from its six</w:t>
            </w:r>
            <w:r w:rsidRPr="000E3C66" w:rsidR="00F949CB">
              <w:rPr>
                <w:rFonts w:cstheme="minorHAnsi"/>
              </w:rPr>
              <w:noBreakHyphen/>
            </w:r>
            <w:r w:rsidRPr="000E3C66" w:rsidR="00C9112F">
              <w:rPr>
                <w:rFonts w:cstheme="minorHAnsi"/>
              </w:rPr>
              <w:t>month estimate in this proceeding and why.”</w:t>
            </w:r>
          </w:p>
        </w:tc>
        <w:tc>
          <w:tcPr>
            <w:tcW w:w="2705" w:type="dxa"/>
            <w:shd w:val="clear" w:color="auto" w:fill="auto"/>
          </w:tcPr>
          <w:p w:rsidRPr="000E3C66" w:rsidR="0051047E" w:rsidP="00471EE6" w:rsidRDefault="003F19FB" w14:paraId="55D1361C" w14:textId="307552A4">
            <w:pPr>
              <w:keepNext/>
              <w:spacing w:after="240"/>
            </w:pPr>
            <w:r w:rsidRPr="000E3C66">
              <w:t>Verified</w:t>
            </w:r>
          </w:p>
        </w:tc>
      </w:tr>
      <w:tr w:rsidRPr="000E3C66" w:rsidR="000E3C66" w:rsidTr="00885CF8" w14:paraId="392B92A7" w14:textId="77777777">
        <w:tc>
          <w:tcPr>
            <w:tcW w:w="2785" w:type="dxa"/>
            <w:shd w:val="clear" w:color="auto" w:fill="auto"/>
          </w:tcPr>
          <w:p w:rsidRPr="000E3C66" w:rsidR="0051047E" w:rsidP="007A784D" w:rsidRDefault="00EF1FFE" w14:paraId="485C7F5B" w14:textId="4E375F06">
            <w:pPr>
              <w:keepNext/>
              <w:spacing w:after="240"/>
            </w:pPr>
            <w:r w:rsidRPr="000E3C66">
              <w:t xml:space="preserve">10. </w:t>
            </w:r>
            <w:r w:rsidRPr="000E3C66">
              <w:rPr>
                <w:rFonts w:cstheme="minorHAnsi"/>
              </w:rPr>
              <w:t xml:space="preserve">Scoping Memo </w:t>
            </w:r>
            <w:r w:rsidRPr="000E3C66" w:rsidR="000D1C97">
              <w:rPr>
                <w:rFonts w:cstheme="minorHAnsi"/>
              </w:rPr>
              <w:t>Issue 1</w:t>
            </w:r>
            <w:r w:rsidRPr="000E3C66">
              <w:rPr>
                <w:rFonts w:cstheme="minorHAnsi"/>
              </w:rPr>
              <w:t xml:space="preserve">.e.:  A4NR contended that the Commission’s ability to authorize “recovery of any outstanding uncollected costs and fees” under </w:t>
            </w:r>
            <w:r w:rsidRPr="000E3C66" w:rsidR="00AE4FEE">
              <w:rPr>
                <w:rFonts w:cstheme="minorHAnsi"/>
              </w:rPr>
              <w:t>Pub. Util.</w:t>
            </w:r>
            <w:r w:rsidRPr="000E3C66">
              <w:rPr>
                <w:rFonts w:cstheme="minorHAnsi"/>
              </w:rPr>
              <w:t xml:space="preserve"> Code </w:t>
            </w:r>
            <w:r w:rsidRPr="000E3C66" w:rsidR="00AE4FEE">
              <w:rPr>
                <w:rFonts w:cstheme="minorHAnsi"/>
              </w:rPr>
              <w:t>§ </w:t>
            </w:r>
            <w:r w:rsidRPr="000E3C66">
              <w:rPr>
                <w:rFonts w:cstheme="minorHAnsi"/>
              </w:rPr>
              <w:t xml:space="preserve">712.8(c)(2)(B) would not be affected by </w:t>
            </w:r>
            <w:r w:rsidRPr="000E3C66" w:rsidR="00237F9B">
              <w:rPr>
                <w:rFonts w:cstheme="minorHAnsi"/>
              </w:rPr>
              <w:t>the</w:t>
            </w:r>
            <w:r w:rsidRPr="000E3C66" w:rsidR="007A784D">
              <w:rPr>
                <w:rFonts w:cstheme="minorHAnsi"/>
              </w:rPr>
              <w:t xml:space="preserve"> </w:t>
            </w:r>
            <w:r w:rsidRPr="000E3C66">
              <w:rPr>
                <w:rFonts w:cstheme="minorHAnsi"/>
              </w:rPr>
              <w:t xml:space="preserve">determination of </w:t>
            </w:r>
            <w:r w:rsidRPr="000E3C66">
              <w:rPr>
                <w:rFonts w:cstheme="minorHAnsi"/>
              </w:rPr>
              <w:lastRenderedPageBreak/>
              <w:t>“sufficient time for orderly shutdown.”</w:t>
            </w:r>
          </w:p>
        </w:tc>
        <w:tc>
          <w:tcPr>
            <w:tcW w:w="3870" w:type="dxa"/>
            <w:shd w:val="clear" w:color="auto" w:fill="auto"/>
          </w:tcPr>
          <w:p w:rsidRPr="000E3C66" w:rsidR="00237F9B" w:rsidP="00913CC8" w:rsidRDefault="00EF1FFE" w14:paraId="1077B079" w14:textId="73791BA5">
            <w:pPr>
              <w:keepNext/>
              <w:spacing w:after="240"/>
              <w:rPr>
                <w:rFonts w:cstheme="minorHAnsi"/>
              </w:rPr>
            </w:pPr>
            <w:r w:rsidRPr="000E3C66">
              <w:rPr>
                <w:rFonts w:cstheme="minorHAnsi"/>
              </w:rPr>
              <w:lastRenderedPageBreak/>
              <w:t>A4NR</w:t>
            </w:r>
            <w:r w:rsidRPr="000E3C66" w:rsidR="00F949CB">
              <w:rPr>
                <w:rFonts w:cstheme="minorHAnsi"/>
              </w:rPr>
              <w:noBreakHyphen/>
            </w:r>
            <w:r w:rsidRPr="000E3C66">
              <w:rPr>
                <w:rFonts w:cstheme="minorHAnsi"/>
              </w:rPr>
              <w:t>01 (</w:t>
            </w:r>
            <w:r w:rsidRPr="000E3C66" w:rsidR="00B41E47">
              <w:rPr>
                <w:rFonts w:cstheme="minorHAnsi"/>
              </w:rPr>
              <w:t xml:space="preserve">served 6/30/2023, </w:t>
            </w:r>
            <w:r w:rsidRPr="000E3C66">
              <w:rPr>
                <w:rFonts w:cstheme="minorHAnsi"/>
              </w:rPr>
              <w:t>admitted 8/30/23),</w:t>
            </w:r>
            <w:r w:rsidRPr="000E3C66" w:rsidR="009D4181">
              <w:rPr>
                <w:rFonts w:cstheme="minorHAnsi"/>
              </w:rPr>
              <w:t xml:space="preserve"> p. </w:t>
            </w:r>
            <w:r w:rsidRPr="000E3C66">
              <w:rPr>
                <w:rFonts w:cstheme="minorHAnsi"/>
              </w:rPr>
              <w:t xml:space="preserve">27, </w:t>
            </w:r>
            <w:r w:rsidRPr="000E3C66" w:rsidR="00964D3B">
              <w:rPr>
                <w:rFonts w:cstheme="minorHAnsi"/>
              </w:rPr>
              <w:t>lines 1</w:t>
            </w:r>
            <w:r w:rsidRPr="000E3C66">
              <w:rPr>
                <w:rFonts w:cstheme="minorHAnsi"/>
              </w:rPr>
              <w:t>0</w:t>
            </w:r>
            <w:r w:rsidRPr="000E3C66" w:rsidR="009D4181">
              <w:rPr>
                <w:rFonts w:cstheme="minorHAnsi"/>
              </w:rPr>
              <w:noBreakHyphen/>
            </w:r>
            <w:r w:rsidRPr="000E3C66">
              <w:rPr>
                <w:rFonts w:cstheme="minorHAnsi"/>
              </w:rPr>
              <w:t>12</w:t>
            </w:r>
            <w:r w:rsidRPr="000E3C66" w:rsidR="00237F9B">
              <w:rPr>
                <w:rFonts w:cstheme="minorHAnsi"/>
              </w:rPr>
              <w:t>.</w:t>
            </w:r>
          </w:p>
          <w:p w:rsidRPr="000E3C66" w:rsidR="00913CC8" w:rsidP="00913CC8" w:rsidRDefault="00A64EDE" w14:paraId="1F8EA7FE" w14:textId="7B81FBC0">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237F9B">
              <w:rPr>
                <w:rFonts w:cstheme="minorHAnsi"/>
              </w:rPr>
              <w:t>Dicta at</w:t>
            </w:r>
            <w:r w:rsidRPr="000E3C66" w:rsidR="009D4181">
              <w:rPr>
                <w:rFonts w:cstheme="minorHAnsi"/>
              </w:rPr>
              <w:t xml:space="preserve"> p. </w:t>
            </w:r>
            <w:r w:rsidRPr="000E3C66" w:rsidR="00237F9B">
              <w:rPr>
                <w:rFonts w:cstheme="minorHAnsi"/>
              </w:rPr>
              <w:t xml:space="preserve">65: “There is no need to establish further guidance at this time concerning the recovery of outstanding costs and fees. As noted by parties, the ability to recover outstanding uncollected costs and fees is not affected by the time </w:t>
            </w:r>
            <w:r w:rsidRPr="000E3C66" w:rsidR="00237F9B">
              <w:rPr>
                <w:rFonts w:cstheme="minorHAnsi"/>
              </w:rPr>
              <w:lastRenderedPageBreak/>
              <w:t>needed for an orderly shutdown at DCPP …”</w:t>
            </w:r>
          </w:p>
        </w:tc>
        <w:tc>
          <w:tcPr>
            <w:tcW w:w="2705" w:type="dxa"/>
            <w:shd w:val="clear" w:color="auto" w:fill="auto"/>
          </w:tcPr>
          <w:p w:rsidRPr="000E3C66" w:rsidR="0051047E" w:rsidP="00471EE6" w:rsidRDefault="00615CBB" w14:paraId="3ECF7E42" w14:textId="7F97877B">
            <w:pPr>
              <w:keepNext/>
              <w:spacing w:after="240"/>
            </w:pPr>
            <w:r w:rsidRPr="000E3C66">
              <w:lastRenderedPageBreak/>
              <w:t>Verified</w:t>
            </w:r>
          </w:p>
        </w:tc>
      </w:tr>
      <w:tr w:rsidRPr="000E3C66" w:rsidR="000E3C66" w:rsidTr="00885CF8" w14:paraId="1A951CDC" w14:textId="77777777">
        <w:tc>
          <w:tcPr>
            <w:tcW w:w="2785" w:type="dxa"/>
            <w:shd w:val="clear" w:color="auto" w:fill="auto"/>
          </w:tcPr>
          <w:p w:rsidRPr="000E3C66" w:rsidR="00237F9B" w:rsidP="007A784D" w:rsidRDefault="00237F9B" w14:paraId="5E3BE8A8" w14:textId="263CDC13">
            <w:pPr>
              <w:keepNext/>
              <w:spacing w:after="240"/>
            </w:pPr>
            <w:r w:rsidRPr="000E3C66">
              <w:t xml:space="preserve">11. </w:t>
            </w:r>
            <w:r w:rsidRPr="000E3C66">
              <w:rPr>
                <w:rFonts w:cstheme="minorHAnsi"/>
              </w:rPr>
              <w:t xml:space="preserve">Scoping Memo </w:t>
            </w:r>
            <w:r w:rsidRPr="000E3C66" w:rsidR="000D1C97">
              <w:rPr>
                <w:rFonts w:cstheme="minorHAnsi"/>
              </w:rPr>
              <w:t>Issue 2</w:t>
            </w:r>
            <w:r w:rsidRPr="000E3C66">
              <w:rPr>
                <w:rFonts w:cstheme="minorHAnsi"/>
              </w:rPr>
              <w:t xml:space="preserve">: A4NR contended that </w:t>
            </w:r>
            <w:r w:rsidRPr="000E3C66" w:rsidR="00A81222">
              <w:rPr>
                <w:rFonts w:cstheme="minorHAnsi"/>
              </w:rPr>
              <w:t>the Commission should proactively monitor the continued reasonableness of extended operating costs, which are statutorily terminable at any time if no longer justified.</w:t>
            </w:r>
          </w:p>
        </w:tc>
        <w:tc>
          <w:tcPr>
            <w:tcW w:w="3870" w:type="dxa"/>
            <w:shd w:val="clear" w:color="auto" w:fill="auto"/>
          </w:tcPr>
          <w:p w:rsidRPr="000E3C66" w:rsidR="00237F9B" w:rsidP="00913CC8" w:rsidRDefault="00A81222" w14:paraId="384CBC5A" w14:textId="48291078">
            <w:pPr>
              <w:keepNext/>
              <w:spacing w:after="240"/>
              <w:rPr>
                <w:rFonts w:cstheme="minorHAnsi"/>
              </w:rPr>
            </w:pPr>
            <w:r w:rsidRPr="000E3C66">
              <w:rPr>
                <w:rFonts w:cstheme="minorHAnsi"/>
              </w:rPr>
              <w:t>9/15/2023 A4NR Opening Brief,</w:t>
            </w:r>
            <w:r w:rsidRPr="000E3C66" w:rsidR="009D4181">
              <w:rPr>
                <w:rFonts w:cstheme="minorHAnsi"/>
              </w:rPr>
              <w:t xml:space="preserve"> pp. </w:t>
            </w:r>
            <w:r w:rsidRPr="000E3C66">
              <w:rPr>
                <w:rFonts w:cstheme="minorHAnsi"/>
              </w:rPr>
              <w:t>8</w:t>
            </w:r>
            <w:r w:rsidRPr="000E3C66" w:rsidR="009D4181">
              <w:rPr>
                <w:rFonts w:cstheme="minorHAnsi"/>
              </w:rPr>
              <w:noBreakHyphen/>
            </w:r>
            <w:r w:rsidRPr="000E3C66">
              <w:rPr>
                <w:rFonts w:cstheme="minorHAnsi"/>
              </w:rPr>
              <w:t>9; 9/29/2023 A4NR Reply Brief,</w:t>
            </w:r>
            <w:r w:rsidRPr="000E3C66" w:rsidR="009D4181">
              <w:rPr>
                <w:rFonts w:cstheme="minorHAnsi"/>
              </w:rPr>
              <w:t xml:space="preserve"> p. </w:t>
            </w:r>
            <w:r w:rsidRPr="000E3C66">
              <w:rPr>
                <w:rFonts w:cstheme="minorHAnsi"/>
              </w:rPr>
              <w:t>14</w:t>
            </w:r>
            <w:r w:rsidRPr="000E3C66" w:rsidR="00AC0C8D">
              <w:rPr>
                <w:rFonts w:cstheme="minorHAnsi"/>
              </w:rPr>
              <w:t>; 11/7/2023 Oral Argument Transcript,</w:t>
            </w:r>
            <w:r w:rsidRPr="000E3C66" w:rsidR="009D4181">
              <w:rPr>
                <w:rFonts w:cstheme="minorHAnsi"/>
              </w:rPr>
              <w:t xml:space="preserve"> p. </w:t>
            </w:r>
            <w:r w:rsidRPr="000E3C66" w:rsidR="003A6E5B">
              <w:rPr>
                <w:rFonts w:cstheme="minorHAnsi"/>
              </w:rPr>
              <w:t xml:space="preserve">395, </w:t>
            </w:r>
            <w:r w:rsidRPr="000E3C66" w:rsidR="00964D3B">
              <w:rPr>
                <w:rFonts w:cstheme="minorHAnsi"/>
              </w:rPr>
              <w:t>lines 1</w:t>
            </w:r>
            <w:r w:rsidRPr="000E3C66" w:rsidR="003A6E5B">
              <w:rPr>
                <w:rFonts w:cstheme="minorHAnsi"/>
              </w:rPr>
              <w:t>6</w:t>
            </w:r>
            <w:r w:rsidRPr="000E3C66" w:rsidR="009D4181">
              <w:rPr>
                <w:rFonts w:cstheme="minorHAnsi"/>
              </w:rPr>
              <w:noBreakHyphen/>
            </w:r>
            <w:r w:rsidRPr="000E3C66" w:rsidR="003A6E5B">
              <w:rPr>
                <w:rFonts w:cstheme="minorHAnsi"/>
              </w:rPr>
              <w:t>18.</w:t>
            </w:r>
          </w:p>
          <w:p w:rsidRPr="000E3C66" w:rsidR="007F674E" w:rsidP="00913CC8" w:rsidRDefault="000A3CFC" w14:paraId="309B166B" w14:textId="722ACD45">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7F674E">
              <w:rPr>
                <w:rFonts w:cstheme="minorHAnsi"/>
              </w:rPr>
              <w:t xml:space="preserve">COL #15: </w:t>
            </w:r>
            <w:r w:rsidRPr="000E3C66" w:rsidR="00775129">
              <w:rPr>
                <w:rFonts w:cstheme="minorHAnsi"/>
              </w:rPr>
              <w:t>“</w:t>
            </w:r>
            <w:r w:rsidRPr="000E3C66" w:rsidR="007F674E">
              <w:rPr>
                <w:rFonts w:cstheme="minorHAnsi"/>
              </w:rPr>
              <w:t>It is well within the Commission’s authority, and in ratepayers’ best interest, to continue to evaluate the prudence and cost</w:t>
            </w:r>
            <w:r w:rsidRPr="000E3C66" w:rsidR="00F949CB">
              <w:rPr>
                <w:rFonts w:cstheme="minorHAnsi"/>
              </w:rPr>
              <w:noBreakHyphen/>
            </w:r>
            <w:r w:rsidRPr="000E3C66" w:rsidR="007F674E">
              <w:rPr>
                <w:rFonts w:cstheme="minorHAnsi"/>
              </w:rPr>
              <w:t>effectiveness of continued DCPP operations.”</w:t>
            </w:r>
          </w:p>
          <w:p w:rsidRPr="000E3C66" w:rsidR="007F674E" w:rsidP="00913CC8" w:rsidRDefault="00DE10D8" w14:paraId="3C3F1209" w14:textId="0CE57A2C">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6C462D">
              <w:rPr>
                <w:rFonts w:cstheme="minorHAnsi"/>
              </w:rPr>
              <w:t>Dicta at</w:t>
            </w:r>
            <w:r w:rsidRPr="000E3C66" w:rsidR="009D4181">
              <w:rPr>
                <w:rFonts w:cstheme="minorHAnsi"/>
              </w:rPr>
              <w:t xml:space="preserve"> pp. </w:t>
            </w:r>
            <w:r w:rsidRPr="000E3C66" w:rsidR="006C462D">
              <w:rPr>
                <w:rFonts w:cstheme="minorHAnsi"/>
              </w:rPr>
              <w:t>57</w:t>
            </w:r>
            <w:r w:rsidRPr="000E3C66" w:rsidR="009D4181">
              <w:rPr>
                <w:rFonts w:cstheme="minorHAnsi"/>
              </w:rPr>
              <w:noBreakHyphen/>
            </w:r>
            <w:r w:rsidRPr="000E3C66" w:rsidR="006C462D">
              <w:rPr>
                <w:rFonts w:cstheme="minorHAnsi"/>
              </w:rPr>
              <w:t>58: “This decision finds it is well within the Commission’s authority and in ratepayers’ best interest to continue to evaluate the reasonableness and prudence of continued DCPP operations, including ongoing evaluation of the cost</w:t>
            </w:r>
            <w:r w:rsidRPr="000E3C66" w:rsidR="00F949CB">
              <w:rPr>
                <w:rFonts w:cstheme="minorHAnsi"/>
              </w:rPr>
              <w:noBreakHyphen/>
            </w:r>
            <w:r w:rsidRPr="000E3C66" w:rsidR="006C462D">
              <w:rPr>
                <w:rFonts w:cstheme="minorHAnsi"/>
              </w:rPr>
              <w:t>effectiveness of extended DCPP operations.”</w:t>
            </w:r>
          </w:p>
          <w:p w:rsidRPr="000E3C66" w:rsidR="00913CC8" w:rsidP="00913CC8" w:rsidRDefault="00DE10D8" w14:paraId="3B596FD7" w14:textId="72DF105C">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6C462D">
              <w:rPr>
                <w:rFonts w:cstheme="minorHAnsi"/>
              </w:rPr>
              <w:t>Dicta at</w:t>
            </w:r>
            <w:r w:rsidRPr="000E3C66" w:rsidR="009D4181">
              <w:rPr>
                <w:rFonts w:cstheme="minorHAnsi"/>
              </w:rPr>
              <w:t xml:space="preserve"> pp. </w:t>
            </w:r>
            <w:r w:rsidRPr="000E3C66" w:rsidR="006C462D">
              <w:rPr>
                <w:rFonts w:cstheme="minorHAnsi"/>
              </w:rPr>
              <w:t>58</w:t>
            </w:r>
            <w:r w:rsidRPr="000E3C66" w:rsidR="009D4181">
              <w:rPr>
                <w:rFonts w:cstheme="minorHAnsi"/>
              </w:rPr>
              <w:noBreakHyphen/>
            </w:r>
            <w:r w:rsidRPr="000E3C66" w:rsidR="006C462D">
              <w:rPr>
                <w:rFonts w:cstheme="minorHAnsi"/>
              </w:rPr>
              <w:t>59: “</w:t>
            </w:r>
            <w:r w:rsidRPr="000E3C66" w:rsidR="00885CF8">
              <w:rPr>
                <w:rFonts w:cstheme="minorHAnsi"/>
              </w:rPr>
              <w:t>Pub. Res.</w:t>
            </w:r>
            <w:r w:rsidRPr="000E3C66" w:rsidR="006C462D">
              <w:rPr>
                <w:rFonts w:cstheme="minorHAnsi"/>
              </w:rPr>
              <w:t xml:space="preserve"> Code </w:t>
            </w:r>
            <w:r w:rsidRPr="000E3C66" w:rsidR="00885CF8">
              <w:rPr>
                <w:rFonts w:cstheme="minorHAnsi"/>
              </w:rPr>
              <w:t>Section </w:t>
            </w:r>
            <w:r w:rsidRPr="000E3C66" w:rsidR="006C462D">
              <w:rPr>
                <w:rFonts w:cstheme="minorHAnsi"/>
              </w:rPr>
              <w:t xml:space="preserve">25548.3(c)(5)(C) does not require the Commission to … </w:t>
            </w:r>
            <w:r w:rsidRPr="000E3C66" w:rsidR="00964A94">
              <w:rPr>
                <w:rFonts w:cstheme="minorHAnsi"/>
              </w:rPr>
              <w:t>make a cost</w:t>
            </w:r>
            <w:r w:rsidRPr="000E3C66" w:rsidR="00F949CB">
              <w:rPr>
                <w:rFonts w:cstheme="minorHAnsi"/>
              </w:rPr>
              <w:noBreakHyphen/>
            </w:r>
            <w:r w:rsidRPr="000E3C66" w:rsidR="00964A94">
              <w:rPr>
                <w:rFonts w:cstheme="minorHAnsi"/>
              </w:rPr>
              <w:t>effectiveness determination by the date of this decision.”</w:t>
            </w:r>
          </w:p>
        </w:tc>
        <w:tc>
          <w:tcPr>
            <w:tcW w:w="2705" w:type="dxa"/>
            <w:shd w:val="clear" w:color="auto" w:fill="auto"/>
          </w:tcPr>
          <w:p w:rsidRPr="000E3C66" w:rsidR="00237F9B" w:rsidP="00471EE6" w:rsidRDefault="00271D9D" w14:paraId="712459C7" w14:textId="5FDF1125">
            <w:pPr>
              <w:keepNext/>
              <w:spacing w:after="240"/>
            </w:pPr>
            <w:r w:rsidRPr="000E3C66">
              <w:t>Noted</w:t>
            </w:r>
          </w:p>
        </w:tc>
      </w:tr>
      <w:tr w:rsidRPr="000E3C66" w:rsidR="000E3C66" w:rsidTr="00885CF8" w14:paraId="1BFEB99B" w14:textId="77777777">
        <w:tc>
          <w:tcPr>
            <w:tcW w:w="2785" w:type="dxa"/>
            <w:shd w:val="clear" w:color="auto" w:fill="auto"/>
          </w:tcPr>
          <w:p w:rsidRPr="000E3C66" w:rsidR="007F674E" w:rsidP="007A784D" w:rsidRDefault="007F674E" w14:paraId="7F722139" w14:textId="5AA08629">
            <w:pPr>
              <w:keepNext/>
              <w:spacing w:after="240"/>
            </w:pPr>
            <w:r w:rsidRPr="000E3C66">
              <w:t xml:space="preserve">12. </w:t>
            </w:r>
            <w:r w:rsidRPr="000E3C66">
              <w:rPr>
                <w:rFonts w:cstheme="minorHAnsi"/>
              </w:rPr>
              <w:t xml:space="preserve">Scoping Memo </w:t>
            </w:r>
            <w:r w:rsidRPr="000E3C66" w:rsidR="000D1C97">
              <w:rPr>
                <w:rFonts w:cstheme="minorHAnsi"/>
              </w:rPr>
              <w:t>Issue 2</w:t>
            </w:r>
            <w:r w:rsidRPr="000E3C66">
              <w:rPr>
                <w:rFonts w:cstheme="minorHAnsi"/>
              </w:rPr>
              <w:t>: A4NR contended that the Commission should heed the DCISC comments in the Joint PHC Statement concerning post</w:t>
            </w:r>
            <w:r w:rsidRPr="000E3C66" w:rsidR="00F949CB">
              <w:rPr>
                <w:rFonts w:cstheme="minorHAnsi"/>
              </w:rPr>
              <w:noBreakHyphen/>
            </w:r>
            <w:r w:rsidRPr="000E3C66">
              <w:rPr>
                <w:rFonts w:cstheme="minorHAnsi"/>
              </w:rPr>
              <w:t xml:space="preserve">2023 review of costs related to seismic </w:t>
            </w:r>
            <w:r w:rsidRPr="000E3C66" w:rsidR="001431D1">
              <w:rPr>
                <w:rFonts w:cstheme="minorHAnsi"/>
              </w:rPr>
              <w:t xml:space="preserve">upgrades and </w:t>
            </w:r>
            <w:r w:rsidRPr="000E3C66" w:rsidR="001431D1">
              <w:rPr>
                <w:rFonts w:cstheme="minorHAnsi"/>
              </w:rPr>
              <w:lastRenderedPageBreak/>
              <w:t>deferred maintenance and anticipate a multi</w:t>
            </w:r>
            <w:r w:rsidRPr="000E3C66" w:rsidR="00F949CB">
              <w:rPr>
                <w:rFonts w:cstheme="minorHAnsi"/>
              </w:rPr>
              <w:noBreakHyphen/>
            </w:r>
            <w:r w:rsidRPr="000E3C66" w:rsidR="001431D1">
              <w:rPr>
                <w:rFonts w:cstheme="minorHAnsi"/>
              </w:rPr>
              <w:t>step decision process</w:t>
            </w:r>
            <w:r w:rsidRPr="000E3C66" w:rsidR="00775129">
              <w:rPr>
                <w:rFonts w:cstheme="minorHAnsi"/>
              </w:rPr>
              <w:t xml:space="preserve"> as to whether those costs are too high to justify incurring</w:t>
            </w:r>
            <w:r w:rsidRPr="000E3C66" w:rsidR="001431D1">
              <w:rPr>
                <w:rFonts w:cstheme="minorHAnsi"/>
              </w:rPr>
              <w:t>.</w:t>
            </w:r>
            <w:r w:rsidRPr="000E3C66">
              <w:rPr>
                <w:rFonts w:cstheme="minorHAnsi"/>
              </w:rPr>
              <w:t xml:space="preserve"> </w:t>
            </w:r>
          </w:p>
        </w:tc>
        <w:tc>
          <w:tcPr>
            <w:tcW w:w="3870" w:type="dxa"/>
            <w:shd w:val="clear" w:color="auto" w:fill="auto"/>
          </w:tcPr>
          <w:p w:rsidRPr="000E3C66" w:rsidR="001431D1" w:rsidP="00913CC8" w:rsidRDefault="001431D1" w14:paraId="0E7C23BB" w14:textId="7EE031D1">
            <w:pPr>
              <w:keepNext/>
              <w:spacing w:after="240"/>
              <w:rPr>
                <w:rFonts w:cstheme="minorHAnsi"/>
              </w:rPr>
            </w:pPr>
            <w:r w:rsidRPr="000E3C66">
              <w:rPr>
                <w:rFonts w:cstheme="minorHAnsi"/>
              </w:rPr>
              <w:lastRenderedPageBreak/>
              <w:t>A4NR</w:t>
            </w:r>
            <w:r w:rsidRPr="000E3C66" w:rsidR="00F949CB">
              <w:rPr>
                <w:rFonts w:cstheme="minorHAnsi"/>
              </w:rPr>
              <w:noBreakHyphen/>
            </w:r>
            <w:r w:rsidRPr="000E3C66">
              <w:rPr>
                <w:rFonts w:cstheme="minorHAnsi"/>
              </w:rPr>
              <w:t>01 (</w:t>
            </w:r>
            <w:r w:rsidRPr="000E3C66" w:rsidR="00B41E47">
              <w:rPr>
                <w:rFonts w:cstheme="minorHAnsi"/>
              </w:rPr>
              <w:t xml:space="preserve">served 6/30/2023, </w:t>
            </w:r>
            <w:r w:rsidRPr="000E3C66">
              <w:rPr>
                <w:rFonts w:cstheme="minorHAnsi"/>
              </w:rPr>
              <w:t>admitted 8/30/23),</w:t>
            </w:r>
            <w:r w:rsidRPr="000E3C66" w:rsidR="009D4181">
              <w:rPr>
                <w:rFonts w:cstheme="minorHAnsi"/>
              </w:rPr>
              <w:t xml:space="preserve"> p. </w:t>
            </w:r>
            <w:r w:rsidRPr="000E3C66">
              <w:rPr>
                <w:rFonts w:cstheme="minorHAnsi"/>
              </w:rPr>
              <w:t xml:space="preserve">27, </w:t>
            </w:r>
            <w:r w:rsidRPr="000E3C66" w:rsidR="00964D3B">
              <w:rPr>
                <w:rFonts w:cstheme="minorHAnsi"/>
              </w:rPr>
              <w:t>line 2</w:t>
            </w:r>
            <w:r w:rsidRPr="000E3C66">
              <w:rPr>
                <w:rFonts w:cstheme="minorHAnsi"/>
              </w:rPr>
              <w:t>3</w:t>
            </w:r>
            <w:r w:rsidRPr="000E3C66" w:rsidR="009D4181">
              <w:rPr>
                <w:rFonts w:cstheme="minorHAnsi"/>
              </w:rPr>
              <w:t> </w:t>
            </w:r>
            <w:r w:rsidRPr="000E3C66" w:rsidR="009D4181">
              <w:rPr>
                <w:rFonts w:cstheme="minorHAnsi"/>
              </w:rPr>
              <w:noBreakHyphen/>
              <w:t xml:space="preserve"> p. </w:t>
            </w:r>
            <w:r w:rsidRPr="000E3C66">
              <w:rPr>
                <w:rFonts w:cstheme="minorHAnsi"/>
              </w:rPr>
              <w:t xml:space="preserve">28, </w:t>
            </w:r>
            <w:r w:rsidRPr="000E3C66" w:rsidR="00964D3B">
              <w:rPr>
                <w:rFonts w:cstheme="minorHAnsi"/>
              </w:rPr>
              <w:t>line 3</w:t>
            </w:r>
            <w:r w:rsidRPr="000E3C66" w:rsidR="00775129">
              <w:rPr>
                <w:rFonts w:cstheme="minorHAnsi"/>
              </w:rPr>
              <w:t>1</w:t>
            </w:r>
            <w:r w:rsidRPr="000E3C66">
              <w:rPr>
                <w:rFonts w:cstheme="minorHAnsi"/>
              </w:rPr>
              <w:t>.</w:t>
            </w:r>
          </w:p>
          <w:p w:rsidRPr="000E3C66" w:rsidR="00775129" w:rsidP="00913CC8" w:rsidRDefault="000A3CFC" w14:paraId="287610F6" w14:textId="3D30A64E">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775129">
              <w:rPr>
                <w:rFonts w:cstheme="minorHAnsi"/>
              </w:rPr>
              <w:t>COL #14: “</w:t>
            </w:r>
            <w:r w:rsidRPr="000E3C66" w:rsidR="00885CF8">
              <w:rPr>
                <w:rFonts w:cstheme="minorHAnsi"/>
              </w:rPr>
              <w:t>Pub. Res.</w:t>
            </w:r>
            <w:r w:rsidRPr="000E3C66" w:rsidR="00775129">
              <w:rPr>
                <w:rFonts w:cstheme="minorHAnsi"/>
              </w:rPr>
              <w:t xml:space="preserve"> Code </w:t>
            </w:r>
            <w:r w:rsidRPr="000E3C66" w:rsidR="00885CF8">
              <w:rPr>
                <w:rFonts w:cstheme="minorHAnsi"/>
              </w:rPr>
              <w:t>Section </w:t>
            </w:r>
            <w:r w:rsidRPr="000E3C66" w:rsidR="00775129">
              <w:rPr>
                <w:rFonts w:cstheme="minorHAnsi"/>
              </w:rPr>
              <w:t xml:space="preserve">25548.3(c)(5)(C) does not require the Commission to rely solely on the CEC’s Draft Cost Comparison Report or make a </w:t>
            </w:r>
            <w:r w:rsidRPr="000E3C66" w:rsidR="00775129">
              <w:rPr>
                <w:rFonts w:cstheme="minorHAnsi"/>
              </w:rPr>
              <w:lastRenderedPageBreak/>
              <w:t>cost</w:t>
            </w:r>
            <w:r w:rsidRPr="000E3C66" w:rsidR="00F949CB">
              <w:rPr>
                <w:rFonts w:cstheme="minorHAnsi"/>
              </w:rPr>
              <w:noBreakHyphen/>
            </w:r>
            <w:r w:rsidRPr="000E3C66" w:rsidR="00775129">
              <w:rPr>
                <w:rFonts w:cstheme="minorHAnsi"/>
              </w:rPr>
              <w:t xml:space="preserve">effectiveness determination by the end of 2023, while the Commission has broad authority to ensure just and reasonable rates under </w:t>
            </w:r>
            <w:r w:rsidRPr="000E3C66" w:rsidR="00AE4FEE">
              <w:rPr>
                <w:rFonts w:cstheme="minorHAnsi"/>
              </w:rPr>
              <w:t>Pub. Util.</w:t>
            </w:r>
            <w:r w:rsidRPr="000E3C66" w:rsidR="00775129">
              <w:rPr>
                <w:rFonts w:cstheme="minorHAnsi"/>
              </w:rPr>
              <w:t xml:space="preserve"> Code </w:t>
            </w:r>
            <w:r w:rsidRPr="000E3C66" w:rsidR="00885CF8">
              <w:rPr>
                <w:rFonts w:cstheme="minorHAnsi"/>
              </w:rPr>
              <w:t>Section </w:t>
            </w:r>
            <w:r w:rsidRPr="000E3C66" w:rsidR="00775129">
              <w:rPr>
                <w:rFonts w:cstheme="minorHAnsi"/>
              </w:rPr>
              <w:t>451.”</w:t>
            </w:r>
          </w:p>
          <w:p w:rsidRPr="000E3C66" w:rsidR="00775129" w:rsidP="00913CC8" w:rsidRDefault="001A0B1F" w14:paraId="40D1A563" w14:textId="5FA42E5F">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775129">
              <w:rPr>
                <w:rFonts w:cstheme="minorHAnsi"/>
              </w:rPr>
              <w:t>COL # 15: “It is well within the Commission’s authority, and in ratepayers’ best interest, to continue to evaluate the prudence and cost</w:t>
            </w:r>
            <w:r w:rsidRPr="000E3C66" w:rsidR="00F949CB">
              <w:rPr>
                <w:rFonts w:cstheme="minorHAnsi"/>
              </w:rPr>
              <w:noBreakHyphen/>
            </w:r>
            <w:r w:rsidRPr="000E3C66" w:rsidR="00775129">
              <w:rPr>
                <w:rFonts w:cstheme="minorHAnsi"/>
              </w:rPr>
              <w:t xml:space="preserve">effectiveness of continued DCPP operations.”  </w:t>
            </w:r>
          </w:p>
          <w:p w:rsidRPr="000E3C66" w:rsidR="00775129" w:rsidP="00913CC8" w:rsidRDefault="00CE152F" w14:paraId="611C4E09" w14:textId="51CCDE93">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775129">
              <w:rPr>
                <w:rFonts w:cstheme="minorHAnsi"/>
              </w:rPr>
              <w:t>Dicta at</w:t>
            </w:r>
            <w:r w:rsidRPr="000E3C66" w:rsidR="009D4181">
              <w:rPr>
                <w:rFonts w:cstheme="minorHAnsi"/>
              </w:rPr>
              <w:t xml:space="preserve"> pp. </w:t>
            </w:r>
            <w:r w:rsidRPr="000E3C66" w:rsidR="00775129">
              <w:rPr>
                <w:rFonts w:cstheme="minorHAnsi"/>
              </w:rPr>
              <w:t>57</w:t>
            </w:r>
            <w:r w:rsidRPr="000E3C66" w:rsidR="009D4181">
              <w:rPr>
                <w:rFonts w:cstheme="minorHAnsi"/>
              </w:rPr>
              <w:noBreakHyphen/>
            </w:r>
            <w:r w:rsidRPr="000E3C66" w:rsidR="00775129">
              <w:rPr>
                <w:rFonts w:cstheme="minorHAnsi"/>
              </w:rPr>
              <w:t>58: “This decision finds it is well within the Commission’s authority and in ratepayers’ best interest to continue to evaluate the reasonableness and prudence of continued DCPP operations, including ongoing evaluation of the cost</w:t>
            </w:r>
            <w:r w:rsidRPr="000E3C66" w:rsidR="00F949CB">
              <w:rPr>
                <w:rFonts w:cstheme="minorHAnsi"/>
              </w:rPr>
              <w:noBreakHyphen/>
            </w:r>
            <w:r w:rsidRPr="000E3C66" w:rsidR="00775129">
              <w:rPr>
                <w:rFonts w:cstheme="minorHAnsi"/>
              </w:rPr>
              <w:t>effectiveness of extended DCPP operations.”</w:t>
            </w:r>
          </w:p>
          <w:p w:rsidRPr="000E3C66" w:rsidR="00913CC8" w:rsidP="00913CC8" w:rsidRDefault="008C528C" w14:paraId="58718523" w14:textId="65685CF8">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775129">
              <w:rPr>
                <w:rFonts w:cstheme="minorHAnsi"/>
              </w:rPr>
              <w:t>Dicta at</w:t>
            </w:r>
            <w:r w:rsidRPr="000E3C66" w:rsidR="009D4181">
              <w:rPr>
                <w:rFonts w:cstheme="minorHAnsi"/>
              </w:rPr>
              <w:t xml:space="preserve"> pp. </w:t>
            </w:r>
            <w:r w:rsidRPr="000E3C66" w:rsidR="00775129">
              <w:rPr>
                <w:rFonts w:cstheme="minorHAnsi"/>
              </w:rPr>
              <w:t>58</w:t>
            </w:r>
            <w:r w:rsidRPr="000E3C66" w:rsidR="009D4181">
              <w:rPr>
                <w:rFonts w:cstheme="minorHAnsi"/>
              </w:rPr>
              <w:noBreakHyphen/>
            </w:r>
            <w:r w:rsidRPr="000E3C66" w:rsidR="00775129">
              <w:rPr>
                <w:rFonts w:cstheme="minorHAnsi"/>
              </w:rPr>
              <w:t>59: “</w:t>
            </w:r>
            <w:r w:rsidRPr="000E3C66" w:rsidR="00885CF8">
              <w:rPr>
                <w:rFonts w:cstheme="minorHAnsi"/>
              </w:rPr>
              <w:t>Pub. Res.</w:t>
            </w:r>
            <w:r w:rsidRPr="000E3C66" w:rsidR="00775129">
              <w:rPr>
                <w:rFonts w:cstheme="minorHAnsi"/>
              </w:rPr>
              <w:t xml:space="preserve"> Code </w:t>
            </w:r>
            <w:r w:rsidRPr="000E3C66" w:rsidR="00885CF8">
              <w:rPr>
                <w:rFonts w:cstheme="minorHAnsi"/>
              </w:rPr>
              <w:t>Section </w:t>
            </w:r>
            <w:r w:rsidRPr="000E3C66" w:rsidR="00775129">
              <w:rPr>
                <w:rFonts w:cstheme="minorHAnsi"/>
              </w:rPr>
              <w:t>25548.3(c)(5)(C) does not require the Commission to … make a cost</w:t>
            </w:r>
            <w:r w:rsidRPr="000E3C66" w:rsidR="00F949CB">
              <w:rPr>
                <w:rFonts w:cstheme="minorHAnsi"/>
              </w:rPr>
              <w:noBreakHyphen/>
            </w:r>
            <w:r w:rsidRPr="000E3C66" w:rsidR="00775129">
              <w:rPr>
                <w:rFonts w:cstheme="minorHAnsi"/>
              </w:rPr>
              <w:t>effectiveness determination by the date of this decision.”</w:t>
            </w:r>
          </w:p>
        </w:tc>
        <w:tc>
          <w:tcPr>
            <w:tcW w:w="2705" w:type="dxa"/>
            <w:shd w:val="clear" w:color="auto" w:fill="auto"/>
          </w:tcPr>
          <w:p w:rsidRPr="000E3C66" w:rsidR="007F674E" w:rsidP="00471EE6" w:rsidRDefault="00B21D18" w14:paraId="18347BAB" w14:textId="77777777">
            <w:pPr>
              <w:keepNext/>
              <w:spacing w:after="240"/>
            </w:pPr>
            <w:r w:rsidRPr="000E3C66">
              <w:lastRenderedPageBreak/>
              <w:t xml:space="preserve">Verified, in part. </w:t>
            </w:r>
          </w:p>
          <w:p w:rsidRPr="000E3C66" w:rsidR="00B21D18" w:rsidP="00471EE6" w:rsidRDefault="00B21D18" w14:paraId="160D6C41" w14:textId="6A8353B2">
            <w:pPr>
              <w:keepNext/>
              <w:spacing w:after="240"/>
            </w:pPr>
            <w:r w:rsidRPr="000E3C66">
              <w:t>D.23</w:t>
            </w:r>
            <w:r w:rsidRPr="000E3C66" w:rsidR="00F949CB">
              <w:noBreakHyphen/>
            </w:r>
            <w:r w:rsidRPr="000E3C66">
              <w:t>12</w:t>
            </w:r>
            <w:r w:rsidRPr="000E3C66" w:rsidR="00F949CB">
              <w:noBreakHyphen/>
            </w:r>
            <w:r w:rsidRPr="000E3C66">
              <w:t xml:space="preserve">036 at 62 states, “…we anticipate many of the DCISC’s recommendations concerning seismic safety and deferred maintenance may be available by the </w:t>
            </w:r>
            <w:r w:rsidRPr="000E3C66">
              <w:lastRenderedPageBreak/>
              <w:t>DCISC’s next public meeting…As a result, it is reasonable and timely to consider any costs associated with the DCISC’s recommendations as part of PG&amp;E’s 2024 DCPP Extended Operations Cost Forecast application, rather than a separate advice letter filing.”</w:t>
            </w:r>
          </w:p>
        </w:tc>
      </w:tr>
      <w:tr w:rsidRPr="000E3C66" w:rsidR="000E3C66" w:rsidTr="00885CF8" w14:paraId="5D31F84F" w14:textId="77777777">
        <w:tc>
          <w:tcPr>
            <w:tcW w:w="2785" w:type="dxa"/>
            <w:shd w:val="clear" w:color="auto" w:fill="auto"/>
          </w:tcPr>
          <w:p w:rsidRPr="000E3C66" w:rsidR="007F674E" w:rsidP="007A784D" w:rsidRDefault="001A0B1F" w14:paraId="63D9A118" w14:textId="51A4FA18">
            <w:pPr>
              <w:keepNext/>
              <w:spacing w:after="240"/>
              <w:rPr>
                <w:rFonts w:asciiTheme="minorHAnsi" w:hAnsiTheme="minorHAnsi" w:cstheme="minorHAnsi"/>
              </w:rPr>
            </w:pPr>
            <w:r w:rsidRPr="000E3C66">
              <w:lastRenderedPageBreak/>
              <w:t xml:space="preserve">13. </w:t>
            </w:r>
            <w:r w:rsidRPr="000E3C66">
              <w:rPr>
                <w:rFonts w:cstheme="minorHAnsi"/>
              </w:rPr>
              <w:t xml:space="preserve">Scoping Memo </w:t>
            </w:r>
            <w:r w:rsidRPr="000E3C66" w:rsidR="000D1C97">
              <w:rPr>
                <w:rFonts w:cstheme="minorHAnsi"/>
              </w:rPr>
              <w:t>Issue 2</w:t>
            </w:r>
            <w:r w:rsidRPr="000E3C66">
              <w:rPr>
                <w:rFonts w:cstheme="minorHAnsi"/>
              </w:rPr>
              <w:t>: A4NR contended that</w:t>
            </w:r>
            <w:r w:rsidRPr="000E3C66" w:rsidR="003C19DE">
              <w:rPr>
                <w:rFonts w:cstheme="minorHAnsi"/>
              </w:rPr>
              <w:t xml:space="preserve">, as a condition of the Commission’s </w:t>
            </w:r>
            <w:r w:rsidR="000E3C66">
              <w:rPr>
                <w:rFonts w:cstheme="minorHAnsi"/>
              </w:rPr>
              <w:t>Phase 1</w:t>
            </w:r>
            <w:r w:rsidRPr="000E3C66" w:rsidR="003C19DE">
              <w:rPr>
                <w:rFonts w:cstheme="minorHAnsi"/>
              </w:rPr>
              <w:t xml:space="preserve">: </w:t>
            </w:r>
            <w:r w:rsidR="000E3C66">
              <w:rPr>
                <w:rFonts w:cstheme="minorHAnsi"/>
              </w:rPr>
              <w:t>Track 2</w:t>
            </w:r>
            <w:r w:rsidRPr="000E3C66" w:rsidR="003C19DE">
              <w:rPr>
                <w:rFonts w:cstheme="minorHAnsi"/>
              </w:rPr>
              <w:t xml:space="preserve"> decision, </w:t>
            </w:r>
            <w:r w:rsidRPr="000E3C66">
              <w:rPr>
                <w:rFonts w:cstheme="minorHAnsi"/>
              </w:rPr>
              <w:t xml:space="preserve">PG&amp;E should be required to </w:t>
            </w:r>
            <w:r w:rsidRPr="000E3C66" w:rsidR="003C19DE">
              <w:rPr>
                <w:rFonts w:cstheme="minorHAnsi"/>
              </w:rPr>
              <w:t>file with the Commission its estimate of costs associated with</w:t>
            </w:r>
            <w:r w:rsidRPr="000E3C66" w:rsidR="003C19DE">
              <w:t xml:space="preserve"> </w:t>
            </w:r>
            <w:r w:rsidRPr="000E3C66" w:rsidR="003C19DE">
              <w:rPr>
                <w:rFonts w:cstheme="minorHAnsi"/>
              </w:rPr>
              <w:t xml:space="preserve">any upgrades necessary to address seismic safety or issues of deferred maintenance within 30 </w:t>
            </w:r>
            <w:r w:rsidRPr="000E3C66" w:rsidR="003C19DE">
              <w:rPr>
                <w:rFonts w:cstheme="minorHAnsi"/>
              </w:rPr>
              <w:lastRenderedPageBreak/>
              <w:t xml:space="preserve">days of completion of the reports required by </w:t>
            </w:r>
            <w:r w:rsidRPr="000E3C66" w:rsidR="00885CF8">
              <w:rPr>
                <w:rFonts w:cstheme="minorHAnsi"/>
              </w:rPr>
              <w:t>Pub. Res.</w:t>
            </w:r>
            <w:r w:rsidRPr="000E3C66" w:rsidR="003C19DE">
              <w:rPr>
                <w:rFonts w:cstheme="minorHAnsi"/>
              </w:rPr>
              <w:t xml:space="preserve"> Code </w:t>
            </w:r>
            <w:r w:rsidRPr="000E3C66" w:rsidR="00AE4FEE">
              <w:rPr>
                <w:rFonts w:cstheme="minorHAnsi"/>
              </w:rPr>
              <w:t>§§ </w:t>
            </w:r>
            <w:r w:rsidRPr="000E3C66" w:rsidR="003C19DE">
              <w:rPr>
                <w:rFonts w:cstheme="minorHAnsi"/>
              </w:rPr>
              <w:t xml:space="preserve">25548.3(c)(13) and 25548.3(c)(14). </w:t>
            </w:r>
          </w:p>
        </w:tc>
        <w:tc>
          <w:tcPr>
            <w:tcW w:w="3870" w:type="dxa"/>
            <w:shd w:val="clear" w:color="auto" w:fill="auto"/>
          </w:tcPr>
          <w:p w:rsidRPr="000E3C66" w:rsidR="008E37DD" w:rsidP="00913CC8" w:rsidRDefault="003C19DE" w14:paraId="30481F29" w14:textId="776CB8B9">
            <w:pPr>
              <w:keepNext/>
              <w:spacing w:after="240"/>
              <w:rPr>
                <w:rFonts w:cstheme="minorHAnsi"/>
              </w:rPr>
            </w:pPr>
            <w:r w:rsidRPr="000E3C66">
              <w:rPr>
                <w:rFonts w:cstheme="minorHAnsi"/>
              </w:rPr>
              <w:lastRenderedPageBreak/>
              <w:t>A4NR</w:t>
            </w:r>
            <w:r w:rsidRPr="000E3C66" w:rsidR="00F949CB">
              <w:rPr>
                <w:rFonts w:cstheme="minorHAnsi"/>
              </w:rPr>
              <w:noBreakHyphen/>
            </w:r>
            <w:r w:rsidRPr="000E3C66">
              <w:rPr>
                <w:rFonts w:cstheme="minorHAnsi"/>
              </w:rPr>
              <w:t>01 (</w:t>
            </w:r>
            <w:r w:rsidRPr="000E3C66" w:rsidR="00B41E47">
              <w:rPr>
                <w:rFonts w:cstheme="minorHAnsi"/>
              </w:rPr>
              <w:t xml:space="preserve">served 6/30/2023, </w:t>
            </w:r>
            <w:r w:rsidRPr="000E3C66">
              <w:rPr>
                <w:rFonts w:cstheme="minorHAnsi"/>
              </w:rPr>
              <w:t>admitted 8/30/23),</w:t>
            </w:r>
            <w:r w:rsidRPr="000E3C66" w:rsidR="009D4181">
              <w:rPr>
                <w:rFonts w:cstheme="minorHAnsi"/>
              </w:rPr>
              <w:t xml:space="preserve"> p. </w:t>
            </w:r>
            <w:r w:rsidRPr="000E3C66">
              <w:rPr>
                <w:rFonts w:cstheme="minorHAnsi"/>
              </w:rPr>
              <w:t xml:space="preserve">29, </w:t>
            </w:r>
            <w:r w:rsidRPr="000E3C66" w:rsidR="00964D3B">
              <w:rPr>
                <w:rFonts w:cstheme="minorHAnsi"/>
              </w:rPr>
              <w:t>line 1</w:t>
            </w:r>
            <w:r w:rsidRPr="000E3C66">
              <w:rPr>
                <w:rFonts w:cstheme="minorHAnsi"/>
              </w:rPr>
              <w:t>2</w:t>
            </w:r>
            <w:r w:rsidRPr="000E3C66" w:rsidR="009D4181">
              <w:rPr>
                <w:rFonts w:cstheme="minorHAnsi"/>
              </w:rPr>
              <w:noBreakHyphen/>
            </w:r>
            <w:r w:rsidRPr="000E3C66">
              <w:rPr>
                <w:rFonts w:cstheme="minorHAnsi"/>
              </w:rPr>
              <w:t>20</w:t>
            </w:r>
            <w:r w:rsidRPr="000E3C66" w:rsidR="008E37DD">
              <w:rPr>
                <w:rFonts w:cstheme="minorHAnsi"/>
              </w:rPr>
              <w:t>; A4NR</w:t>
            </w:r>
            <w:r w:rsidRPr="000E3C66" w:rsidR="00F949CB">
              <w:rPr>
                <w:rFonts w:cstheme="minorHAnsi"/>
              </w:rPr>
              <w:noBreakHyphen/>
            </w:r>
            <w:r w:rsidRPr="000E3C66" w:rsidR="008E37DD">
              <w:rPr>
                <w:rFonts w:cstheme="minorHAnsi"/>
              </w:rPr>
              <w:t>02 (</w:t>
            </w:r>
            <w:r w:rsidRPr="000E3C66" w:rsidR="00B41E47">
              <w:rPr>
                <w:rFonts w:cstheme="minorHAnsi"/>
              </w:rPr>
              <w:t xml:space="preserve">served 7/28/2023, </w:t>
            </w:r>
            <w:r w:rsidRPr="000E3C66" w:rsidR="008E37DD">
              <w:rPr>
                <w:rFonts w:cstheme="minorHAnsi"/>
              </w:rPr>
              <w:t>admitted 8/30/23),</w:t>
            </w:r>
            <w:r w:rsidRPr="000E3C66" w:rsidR="009D4181">
              <w:rPr>
                <w:rFonts w:cstheme="minorHAnsi"/>
              </w:rPr>
              <w:t xml:space="preserve"> p. </w:t>
            </w:r>
            <w:r w:rsidRPr="000E3C66" w:rsidR="008E37DD">
              <w:rPr>
                <w:rFonts w:cstheme="minorHAnsi"/>
              </w:rPr>
              <w:t xml:space="preserve">22, </w:t>
            </w:r>
            <w:r w:rsidRPr="000E3C66" w:rsidR="00964D3B">
              <w:rPr>
                <w:rFonts w:cstheme="minorHAnsi"/>
              </w:rPr>
              <w:t>line 2</w:t>
            </w:r>
            <w:r w:rsidRPr="000E3C66" w:rsidR="008E37DD">
              <w:rPr>
                <w:rFonts w:cstheme="minorHAnsi"/>
              </w:rPr>
              <w:t>3 –</w:t>
            </w:r>
            <w:r w:rsidRPr="000E3C66" w:rsidR="009D4181">
              <w:rPr>
                <w:rFonts w:cstheme="minorHAnsi"/>
              </w:rPr>
              <w:t xml:space="preserve"> p. </w:t>
            </w:r>
            <w:r w:rsidRPr="000E3C66" w:rsidR="008E37DD">
              <w:rPr>
                <w:rFonts w:cstheme="minorHAnsi"/>
              </w:rPr>
              <w:t xml:space="preserve">23, </w:t>
            </w:r>
            <w:r w:rsidRPr="000E3C66" w:rsidR="00964D3B">
              <w:rPr>
                <w:rFonts w:cstheme="minorHAnsi"/>
              </w:rPr>
              <w:t>line 7</w:t>
            </w:r>
            <w:r w:rsidRPr="000E3C66" w:rsidR="008E37DD">
              <w:rPr>
                <w:rFonts w:cstheme="minorHAnsi"/>
              </w:rPr>
              <w:t>.</w:t>
            </w:r>
          </w:p>
          <w:p w:rsidRPr="000E3C66" w:rsidR="00205FE1" w:rsidP="00913CC8" w:rsidRDefault="00205FE1" w14:paraId="098272E3" w14:textId="28B55B12">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COL #12: “Absent any actual recommendations and conditions from the DCISC and NRC, it is not possible for the Commission to assess at this time whether associated, unknown costs render the extension of Diablo </w:t>
            </w:r>
            <w:r w:rsidRPr="000E3C66">
              <w:rPr>
                <w:rFonts w:cstheme="minorHAnsi"/>
              </w:rPr>
              <w:lastRenderedPageBreak/>
              <w:t>Canyon operations ‘too high to justify.’ ”</w:t>
            </w:r>
          </w:p>
          <w:p w:rsidRPr="000E3C66" w:rsidR="00205FE1" w:rsidP="00913CC8" w:rsidRDefault="00205FE1" w14:paraId="70C4F4A2" w14:textId="7088D28F">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#19: “It is reasonable to assume many of the DCISC’s recommendations concerning seismic safety and deferred maintenance will be available by the DCISC’s next public meeting on February 21</w:t>
            </w:r>
            <w:r w:rsidRPr="000E3C66" w:rsidR="00F949CB">
              <w:rPr>
                <w:rFonts w:cstheme="minorHAnsi"/>
              </w:rPr>
              <w:noBreakHyphen/>
            </w:r>
            <w:r w:rsidRPr="000E3C66">
              <w:rPr>
                <w:rFonts w:cstheme="minorHAnsi"/>
              </w:rPr>
              <w:t>22, 2024.”</w:t>
            </w:r>
          </w:p>
          <w:p w:rsidRPr="000E3C66" w:rsidR="00913CC8" w:rsidP="00913CC8" w:rsidRDefault="001C5357" w14:paraId="2F05F182" w14:textId="0646563A">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205FE1">
              <w:rPr>
                <w:rFonts w:cstheme="minorHAnsi"/>
              </w:rPr>
              <w:t>Dicta at</w:t>
            </w:r>
            <w:r w:rsidRPr="000E3C66" w:rsidR="009D4181">
              <w:rPr>
                <w:rFonts w:cstheme="minorHAnsi"/>
              </w:rPr>
              <w:t xml:space="preserve"> p. </w:t>
            </w:r>
            <w:r w:rsidRPr="000E3C66" w:rsidR="00205FE1">
              <w:rPr>
                <w:rFonts w:cstheme="minorHAnsi"/>
              </w:rPr>
              <w:t>62: “Since the DCISC is expected to have access to PG&amp;E’s license renewal application to the NRC, as well as PG&amp;E’s reports/assessments on seismic safety and deferred maintenance at Diablo Canyon, by the end of 2023, we anticipate many of the DCISC’s recommendations concerning seismic safety and deferred maintenance may be available by the DCISC’s next public meeting on February 21 and 22, 2024. As a result, it is reasonable and timely to consider any costs associated with the DCISC’s recommendations as part of PG&amp;E’s 2024 DCPP Extended Operations Cost Forecast application, rather than a separate advice letter filing. Further, since any recommendations by the DCISC are expected to help inform whether PG&amp;E’s 2024 DCPP Extended Operations Cost Forecast application contains activities and associated costs that are reasonable and needed,</w:t>
            </w:r>
            <w:r w:rsidRPr="000E3C66" w:rsidR="0021505A">
              <w:rPr>
                <w:rFonts w:cstheme="minorHAnsi"/>
              </w:rPr>
              <w:t xml:space="preserve"> </w:t>
            </w:r>
            <w:r w:rsidRPr="000E3C66" w:rsidR="00205FE1">
              <w:rPr>
                <w:rFonts w:cstheme="minorHAnsi"/>
              </w:rPr>
              <w:t>PG&amp;E shall ensure the DCISC has all the information it needs to make timely and informed recommendations.</w:t>
            </w:r>
            <w:r w:rsidRPr="000E3C66" w:rsidR="0021505A">
              <w:rPr>
                <w:rFonts w:cstheme="minorHAnsi"/>
              </w:rPr>
              <w:t>”</w:t>
            </w:r>
          </w:p>
        </w:tc>
        <w:tc>
          <w:tcPr>
            <w:tcW w:w="2705" w:type="dxa"/>
            <w:shd w:val="clear" w:color="auto" w:fill="auto"/>
          </w:tcPr>
          <w:p w:rsidRPr="000E3C66" w:rsidR="007F674E" w:rsidP="00471EE6" w:rsidRDefault="00F70CA9" w14:paraId="120ECF43" w14:textId="18CE8B09">
            <w:pPr>
              <w:keepNext/>
              <w:spacing w:after="240"/>
            </w:pPr>
            <w:r w:rsidRPr="000E3C66">
              <w:lastRenderedPageBreak/>
              <w:t>Verified</w:t>
            </w:r>
          </w:p>
        </w:tc>
      </w:tr>
      <w:tr w:rsidRPr="000E3C66" w:rsidR="000E3C66" w:rsidTr="00885CF8" w14:paraId="34E97D5E" w14:textId="77777777">
        <w:tc>
          <w:tcPr>
            <w:tcW w:w="2785" w:type="dxa"/>
            <w:shd w:val="clear" w:color="auto" w:fill="auto"/>
          </w:tcPr>
          <w:p w:rsidRPr="000E3C66" w:rsidR="007F674E" w:rsidP="007A784D" w:rsidRDefault="0021505A" w14:paraId="00F7D818" w14:textId="35AE1083">
            <w:pPr>
              <w:keepNext/>
              <w:spacing w:after="240"/>
              <w:rPr>
                <w:rFonts w:asciiTheme="minorHAnsi" w:hAnsiTheme="minorHAnsi" w:cstheme="minorHAnsi"/>
              </w:rPr>
            </w:pPr>
            <w:r w:rsidRPr="000E3C66">
              <w:lastRenderedPageBreak/>
              <w:t xml:space="preserve">14. </w:t>
            </w:r>
            <w:r w:rsidRPr="000E3C66">
              <w:rPr>
                <w:rFonts w:cstheme="minorHAnsi"/>
              </w:rPr>
              <w:t xml:space="preserve">Scoping Memo </w:t>
            </w:r>
            <w:r w:rsidRPr="000E3C66" w:rsidR="000D1C97">
              <w:rPr>
                <w:rFonts w:cstheme="minorHAnsi"/>
              </w:rPr>
              <w:t>Issue 3</w:t>
            </w:r>
            <w:r w:rsidRPr="000E3C66">
              <w:rPr>
                <w:rFonts w:cstheme="minorHAnsi"/>
              </w:rPr>
              <w:t xml:space="preserve">: A4NR contended that the </w:t>
            </w:r>
            <w:r w:rsidRPr="000E3C66" w:rsidR="00EB27BE">
              <w:rPr>
                <w:rFonts w:cstheme="minorHAnsi"/>
              </w:rPr>
              <w:t xml:space="preserve">cost recovery </w:t>
            </w:r>
            <w:r w:rsidRPr="000E3C66" w:rsidR="006671C7">
              <w:rPr>
                <w:rFonts w:cstheme="minorHAnsi"/>
              </w:rPr>
              <w:t>process established by</w:t>
            </w:r>
            <w:r w:rsidRPr="000E3C66" w:rsidR="00EB27BE">
              <w:rPr>
                <w:rFonts w:cstheme="minorHAnsi"/>
              </w:rPr>
              <w:t xml:space="preserve"> </w:t>
            </w:r>
            <w:r w:rsidRPr="000E3C66" w:rsidR="00AE4FEE">
              <w:rPr>
                <w:rFonts w:cstheme="minorHAnsi"/>
              </w:rPr>
              <w:t>Pub. Util.</w:t>
            </w:r>
            <w:r w:rsidRPr="000E3C66">
              <w:rPr>
                <w:rFonts w:cstheme="minorHAnsi"/>
              </w:rPr>
              <w:t xml:space="preserve"> Code </w:t>
            </w:r>
            <w:r w:rsidRPr="000E3C66" w:rsidR="00885CF8">
              <w:rPr>
                <w:rFonts w:cstheme="minorHAnsi"/>
              </w:rPr>
              <w:t>Section </w:t>
            </w:r>
            <w:r w:rsidRPr="000E3C66">
              <w:rPr>
                <w:rFonts w:cstheme="minorHAnsi"/>
              </w:rPr>
              <w:t xml:space="preserve">712.8 (h)(1) </w:t>
            </w:r>
            <w:r w:rsidRPr="000E3C66" w:rsidR="00EB27BE">
              <w:rPr>
                <w:rFonts w:cstheme="minorHAnsi"/>
              </w:rPr>
              <w:t xml:space="preserve">should </w:t>
            </w:r>
            <w:r w:rsidRPr="000E3C66">
              <w:rPr>
                <w:rFonts w:cstheme="minorHAnsi"/>
              </w:rPr>
              <w:t>also include cost forecasts for each remaining year of Diablo Canyon extended operations.</w:t>
            </w:r>
          </w:p>
        </w:tc>
        <w:tc>
          <w:tcPr>
            <w:tcW w:w="3870" w:type="dxa"/>
            <w:shd w:val="clear" w:color="auto" w:fill="auto"/>
          </w:tcPr>
          <w:p w:rsidRPr="000E3C66" w:rsidR="007F674E" w:rsidP="00913CC8" w:rsidRDefault="0021505A" w14:paraId="2AA27BF4" w14:textId="717B0AD0">
            <w:pPr>
              <w:keepNext/>
              <w:spacing w:after="240"/>
              <w:rPr>
                <w:rFonts w:cstheme="minorHAnsi"/>
              </w:rPr>
            </w:pPr>
            <w:r w:rsidRPr="000E3C66">
              <w:rPr>
                <w:rFonts w:cstheme="minorHAnsi"/>
              </w:rPr>
              <w:t>9/15/2023 A4NR Opening Brief,</w:t>
            </w:r>
            <w:r w:rsidRPr="000E3C66" w:rsidR="009D4181">
              <w:rPr>
                <w:rFonts w:cstheme="minorHAnsi"/>
              </w:rPr>
              <w:t xml:space="preserve"> p. </w:t>
            </w:r>
            <w:r w:rsidRPr="000E3C66">
              <w:rPr>
                <w:rFonts w:cstheme="minorHAnsi"/>
              </w:rPr>
              <w:t>10</w:t>
            </w:r>
            <w:r w:rsidRPr="000E3C66" w:rsidR="00921E28">
              <w:rPr>
                <w:rFonts w:cstheme="minorHAnsi"/>
              </w:rPr>
              <w:t>; 11/7/2023 Oral Argument Transcript,</w:t>
            </w:r>
            <w:r w:rsidRPr="000E3C66" w:rsidR="009D4181">
              <w:rPr>
                <w:rFonts w:cstheme="minorHAnsi"/>
              </w:rPr>
              <w:t xml:space="preserve"> p. </w:t>
            </w:r>
            <w:r w:rsidRPr="000E3C66" w:rsidR="00F85720">
              <w:rPr>
                <w:rFonts w:cstheme="minorHAnsi"/>
              </w:rPr>
              <w:t xml:space="preserve">395, </w:t>
            </w:r>
            <w:r w:rsidRPr="000E3C66" w:rsidR="00964D3B">
              <w:rPr>
                <w:rFonts w:cstheme="minorHAnsi"/>
              </w:rPr>
              <w:t>lines 1</w:t>
            </w:r>
            <w:r w:rsidRPr="000E3C66" w:rsidR="00F85720">
              <w:rPr>
                <w:rFonts w:cstheme="minorHAnsi"/>
              </w:rPr>
              <w:t>6</w:t>
            </w:r>
            <w:r w:rsidRPr="000E3C66" w:rsidR="009D4181">
              <w:rPr>
                <w:rFonts w:cstheme="minorHAnsi"/>
              </w:rPr>
              <w:noBreakHyphen/>
            </w:r>
            <w:r w:rsidRPr="000E3C66" w:rsidR="00F85720">
              <w:rPr>
                <w:rFonts w:cstheme="minorHAnsi"/>
              </w:rPr>
              <w:t>18.</w:t>
            </w:r>
            <w:r w:rsidRPr="000E3C66" w:rsidR="00921E28">
              <w:rPr>
                <w:rFonts w:cstheme="minorHAnsi"/>
              </w:rPr>
              <w:t xml:space="preserve"> </w:t>
            </w:r>
          </w:p>
          <w:p w:rsidRPr="000E3C66" w:rsidR="001A2693" w:rsidP="00913CC8" w:rsidRDefault="001A2693" w14:paraId="70F87A36" w14:textId="137BCCE2">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#18: “It is reasonable for PG&amp;E to provide, in a single forecast analysis, any and all costs PG&amp;E expects to be recovered from utility ratepayers for DCPP extended operations.”</w:t>
            </w:r>
          </w:p>
          <w:p w:rsidRPr="000E3C66" w:rsidR="006671C7" w:rsidP="00913CC8" w:rsidRDefault="00445080" w14:paraId="7F70805B" w14:textId="23763508">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6671C7">
              <w:rPr>
                <w:rFonts w:cstheme="minorHAnsi"/>
              </w:rPr>
              <w:t>Dicta at</w:t>
            </w:r>
            <w:r w:rsidRPr="000E3C66" w:rsidR="009D4181">
              <w:rPr>
                <w:rFonts w:cstheme="minorHAnsi"/>
              </w:rPr>
              <w:t xml:space="preserve"> pp. </w:t>
            </w:r>
            <w:r w:rsidRPr="000E3C66" w:rsidR="006671C7">
              <w:rPr>
                <w:rFonts w:cstheme="minorHAnsi"/>
              </w:rPr>
              <w:t>57</w:t>
            </w:r>
            <w:r w:rsidRPr="000E3C66" w:rsidR="009D4181">
              <w:rPr>
                <w:rFonts w:cstheme="minorHAnsi"/>
              </w:rPr>
              <w:noBreakHyphen/>
            </w:r>
            <w:r w:rsidRPr="000E3C66" w:rsidR="006671C7">
              <w:rPr>
                <w:rFonts w:cstheme="minorHAnsi"/>
              </w:rPr>
              <w:t>58: “This decision finds it is well within the Commission’s authority and in ratepayers’ best interest to continue to evaluate the reasonableness and prudence of continued DCPP operations, including ongoing evaluation of the cost</w:t>
            </w:r>
            <w:r w:rsidRPr="000E3C66" w:rsidR="00F949CB">
              <w:rPr>
                <w:rFonts w:cstheme="minorHAnsi"/>
              </w:rPr>
              <w:noBreakHyphen/>
            </w:r>
            <w:r w:rsidRPr="000E3C66" w:rsidR="006671C7">
              <w:rPr>
                <w:rFonts w:cstheme="minorHAnsi"/>
              </w:rPr>
              <w:t>effectiveness of extended DCPP operations. In support of this continued evaluation, PG&amp;E is directed to produce a complete and transparent forecast of DCPP operations through 2030 as part of its 2024 DCPP Extended Operations Cost Forecast application.”</w:t>
            </w:r>
          </w:p>
          <w:p w:rsidRPr="000E3C66" w:rsidR="00913CC8" w:rsidP="00913CC8" w:rsidRDefault="00474CDA" w14:paraId="3F29B12A" w14:textId="7730246D">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6671C7">
              <w:rPr>
                <w:rFonts w:cstheme="minorHAnsi"/>
              </w:rPr>
              <w:t>Dicta at</w:t>
            </w:r>
            <w:r w:rsidRPr="000E3C66" w:rsidR="009D4181">
              <w:rPr>
                <w:rFonts w:cstheme="minorHAnsi"/>
              </w:rPr>
              <w:t xml:space="preserve"> p. </w:t>
            </w:r>
            <w:r w:rsidRPr="000E3C66" w:rsidR="006671C7">
              <w:rPr>
                <w:rFonts w:cstheme="minorHAnsi"/>
              </w:rPr>
              <w:t xml:space="preserve">59: “Additionally, we find it in ratepayers’ best interest to require PG&amp;E to produce a more comprehensive and transparent forecast of the costs associated with DCPP extended operations for Commission and party review, compared to what has been presented to date in this proceeding … An upfront, transparent forecast of all anticipated DCPP costs through 2030 is also expected to provide a more comprehensive framework to aid parties and the Commission in </w:t>
            </w:r>
            <w:r w:rsidRPr="000E3C66" w:rsidR="006671C7">
              <w:rPr>
                <w:rFonts w:cstheme="minorHAnsi"/>
              </w:rPr>
              <w:lastRenderedPageBreak/>
              <w:t>determining whether the costs included in PG&amp;E’s annual DCPP Extended Operations Cost Forecast applications are reasonable and prudent.”</w:t>
            </w:r>
          </w:p>
        </w:tc>
        <w:tc>
          <w:tcPr>
            <w:tcW w:w="2705" w:type="dxa"/>
            <w:shd w:val="clear" w:color="auto" w:fill="auto"/>
          </w:tcPr>
          <w:p w:rsidRPr="000E3C66" w:rsidR="007F674E" w:rsidP="00471EE6" w:rsidRDefault="00C25B27" w14:paraId="3D7E64B0" w14:textId="5F1F2897">
            <w:pPr>
              <w:keepNext/>
              <w:spacing w:after="240"/>
            </w:pPr>
            <w:r w:rsidRPr="000E3C66">
              <w:lastRenderedPageBreak/>
              <w:t>Verified</w:t>
            </w:r>
          </w:p>
        </w:tc>
      </w:tr>
      <w:tr w:rsidRPr="000E3C66" w:rsidR="000E3C66" w:rsidTr="00885CF8" w14:paraId="08A3B3F3" w14:textId="77777777">
        <w:tc>
          <w:tcPr>
            <w:tcW w:w="2785" w:type="dxa"/>
            <w:shd w:val="clear" w:color="auto" w:fill="auto"/>
          </w:tcPr>
          <w:p w:rsidRPr="000E3C66" w:rsidR="001A2693" w:rsidP="007A784D" w:rsidRDefault="001A2693" w14:paraId="2BA59966" w14:textId="5B651DA5">
            <w:pPr>
              <w:keepNext/>
              <w:spacing w:after="240"/>
            </w:pPr>
            <w:r w:rsidRPr="000E3C66">
              <w:t xml:space="preserve">15. </w:t>
            </w:r>
            <w:r w:rsidRPr="000E3C66">
              <w:rPr>
                <w:rFonts w:cstheme="minorHAnsi"/>
              </w:rPr>
              <w:t xml:space="preserve">Scoping Memo </w:t>
            </w:r>
            <w:r w:rsidRPr="000E3C66" w:rsidR="000D1C97">
              <w:rPr>
                <w:rFonts w:cstheme="minorHAnsi"/>
              </w:rPr>
              <w:t>Issue 4</w:t>
            </w:r>
            <w:r w:rsidRPr="000E3C66">
              <w:rPr>
                <w:rFonts w:cstheme="minorHAnsi"/>
              </w:rPr>
              <w:t>: A4NR contended that</w:t>
            </w:r>
            <w:r w:rsidRPr="000E3C66" w:rsidR="00587370">
              <w:rPr>
                <w:rFonts w:cstheme="minorHAnsi"/>
              </w:rPr>
              <w:t xml:space="preserve"> PG&amp;E’s equal</w:t>
            </w:r>
            <w:r w:rsidRPr="000E3C66" w:rsidR="00F949CB">
              <w:rPr>
                <w:rFonts w:cstheme="minorHAnsi"/>
              </w:rPr>
              <w:noBreakHyphen/>
            </w:r>
            <w:r w:rsidRPr="000E3C66" w:rsidR="00587370">
              <w:rPr>
                <w:rFonts w:cstheme="minorHAnsi"/>
              </w:rPr>
              <w:t>cent</w:t>
            </w:r>
            <w:r w:rsidRPr="000E3C66" w:rsidR="00F949CB">
              <w:rPr>
                <w:rFonts w:cstheme="minorHAnsi"/>
              </w:rPr>
              <w:noBreakHyphen/>
            </w:r>
            <w:r w:rsidRPr="000E3C66" w:rsidR="00587370">
              <w:rPr>
                <w:rFonts w:cstheme="minorHAnsi"/>
              </w:rPr>
              <w:t>per</w:t>
            </w:r>
            <w:r w:rsidRPr="000E3C66" w:rsidR="00F949CB">
              <w:rPr>
                <w:rFonts w:cstheme="minorHAnsi"/>
              </w:rPr>
              <w:noBreakHyphen/>
            </w:r>
            <w:r w:rsidRPr="000E3C66" w:rsidR="00587370">
              <w:rPr>
                <w:rFonts w:cstheme="minorHAnsi"/>
              </w:rPr>
              <w:t>kWh rate design proposal would violate the updated</w:t>
            </w:r>
            <w:r w:rsidRPr="000E3C66" w:rsidR="00587370">
              <w:t xml:space="preserve"> </w:t>
            </w:r>
            <w:r w:rsidRPr="000E3C66" w:rsidR="00587370">
              <w:rPr>
                <w:rFonts w:cstheme="minorHAnsi"/>
              </w:rPr>
              <w:t>Electric Rate Design Principles adopted in D.23</w:t>
            </w:r>
            <w:r w:rsidRPr="000E3C66" w:rsidR="00F949CB">
              <w:rPr>
                <w:rFonts w:cstheme="minorHAnsi"/>
              </w:rPr>
              <w:noBreakHyphen/>
            </w:r>
            <w:r w:rsidRPr="000E3C66" w:rsidR="00587370">
              <w:rPr>
                <w:rFonts w:cstheme="minorHAnsi"/>
              </w:rPr>
              <w:t>04</w:t>
            </w:r>
            <w:r w:rsidRPr="000E3C66" w:rsidR="00F949CB">
              <w:rPr>
                <w:rFonts w:cstheme="minorHAnsi"/>
              </w:rPr>
              <w:noBreakHyphen/>
            </w:r>
            <w:r w:rsidRPr="000E3C66" w:rsidR="00587370">
              <w:rPr>
                <w:rFonts w:cstheme="minorHAnsi"/>
              </w:rPr>
              <w:t>040, and should be replaced by a</w:t>
            </w:r>
            <w:r w:rsidRPr="000E3C66" w:rsidR="005A5A2A">
              <w:rPr>
                <w:rFonts w:cstheme="minorHAnsi"/>
              </w:rPr>
              <w:t xml:space="preserve"> capacity</w:t>
            </w:r>
            <w:r w:rsidRPr="000E3C66" w:rsidR="00F949CB">
              <w:rPr>
                <w:rFonts w:cstheme="minorHAnsi"/>
              </w:rPr>
              <w:noBreakHyphen/>
            </w:r>
            <w:r w:rsidRPr="000E3C66" w:rsidR="005A5A2A">
              <w:rPr>
                <w:rFonts w:cstheme="minorHAnsi"/>
              </w:rPr>
              <w:t>focused, 12</w:t>
            </w:r>
            <w:r w:rsidRPr="000E3C66" w:rsidR="00F949CB">
              <w:rPr>
                <w:rFonts w:cstheme="minorHAnsi"/>
              </w:rPr>
              <w:noBreakHyphen/>
            </w:r>
            <w:r w:rsidRPr="000E3C66" w:rsidR="005A5A2A">
              <w:rPr>
                <w:rFonts w:cstheme="minorHAnsi"/>
              </w:rPr>
              <w:t xml:space="preserve">month coincident peak method used for similar purposes in the Commission’s Cost Allocation Mechanism (“CAM”). </w:t>
            </w:r>
            <w:r w:rsidRPr="000E3C66" w:rsidR="00587370">
              <w:rPr>
                <w:rFonts w:cstheme="minorHAnsi"/>
              </w:rPr>
              <w:t xml:space="preserve"> </w:t>
            </w:r>
            <w:r w:rsidRPr="000E3C66">
              <w:rPr>
                <w:rFonts w:cstheme="minorHAnsi"/>
              </w:rPr>
              <w:t xml:space="preserve"> </w:t>
            </w:r>
          </w:p>
        </w:tc>
        <w:tc>
          <w:tcPr>
            <w:tcW w:w="3870" w:type="dxa"/>
            <w:shd w:val="clear" w:color="auto" w:fill="auto"/>
          </w:tcPr>
          <w:p w:rsidRPr="000E3C66" w:rsidR="005A5A2A" w:rsidP="00913CC8" w:rsidRDefault="005A5A2A" w14:paraId="55EB137C" w14:textId="2961B393">
            <w:pPr>
              <w:keepNext/>
              <w:spacing w:after="240"/>
              <w:rPr>
                <w:rFonts w:cstheme="minorHAnsi"/>
              </w:rPr>
            </w:pPr>
            <w:r w:rsidRPr="000E3C66">
              <w:rPr>
                <w:rFonts w:cstheme="minorHAnsi"/>
              </w:rPr>
              <w:t>9/29/2023 A4NR Reply Brief,</w:t>
            </w:r>
            <w:r w:rsidRPr="000E3C66" w:rsidR="009D4181">
              <w:rPr>
                <w:rFonts w:cstheme="minorHAnsi"/>
              </w:rPr>
              <w:t xml:space="preserve"> pp. </w:t>
            </w:r>
            <w:r w:rsidRPr="000E3C66">
              <w:rPr>
                <w:rFonts w:cstheme="minorHAnsi"/>
              </w:rPr>
              <w:t>16</w:t>
            </w:r>
            <w:r w:rsidRPr="000E3C66" w:rsidR="009D4181">
              <w:rPr>
                <w:rFonts w:cstheme="minorHAnsi"/>
              </w:rPr>
              <w:noBreakHyphen/>
            </w:r>
            <w:r w:rsidRPr="000E3C66">
              <w:rPr>
                <w:rFonts w:cstheme="minorHAnsi"/>
              </w:rPr>
              <w:t>17.</w:t>
            </w:r>
          </w:p>
          <w:p w:rsidRPr="000E3C66" w:rsidR="00425A0F" w:rsidP="00913CC8" w:rsidRDefault="00425A0F" w14:paraId="281CA774" w14:textId="0F674A61">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FOF #33: “System reliability is highly correlated with coincident peak and net peak demand.”</w:t>
            </w:r>
          </w:p>
          <w:p w:rsidRPr="000E3C66" w:rsidR="009C1F92" w:rsidP="00913CC8" w:rsidRDefault="009C1F92" w14:paraId="0BB34581" w14:textId="762AA5E6">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FOF #34: “LSEs are familiar with the CAM process, and it is a proven mechanism for allocating costs among the LSEs in a large electrical corporation’s territory.”</w:t>
            </w:r>
          </w:p>
          <w:p w:rsidRPr="000E3C66" w:rsidR="009C1F92" w:rsidP="00913CC8" w:rsidRDefault="009C1F92" w14:paraId="5B461D9E" w14:textId="5D7E9A84">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#27: “Ensuring system reliability is a key legislative rationale for the extension of DCPP operations.”</w:t>
            </w:r>
          </w:p>
          <w:p w:rsidRPr="000E3C66" w:rsidR="009C1F92" w:rsidP="00913CC8" w:rsidRDefault="009C1F92" w14:paraId="7355C82A" w14:textId="4837FACD">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#28: “Allocating the costs of DCPP extended operations, excepting those reserved solely for customers of PG&amp;E, based on an IOU’s share of a 12</w:t>
            </w:r>
            <w:r w:rsidRPr="000E3C66" w:rsidR="00F949CB">
              <w:rPr>
                <w:rFonts w:cstheme="minorHAnsi"/>
              </w:rPr>
              <w:noBreakHyphen/>
            </w:r>
            <w:r w:rsidRPr="000E3C66">
              <w:rPr>
                <w:rFonts w:cstheme="minorHAnsi"/>
              </w:rPr>
              <w:t>month coincident peak load is fair and equitable.”</w:t>
            </w:r>
          </w:p>
          <w:p w:rsidRPr="000E3C66" w:rsidR="001A2693" w:rsidP="00913CC8" w:rsidRDefault="00026D6A" w14:paraId="0AFAA278" w14:textId="63072811">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5A5A2A">
              <w:rPr>
                <w:rFonts w:cstheme="minorHAnsi"/>
              </w:rPr>
              <w:t>Dicta at</w:t>
            </w:r>
            <w:r w:rsidRPr="000E3C66" w:rsidR="009D4181">
              <w:rPr>
                <w:rFonts w:cstheme="minorHAnsi"/>
              </w:rPr>
              <w:t xml:space="preserve"> pp. </w:t>
            </w:r>
            <w:r w:rsidRPr="000E3C66" w:rsidR="00425A0F">
              <w:rPr>
                <w:rFonts w:cstheme="minorHAnsi"/>
              </w:rPr>
              <w:t>73</w:t>
            </w:r>
            <w:r w:rsidRPr="000E3C66" w:rsidR="009D4181">
              <w:rPr>
                <w:rFonts w:cstheme="minorHAnsi"/>
              </w:rPr>
              <w:noBreakHyphen/>
            </w:r>
            <w:r w:rsidRPr="000E3C66" w:rsidR="00425A0F">
              <w:rPr>
                <w:rFonts w:cstheme="minorHAnsi"/>
              </w:rPr>
              <w:t>74:  “Given that ensuring system reliability is a key legislative rationale for the billions of ratepayer dollars</w:t>
            </w:r>
            <w:r w:rsidRPr="000E3C66" w:rsidR="005A5A2A">
              <w:rPr>
                <w:rFonts w:cstheme="minorHAnsi"/>
              </w:rPr>
              <w:t xml:space="preserve"> </w:t>
            </w:r>
            <w:r w:rsidRPr="000E3C66" w:rsidR="00425A0F">
              <w:rPr>
                <w:rFonts w:cstheme="minorHAnsi"/>
              </w:rPr>
              <w:t xml:space="preserve">that may be spent to keep DCPP operating, it follows that allocating the costs of those extended operations based on an IOU’s share </w:t>
            </w:r>
            <w:r w:rsidRPr="000E3C66" w:rsidR="00425A0F">
              <w:rPr>
                <w:rFonts w:cstheme="minorHAnsi"/>
              </w:rPr>
              <w:lastRenderedPageBreak/>
              <w:t>of a 12</w:t>
            </w:r>
            <w:r w:rsidRPr="000E3C66" w:rsidR="00F949CB">
              <w:rPr>
                <w:rFonts w:cstheme="minorHAnsi"/>
              </w:rPr>
              <w:noBreakHyphen/>
            </w:r>
            <w:r w:rsidRPr="000E3C66" w:rsidR="00425A0F">
              <w:rPr>
                <w:rFonts w:cstheme="minorHAnsi"/>
              </w:rPr>
              <w:t>month coincident peak load is fair and equitable.”</w:t>
            </w:r>
          </w:p>
        </w:tc>
        <w:tc>
          <w:tcPr>
            <w:tcW w:w="2705" w:type="dxa"/>
            <w:shd w:val="clear" w:color="auto" w:fill="auto"/>
          </w:tcPr>
          <w:p w:rsidRPr="000E3C66" w:rsidR="001A2693" w:rsidP="00471EE6" w:rsidRDefault="00F73560" w14:paraId="4C3782DA" w14:textId="1797E5C2">
            <w:pPr>
              <w:keepNext/>
              <w:spacing w:after="240"/>
            </w:pPr>
            <w:r w:rsidRPr="000E3C66">
              <w:lastRenderedPageBreak/>
              <w:t>Verified</w:t>
            </w:r>
          </w:p>
        </w:tc>
      </w:tr>
      <w:tr w:rsidRPr="000E3C66" w:rsidR="000E3C66" w:rsidTr="00885CF8" w14:paraId="2797C7BF" w14:textId="77777777">
        <w:tc>
          <w:tcPr>
            <w:tcW w:w="2785" w:type="dxa"/>
            <w:shd w:val="clear" w:color="auto" w:fill="auto"/>
          </w:tcPr>
          <w:p w:rsidRPr="000E3C66" w:rsidR="001A2693" w:rsidP="007A784D" w:rsidRDefault="009C1F92" w14:paraId="3580A770" w14:textId="4ED9EB58">
            <w:pPr>
              <w:keepNext/>
              <w:spacing w:after="240"/>
            </w:pPr>
            <w:r w:rsidRPr="000E3C66">
              <w:t>16.</w:t>
            </w:r>
            <w:r w:rsidRPr="000E3C66" w:rsidR="00053283">
              <w:t xml:space="preserve"> </w:t>
            </w:r>
            <w:r w:rsidRPr="000E3C66">
              <w:t xml:space="preserve"> </w:t>
            </w:r>
            <w:r w:rsidRPr="000E3C66" w:rsidR="00053283">
              <w:rPr>
                <w:rFonts w:cstheme="minorHAnsi"/>
              </w:rPr>
              <w:t xml:space="preserve">Scoping Memo </w:t>
            </w:r>
            <w:r w:rsidRPr="000E3C66" w:rsidR="000D1C97">
              <w:rPr>
                <w:rFonts w:cstheme="minorHAnsi"/>
              </w:rPr>
              <w:t>Issue 6</w:t>
            </w:r>
            <w:r w:rsidRPr="000E3C66" w:rsidR="00053283">
              <w:rPr>
                <w:rFonts w:cstheme="minorHAnsi"/>
              </w:rPr>
              <w:t xml:space="preserve">: A4NR contended that </w:t>
            </w:r>
            <w:r w:rsidRPr="000E3C66" w:rsidR="00F633B9">
              <w:rPr>
                <w:rFonts w:cstheme="minorHAnsi"/>
              </w:rPr>
              <w:t>Commission guidance on PG&amp;E’s use of any surplus performance</w:t>
            </w:r>
            <w:r w:rsidRPr="000E3C66" w:rsidR="00F949CB">
              <w:rPr>
                <w:rFonts w:cstheme="minorHAnsi"/>
              </w:rPr>
              <w:noBreakHyphen/>
            </w:r>
            <w:r w:rsidRPr="000E3C66" w:rsidR="00F633B9">
              <w:rPr>
                <w:rFonts w:cstheme="minorHAnsi"/>
              </w:rPr>
              <w:t xml:space="preserve">based fees beyond 2024 is outside the scope of the </w:t>
            </w:r>
            <w:r w:rsidR="000E3C66">
              <w:rPr>
                <w:rFonts w:cstheme="minorHAnsi"/>
              </w:rPr>
              <w:t>Phase 1</w:t>
            </w:r>
            <w:r w:rsidRPr="000E3C66" w:rsidR="00F633B9">
              <w:rPr>
                <w:rFonts w:cstheme="minorHAnsi"/>
              </w:rPr>
              <w:t xml:space="preserve">: </w:t>
            </w:r>
            <w:r w:rsidR="000E3C66">
              <w:rPr>
                <w:rFonts w:cstheme="minorHAnsi"/>
              </w:rPr>
              <w:t>Track 2</w:t>
            </w:r>
            <w:r w:rsidRPr="000E3C66" w:rsidR="00F633B9">
              <w:rPr>
                <w:rFonts w:cstheme="minorHAnsi"/>
              </w:rPr>
              <w:t xml:space="preserve"> proceeding.  </w:t>
            </w:r>
          </w:p>
        </w:tc>
        <w:tc>
          <w:tcPr>
            <w:tcW w:w="3870" w:type="dxa"/>
            <w:shd w:val="clear" w:color="auto" w:fill="auto"/>
          </w:tcPr>
          <w:p w:rsidRPr="000E3C66" w:rsidR="00F633B9" w:rsidP="00913CC8" w:rsidRDefault="00F633B9" w14:paraId="25EC09DA" w14:textId="25ED4DDD">
            <w:pPr>
              <w:keepNext/>
              <w:spacing w:after="240"/>
              <w:rPr>
                <w:rFonts w:cstheme="minorHAnsi"/>
              </w:rPr>
            </w:pPr>
            <w:r w:rsidRPr="000E3C66">
              <w:rPr>
                <w:rFonts w:cstheme="minorHAnsi"/>
              </w:rPr>
              <w:t>9/15/2023 A4NR Opening Brief,</w:t>
            </w:r>
            <w:r w:rsidRPr="000E3C66" w:rsidR="009D4181">
              <w:rPr>
                <w:rFonts w:cstheme="minorHAnsi"/>
              </w:rPr>
              <w:t xml:space="preserve"> pp. </w:t>
            </w:r>
            <w:r w:rsidRPr="000E3C66">
              <w:rPr>
                <w:rFonts w:cstheme="minorHAnsi"/>
              </w:rPr>
              <w:t>10</w:t>
            </w:r>
            <w:r w:rsidRPr="000E3C66" w:rsidR="009D4181">
              <w:rPr>
                <w:rFonts w:cstheme="minorHAnsi"/>
              </w:rPr>
              <w:noBreakHyphen/>
            </w:r>
            <w:r w:rsidRPr="000E3C66">
              <w:rPr>
                <w:rFonts w:cstheme="minorHAnsi"/>
              </w:rPr>
              <w:t>11; 9/29/2023 A4NR Reply Brief,</w:t>
            </w:r>
            <w:r w:rsidRPr="000E3C66" w:rsidR="009D4181">
              <w:rPr>
                <w:rFonts w:cstheme="minorHAnsi"/>
              </w:rPr>
              <w:t xml:space="preserve"> p. </w:t>
            </w:r>
            <w:r w:rsidRPr="000E3C66">
              <w:rPr>
                <w:rFonts w:cstheme="minorHAnsi"/>
              </w:rPr>
              <w:t>21</w:t>
            </w:r>
            <w:r w:rsidRPr="000E3C66" w:rsidR="00485A0A">
              <w:rPr>
                <w:rFonts w:cstheme="minorHAnsi"/>
              </w:rPr>
              <w:t xml:space="preserve">; 11/15/23 </w:t>
            </w:r>
            <w:r w:rsidRPr="000E3C66" w:rsidR="001C5C35">
              <w:rPr>
                <w:rFonts w:cstheme="minorHAnsi"/>
              </w:rPr>
              <w:t xml:space="preserve">A4NR </w:t>
            </w:r>
            <w:r w:rsidRPr="000E3C66" w:rsidR="00485A0A">
              <w:rPr>
                <w:rFonts w:cstheme="minorHAnsi"/>
              </w:rPr>
              <w:t>Opening Comments on PD,</w:t>
            </w:r>
            <w:r w:rsidRPr="000E3C66" w:rsidR="009D4181">
              <w:rPr>
                <w:rFonts w:cstheme="minorHAnsi"/>
              </w:rPr>
              <w:t xml:space="preserve"> p. </w:t>
            </w:r>
            <w:r w:rsidRPr="000E3C66" w:rsidR="00485A0A">
              <w:rPr>
                <w:rFonts w:cstheme="minorHAnsi"/>
              </w:rPr>
              <w:t>10</w:t>
            </w:r>
            <w:r w:rsidRPr="000E3C66">
              <w:rPr>
                <w:rFonts w:cstheme="minorHAnsi"/>
              </w:rPr>
              <w:t>.</w:t>
            </w:r>
          </w:p>
          <w:p w:rsidRPr="000E3C66" w:rsidR="001A2693" w:rsidP="00913CC8" w:rsidRDefault="00053283" w14:paraId="175611D7" w14:textId="31C707FD">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w:t>
            </w:r>
            <w:r w:rsidRPr="000E3C66" w:rsidR="0077347D">
              <w:rPr>
                <w:rFonts w:cstheme="minorHAnsi"/>
              </w:rPr>
              <w:t>6</w:t>
            </w:r>
            <w:r w:rsidRPr="000E3C66">
              <w:rPr>
                <w:rFonts w:cstheme="minorHAnsi"/>
              </w:rPr>
              <w:t xml:space="preserve"> FOF #63: “The Assigned Commissioner’s Scoping Memo and Ruling limited the consideration of additional guidance for the implementation of </w:t>
            </w:r>
            <w:r w:rsidRPr="000E3C66" w:rsidR="00885CF8">
              <w:rPr>
                <w:rFonts w:cstheme="minorHAnsi"/>
              </w:rPr>
              <w:t>Section </w:t>
            </w:r>
            <w:r w:rsidRPr="000E3C66">
              <w:rPr>
                <w:rFonts w:cstheme="minorHAnsi"/>
              </w:rPr>
              <w:t>712.8(s)(1) to the use of any surplus performance</w:t>
            </w:r>
            <w:r w:rsidRPr="000E3C66" w:rsidR="00F949CB">
              <w:rPr>
                <w:rFonts w:cstheme="minorHAnsi"/>
              </w:rPr>
              <w:noBreakHyphen/>
            </w:r>
            <w:r w:rsidRPr="000E3C66">
              <w:rPr>
                <w:rFonts w:cstheme="minorHAnsi"/>
              </w:rPr>
              <w:t>based fees PG&amp;E receives for Diablo Canyon in 2024.”</w:t>
            </w:r>
          </w:p>
          <w:p w:rsidRPr="000E3C66" w:rsidR="0077347D" w:rsidP="00913CC8" w:rsidRDefault="0077347D" w14:paraId="53BB80C1" w14:textId="32EC302B">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COL #65: “It is reasonable to adopt a general framework and guidance on the use of any surplus performance</w:t>
            </w:r>
            <w:r w:rsidRPr="000E3C66" w:rsidR="00F949CB">
              <w:rPr>
                <w:rFonts w:cstheme="minorHAnsi"/>
              </w:rPr>
              <w:noBreakHyphen/>
            </w:r>
            <w:r w:rsidRPr="000E3C66">
              <w:rPr>
                <w:rFonts w:cstheme="minorHAnsi"/>
              </w:rPr>
              <w:t>based fees PG&amp;E receives for Diablo Canyon during extended operations, along with the opportunity for parties to comment on whether there should be any changes made post</w:t>
            </w:r>
            <w:r w:rsidRPr="000E3C66" w:rsidR="00F949CB">
              <w:rPr>
                <w:rFonts w:cstheme="minorHAnsi"/>
              </w:rPr>
              <w:noBreakHyphen/>
            </w:r>
            <w:r w:rsidRPr="000E3C66">
              <w:rPr>
                <w:rFonts w:cstheme="minorHAnsi"/>
              </w:rPr>
              <w:t xml:space="preserve">2024 as part of </w:t>
            </w:r>
            <w:r w:rsidR="000E3C66">
              <w:rPr>
                <w:rFonts w:cstheme="minorHAnsi"/>
              </w:rPr>
              <w:t>Phase 2</w:t>
            </w:r>
            <w:r w:rsidRPr="000E3C66">
              <w:rPr>
                <w:rFonts w:cstheme="minorHAnsi"/>
              </w:rPr>
              <w:t xml:space="preserve"> of this proceeding.”</w:t>
            </w:r>
          </w:p>
          <w:p w:rsidRPr="000E3C66" w:rsidR="00913CC8" w:rsidP="00913CC8" w:rsidRDefault="00F56886" w14:paraId="23A44CEE" w14:textId="7555FB61">
            <w:pPr>
              <w:keepNext/>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77347D">
              <w:rPr>
                <w:rFonts w:cstheme="minorHAnsi"/>
              </w:rPr>
              <w:t>Dicta at</w:t>
            </w:r>
            <w:r w:rsidRPr="000E3C66" w:rsidR="009D4181">
              <w:rPr>
                <w:rFonts w:cstheme="minorHAnsi"/>
              </w:rPr>
              <w:t xml:space="preserve"> pp. </w:t>
            </w:r>
            <w:r w:rsidRPr="000E3C66" w:rsidR="0077347D">
              <w:rPr>
                <w:rFonts w:cstheme="minorHAnsi"/>
              </w:rPr>
              <w:t>115</w:t>
            </w:r>
            <w:r w:rsidRPr="000E3C66" w:rsidR="009D4181">
              <w:rPr>
                <w:rFonts w:cstheme="minorHAnsi"/>
              </w:rPr>
              <w:noBreakHyphen/>
            </w:r>
            <w:r w:rsidRPr="000E3C66" w:rsidR="0077347D">
              <w:rPr>
                <w:rFonts w:cstheme="minorHAnsi"/>
              </w:rPr>
              <w:t>116: “as noted by PG&amp;E and A4NR, the Scoping Memo limits the provision of guidance on the use of surplus performance</w:t>
            </w:r>
            <w:r w:rsidRPr="000E3C66" w:rsidR="00F949CB">
              <w:rPr>
                <w:rFonts w:cstheme="minorHAnsi"/>
              </w:rPr>
              <w:noBreakHyphen/>
            </w:r>
            <w:r w:rsidRPr="000E3C66" w:rsidR="0077347D">
              <w:rPr>
                <w:rFonts w:cstheme="minorHAnsi"/>
              </w:rPr>
              <w:t xml:space="preserve">based fees in this proceeding to calendar year 2024 … in recognition of the specific language in the Scoping Memo, and in order to ensure due process, parties will be afforded an opportunity in </w:t>
            </w:r>
            <w:r w:rsidR="000E3C66">
              <w:rPr>
                <w:rFonts w:cstheme="minorHAnsi"/>
              </w:rPr>
              <w:t>Phase 2</w:t>
            </w:r>
            <w:r w:rsidRPr="000E3C66" w:rsidR="0077347D">
              <w:rPr>
                <w:rFonts w:cstheme="minorHAnsi"/>
              </w:rPr>
              <w:t xml:space="preserve"> of this proceeding to comment on whether any changes should be made on the use of surplus </w:t>
            </w:r>
            <w:r w:rsidRPr="000E3C66" w:rsidR="0077347D">
              <w:rPr>
                <w:rFonts w:cstheme="minorHAnsi"/>
              </w:rPr>
              <w:lastRenderedPageBreak/>
              <w:t>performance</w:t>
            </w:r>
            <w:r w:rsidRPr="000E3C66" w:rsidR="00F949CB">
              <w:rPr>
                <w:rFonts w:cstheme="minorHAnsi"/>
              </w:rPr>
              <w:noBreakHyphen/>
            </w:r>
            <w:r w:rsidRPr="000E3C66" w:rsidR="0077347D">
              <w:rPr>
                <w:rFonts w:cstheme="minorHAnsi"/>
              </w:rPr>
              <w:t>based fees for the calendar years following 2024.</w:t>
            </w:r>
            <w:r w:rsidRPr="000E3C66" w:rsidR="00485A0A">
              <w:rPr>
                <w:rFonts w:cstheme="minorHAnsi"/>
              </w:rPr>
              <w:t>”</w:t>
            </w:r>
          </w:p>
        </w:tc>
        <w:tc>
          <w:tcPr>
            <w:tcW w:w="2705" w:type="dxa"/>
            <w:shd w:val="clear" w:color="auto" w:fill="auto"/>
          </w:tcPr>
          <w:p w:rsidRPr="000E3C66" w:rsidR="001A2693" w:rsidP="00471EE6" w:rsidRDefault="005B7181" w14:paraId="712806BF" w14:textId="019D7777">
            <w:pPr>
              <w:keepNext/>
              <w:spacing w:after="240"/>
            </w:pPr>
            <w:r w:rsidRPr="000E3C66">
              <w:lastRenderedPageBreak/>
              <w:t>Verified</w:t>
            </w:r>
          </w:p>
        </w:tc>
      </w:tr>
    </w:tbl>
    <w:p w:rsidRPr="000E3C66" w:rsidR="00A92D0B" w:rsidP="009B471B" w:rsidRDefault="00A92D0B" w14:paraId="0D4BCD3A" w14:textId="047F736A">
      <w:pPr>
        <w:keepNext/>
        <w:numPr>
          <w:ilvl w:val="0"/>
          <w:numId w:val="19"/>
        </w:numPr>
        <w:spacing w:before="240" w:after="240"/>
        <w:rPr>
          <w:b/>
        </w:rPr>
      </w:pPr>
      <w:r w:rsidRPr="000E3C66">
        <w:rPr>
          <w:b/>
        </w:rPr>
        <w:t>Duplication of Effort (</w:t>
      </w:r>
      <w:r w:rsidRPr="000E3C66" w:rsidR="00AE4FEE">
        <w:rPr>
          <w:b/>
        </w:rPr>
        <w:t>§ </w:t>
      </w:r>
      <w:r w:rsidRPr="000E3C66">
        <w:rPr>
          <w:b/>
        </w:rPr>
        <w:t xml:space="preserve">1801.3(f) </w:t>
      </w:r>
      <w:r w:rsidRPr="000E3C66" w:rsidR="00F30DA8">
        <w:rPr>
          <w:b/>
        </w:rPr>
        <w:t xml:space="preserve">and </w:t>
      </w:r>
      <w:r w:rsidRPr="000E3C66" w:rsidR="00AE4FEE">
        <w:rPr>
          <w:b/>
        </w:rPr>
        <w:t>§ </w:t>
      </w:r>
      <w:r w:rsidRPr="000E3C66" w:rsidR="0022302F">
        <w:rPr>
          <w:b/>
        </w:rPr>
        <w:t>1802.5)</w:t>
      </w:r>
      <w:r w:rsidRPr="000E3C66" w:rsidR="00C02649">
        <w:rPr>
          <w:b/>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5805"/>
        <w:gridCol w:w="1648"/>
        <w:gridCol w:w="1907"/>
      </w:tblGrid>
      <w:tr w:rsidRPr="000E3C66" w:rsidR="000E3C66" w:rsidTr="00926603" w14:paraId="76F3266C" w14:textId="77777777">
        <w:trPr>
          <w:tblHeader/>
        </w:trPr>
        <w:tc>
          <w:tcPr>
            <w:tcW w:w="6048" w:type="dxa"/>
            <w:shd w:val="clear" w:color="auto" w:fill="D9D9D9" w:themeFill="background1" w:themeFillShade="D9"/>
            <w:vAlign w:val="bottom"/>
          </w:tcPr>
          <w:p w:rsidRPr="000E3C66" w:rsidR="00A92D0B" w:rsidP="00926603" w:rsidRDefault="00A92D0B" w14:paraId="300CEDBC" w14:textId="77777777">
            <w:pPr>
              <w:keepNext/>
              <w:jc w:val="center"/>
            </w:pPr>
          </w:p>
        </w:tc>
        <w:tc>
          <w:tcPr>
            <w:tcW w:w="1710" w:type="dxa"/>
            <w:tcBorders>
              <w:bottom w:val="single" w:color="auto" w:sz="4" w:space="0"/>
            </w:tcBorders>
            <w:shd w:val="clear" w:color="auto" w:fill="D9D9D9" w:themeFill="background1" w:themeFillShade="D9"/>
            <w:vAlign w:val="bottom"/>
          </w:tcPr>
          <w:p w:rsidRPr="000E3C66" w:rsidR="00471EE6" w:rsidP="00926603" w:rsidRDefault="005A63D4" w14:paraId="296C944C" w14:textId="77777777">
            <w:pPr>
              <w:keepNext/>
              <w:jc w:val="center"/>
              <w:rPr>
                <w:b/>
              </w:rPr>
            </w:pPr>
            <w:r w:rsidRPr="000E3C66">
              <w:rPr>
                <w:b/>
              </w:rPr>
              <w:t>Interveno</w:t>
            </w:r>
            <w:r w:rsidRPr="000E3C66" w:rsidR="00204E3A">
              <w:rPr>
                <w:b/>
              </w:rPr>
              <w:t>r</w:t>
            </w:r>
            <w:r w:rsidRPr="000E3C66">
              <w:rPr>
                <w:b/>
              </w:rPr>
              <w:t xml:space="preserve">’s </w:t>
            </w:r>
          </w:p>
          <w:p w:rsidRPr="000E3C66" w:rsidR="00A92D0B" w:rsidP="00926603" w:rsidRDefault="00D075B1" w14:paraId="7B091096" w14:textId="329C18B5">
            <w:pPr>
              <w:keepNext/>
              <w:jc w:val="center"/>
              <w:rPr>
                <w:b/>
              </w:rPr>
            </w:pPr>
            <w:r w:rsidRPr="000E3C66">
              <w:rPr>
                <w:b/>
              </w:rPr>
              <w:t>Assertion</w:t>
            </w:r>
          </w:p>
        </w:tc>
        <w:tc>
          <w:tcPr>
            <w:tcW w:w="1980" w:type="dxa"/>
            <w:shd w:val="clear" w:color="auto" w:fill="D9D9D9" w:themeFill="background1" w:themeFillShade="D9"/>
            <w:vAlign w:val="bottom"/>
          </w:tcPr>
          <w:p w:rsidRPr="000E3C66" w:rsidR="00471EE6" w:rsidP="00926603" w:rsidRDefault="00A92D0B" w14:paraId="262579F8" w14:textId="77777777">
            <w:pPr>
              <w:keepNext/>
              <w:jc w:val="center"/>
              <w:rPr>
                <w:b/>
              </w:rPr>
            </w:pPr>
            <w:r w:rsidRPr="000E3C66">
              <w:rPr>
                <w:b/>
              </w:rPr>
              <w:t xml:space="preserve">CPUC </w:t>
            </w:r>
          </w:p>
          <w:p w:rsidRPr="000E3C66" w:rsidR="00A92D0B" w:rsidP="00926603" w:rsidRDefault="00D075B1" w14:paraId="25CE5081" w14:textId="4581F875">
            <w:pPr>
              <w:keepNext/>
              <w:jc w:val="center"/>
              <w:rPr>
                <w:b/>
              </w:rPr>
            </w:pPr>
            <w:r w:rsidRPr="000E3C66">
              <w:rPr>
                <w:b/>
              </w:rPr>
              <w:t>Discussion</w:t>
            </w:r>
          </w:p>
        </w:tc>
      </w:tr>
      <w:tr w:rsidRPr="000E3C66" w:rsidR="000E3C66" w:rsidTr="002F3AB9" w14:paraId="24A12BE1" w14:textId="77777777">
        <w:tc>
          <w:tcPr>
            <w:tcW w:w="6048" w:type="dxa"/>
            <w:shd w:val="clear" w:color="auto" w:fill="auto"/>
          </w:tcPr>
          <w:p w:rsidRPr="000E3C66" w:rsidR="00A92D0B" w:rsidP="002F3AB9" w:rsidRDefault="00A92D0B" w14:paraId="6915FAF6" w14:textId="34FD9F25">
            <w:pPr>
              <w:ind w:left="360" w:hanging="360"/>
              <w:rPr>
                <w:b/>
              </w:rPr>
            </w:pPr>
            <w:r w:rsidRPr="000E3C66">
              <w:rPr>
                <w:b/>
              </w:rPr>
              <w:t>a.</w:t>
            </w:r>
            <w:r w:rsidRPr="000E3C66">
              <w:rPr>
                <w:b/>
              </w:rPr>
              <w:tab/>
              <w:t xml:space="preserve">Was the </w:t>
            </w:r>
            <w:r w:rsidRPr="000E3C66" w:rsidR="009E48E4">
              <w:rPr>
                <w:b/>
                <w:szCs w:val="22"/>
              </w:rPr>
              <w:t>Public Advocate</w:t>
            </w:r>
            <w:r w:rsidRPr="000E3C66" w:rsidR="00621A7C">
              <w:rPr>
                <w:b/>
                <w:szCs w:val="22"/>
              </w:rPr>
              <w:t>’</w:t>
            </w:r>
            <w:r w:rsidRPr="000E3C66" w:rsidR="009E48E4">
              <w:rPr>
                <w:b/>
                <w:szCs w:val="22"/>
              </w:rPr>
              <w:t>s Office of the Public Utilities Commission</w:t>
            </w:r>
            <w:r w:rsidRPr="000E3C66" w:rsidR="009E48E4">
              <w:rPr>
                <w:b/>
              </w:rPr>
              <w:t xml:space="preserve"> </w:t>
            </w:r>
            <w:r w:rsidRPr="000E3C66">
              <w:rPr>
                <w:b/>
                <w:szCs w:val="22"/>
              </w:rPr>
              <w:t>(</w:t>
            </w:r>
            <w:r w:rsidRPr="000E3C66" w:rsidR="00B55D78">
              <w:rPr>
                <w:b/>
                <w:szCs w:val="22"/>
              </w:rPr>
              <w:t>Cal Advocates</w:t>
            </w:r>
            <w:r w:rsidRPr="000E3C66">
              <w:rPr>
                <w:b/>
              </w:rPr>
              <w:t>) a party to the proceeding?</w:t>
            </w:r>
          </w:p>
        </w:tc>
        <w:tc>
          <w:tcPr>
            <w:tcW w:w="1710" w:type="dxa"/>
            <w:shd w:val="clear" w:color="auto" w:fill="auto"/>
          </w:tcPr>
          <w:p w:rsidRPr="000E3C66" w:rsidR="00A92D0B" w:rsidP="002F3AB9" w:rsidRDefault="00D94CBF" w14:paraId="0B49A7C8" w14:textId="5B38F990">
            <w:pPr>
              <w:keepNext/>
              <w:rPr>
                <w:rFonts w:asciiTheme="minorHAnsi" w:hAnsiTheme="minorHAnsi" w:cstheme="minorHAnsi"/>
              </w:rPr>
            </w:pPr>
            <w:r w:rsidRPr="000E3C66">
              <w:rPr>
                <w:rFonts w:cstheme="minorHAnsi"/>
              </w:rPr>
              <w:t>Yes.</w:t>
            </w:r>
          </w:p>
        </w:tc>
        <w:tc>
          <w:tcPr>
            <w:tcW w:w="1980" w:type="dxa"/>
            <w:shd w:val="clear" w:color="auto" w:fill="auto"/>
          </w:tcPr>
          <w:p w:rsidRPr="000E3C66" w:rsidR="00A92D0B" w:rsidP="002F3AB9" w:rsidRDefault="005B7181" w14:paraId="23B6532A" w14:textId="4581DAE6">
            <w:pPr>
              <w:keepNext/>
            </w:pPr>
            <w:r w:rsidRPr="000E3C66">
              <w:t>Verified</w:t>
            </w:r>
          </w:p>
        </w:tc>
      </w:tr>
      <w:tr w:rsidRPr="000E3C66" w:rsidR="000E3C66" w:rsidTr="002F3AB9" w14:paraId="3317BD71" w14:textId="77777777">
        <w:tc>
          <w:tcPr>
            <w:tcW w:w="6048" w:type="dxa"/>
            <w:shd w:val="clear" w:color="auto" w:fill="auto"/>
          </w:tcPr>
          <w:p w:rsidRPr="000E3C66" w:rsidR="00A92D0B" w:rsidP="002F3AB9" w:rsidRDefault="00A92D0B" w14:paraId="561D245D" w14:textId="77777777">
            <w:pPr>
              <w:tabs>
                <w:tab w:val="left" w:pos="360"/>
              </w:tabs>
              <w:ind w:left="360" w:hanging="360"/>
              <w:rPr>
                <w:b/>
              </w:rPr>
            </w:pPr>
            <w:r w:rsidRPr="000E3C66">
              <w:rPr>
                <w:b/>
              </w:rPr>
              <w:t>b.</w:t>
            </w:r>
            <w:r w:rsidRPr="000E3C66">
              <w:rPr>
                <w:b/>
              </w:rPr>
              <w:tab/>
              <w:t xml:space="preserve">Were there other parties to the proceeding with positions similar to yours? </w:t>
            </w:r>
          </w:p>
        </w:tc>
        <w:tc>
          <w:tcPr>
            <w:tcW w:w="1710" w:type="dxa"/>
            <w:shd w:val="clear" w:color="auto" w:fill="auto"/>
          </w:tcPr>
          <w:p w:rsidRPr="000E3C66" w:rsidR="00A92D0B" w:rsidP="002F3AB9" w:rsidRDefault="00D94CBF" w14:paraId="3708E485" w14:textId="15AAAADA">
            <w:pPr>
              <w:rPr>
                <w:rFonts w:asciiTheme="minorHAnsi" w:hAnsiTheme="minorHAnsi" w:cstheme="minorHAnsi"/>
              </w:rPr>
            </w:pPr>
            <w:r w:rsidRPr="000E3C66">
              <w:rPr>
                <w:rFonts w:cstheme="minorHAnsi"/>
              </w:rPr>
              <w:t>Yes.</w:t>
            </w:r>
          </w:p>
        </w:tc>
        <w:tc>
          <w:tcPr>
            <w:tcW w:w="1980" w:type="dxa"/>
            <w:shd w:val="clear" w:color="auto" w:fill="auto"/>
          </w:tcPr>
          <w:p w:rsidRPr="000E3C66" w:rsidR="00A92D0B" w:rsidP="002F3AB9" w:rsidRDefault="005B7181" w14:paraId="6B3388E6" w14:textId="22477CB3">
            <w:r w:rsidRPr="000E3C66">
              <w:t>Noted</w:t>
            </w:r>
          </w:p>
        </w:tc>
      </w:tr>
      <w:tr w:rsidRPr="000E3C66" w:rsidR="000E3C66" w:rsidTr="002F3AB9" w14:paraId="0A51B7D4" w14:textId="77777777">
        <w:tc>
          <w:tcPr>
            <w:tcW w:w="7758" w:type="dxa"/>
            <w:gridSpan w:val="2"/>
            <w:shd w:val="clear" w:color="auto" w:fill="auto"/>
          </w:tcPr>
          <w:p w:rsidRPr="000E3C66" w:rsidR="00A92D0B" w:rsidP="00DA31E3" w:rsidRDefault="00A92D0B" w14:paraId="0919176B" w14:textId="07844C74">
            <w:pPr>
              <w:ind w:left="360" w:hanging="360"/>
            </w:pPr>
            <w:r w:rsidRPr="000E3C66">
              <w:rPr>
                <w:b/>
              </w:rPr>
              <w:t>c.</w:t>
            </w:r>
            <w:r w:rsidRPr="000E3C66">
              <w:rPr>
                <w:b/>
              </w:rPr>
              <w:tab/>
              <w:t>If so, provide name of other parties:</w:t>
            </w:r>
            <w:r w:rsidRPr="000E3C66" w:rsidR="00E25078">
              <w:t xml:space="preserve"> </w:t>
            </w:r>
            <w:r w:rsidRPr="000E3C66" w:rsidR="00D94CBF">
              <w:rPr>
                <w:rFonts w:cstheme="minorHAnsi"/>
              </w:rPr>
              <w:t>TURN, SLOMFP, WEM, and CARE.</w:t>
            </w:r>
            <w:r w:rsidRPr="000E3C66" w:rsidR="004105D3">
              <w:rPr>
                <w:rFonts w:cstheme="minorHAnsi"/>
              </w:rPr>
              <w:t xml:space="preserve">  </w:t>
            </w:r>
          </w:p>
        </w:tc>
        <w:tc>
          <w:tcPr>
            <w:tcW w:w="1980" w:type="dxa"/>
            <w:shd w:val="clear" w:color="auto" w:fill="auto"/>
          </w:tcPr>
          <w:p w:rsidRPr="000E3C66" w:rsidR="00A92D0B" w:rsidP="002F3AB9" w:rsidRDefault="005B7181" w14:paraId="22A40B49" w14:textId="56C58C75">
            <w:r w:rsidRPr="000E3C66">
              <w:t>Noted</w:t>
            </w:r>
          </w:p>
        </w:tc>
      </w:tr>
      <w:tr w:rsidRPr="000E3C66" w:rsidR="000E3C66" w:rsidTr="002F3AB9" w14:paraId="744830F5" w14:textId="77777777">
        <w:tc>
          <w:tcPr>
            <w:tcW w:w="7758" w:type="dxa"/>
            <w:gridSpan w:val="2"/>
            <w:shd w:val="clear" w:color="auto" w:fill="auto"/>
          </w:tcPr>
          <w:p w:rsidRPr="000E3C66" w:rsidR="00494FD6" w:rsidP="00332E47" w:rsidRDefault="00A92D0B" w14:paraId="5C08DA61" w14:textId="325297D8">
            <w:pPr>
              <w:tabs>
                <w:tab w:val="left" w:pos="360"/>
              </w:tabs>
              <w:spacing w:after="240"/>
              <w:ind w:left="360" w:hanging="360"/>
            </w:pPr>
            <w:r w:rsidRPr="000E3C66">
              <w:rPr>
                <w:b/>
              </w:rPr>
              <w:t>d.</w:t>
            </w:r>
            <w:r w:rsidRPr="000E3C66">
              <w:rPr>
                <w:b/>
              </w:rPr>
              <w:tab/>
            </w:r>
            <w:r w:rsidRPr="000E3C66" w:rsidR="00D075B1">
              <w:rPr>
                <w:b/>
              </w:rPr>
              <w:t xml:space="preserve">Intervenor’s </w:t>
            </w:r>
            <w:r w:rsidRPr="000E3C66" w:rsidR="00A319DE">
              <w:rPr>
                <w:b/>
              </w:rPr>
              <w:t>c</w:t>
            </w:r>
            <w:r w:rsidRPr="000E3C66" w:rsidR="00D075B1">
              <w:rPr>
                <w:b/>
              </w:rPr>
              <w:t xml:space="preserve">laim of </w:t>
            </w:r>
            <w:r w:rsidRPr="000E3C66" w:rsidR="00A319DE">
              <w:rPr>
                <w:b/>
              </w:rPr>
              <w:t>n</w:t>
            </w:r>
            <w:r w:rsidRPr="000E3C66" w:rsidR="00D075B1">
              <w:rPr>
                <w:b/>
              </w:rPr>
              <w:t>on</w:t>
            </w:r>
            <w:r w:rsidRPr="000E3C66" w:rsidR="00F949CB">
              <w:rPr>
                <w:b/>
              </w:rPr>
              <w:noBreakHyphen/>
            </w:r>
            <w:r w:rsidRPr="000E3C66" w:rsidR="00A319DE">
              <w:rPr>
                <w:b/>
              </w:rPr>
              <w:t>d</w:t>
            </w:r>
            <w:r w:rsidRPr="000E3C66" w:rsidR="00D075B1">
              <w:rPr>
                <w:b/>
              </w:rPr>
              <w:t>uplication:</w:t>
            </w:r>
            <w:r w:rsidRPr="000E3C66" w:rsidR="00E25078">
              <w:t xml:space="preserve"> </w:t>
            </w:r>
          </w:p>
          <w:p w:rsidRPr="000E3C66" w:rsidR="00A92D0B" w:rsidP="00332E47" w:rsidRDefault="00ED33CD" w14:paraId="3228BB07" w14:textId="5AB3294E">
            <w:pPr>
              <w:tabs>
                <w:tab w:val="left" w:pos="360"/>
              </w:tabs>
              <w:ind w:left="360"/>
            </w:pPr>
            <w:r w:rsidRPr="000E3C66">
              <w:rPr>
                <w:rFonts w:cstheme="minorHAnsi"/>
              </w:rPr>
              <w:t xml:space="preserve">As indicated in A4NR’s timesheets, A4NR communicated </w:t>
            </w:r>
            <w:r w:rsidRPr="000E3C66" w:rsidR="00BE63C5">
              <w:rPr>
                <w:rFonts w:cstheme="minorHAnsi"/>
              </w:rPr>
              <w:t xml:space="preserve">privately </w:t>
            </w:r>
            <w:r w:rsidRPr="000E3C66">
              <w:rPr>
                <w:rFonts w:cstheme="minorHAnsi"/>
              </w:rPr>
              <w:t>with each of the above</w:t>
            </w:r>
            <w:r w:rsidRPr="000E3C66" w:rsidR="00F949CB">
              <w:rPr>
                <w:rFonts w:cstheme="minorHAnsi"/>
              </w:rPr>
              <w:noBreakHyphen/>
            </w:r>
            <w:r w:rsidRPr="000E3C66">
              <w:rPr>
                <w:rFonts w:cstheme="minorHAnsi"/>
              </w:rPr>
              <w:t>identified parties during the proceeding.  Where similar positions were advocated, the record indicates considerable differentiating nuances</w:t>
            </w:r>
            <w:r w:rsidRPr="000E3C66" w:rsidR="000B038B">
              <w:rPr>
                <w:rFonts w:cstheme="minorHAnsi"/>
              </w:rPr>
              <w:t xml:space="preserve"> between </w:t>
            </w:r>
            <w:r w:rsidRPr="000E3C66" w:rsidR="00BD5393">
              <w:rPr>
                <w:rFonts w:cstheme="minorHAnsi"/>
              </w:rPr>
              <w:t>parties</w:t>
            </w:r>
            <w:r w:rsidRPr="000E3C66">
              <w:rPr>
                <w:rFonts w:cstheme="minorHAnsi"/>
              </w:rPr>
              <w:t xml:space="preserve">.  In the area with the greatest potential for overlap, PG&amp;E’s forecast of operating costs, A4NR did not seek to develop its own forecast (as TURN and SLOMFP did) but instead focused on intensive discovery </w:t>
            </w:r>
            <w:r w:rsidRPr="000E3C66" w:rsidR="00A04651">
              <w:rPr>
                <w:rFonts w:cstheme="minorHAnsi"/>
              </w:rPr>
              <w:t xml:space="preserve">– including public records requests to DWR and FOIA requests to DOE </w:t>
            </w:r>
            <w:r w:rsidRPr="000E3C66" w:rsidR="00EE6FF6">
              <w:rPr>
                <w:rFonts w:cstheme="minorHAnsi"/>
              </w:rPr>
              <w:t>–</w:t>
            </w:r>
            <w:r w:rsidRPr="000E3C66" w:rsidR="00A04651">
              <w:rPr>
                <w:rFonts w:cstheme="minorHAnsi"/>
              </w:rPr>
              <w:t xml:space="preserve"> </w:t>
            </w:r>
            <w:r w:rsidRPr="000E3C66">
              <w:rPr>
                <w:rFonts w:cstheme="minorHAnsi"/>
              </w:rPr>
              <w:t>to elicit PG&amp;E acknowledgment of material omissions in the methodology used for the PG&amp;E projections. Ultimately PG&amp;E made a 5</w:t>
            </w:r>
            <w:r w:rsidRPr="000E3C66" w:rsidR="00A1711C">
              <w:rPr>
                <w:rFonts w:cstheme="minorHAnsi"/>
              </w:rPr>
              <w:t>4</w:t>
            </w:r>
            <w:r w:rsidRPr="000E3C66">
              <w:rPr>
                <w:rFonts w:cstheme="minorHAnsi"/>
              </w:rPr>
              <w:t>% upward revision of its estimate of extended operations costs, a result of complementary and non</w:t>
            </w:r>
            <w:r w:rsidRPr="000E3C66" w:rsidR="00F949CB">
              <w:rPr>
                <w:rFonts w:cstheme="minorHAnsi"/>
              </w:rPr>
              <w:noBreakHyphen/>
            </w:r>
            <w:r w:rsidRPr="000E3C66">
              <w:rPr>
                <w:rFonts w:cstheme="minorHAnsi"/>
              </w:rPr>
              <w:t>duplicative efforts by the intervenors.</w:t>
            </w:r>
            <w:r w:rsidRPr="000E3C66" w:rsidR="000749C7">
              <w:rPr>
                <w:rFonts w:cstheme="minorHAnsi"/>
              </w:rPr>
              <w:t xml:space="preserve">  </w:t>
            </w:r>
          </w:p>
        </w:tc>
        <w:tc>
          <w:tcPr>
            <w:tcW w:w="1980" w:type="dxa"/>
            <w:shd w:val="clear" w:color="auto" w:fill="auto"/>
          </w:tcPr>
          <w:p w:rsidRPr="000E3C66" w:rsidR="00F52B5E" w:rsidP="002F3AB9" w:rsidRDefault="00F52B5E" w14:paraId="1C997010" w14:textId="77777777">
            <w:r w:rsidRPr="000E3C66">
              <w:rPr>
                <w:rFonts w:cstheme="majorBidi"/>
              </w:rPr>
              <w:t>Noted</w:t>
            </w:r>
            <w:r w:rsidRPr="000E3C66">
              <w:t xml:space="preserve">; however, </w:t>
            </w:r>
          </w:p>
          <w:p w:rsidRPr="000E3C66" w:rsidR="00A92D0B" w:rsidP="00A03F9A" w:rsidRDefault="00F52B5E" w14:paraId="5F9BBA55" w14:textId="320E8FEA">
            <w:r w:rsidRPr="000E3C66">
              <w:rPr>
                <w:i/>
                <w:iCs/>
              </w:rPr>
              <w:t>See</w:t>
            </w:r>
            <w:r w:rsidRPr="000E3C66">
              <w:t xml:space="preserve"> </w:t>
            </w:r>
            <w:r w:rsidRPr="000E3C66" w:rsidR="00471EE6">
              <w:t>Part III.D</w:t>
            </w:r>
            <w:r w:rsidRPr="000E3C66">
              <w:t xml:space="preserve"> CPUC Comments, Disallowances and Adjustments [7].</w:t>
            </w:r>
          </w:p>
        </w:tc>
      </w:tr>
    </w:tbl>
    <w:p w:rsidRPr="000E3C66" w:rsidR="00A92D0B" w:rsidP="009B471B" w:rsidRDefault="00A92D0B" w14:paraId="4415DD51" w14:textId="0C96F678">
      <w:pPr>
        <w:keepNext/>
        <w:numPr>
          <w:ilvl w:val="0"/>
          <w:numId w:val="19"/>
        </w:numPr>
        <w:spacing w:before="240" w:after="240"/>
        <w:rPr>
          <w:b/>
          <w:iCs/>
          <w:u w:val="single"/>
        </w:rPr>
      </w:pPr>
      <w:r w:rsidRPr="000E3C66">
        <w:rPr>
          <w:b/>
        </w:rPr>
        <w:t xml:space="preserve">Additional Comments on </w:t>
      </w:r>
      <w:r w:rsidRPr="000E3C66" w:rsidR="00471EE6">
        <w:rPr>
          <w:b/>
        </w:rPr>
        <w:t>Part I</w:t>
      </w:r>
      <w:r w:rsidRPr="000E3C66">
        <w:rPr>
          <w:b/>
        </w:rPr>
        <w:t>I</w:t>
      </w:r>
      <w:r w:rsidRPr="000E3C66" w:rsidR="00C02649">
        <w:rPr>
          <w:b/>
        </w:rPr>
        <w:t>:</w:t>
      </w:r>
      <w:r w:rsidRPr="000E3C66">
        <w:rPr>
          <w:b/>
        </w:rPr>
        <w:t xml:space="preserve">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043"/>
        <w:gridCol w:w="6242"/>
        <w:gridCol w:w="2075"/>
      </w:tblGrid>
      <w:tr w:rsidRPr="000E3C66" w:rsidR="000E3C66" w:rsidTr="00926603" w14:paraId="52771334" w14:textId="77777777">
        <w:trPr>
          <w:tblHeader/>
        </w:trPr>
        <w:tc>
          <w:tcPr>
            <w:tcW w:w="1043" w:type="dxa"/>
            <w:tcBorders>
              <w:bottom w:val="single" w:color="auto" w:sz="4" w:space="0"/>
            </w:tcBorders>
            <w:shd w:val="clear" w:color="auto" w:fill="D9D9D9" w:themeFill="background1" w:themeFillShade="D9"/>
            <w:vAlign w:val="bottom"/>
          </w:tcPr>
          <w:p w:rsidRPr="000E3C66" w:rsidR="00963EEF" w:rsidP="00926603" w:rsidRDefault="00963EEF" w14:paraId="15D83D80" w14:textId="77777777">
            <w:pPr>
              <w:keepNext/>
              <w:tabs>
                <w:tab w:val="left" w:pos="360"/>
              </w:tabs>
              <w:jc w:val="center"/>
              <w:rPr>
                <w:b/>
              </w:rPr>
            </w:pPr>
            <w:r w:rsidRPr="000E3C66">
              <w:rPr>
                <w:b/>
              </w:rPr>
              <w:t>#</w:t>
            </w:r>
          </w:p>
        </w:tc>
        <w:tc>
          <w:tcPr>
            <w:tcW w:w="6242" w:type="dxa"/>
            <w:tcBorders>
              <w:bottom w:val="single" w:color="auto" w:sz="4" w:space="0"/>
            </w:tcBorders>
            <w:shd w:val="clear" w:color="auto" w:fill="D9D9D9" w:themeFill="background1" w:themeFillShade="D9"/>
            <w:vAlign w:val="bottom"/>
          </w:tcPr>
          <w:p w:rsidRPr="000E3C66" w:rsidR="00963EEF" w:rsidP="00926603" w:rsidRDefault="00963EEF" w14:paraId="23BC1F82" w14:textId="77777777">
            <w:pPr>
              <w:keepNext/>
              <w:tabs>
                <w:tab w:val="left" w:pos="360"/>
              </w:tabs>
              <w:jc w:val="center"/>
              <w:rPr>
                <w:b/>
              </w:rPr>
            </w:pPr>
            <w:r w:rsidRPr="000E3C66">
              <w:rPr>
                <w:b/>
              </w:rPr>
              <w:t>Intervenor’s Comment</w:t>
            </w:r>
          </w:p>
        </w:tc>
        <w:tc>
          <w:tcPr>
            <w:tcW w:w="2075" w:type="dxa"/>
            <w:shd w:val="clear" w:color="auto" w:fill="D9D9D9" w:themeFill="background1" w:themeFillShade="D9"/>
            <w:vAlign w:val="bottom"/>
          </w:tcPr>
          <w:p w:rsidRPr="000E3C66" w:rsidR="00963EEF" w:rsidP="00926603" w:rsidRDefault="00963EEF" w14:paraId="03118710" w14:textId="77777777">
            <w:pPr>
              <w:keepNext/>
              <w:tabs>
                <w:tab w:val="left" w:pos="360"/>
              </w:tabs>
              <w:jc w:val="center"/>
              <w:rPr>
                <w:b/>
              </w:rPr>
            </w:pPr>
            <w:r w:rsidRPr="000E3C66">
              <w:rPr>
                <w:b/>
              </w:rPr>
              <w:t>CPUC Discussion</w:t>
            </w:r>
          </w:p>
        </w:tc>
      </w:tr>
      <w:tr w:rsidRPr="000E3C66" w:rsidR="000E3C66" w:rsidTr="00926603" w14:paraId="58A3E16A" w14:textId="77777777">
        <w:tc>
          <w:tcPr>
            <w:tcW w:w="1043" w:type="dxa"/>
            <w:shd w:val="clear" w:color="auto" w:fill="auto"/>
          </w:tcPr>
          <w:p w:rsidRPr="000E3C66" w:rsidR="00963EEF" w:rsidP="000E3C66" w:rsidRDefault="0050376D" w14:paraId="3D289A0B" w14:textId="530A8FFC">
            <w:pPr>
              <w:tabs>
                <w:tab w:val="left" w:pos="360"/>
              </w:tabs>
              <w:jc w:val="center"/>
              <w:rPr>
                <w:rFonts w:asciiTheme="minorHAnsi" w:hAnsiTheme="minorHAnsi" w:cstheme="minorHAnsi"/>
              </w:rPr>
            </w:pPr>
            <w:r w:rsidRPr="000E3C66">
              <w:rPr>
                <w:rFonts w:cstheme="minorHAnsi"/>
              </w:rPr>
              <w:t>General</w:t>
            </w:r>
          </w:p>
        </w:tc>
        <w:tc>
          <w:tcPr>
            <w:tcW w:w="6242" w:type="dxa"/>
            <w:shd w:val="clear" w:color="auto" w:fill="auto"/>
          </w:tcPr>
          <w:p w:rsidRPr="000E3C66" w:rsidR="00963EEF" w:rsidP="000E3C66" w:rsidRDefault="00522E5D" w14:paraId="59AA74E8" w14:textId="113C48FD">
            <w:pPr>
              <w:tabs>
                <w:tab w:val="left" w:pos="360"/>
              </w:tabs>
              <w:spacing w:after="240"/>
              <w:rPr>
                <w:rFonts w:asciiTheme="minorHAnsi" w:hAnsiTheme="minorHAnsi" w:cstheme="minorHAnsi"/>
              </w:rPr>
            </w:pPr>
            <w:r w:rsidRPr="000E3C66">
              <w:rPr>
                <w:rFonts w:cstheme="minorHAnsi"/>
              </w:rPr>
              <w:t xml:space="preserve">A4NR believes it has </w:t>
            </w:r>
            <w:r w:rsidRPr="000E3C66" w:rsidR="00584C12">
              <w:rPr>
                <w:rFonts w:cstheme="minorHAnsi"/>
              </w:rPr>
              <w:t xml:space="preserve">submitted a thorough and complete request </w:t>
            </w:r>
            <w:r w:rsidRPr="000E3C66" w:rsidR="00E57249">
              <w:rPr>
                <w:rFonts w:cstheme="minorHAnsi"/>
              </w:rPr>
              <w:t xml:space="preserve">under the </w:t>
            </w:r>
            <w:r w:rsidRPr="000E3C66" w:rsidR="007F35A9">
              <w:rPr>
                <w:rFonts w:cstheme="minorHAnsi"/>
              </w:rPr>
              <w:t>applicable r</w:t>
            </w:r>
            <w:r w:rsidRPr="000E3C66" w:rsidR="00412F55">
              <w:rPr>
                <w:rFonts w:cstheme="minorHAnsi"/>
              </w:rPr>
              <w:t xml:space="preserve">ules for the Commission’s Intervenor Compensation Program.  </w:t>
            </w:r>
            <w:r w:rsidRPr="000E3C66" w:rsidR="004A1372">
              <w:rPr>
                <w:rFonts w:cstheme="minorHAnsi"/>
              </w:rPr>
              <w:t xml:space="preserve">If </w:t>
            </w:r>
            <w:r w:rsidRPr="000E3C66" w:rsidR="005711D9">
              <w:rPr>
                <w:rFonts w:cstheme="minorHAnsi"/>
              </w:rPr>
              <w:t>the Commission</w:t>
            </w:r>
            <w:r w:rsidRPr="000E3C66" w:rsidR="004A1372">
              <w:rPr>
                <w:rFonts w:cstheme="minorHAnsi"/>
              </w:rPr>
              <w:t xml:space="preserve"> has questions, or</w:t>
            </w:r>
            <w:r w:rsidRPr="000E3C66" w:rsidR="005711D9">
              <w:rPr>
                <w:rFonts w:cstheme="minorHAnsi"/>
              </w:rPr>
              <w:t xml:space="preserve"> </w:t>
            </w:r>
            <w:r w:rsidRPr="000E3C66" w:rsidR="00443424">
              <w:rPr>
                <w:rFonts w:cstheme="minorHAnsi"/>
              </w:rPr>
              <w:t>desire</w:t>
            </w:r>
            <w:r w:rsidRPr="000E3C66" w:rsidR="00DD48B4">
              <w:rPr>
                <w:rFonts w:cstheme="minorHAnsi"/>
              </w:rPr>
              <w:t>s</w:t>
            </w:r>
            <w:r w:rsidRPr="000E3C66" w:rsidR="005711D9">
              <w:rPr>
                <w:rFonts w:cstheme="minorHAnsi"/>
              </w:rPr>
              <w:t xml:space="preserve"> additional information</w:t>
            </w:r>
            <w:r w:rsidRPr="000E3C66" w:rsidR="004A1372">
              <w:rPr>
                <w:rFonts w:cstheme="minorHAnsi"/>
              </w:rPr>
              <w:t>,</w:t>
            </w:r>
            <w:r w:rsidRPr="000E3C66" w:rsidR="005711D9">
              <w:rPr>
                <w:rFonts w:cstheme="minorHAnsi"/>
              </w:rPr>
              <w:t xml:space="preserve"> </w:t>
            </w:r>
            <w:r w:rsidRPr="000E3C66" w:rsidR="006B1C00">
              <w:rPr>
                <w:rFonts w:cstheme="minorHAnsi"/>
              </w:rPr>
              <w:t xml:space="preserve">A4NR </w:t>
            </w:r>
            <w:r w:rsidRPr="000E3C66" w:rsidR="005711D9">
              <w:rPr>
                <w:rFonts w:cstheme="minorHAnsi"/>
              </w:rPr>
              <w:t>requests the opportunity to supplement this</w:t>
            </w:r>
            <w:r w:rsidRPr="000E3C66" w:rsidR="008A14DA">
              <w:rPr>
                <w:rFonts w:cstheme="minorHAnsi"/>
              </w:rPr>
              <w:t xml:space="preserve"> </w:t>
            </w:r>
            <w:r w:rsidRPr="000E3C66" w:rsidR="00DA696A">
              <w:rPr>
                <w:rFonts w:cstheme="minorHAnsi"/>
              </w:rPr>
              <w:t xml:space="preserve">submittal </w:t>
            </w:r>
            <w:r w:rsidRPr="000E3C66" w:rsidR="005711D9">
              <w:rPr>
                <w:rFonts w:cstheme="minorHAnsi"/>
              </w:rPr>
              <w:t>accordingly.</w:t>
            </w:r>
          </w:p>
        </w:tc>
        <w:tc>
          <w:tcPr>
            <w:tcW w:w="2075" w:type="dxa"/>
            <w:shd w:val="clear" w:color="auto" w:fill="auto"/>
          </w:tcPr>
          <w:p w:rsidRPr="000E3C66" w:rsidR="00963EEF" w:rsidP="000E3C66" w:rsidRDefault="00024C1B" w14:paraId="7B53CB1C" w14:textId="55CA2880">
            <w:pPr>
              <w:tabs>
                <w:tab w:val="left" w:pos="360"/>
              </w:tabs>
              <w:jc w:val="center"/>
            </w:pPr>
            <w:r w:rsidRPr="000E3C66">
              <w:t>Noted</w:t>
            </w:r>
          </w:p>
        </w:tc>
      </w:tr>
      <w:tr w:rsidRPr="000E3C66" w:rsidR="000E3C66" w:rsidTr="00926603" w14:paraId="6FFC494E" w14:textId="77777777">
        <w:tc>
          <w:tcPr>
            <w:tcW w:w="1043" w:type="dxa"/>
            <w:shd w:val="clear" w:color="auto" w:fill="auto"/>
          </w:tcPr>
          <w:p w:rsidRPr="000E3C66" w:rsidR="0075401E" w:rsidP="000E3C66" w:rsidRDefault="0075401E" w14:paraId="5C385000" w14:textId="3C9520A3">
            <w:pPr>
              <w:tabs>
                <w:tab w:val="left" w:pos="360"/>
              </w:tabs>
              <w:jc w:val="center"/>
              <w:rPr>
                <w:rFonts w:asciiTheme="minorHAnsi" w:hAnsiTheme="minorHAnsi" w:cstheme="minorHAnsi"/>
              </w:rPr>
            </w:pPr>
            <w:r w:rsidRPr="000E3C66">
              <w:rPr>
                <w:rFonts w:cstheme="minorHAnsi"/>
              </w:rPr>
              <w:lastRenderedPageBreak/>
              <w:t>2</w:t>
            </w:r>
          </w:p>
        </w:tc>
        <w:tc>
          <w:tcPr>
            <w:tcW w:w="6242" w:type="dxa"/>
            <w:shd w:val="clear" w:color="auto" w:fill="auto"/>
          </w:tcPr>
          <w:p w:rsidRPr="000E3C66" w:rsidR="0075401E" w:rsidP="000E3C66" w:rsidRDefault="0075401E" w14:paraId="7761EE42" w14:textId="1F304E55">
            <w:pPr>
              <w:tabs>
                <w:tab w:val="left" w:pos="360"/>
              </w:tabs>
              <w:spacing w:after="240"/>
              <w:rPr>
                <w:rFonts w:asciiTheme="minorHAnsi" w:hAnsiTheme="minorHAnsi"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 at</w:t>
            </w:r>
            <w:r w:rsidRPr="000E3C66" w:rsidR="009D4181">
              <w:rPr>
                <w:rFonts w:cstheme="minorHAnsi"/>
              </w:rPr>
              <w:t xml:space="preserve"> p. </w:t>
            </w:r>
            <w:r w:rsidRPr="000E3C66" w:rsidR="00CE5044">
              <w:rPr>
                <w:rFonts w:cstheme="minorHAnsi"/>
              </w:rPr>
              <w:t>45 cites A4NR’s</w:t>
            </w:r>
            <w:r w:rsidRPr="000E3C66" w:rsidR="00D6754E">
              <w:rPr>
                <w:rFonts w:cstheme="minorHAnsi"/>
              </w:rPr>
              <w:t xml:space="preserve"> 10/6/2023 Comments on </w:t>
            </w:r>
            <w:r w:rsidRPr="000E3C66" w:rsidR="009E6F39">
              <w:rPr>
                <w:rFonts w:cstheme="minorHAnsi"/>
              </w:rPr>
              <w:t xml:space="preserve">the </w:t>
            </w:r>
            <w:r w:rsidRPr="000E3C66" w:rsidR="00D6754E">
              <w:rPr>
                <w:rFonts w:cstheme="minorHAnsi"/>
              </w:rPr>
              <w:t>Draft CEC Report,</w:t>
            </w:r>
            <w:r w:rsidRPr="000E3C66" w:rsidR="009D4181">
              <w:rPr>
                <w:rFonts w:cstheme="minorHAnsi"/>
              </w:rPr>
              <w:t xml:space="preserve"> pp. </w:t>
            </w:r>
            <w:r w:rsidRPr="000E3C66" w:rsidR="00D6754E">
              <w:rPr>
                <w:rFonts w:cstheme="minorHAnsi"/>
              </w:rPr>
              <w:t>1</w:t>
            </w:r>
            <w:r w:rsidRPr="000E3C66" w:rsidR="009D4181">
              <w:rPr>
                <w:rFonts w:cstheme="minorHAnsi"/>
              </w:rPr>
              <w:noBreakHyphen/>
            </w:r>
            <w:r w:rsidRPr="000E3C66" w:rsidR="00D6754E">
              <w:rPr>
                <w:rFonts w:cstheme="minorHAnsi"/>
              </w:rPr>
              <w:t>10</w:t>
            </w:r>
            <w:r w:rsidRPr="000E3C66" w:rsidR="00C25FD9">
              <w:rPr>
                <w:rFonts w:cstheme="minorHAnsi"/>
              </w:rPr>
              <w:t xml:space="preserve">, for its assertions </w:t>
            </w:r>
            <w:r w:rsidRPr="000E3C66" w:rsidR="00F13F86">
              <w:rPr>
                <w:rFonts w:cstheme="minorHAnsi"/>
              </w:rPr>
              <w:t xml:space="preserve">“that the Draft Cost Comparison Report excludes almost all viable alternative resource options, preventing any meaningful comparison, while the DCPP cost forecast ignores a wide array of cost catagories </w:t>
            </w:r>
            <w:r w:rsidRPr="000E3C66" w:rsidR="0033789A">
              <w:rPr>
                <w:rFonts w:cstheme="minorHAnsi"/>
              </w:rPr>
              <w:t>[</w:t>
            </w:r>
            <w:r w:rsidRPr="000E3C66" w:rsidR="0033789A">
              <w:rPr>
                <w:rFonts w:cstheme="minorHAnsi"/>
                <w:i/>
                <w:iCs/>
              </w:rPr>
              <w:t>sic</w:t>
            </w:r>
            <w:r w:rsidRPr="000E3C66" w:rsidR="00216C75">
              <w:rPr>
                <w:rFonts w:cstheme="minorHAnsi"/>
              </w:rPr>
              <w:t xml:space="preserve">] </w:t>
            </w:r>
            <w:r w:rsidRPr="000E3C66" w:rsidR="00F13F86">
              <w:rPr>
                <w:rFonts w:cstheme="minorHAnsi"/>
              </w:rPr>
              <w:t>and updated costs identified in this proceeding</w:t>
            </w:r>
            <w:r w:rsidRPr="000E3C66" w:rsidR="00D6754E">
              <w:rPr>
                <w:rFonts w:cstheme="minorHAnsi"/>
              </w:rPr>
              <w:t>.</w:t>
            </w:r>
            <w:r w:rsidRPr="000E3C66" w:rsidR="00216C75">
              <w:rPr>
                <w:rFonts w:cstheme="minorHAnsi"/>
              </w:rPr>
              <w:t xml:space="preserve"> </w:t>
            </w:r>
            <w:r w:rsidRPr="000E3C66" w:rsidR="00007086">
              <w:rPr>
                <w:rFonts w:cstheme="minorHAnsi"/>
              </w:rPr>
              <w:t>[footnote omitted]”</w:t>
            </w:r>
          </w:p>
        </w:tc>
        <w:tc>
          <w:tcPr>
            <w:tcW w:w="2075" w:type="dxa"/>
            <w:shd w:val="clear" w:color="auto" w:fill="auto"/>
          </w:tcPr>
          <w:p w:rsidRPr="000E3C66" w:rsidR="0075401E" w:rsidP="000E3C66" w:rsidRDefault="00F52B5E" w14:paraId="02FE4727" w14:textId="14D7A769">
            <w:pPr>
              <w:tabs>
                <w:tab w:val="left" w:pos="360"/>
              </w:tabs>
              <w:jc w:val="center"/>
            </w:pPr>
            <w:r w:rsidRPr="000E3C66">
              <w:t>Noted</w:t>
            </w:r>
          </w:p>
        </w:tc>
      </w:tr>
      <w:tr w:rsidRPr="000E3C66" w:rsidR="000E3C66" w:rsidTr="00926603" w14:paraId="530F6CE2" w14:textId="77777777">
        <w:tc>
          <w:tcPr>
            <w:tcW w:w="1043" w:type="dxa"/>
            <w:shd w:val="clear" w:color="auto" w:fill="auto"/>
          </w:tcPr>
          <w:p w:rsidRPr="000E3C66" w:rsidR="000E3C66" w:rsidP="000E3C66" w:rsidRDefault="005F1FA1" w14:paraId="56A73575" w14:textId="09C931D9">
            <w:pPr>
              <w:tabs>
                <w:tab w:val="left" w:pos="360"/>
              </w:tabs>
              <w:jc w:val="center"/>
              <w:rPr>
                <w:rFonts w:cstheme="minorHAnsi"/>
              </w:rPr>
            </w:pPr>
            <w:r w:rsidRPr="000E3C66">
              <w:rPr>
                <w:rFonts w:cstheme="minorHAnsi"/>
              </w:rPr>
              <w:t>3, 4, 5,</w:t>
            </w:r>
          </w:p>
          <w:p w:rsidRPr="000E3C66" w:rsidR="00691528" w:rsidP="000E3C66" w:rsidRDefault="005F1FA1" w14:paraId="220B7D3F" w14:textId="438B6B7B">
            <w:pPr>
              <w:tabs>
                <w:tab w:val="left" w:pos="360"/>
              </w:tabs>
              <w:jc w:val="center"/>
              <w:rPr>
                <w:rFonts w:asciiTheme="minorHAnsi" w:hAnsiTheme="minorHAnsi" w:cstheme="minorHAnsi"/>
              </w:rPr>
            </w:pPr>
            <w:r w:rsidRPr="000E3C66">
              <w:rPr>
                <w:rFonts w:cstheme="minorHAnsi"/>
              </w:rPr>
              <w:t>6, 7,</w:t>
            </w:r>
            <w:r w:rsidRPr="000E3C66" w:rsidR="00EF18C0">
              <w:rPr>
                <w:rFonts w:cstheme="minorHAnsi"/>
              </w:rPr>
              <w:t xml:space="preserve"> 8</w:t>
            </w:r>
          </w:p>
        </w:tc>
        <w:tc>
          <w:tcPr>
            <w:tcW w:w="6242" w:type="dxa"/>
            <w:shd w:val="clear" w:color="auto" w:fill="auto"/>
          </w:tcPr>
          <w:p w:rsidRPr="000E3C66" w:rsidR="00691528" w:rsidP="000E3C66" w:rsidRDefault="00EF18C0" w14:paraId="4AE0B3C2" w14:textId="429D3D33">
            <w:pPr>
              <w:tabs>
                <w:tab w:val="left" w:pos="360"/>
              </w:tabs>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036</w:t>
            </w:r>
            <w:r w:rsidRPr="000E3C66" w:rsidR="004D7C4B">
              <w:rPr>
                <w:rFonts w:cstheme="minorHAnsi"/>
              </w:rPr>
              <w:t xml:space="preserve"> </w:t>
            </w:r>
            <w:r w:rsidRPr="000E3C66" w:rsidR="00C268D5">
              <w:rPr>
                <w:rFonts w:cstheme="minorHAnsi"/>
              </w:rPr>
              <w:t>at</w:t>
            </w:r>
            <w:r w:rsidRPr="000E3C66" w:rsidR="009D4181">
              <w:rPr>
                <w:rFonts w:cstheme="minorHAnsi"/>
              </w:rPr>
              <w:t xml:space="preserve"> p. </w:t>
            </w:r>
            <w:r w:rsidRPr="000E3C66" w:rsidR="00C268D5">
              <w:rPr>
                <w:rFonts w:cstheme="minorHAnsi"/>
              </w:rPr>
              <w:t xml:space="preserve">40 </w:t>
            </w:r>
            <w:r w:rsidRPr="000E3C66" w:rsidR="00097D12">
              <w:rPr>
                <w:rFonts w:cstheme="minorHAnsi"/>
              </w:rPr>
              <w:t>summarizes: “Citing to many of the same excluded cost categories as TURN, A4NR asserts PG&amp;E’s cost forecast is materially misleading, and omits nearly $2.2</w:t>
            </w:r>
            <w:r w:rsidRPr="000E3C66" w:rsidR="003C1828">
              <w:rPr>
                <w:rFonts w:cstheme="minorHAnsi"/>
              </w:rPr>
              <w:t> billion</w:t>
            </w:r>
            <w:r w:rsidRPr="000E3C66" w:rsidR="00097D12">
              <w:rPr>
                <w:rFonts w:cstheme="minorHAnsi"/>
              </w:rPr>
              <w:t xml:space="preserve"> in known costs.</w:t>
            </w:r>
            <w:r w:rsidRPr="000E3C66" w:rsidR="003C3D03">
              <w:rPr>
                <w:rFonts w:cstheme="minorHAnsi"/>
              </w:rPr>
              <w:t xml:space="preserve"> [footnote omitted]</w:t>
            </w:r>
            <w:r w:rsidRPr="000E3C66" w:rsidR="00097D12">
              <w:rPr>
                <w:rFonts w:cstheme="minorHAnsi"/>
              </w:rPr>
              <w:t xml:space="preserve"> Additionally, A4NR contends PG&amp;E’s cost forecast excludes, or improperly accounts for, over $1</w:t>
            </w:r>
            <w:r w:rsidRPr="000E3C66" w:rsidR="003C1828">
              <w:rPr>
                <w:rFonts w:cstheme="minorHAnsi"/>
              </w:rPr>
              <w:t> billion</w:t>
            </w:r>
            <w:r w:rsidRPr="000E3C66" w:rsidR="00097D12">
              <w:rPr>
                <w:rFonts w:cstheme="minorHAnsi"/>
              </w:rPr>
              <w:t xml:space="preserve"> in previously identified prospective DOE reimbursements, authorized funding from the DWR, as well as fuel costs protected under </w:t>
            </w:r>
            <w:r w:rsidRPr="000E3C66" w:rsidR="00885CF8">
              <w:rPr>
                <w:rFonts w:cstheme="minorHAnsi"/>
              </w:rPr>
              <w:t>Section </w:t>
            </w:r>
            <w:r w:rsidRPr="000E3C66" w:rsidR="00097D12">
              <w:rPr>
                <w:rFonts w:cstheme="minorHAnsi"/>
              </w:rPr>
              <w:t>712.8(c)(1)(C).</w:t>
            </w:r>
            <w:r w:rsidRPr="000E3C66" w:rsidR="00976B48">
              <w:rPr>
                <w:rFonts w:cstheme="minorHAnsi"/>
              </w:rPr>
              <w:t xml:space="preserve"> [footnote omitted]”</w:t>
            </w:r>
          </w:p>
          <w:p w:rsidRPr="000E3C66" w:rsidR="001B117B" w:rsidP="000E3C66" w:rsidRDefault="002D34A1" w14:paraId="0789B27D" w14:textId="21EEA9DF">
            <w:pPr>
              <w:tabs>
                <w:tab w:val="left" w:pos="360"/>
              </w:tabs>
              <w:spacing w:after="240"/>
              <w:rPr>
                <w:rFonts w:cstheme="minorHAnsi"/>
              </w:rPr>
            </w:pPr>
            <w:r w:rsidRPr="000E3C66">
              <w:rPr>
                <w:rFonts w:cstheme="minorHAnsi"/>
              </w:rPr>
              <w:t>D.23</w:t>
            </w:r>
            <w:r w:rsidRPr="000E3C66" w:rsidR="00F949CB">
              <w:rPr>
                <w:rFonts w:cstheme="minorHAnsi"/>
              </w:rPr>
              <w:noBreakHyphen/>
            </w:r>
            <w:r w:rsidRPr="000E3C66">
              <w:rPr>
                <w:rFonts w:cstheme="minorHAnsi"/>
              </w:rPr>
              <w:t>12</w:t>
            </w:r>
            <w:r w:rsidRPr="000E3C66" w:rsidR="00F949CB">
              <w:rPr>
                <w:rFonts w:cstheme="minorHAnsi"/>
              </w:rPr>
              <w:noBreakHyphen/>
            </w:r>
            <w:r w:rsidRPr="000E3C66">
              <w:rPr>
                <w:rFonts w:cstheme="minorHAnsi"/>
              </w:rPr>
              <w:t xml:space="preserve">036 </w:t>
            </w:r>
            <w:r w:rsidRPr="000E3C66" w:rsidR="007661EB">
              <w:rPr>
                <w:rFonts w:cstheme="minorHAnsi"/>
              </w:rPr>
              <w:t>at</w:t>
            </w:r>
            <w:r w:rsidRPr="000E3C66" w:rsidR="009D4181">
              <w:rPr>
                <w:rFonts w:cstheme="minorHAnsi"/>
              </w:rPr>
              <w:t xml:space="preserve"> p. </w:t>
            </w:r>
            <w:r w:rsidRPr="000E3C66" w:rsidR="007661EB">
              <w:rPr>
                <w:rFonts w:cstheme="minorHAnsi"/>
              </w:rPr>
              <w:t xml:space="preserve">40 </w:t>
            </w:r>
            <w:r w:rsidRPr="000E3C66">
              <w:rPr>
                <w:rFonts w:cstheme="minorHAnsi"/>
              </w:rPr>
              <w:t>cites</w:t>
            </w:r>
            <w:r w:rsidRPr="000E3C66" w:rsidR="00CB04D8">
              <w:rPr>
                <w:rFonts w:cstheme="minorHAnsi"/>
              </w:rPr>
              <w:t xml:space="preserve"> A4NR</w:t>
            </w:r>
            <w:r w:rsidRPr="000E3C66" w:rsidR="00F949CB">
              <w:rPr>
                <w:rFonts w:cstheme="minorHAnsi"/>
              </w:rPr>
              <w:noBreakHyphen/>
            </w:r>
            <w:r w:rsidRPr="000E3C66" w:rsidR="00CB04D8">
              <w:rPr>
                <w:rFonts w:cstheme="minorHAnsi"/>
              </w:rPr>
              <w:t>01</w:t>
            </w:r>
            <w:r w:rsidRPr="000E3C66" w:rsidR="006E656D">
              <w:rPr>
                <w:rFonts w:cstheme="minorHAnsi"/>
              </w:rPr>
              <w:t xml:space="preserve"> for raising “potential issues of seismic safety </w:t>
            </w:r>
            <w:r w:rsidRPr="000E3C66" w:rsidR="0042277D">
              <w:rPr>
                <w:rFonts w:cstheme="minorHAnsi"/>
              </w:rPr>
              <w:t>…</w:t>
            </w:r>
            <w:r w:rsidRPr="000E3C66" w:rsidR="006E656D">
              <w:rPr>
                <w:rFonts w:cstheme="minorHAnsi"/>
              </w:rPr>
              <w:t xml:space="preserve"> and the costs to comply with environmental review processes</w:t>
            </w:r>
            <w:r w:rsidRPr="000E3C66" w:rsidR="00E01BB2">
              <w:rPr>
                <w:rFonts w:cstheme="minorHAnsi"/>
              </w:rPr>
              <w:t xml:space="preserve"> …</w:t>
            </w:r>
            <w:r w:rsidRPr="000E3C66" w:rsidR="005D5DC7">
              <w:rPr>
                <w:rFonts w:cstheme="minorHAnsi"/>
              </w:rPr>
              <w:t xml:space="preserve"> [footnote omitted]”</w:t>
            </w:r>
          </w:p>
          <w:p w:rsidRPr="000E3C66" w:rsidR="000E3C66" w:rsidP="000E3C66" w:rsidRDefault="00893F80" w14:paraId="2DD09648" w14:textId="16EE1FBB">
            <w:pPr>
              <w:tabs>
                <w:tab w:val="left" w:pos="360"/>
              </w:tabs>
              <w:spacing w:after="240"/>
              <w:rPr>
                <w:rFonts w:cstheme="minorHAnsi"/>
              </w:rPr>
            </w:pPr>
            <w:r w:rsidRPr="000E3C66">
              <w:rPr>
                <w:rFonts w:cstheme="minorHAnsi"/>
              </w:rPr>
              <w:t>D.23</w:t>
            </w:r>
            <w:r w:rsidRPr="000E3C66" w:rsidR="00F949CB">
              <w:rPr>
                <w:rFonts w:cstheme="minorHAnsi"/>
              </w:rPr>
              <w:noBreakHyphen/>
            </w:r>
            <w:r w:rsidRPr="000E3C66" w:rsidR="00912DAF">
              <w:rPr>
                <w:rFonts w:cstheme="minorHAnsi"/>
              </w:rPr>
              <w:t>12</w:t>
            </w:r>
            <w:r w:rsidRPr="000E3C66" w:rsidR="00F949CB">
              <w:rPr>
                <w:rFonts w:cstheme="minorHAnsi"/>
              </w:rPr>
              <w:noBreakHyphen/>
            </w:r>
            <w:r w:rsidRPr="000E3C66" w:rsidR="00912DAF">
              <w:rPr>
                <w:rFonts w:cstheme="minorHAnsi"/>
              </w:rPr>
              <w:t>036 at</w:t>
            </w:r>
            <w:r w:rsidRPr="000E3C66" w:rsidR="009D4181">
              <w:rPr>
                <w:rFonts w:cstheme="minorHAnsi"/>
              </w:rPr>
              <w:t xml:space="preserve"> pp. </w:t>
            </w:r>
            <w:r w:rsidRPr="000E3C66" w:rsidR="00912DAF">
              <w:rPr>
                <w:rFonts w:cstheme="minorHAnsi"/>
              </w:rPr>
              <w:t>41</w:t>
            </w:r>
            <w:r w:rsidRPr="000E3C66" w:rsidR="009D4181">
              <w:rPr>
                <w:rFonts w:cstheme="minorHAnsi"/>
              </w:rPr>
              <w:noBreakHyphen/>
            </w:r>
            <w:r w:rsidRPr="000E3C66" w:rsidR="00912DAF">
              <w:rPr>
                <w:rFonts w:cstheme="minorHAnsi"/>
              </w:rPr>
              <w:t>42 cites A4NR</w:t>
            </w:r>
            <w:r w:rsidRPr="000E3C66" w:rsidR="00F949CB">
              <w:rPr>
                <w:rFonts w:cstheme="minorHAnsi"/>
              </w:rPr>
              <w:noBreakHyphen/>
            </w:r>
            <w:r w:rsidRPr="000E3C66" w:rsidR="00912DAF">
              <w:rPr>
                <w:rFonts w:cstheme="minorHAnsi"/>
              </w:rPr>
              <w:t xml:space="preserve">02 </w:t>
            </w:r>
            <w:r w:rsidRPr="000E3C66" w:rsidR="00095E3E">
              <w:rPr>
                <w:rFonts w:cstheme="minorHAnsi"/>
              </w:rPr>
              <w:t>and A4NR</w:t>
            </w:r>
            <w:r w:rsidRPr="000E3C66" w:rsidR="00F949CB">
              <w:rPr>
                <w:rFonts w:cstheme="minorHAnsi"/>
              </w:rPr>
              <w:noBreakHyphen/>
            </w:r>
            <w:r w:rsidRPr="000E3C66" w:rsidR="00095E3E">
              <w:rPr>
                <w:rFonts w:cstheme="minorHAnsi"/>
              </w:rPr>
              <w:t xml:space="preserve">04 </w:t>
            </w:r>
            <w:r w:rsidRPr="000E3C66" w:rsidR="00827C28">
              <w:rPr>
                <w:rFonts w:cstheme="minorHAnsi"/>
              </w:rPr>
              <w:t>in</w:t>
            </w:r>
            <w:r w:rsidRPr="000E3C66" w:rsidR="00912DAF">
              <w:rPr>
                <w:rFonts w:cstheme="minorHAnsi"/>
              </w:rPr>
              <w:t xml:space="preserve"> observing</w:t>
            </w:r>
            <w:r w:rsidRPr="000E3C66" w:rsidR="001456EB">
              <w:rPr>
                <w:rFonts w:cstheme="minorHAnsi"/>
              </w:rPr>
              <w:t xml:space="preserve"> </w:t>
            </w:r>
            <w:r w:rsidRPr="000E3C66" w:rsidR="00092CCA">
              <w:rPr>
                <w:rFonts w:cstheme="minorHAnsi"/>
              </w:rPr>
              <w:t xml:space="preserve">that </w:t>
            </w:r>
            <w:r w:rsidRPr="000E3C66" w:rsidR="001456EB">
              <w:rPr>
                <w:rFonts w:cstheme="minorHAnsi"/>
              </w:rPr>
              <w:t xml:space="preserve">“parties generally agree the DCISC does not yet have, or is still in the process of reviewing, the information necessary to perform the analyses required by </w:t>
            </w:r>
            <w:r w:rsidRPr="000E3C66" w:rsidR="00885CF8">
              <w:rPr>
                <w:rFonts w:cstheme="minorHAnsi"/>
              </w:rPr>
              <w:t>Section </w:t>
            </w:r>
            <w:r w:rsidRPr="000E3C66" w:rsidR="001456EB">
              <w:rPr>
                <w:rFonts w:cstheme="minorHAnsi"/>
              </w:rPr>
              <w:t>712.8(c)(2)(B).</w:t>
            </w:r>
            <w:r w:rsidRPr="000E3C66" w:rsidR="00542AD5">
              <w:rPr>
                <w:rFonts w:cstheme="minorHAnsi"/>
              </w:rPr>
              <w:t xml:space="preserve"> [footnote omitted]</w:t>
            </w:r>
            <w:r w:rsidRPr="000E3C66" w:rsidR="001456EB">
              <w:rPr>
                <w:rFonts w:cstheme="minorHAnsi"/>
              </w:rPr>
              <w:t xml:space="preserve"> This includes the updated seismic study PG&amp;E is required to conduct pursuant to </w:t>
            </w:r>
            <w:r w:rsidRPr="000E3C66" w:rsidR="00885CF8">
              <w:rPr>
                <w:rFonts w:cstheme="minorHAnsi"/>
              </w:rPr>
              <w:t>Pub. Res.</w:t>
            </w:r>
            <w:r w:rsidRPr="000E3C66" w:rsidR="001456EB">
              <w:rPr>
                <w:rFonts w:cstheme="minorHAnsi"/>
              </w:rPr>
              <w:t xml:space="preserve"> Code </w:t>
            </w:r>
            <w:r w:rsidRPr="000E3C66" w:rsidR="00885CF8">
              <w:rPr>
                <w:rFonts w:cstheme="minorHAnsi"/>
              </w:rPr>
              <w:t>Section </w:t>
            </w:r>
            <w:r w:rsidRPr="000E3C66" w:rsidR="001456EB">
              <w:rPr>
                <w:rFonts w:cstheme="minorHAnsi"/>
              </w:rPr>
              <w:t>25548.3(c)(13), any</w:t>
            </w:r>
            <w:r w:rsidRPr="000E3C66" w:rsidR="00E32F40">
              <w:rPr>
                <w:rFonts w:cstheme="minorHAnsi"/>
              </w:rPr>
              <w:t xml:space="preserve"> updated seismic</w:t>
            </w:r>
            <w:r w:rsidRPr="000E3C66" w:rsidR="00F949CB">
              <w:rPr>
                <w:rFonts w:cstheme="minorHAnsi"/>
              </w:rPr>
              <w:noBreakHyphen/>
            </w:r>
            <w:r w:rsidRPr="000E3C66" w:rsidR="00E32F40">
              <w:rPr>
                <w:rFonts w:cstheme="minorHAnsi"/>
              </w:rPr>
              <w:t>related information included in PG&amp;E’s NRC license renewal application, as well as PG&amp;E’s revised maintenance schedule, which adds 200 activities previously removed as a result of the expected shutdown in 2024 and 2025.</w:t>
            </w:r>
            <w:r w:rsidRPr="000E3C66" w:rsidR="00781E0E">
              <w:rPr>
                <w:rFonts w:cstheme="minorHAnsi"/>
              </w:rPr>
              <w:t xml:space="preserve"> [footnote omitted]”</w:t>
            </w:r>
          </w:p>
        </w:tc>
        <w:tc>
          <w:tcPr>
            <w:tcW w:w="2075" w:type="dxa"/>
            <w:shd w:val="clear" w:color="auto" w:fill="auto"/>
          </w:tcPr>
          <w:p w:rsidRPr="000E3C66" w:rsidR="00691528" w:rsidP="000E3C66" w:rsidRDefault="00F52B5E" w14:paraId="36220B11" w14:textId="2F33D34C">
            <w:pPr>
              <w:tabs>
                <w:tab w:val="left" w:pos="360"/>
              </w:tabs>
              <w:jc w:val="center"/>
            </w:pPr>
            <w:r w:rsidRPr="000E3C66">
              <w:t>Noted</w:t>
            </w:r>
          </w:p>
        </w:tc>
      </w:tr>
      <w:tr w:rsidRPr="000E3C66" w:rsidR="000E3C66" w:rsidTr="00926603" w14:paraId="67ED5E02" w14:textId="77777777">
        <w:tc>
          <w:tcPr>
            <w:tcW w:w="1043" w:type="dxa"/>
            <w:shd w:val="clear" w:color="auto" w:fill="auto"/>
          </w:tcPr>
          <w:p w:rsidRPr="000E3C66" w:rsidR="0056578C" w:rsidP="000E3C66" w:rsidRDefault="0056578C" w14:paraId="7AED8A94" w14:textId="60B335E9">
            <w:pPr>
              <w:tabs>
                <w:tab w:val="left" w:pos="360"/>
              </w:tabs>
              <w:jc w:val="center"/>
              <w:rPr>
                <w:rFonts w:asciiTheme="minorHAnsi" w:hAnsiTheme="minorHAnsi" w:cstheme="minorHAnsi"/>
              </w:rPr>
            </w:pPr>
            <w:r w:rsidRPr="000E3C66">
              <w:rPr>
                <w:rFonts w:cstheme="minorHAnsi"/>
              </w:rPr>
              <w:t>10</w:t>
            </w:r>
          </w:p>
        </w:tc>
        <w:tc>
          <w:tcPr>
            <w:tcW w:w="6242" w:type="dxa"/>
            <w:shd w:val="clear" w:color="auto" w:fill="auto"/>
          </w:tcPr>
          <w:p w:rsidRPr="000E3C66" w:rsidR="000E3C66" w:rsidP="000E3C66" w:rsidRDefault="0056578C" w14:paraId="05EA59CA" w14:textId="70A1C9D7">
            <w:pPr>
              <w:tabs>
                <w:tab w:val="left" w:pos="360"/>
              </w:tabs>
              <w:spacing w:after="240"/>
              <w:rPr>
                <w:rFonts w:cstheme="minorHAnsi"/>
              </w:rPr>
            </w:pPr>
            <w:r w:rsidRPr="000E3C66">
              <w:rPr>
                <w:rFonts w:cstheme="minorHAnsi"/>
              </w:rPr>
              <w:t>D.23</w:t>
            </w:r>
            <w:r w:rsidRPr="000E3C66" w:rsidR="00F949CB">
              <w:rPr>
                <w:rFonts w:cstheme="minorHAnsi"/>
              </w:rPr>
              <w:noBreakHyphen/>
            </w:r>
            <w:r w:rsidRPr="000E3C66" w:rsidR="002375D0">
              <w:rPr>
                <w:rFonts w:cstheme="minorHAnsi"/>
              </w:rPr>
              <w:t>12</w:t>
            </w:r>
            <w:r w:rsidRPr="000E3C66" w:rsidR="00F949CB">
              <w:rPr>
                <w:rFonts w:cstheme="minorHAnsi"/>
              </w:rPr>
              <w:noBreakHyphen/>
            </w:r>
            <w:r w:rsidRPr="000E3C66" w:rsidR="002375D0">
              <w:rPr>
                <w:rFonts w:cstheme="minorHAnsi"/>
              </w:rPr>
              <w:t>036 at</w:t>
            </w:r>
            <w:r w:rsidRPr="000E3C66" w:rsidR="009D4181">
              <w:rPr>
                <w:rFonts w:cstheme="minorHAnsi"/>
              </w:rPr>
              <w:t xml:space="preserve"> p. </w:t>
            </w:r>
            <w:r w:rsidRPr="000E3C66" w:rsidR="00786BBB">
              <w:rPr>
                <w:rFonts w:cstheme="minorHAnsi"/>
              </w:rPr>
              <w:t>65 cites A4NR</w:t>
            </w:r>
            <w:r w:rsidRPr="000E3C66" w:rsidR="00F949CB">
              <w:rPr>
                <w:rFonts w:cstheme="minorHAnsi"/>
              </w:rPr>
              <w:noBreakHyphen/>
            </w:r>
            <w:r w:rsidRPr="000E3C66" w:rsidR="00786BBB">
              <w:rPr>
                <w:rFonts w:cstheme="minorHAnsi"/>
              </w:rPr>
              <w:t xml:space="preserve">01 </w:t>
            </w:r>
            <w:r w:rsidRPr="000E3C66" w:rsidR="00092CCA">
              <w:rPr>
                <w:rFonts w:cstheme="minorHAnsi"/>
              </w:rPr>
              <w:t>for</w:t>
            </w:r>
            <w:r w:rsidRPr="000E3C66" w:rsidR="00BE2E90">
              <w:rPr>
                <w:rFonts w:cstheme="minorHAnsi"/>
              </w:rPr>
              <w:t xml:space="preserve"> noting </w:t>
            </w:r>
            <w:r w:rsidRPr="000E3C66" w:rsidR="00F060C4">
              <w:rPr>
                <w:rFonts w:cstheme="minorHAnsi"/>
              </w:rPr>
              <w:t xml:space="preserve">that </w:t>
            </w:r>
            <w:r w:rsidRPr="000E3C66" w:rsidR="00BE2E90">
              <w:rPr>
                <w:rFonts w:cstheme="minorHAnsi"/>
              </w:rPr>
              <w:t>“the Commission’s ability to authorize recovery of any outstanding uncollected costs and fees would not be affected by its determination of sufficient time for orderly shutdown.</w:t>
            </w:r>
            <w:r w:rsidRPr="000E3C66" w:rsidR="00030B9F">
              <w:rPr>
                <w:rFonts w:cstheme="minorHAnsi"/>
              </w:rPr>
              <w:t xml:space="preserve"> </w:t>
            </w:r>
            <w:r w:rsidRPr="000E3C66" w:rsidR="000810F3">
              <w:rPr>
                <w:rFonts w:cstheme="minorHAnsi"/>
              </w:rPr>
              <w:t>[footnote omitted]”</w:t>
            </w:r>
          </w:p>
        </w:tc>
        <w:tc>
          <w:tcPr>
            <w:tcW w:w="2075" w:type="dxa"/>
            <w:shd w:val="clear" w:color="auto" w:fill="auto"/>
          </w:tcPr>
          <w:p w:rsidRPr="000E3C66" w:rsidR="0056578C" w:rsidP="000E3C66" w:rsidRDefault="00F52B5E" w14:paraId="0A833DFA" w14:textId="59607094">
            <w:pPr>
              <w:tabs>
                <w:tab w:val="left" w:pos="360"/>
              </w:tabs>
              <w:jc w:val="center"/>
            </w:pPr>
            <w:r w:rsidRPr="000E3C66">
              <w:t>Noted</w:t>
            </w:r>
          </w:p>
        </w:tc>
      </w:tr>
    </w:tbl>
    <w:p w:rsidRPr="000E3C66" w:rsidR="00B312DA" w:rsidP="004A228C" w:rsidRDefault="00A92D0B" w14:paraId="175C3F89" w14:textId="4835545D">
      <w:pPr>
        <w:keepNext/>
        <w:spacing w:before="480" w:after="240"/>
        <w:jc w:val="center"/>
        <w:rPr>
          <w:b/>
        </w:rPr>
      </w:pPr>
      <w:r w:rsidRPr="000E3C66">
        <w:rPr>
          <w:b/>
        </w:rPr>
        <w:lastRenderedPageBreak/>
        <w:t>PART III:</w:t>
      </w:r>
      <w:r w:rsidRPr="000E3C66" w:rsidR="00D1778A">
        <w:rPr>
          <w:b/>
        </w:rPr>
        <w:t xml:space="preserve">  </w:t>
      </w:r>
      <w:r w:rsidRPr="000E3C66">
        <w:rPr>
          <w:b/>
        </w:rPr>
        <w:t>REASONABLENESS OF REQUESTED COMPENSATION</w:t>
      </w:r>
    </w:p>
    <w:p w:rsidRPr="000E3C66" w:rsidR="00A92D0B" w:rsidP="009B471B" w:rsidRDefault="00A92D0B" w14:paraId="6F74DAE2" w14:textId="2FD790EE">
      <w:pPr>
        <w:keepNext/>
        <w:numPr>
          <w:ilvl w:val="0"/>
          <w:numId w:val="20"/>
        </w:numPr>
        <w:spacing w:before="240" w:after="240"/>
        <w:rPr>
          <w:b/>
        </w:rPr>
      </w:pPr>
      <w:r w:rsidRPr="000E3C66">
        <w:rPr>
          <w:b/>
        </w:rPr>
        <w:t xml:space="preserve">General Claim of Reasonableness </w:t>
      </w:r>
      <w:r w:rsidRPr="000E3C66" w:rsidR="00F30DA8">
        <w:rPr>
          <w:b/>
        </w:rPr>
        <w:t>(</w:t>
      </w:r>
      <w:r w:rsidRPr="000E3C66" w:rsidR="00AE4FEE">
        <w:rPr>
          <w:b/>
        </w:rPr>
        <w:t>§ </w:t>
      </w:r>
      <w:r w:rsidRPr="000E3C66">
        <w:rPr>
          <w:b/>
        </w:rPr>
        <w:t xml:space="preserve">1801 </w:t>
      </w:r>
      <w:r w:rsidRPr="000E3C66" w:rsidR="00F30DA8">
        <w:rPr>
          <w:b/>
        </w:rPr>
        <w:t xml:space="preserve">and </w:t>
      </w:r>
      <w:r w:rsidRPr="000E3C66" w:rsidR="00AE4FEE">
        <w:rPr>
          <w:b/>
        </w:rPr>
        <w:t>§ </w:t>
      </w:r>
      <w:r w:rsidRPr="000E3C66" w:rsidR="0022302F">
        <w:rPr>
          <w:b/>
        </w:rPr>
        <w:t>1806)</w:t>
      </w:r>
      <w:r w:rsidRPr="000E3C66" w:rsidR="00C02649">
        <w:rPr>
          <w:b/>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285"/>
        <w:gridCol w:w="2075"/>
      </w:tblGrid>
      <w:tr w:rsidRPr="000E3C66" w:rsidR="000E3C66" w:rsidTr="001E5AF2" w14:paraId="4078AC87" w14:textId="77777777">
        <w:trPr>
          <w:tblHeader/>
        </w:trPr>
        <w:tc>
          <w:tcPr>
            <w:tcW w:w="7285" w:type="dxa"/>
            <w:tcBorders>
              <w:bottom w:val="single" w:color="auto" w:sz="4" w:space="0"/>
            </w:tcBorders>
            <w:shd w:val="clear" w:color="auto" w:fill="D9D9D9" w:themeFill="background1" w:themeFillShade="D9"/>
            <w:vAlign w:val="bottom"/>
          </w:tcPr>
          <w:p w:rsidRPr="000E3C66" w:rsidR="00FE3BAE" w:rsidP="00926603" w:rsidRDefault="00FE3BAE" w14:paraId="70FDF5DA" w14:textId="77777777">
            <w:pPr>
              <w:keepNext/>
              <w:jc w:val="center"/>
              <w:rPr>
                <w:b/>
              </w:rPr>
            </w:pPr>
          </w:p>
        </w:tc>
        <w:tc>
          <w:tcPr>
            <w:tcW w:w="2075" w:type="dxa"/>
            <w:shd w:val="clear" w:color="auto" w:fill="D9D9D9" w:themeFill="background1" w:themeFillShade="D9"/>
            <w:vAlign w:val="bottom"/>
          </w:tcPr>
          <w:p w:rsidRPr="000E3C66" w:rsidR="00FE3BAE" w:rsidP="00926603" w:rsidRDefault="00FE3BAE" w14:paraId="59CD9FCF" w14:textId="77777777">
            <w:pPr>
              <w:keepNext/>
              <w:jc w:val="center"/>
            </w:pPr>
            <w:r w:rsidRPr="000E3C66">
              <w:rPr>
                <w:b/>
              </w:rPr>
              <w:t>CPUC Discussion</w:t>
            </w:r>
          </w:p>
        </w:tc>
      </w:tr>
      <w:tr w:rsidRPr="000E3C66" w:rsidR="000E3C66" w:rsidTr="001E5AF2" w14:paraId="5708510E" w14:textId="77777777">
        <w:tc>
          <w:tcPr>
            <w:tcW w:w="7285" w:type="dxa"/>
            <w:tcBorders>
              <w:bottom w:val="single" w:color="auto" w:sz="4" w:space="0"/>
            </w:tcBorders>
            <w:shd w:val="clear" w:color="auto" w:fill="auto"/>
          </w:tcPr>
          <w:p w:rsidRPr="000E3C66" w:rsidR="001B71D5" w:rsidP="000E3C66" w:rsidRDefault="00FE3BAE" w14:paraId="64D3E5D8" w14:textId="5F220E37">
            <w:pPr>
              <w:spacing w:after="240"/>
              <w:ind w:left="360" w:hanging="360"/>
            </w:pPr>
            <w:r w:rsidRPr="000E3C66">
              <w:rPr>
                <w:b/>
              </w:rPr>
              <w:t>a.</w:t>
            </w:r>
            <w:r w:rsidRPr="000E3C66" w:rsidR="000E3C66">
              <w:rPr>
                <w:b/>
              </w:rPr>
              <w:tab/>
            </w:r>
            <w:r w:rsidRPr="000E3C66">
              <w:rPr>
                <w:b/>
              </w:rPr>
              <w:t>Intervenor’s claim of cost reasonableness:</w:t>
            </w:r>
            <w:r w:rsidRPr="000E3C66" w:rsidR="00E25078">
              <w:t xml:space="preserve"> </w:t>
            </w:r>
          </w:p>
          <w:p w:rsidRPr="000E3C66" w:rsidR="00FE3BAE" w:rsidP="000E3C66" w:rsidRDefault="003553EC" w14:paraId="2B1A1242" w14:textId="1C341F07">
            <w:pPr>
              <w:spacing w:after="240"/>
            </w:pPr>
            <w:r w:rsidRPr="000E3C66">
              <w:rPr>
                <w:rFonts w:cstheme="minorHAnsi"/>
              </w:rPr>
              <w:t xml:space="preserve">A4NR’s </w:t>
            </w:r>
            <w:r w:rsidRPr="000E3C66" w:rsidR="003E15D6">
              <w:rPr>
                <w:rFonts w:cstheme="minorHAnsi"/>
              </w:rPr>
              <w:t>substantive contributions</w:t>
            </w:r>
            <w:r w:rsidRPr="000E3C66" w:rsidR="003F0FC5">
              <w:rPr>
                <w:rFonts w:cstheme="minorHAnsi"/>
              </w:rPr>
              <w:t>,</w:t>
            </w:r>
            <w:r w:rsidRPr="000E3C66" w:rsidR="003E15D6">
              <w:rPr>
                <w:rFonts w:cstheme="minorHAnsi"/>
              </w:rPr>
              <w:t xml:space="preserve"> identified </w:t>
            </w:r>
            <w:r w:rsidRPr="000E3C66" w:rsidR="0028665A">
              <w:rPr>
                <w:rFonts w:cstheme="minorHAnsi"/>
              </w:rPr>
              <w:t xml:space="preserve">in </w:t>
            </w:r>
            <w:r w:rsidRPr="000E3C66" w:rsidR="000E3C66">
              <w:rPr>
                <w:rFonts w:cstheme="minorHAnsi"/>
              </w:rPr>
              <w:t>Part II.A</w:t>
            </w:r>
            <w:r w:rsidRPr="000E3C66" w:rsidR="00273A0A">
              <w:rPr>
                <w:rFonts w:cstheme="minorHAnsi"/>
              </w:rPr>
              <w:t xml:space="preserve">. </w:t>
            </w:r>
            <w:r w:rsidRPr="000E3C66" w:rsidR="002A400B">
              <w:rPr>
                <w:rFonts w:cstheme="minorHAnsi"/>
              </w:rPr>
              <w:t>above</w:t>
            </w:r>
            <w:r w:rsidRPr="000E3C66" w:rsidR="003F0FC5">
              <w:rPr>
                <w:rFonts w:cstheme="minorHAnsi"/>
              </w:rPr>
              <w:t>,</w:t>
            </w:r>
            <w:r w:rsidRPr="000E3C66" w:rsidR="002A400B">
              <w:rPr>
                <w:rFonts w:cstheme="minorHAnsi"/>
              </w:rPr>
              <w:t xml:space="preserve"> assisted the Commission in </w:t>
            </w:r>
            <w:r w:rsidRPr="000E3C66" w:rsidR="00460D7B">
              <w:rPr>
                <w:rFonts w:cstheme="minorHAnsi"/>
              </w:rPr>
              <w:t>concluding</w:t>
            </w:r>
            <w:r w:rsidRPr="000E3C66" w:rsidR="000A7E82">
              <w:rPr>
                <w:rFonts w:cstheme="minorHAnsi"/>
              </w:rPr>
              <w:t xml:space="preserve"> that the </w:t>
            </w:r>
            <w:r w:rsidRPr="000E3C66" w:rsidR="00273A0A">
              <w:rPr>
                <w:rFonts w:cstheme="minorHAnsi"/>
              </w:rPr>
              <w:t>R.23</w:t>
            </w:r>
            <w:r w:rsidRPr="000E3C66" w:rsidR="00F949CB">
              <w:rPr>
                <w:rFonts w:cstheme="minorHAnsi"/>
              </w:rPr>
              <w:noBreakHyphen/>
            </w:r>
            <w:r w:rsidRPr="000E3C66" w:rsidR="00273A0A">
              <w:rPr>
                <w:rFonts w:cstheme="minorHAnsi"/>
              </w:rPr>
              <w:t>01</w:t>
            </w:r>
            <w:r w:rsidRPr="000E3C66" w:rsidR="00F949CB">
              <w:rPr>
                <w:rFonts w:cstheme="minorHAnsi"/>
              </w:rPr>
              <w:noBreakHyphen/>
            </w:r>
            <w:r w:rsidRPr="000E3C66" w:rsidR="00273A0A">
              <w:rPr>
                <w:rFonts w:cstheme="minorHAnsi"/>
              </w:rPr>
              <w:t xml:space="preserve">007 </w:t>
            </w:r>
            <w:r w:rsidRPr="000E3C66" w:rsidR="00BA7231">
              <w:rPr>
                <w:rFonts w:cstheme="minorHAnsi"/>
              </w:rPr>
              <w:t>record was inadequate</w:t>
            </w:r>
            <w:r w:rsidRPr="000E3C66" w:rsidR="00660D56">
              <w:rPr>
                <w:rFonts w:cstheme="minorHAnsi"/>
              </w:rPr>
              <w:t xml:space="preserve"> to</w:t>
            </w:r>
            <w:r w:rsidRPr="000E3C66" w:rsidR="00660D56">
              <w:t xml:space="preserve"> </w:t>
            </w:r>
            <w:r w:rsidRPr="000E3C66" w:rsidR="00660D56">
              <w:rPr>
                <w:rFonts w:cstheme="minorHAnsi"/>
              </w:rPr>
              <w:t>evaluate the cost</w:t>
            </w:r>
            <w:r w:rsidRPr="000E3C66" w:rsidR="00F949CB">
              <w:rPr>
                <w:rFonts w:cstheme="minorHAnsi"/>
              </w:rPr>
              <w:noBreakHyphen/>
            </w:r>
            <w:r w:rsidRPr="000E3C66" w:rsidR="00660D56">
              <w:rPr>
                <w:rFonts w:cstheme="minorHAnsi"/>
              </w:rPr>
              <w:t xml:space="preserve">effectiveness, prudence, or reasonableness of </w:t>
            </w:r>
            <w:r w:rsidRPr="000E3C66" w:rsidR="00833555">
              <w:rPr>
                <w:rFonts w:cstheme="minorHAnsi"/>
              </w:rPr>
              <w:t xml:space="preserve">extended </w:t>
            </w:r>
            <w:r w:rsidRPr="000E3C66" w:rsidR="00660D56">
              <w:rPr>
                <w:rFonts w:cstheme="minorHAnsi"/>
              </w:rPr>
              <w:t>D</w:t>
            </w:r>
            <w:r w:rsidRPr="000E3C66" w:rsidR="005752FE">
              <w:rPr>
                <w:rFonts w:cstheme="minorHAnsi"/>
              </w:rPr>
              <w:t>iablo Canyon</w:t>
            </w:r>
            <w:r w:rsidRPr="000E3C66" w:rsidR="00660D56">
              <w:rPr>
                <w:rFonts w:cstheme="minorHAnsi"/>
              </w:rPr>
              <w:t xml:space="preserve"> operation</w:t>
            </w:r>
            <w:r w:rsidRPr="000E3C66" w:rsidR="00D5380A">
              <w:rPr>
                <w:rFonts w:cstheme="minorHAnsi"/>
              </w:rPr>
              <w:t xml:space="preserve">s.  </w:t>
            </w:r>
            <w:r w:rsidRPr="000E3C66" w:rsidR="00E2410F">
              <w:rPr>
                <w:rFonts w:cstheme="minorHAnsi"/>
              </w:rPr>
              <w:t xml:space="preserve">A4NR’s criticisms of the </w:t>
            </w:r>
            <w:r w:rsidRPr="000E3C66" w:rsidR="00193953">
              <w:rPr>
                <w:rFonts w:cstheme="minorHAnsi"/>
              </w:rPr>
              <w:t xml:space="preserve">misleading cost projections </w:t>
            </w:r>
            <w:r w:rsidRPr="000E3C66" w:rsidR="00911526">
              <w:rPr>
                <w:rFonts w:cstheme="minorHAnsi"/>
              </w:rPr>
              <w:t>contained in PG&amp;E</w:t>
            </w:r>
            <w:r w:rsidRPr="000E3C66" w:rsidR="00563E44">
              <w:rPr>
                <w:rFonts w:cstheme="minorHAnsi"/>
              </w:rPr>
              <w:t xml:space="preserve"> testimony </w:t>
            </w:r>
            <w:r w:rsidRPr="000E3C66" w:rsidR="00640FCE">
              <w:rPr>
                <w:rFonts w:cstheme="minorHAnsi"/>
              </w:rPr>
              <w:t xml:space="preserve">helped trigger PG&amp;E’s </w:t>
            </w:r>
            <w:r w:rsidRPr="000E3C66" w:rsidR="0070644C">
              <w:rPr>
                <w:rFonts w:cstheme="minorHAnsi"/>
              </w:rPr>
              <w:t>$2.</w:t>
            </w:r>
            <w:r w:rsidRPr="000E3C66" w:rsidR="00253870">
              <w:rPr>
                <w:rFonts w:cstheme="minorHAnsi"/>
              </w:rPr>
              <w:t>8</w:t>
            </w:r>
            <w:r w:rsidRPr="000E3C66" w:rsidR="003C1828">
              <w:rPr>
                <w:rFonts w:cstheme="minorHAnsi"/>
              </w:rPr>
              <w:t> billion</w:t>
            </w:r>
            <w:r w:rsidRPr="000E3C66" w:rsidR="0070644C">
              <w:rPr>
                <w:rFonts w:cstheme="minorHAnsi"/>
              </w:rPr>
              <w:t xml:space="preserve"> upward revision</w:t>
            </w:r>
            <w:r w:rsidRPr="000E3C66" w:rsidR="007C3561">
              <w:rPr>
                <w:rFonts w:cstheme="minorHAnsi"/>
              </w:rPr>
              <w:t xml:space="preserve"> of that estimate</w:t>
            </w:r>
            <w:r w:rsidRPr="000E3C66" w:rsidR="00BE76B6">
              <w:rPr>
                <w:rFonts w:cstheme="minorHAnsi"/>
              </w:rPr>
              <w:t xml:space="preserve">.  </w:t>
            </w:r>
            <w:r w:rsidRPr="000E3C66" w:rsidR="00365BC3">
              <w:rPr>
                <w:rFonts w:cstheme="minorHAnsi"/>
              </w:rPr>
              <w:t xml:space="preserve">A4NR’s identification of </w:t>
            </w:r>
            <w:r w:rsidRPr="000E3C66" w:rsidR="00763204">
              <w:rPr>
                <w:rFonts w:cstheme="minorHAnsi"/>
              </w:rPr>
              <w:t xml:space="preserve">the </w:t>
            </w:r>
            <w:r w:rsidRPr="000E3C66" w:rsidR="00500063">
              <w:rPr>
                <w:rFonts w:cstheme="minorHAnsi"/>
              </w:rPr>
              <w:t>PG&amp;E</w:t>
            </w:r>
            <w:r w:rsidRPr="000E3C66" w:rsidR="00F949CB">
              <w:rPr>
                <w:rFonts w:cstheme="minorHAnsi"/>
              </w:rPr>
              <w:noBreakHyphen/>
            </w:r>
            <w:r w:rsidRPr="000E3C66" w:rsidR="00500063">
              <w:rPr>
                <w:rFonts w:cstheme="minorHAnsi"/>
              </w:rPr>
              <w:t xml:space="preserve">caused </w:t>
            </w:r>
            <w:r w:rsidRPr="000E3C66" w:rsidR="00763204">
              <w:rPr>
                <w:rFonts w:cstheme="minorHAnsi"/>
              </w:rPr>
              <w:t xml:space="preserve">void of information concerning </w:t>
            </w:r>
            <w:r w:rsidRPr="000E3C66" w:rsidR="000A7CBB">
              <w:rPr>
                <w:rFonts w:cstheme="minorHAnsi"/>
              </w:rPr>
              <w:t xml:space="preserve">potential </w:t>
            </w:r>
            <w:r w:rsidRPr="000E3C66" w:rsidR="0066064D">
              <w:rPr>
                <w:rFonts w:cstheme="minorHAnsi"/>
              </w:rPr>
              <w:t xml:space="preserve">costs related to </w:t>
            </w:r>
            <w:r w:rsidRPr="000E3C66" w:rsidR="00763204">
              <w:rPr>
                <w:rFonts w:cstheme="minorHAnsi"/>
              </w:rPr>
              <w:t>seismic</w:t>
            </w:r>
            <w:r w:rsidRPr="000E3C66" w:rsidR="00CE392A">
              <w:rPr>
                <w:rFonts w:cstheme="minorHAnsi"/>
              </w:rPr>
              <w:t xml:space="preserve"> </w:t>
            </w:r>
            <w:r w:rsidRPr="000E3C66" w:rsidR="0066064D">
              <w:rPr>
                <w:rFonts w:cstheme="minorHAnsi"/>
              </w:rPr>
              <w:t>and deferred maintenance issues</w:t>
            </w:r>
            <w:r w:rsidRPr="000E3C66" w:rsidR="00790B9C">
              <w:rPr>
                <w:rFonts w:cstheme="minorHAnsi"/>
              </w:rPr>
              <w:t xml:space="preserve">, and the </w:t>
            </w:r>
            <w:r w:rsidRPr="000E3C66" w:rsidR="00EA188F">
              <w:rPr>
                <w:rFonts w:cstheme="minorHAnsi"/>
              </w:rPr>
              <w:t>dubious zero</w:t>
            </w:r>
            <w:r w:rsidRPr="000E3C66" w:rsidR="00F949CB">
              <w:rPr>
                <w:rFonts w:cstheme="minorHAnsi"/>
              </w:rPr>
              <w:noBreakHyphen/>
            </w:r>
            <w:r w:rsidRPr="000E3C66" w:rsidR="00EA188F">
              <w:rPr>
                <w:rFonts w:cstheme="minorHAnsi"/>
              </w:rPr>
              <w:t>cost assumption</w:t>
            </w:r>
            <w:r w:rsidRPr="000E3C66" w:rsidR="003874BB">
              <w:rPr>
                <w:rFonts w:cstheme="minorHAnsi"/>
              </w:rPr>
              <w:t>s</w:t>
            </w:r>
            <w:r w:rsidRPr="000E3C66" w:rsidR="00EA188F">
              <w:rPr>
                <w:rFonts w:cstheme="minorHAnsi"/>
              </w:rPr>
              <w:t xml:space="preserve"> for these items contained </w:t>
            </w:r>
            <w:r w:rsidRPr="000E3C66" w:rsidR="00314034">
              <w:rPr>
                <w:rFonts w:cstheme="minorHAnsi"/>
              </w:rPr>
              <w:t>in even PG&amp;E’s revised forecast</w:t>
            </w:r>
            <w:r w:rsidRPr="000E3C66" w:rsidR="003874BB">
              <w:rPr>
                <w:rFonts w:cstheme="minorHAnsi"/>
              </w:rPr>
              <w:t xml:space="preserve">, helped the Commission </w:t>
            </w:r>
            <w:r w:rsidRPr="000E3C66" w:rsidR="00F65F3F">
              <w:rPr>
                <w:rFonts w:cstheme="minorHAnsi"/>
              </w:rPr>
              <w:t xml:space="preserve">to see the necessity </w:t>
            </w:r>
            <w:r w:rsidRPr="000E3C66" w:rsidR="005C708B">
              <w:rPr>
                <w:rFonts w:cstheme="minorHAnsi"/>
              </w:rPr>
              <w:t xml:space="preserve">of </w:t>
            </w:r>
            <w:r w:rsidRPr="000E3C66" w:rsidR="00536494">
              <w:rPr>
                <w:rFonts w:cstheme="minorHAnsi"/>
              </w:rPr>
              <w:t>a more comprehensive and transparent</w:t>
            </w:r>
            <w:r w:rsidRPr="000E3C66" w:rsidR="005C708B">
              <w:rPr>
                <w:rFonts w:cstheme="minorHAnsi"/>
              </w:rPr>
              <w:t xml:space="preserve"> </w:t>
            </w:r>
            <w:r w:rsidRPr="000E3C66" w:rsidR="005E6771">
              <w:rPr>
                <w:rFonts w:cstheme="minorHAnsi"/>
              </w:rPr>
              <w:t xml:space="preserve">evaluation </w:t>
            </w:r>
            <w:r w:rsidRPr="000E3C66" w:rsidR="00011734">
              <w:rPr>
                <w:rFonts w:cstheme="minorHAnsi"/>
              </w:rPr>
              <w:t>in 2024</w:t>
            </w:r>
            <w:r w:rsidRPr="000E3C66" w:rsidR="00DA6D1B">
              <w:rPr>
                <w:rFonts w:cstheme="minorHAnsi"/>
              </w:rPr>
              <w:t xml:space="preserve">.  </w:t>
            </w:r>
            <w:r w:rsidRPr="000E3C66" w:rsidR="00041665">
              <w:rPr>
                <w:rFonts w:cstheme="minorHAnsi"/>
              </w:rPr>
              <w:t xml:space="preserve">A4NR’s </w:t>
            </w:r>
            <w:r w:rsidRPr="000E3C66" w:rsidR="0005103A">
              <w:rPr>
                <w:rFonts w:cstheme="minorHAnsi"/>
              </w:rPr>
              <w:t xml:space="preserve">contributions </w:t>
            </w:r>
            <w:r w:rsidRPr="000E3C66" w:rsidR="00B71BA3">
              <w:rPr>
                <w:rFonts w:cstheme="minorHAnsi"/>
              </w:rPr>
              <w:t xml:space="preserve">were the product of </w:t>
            </w:r>
            <w:r w:rsidRPr="000E3C66" w:rsidR="00691BB5">
              <w:rPr>
                <w:rFonts w:cstheme="minorHAnsi"/>
              </w:rPr>
              <w:t xml:space="preserve">six rounds of </w:t>
            </w:r>
            <w:r w:rsidRPr="000E3C66" w:rsidR="0014312A">
              <w:rPr>
                <w:rFonts w:cstheme="minorHAnsi"/>
              </w:rPr>
              <w:t xml:space="preserve">rigorous </w:t>
            </w:r>
            <w:r w:rsidRPr="000E3C66" w:rsidR="0090435C">
              <w:rPr>
                <w:rFonts w:cstheme="minorHAnsi"/>
              </w:rPr>
              <w:t>discovery</w:t>
            </w:r>
            <w:r w:rsidRPr="000E3C66" w:rsidR="0014312A">
              <w:rPr>
                <w:rFonts w:cstheme="minorHAnsi"/>
              </w:rPr>
              <w:t xml:space="preserve">, extensive </w:t>
            </w:r>
            <w:r w:rsidRPr="000E3C66" w:rsidR="00295231">
              <w:rPr>
                <w:rFonts w:cstheme="minorHAnsi"/>
              </w:rPr>
              <w:t>written submittals to the record,</w:t>
            </w:r>
            <w:r w:rsidRPr="000E3C66" w:rsidR="00B71BA3">
              <w:rPr>
                <w:rFonts w:cstheme="minorHAnsi"/>
              </w:rPr>
              <w:t xml:space="preserve"> </w:t>
            </w:r>
            <w:r w:rsidRPr="000E3C66" w:rsidR="00EA5E81">
              <w:rPr>
                <w:rFonts w:cstheme="minorHAnsi"/>
              </w:rPr>
              <w:t xml:space="preserve">and </w:t>
            </w:r>
            <w:r w:rsidRPr="000E3C66" w:rsidR="00295231">
              <w:rPr>
                <w:rFonts w:cstheme="minorHAnsi"/>
              </w:rPr>
              <w:t>meticulous</w:t>
            </w:r>
            <w:r w:rsidRPr="000E3C66" w:rsidR="00EA5E81">
              <w:rPr>
                <w:rFonts w:cstheme="minorHAnsi"/>
              </w:rPr>
              <w:t xml:space="preserve"> documentation</w:t>
            </w:r>
            <w:r w:rsidRPr="000E3C66" w:rsidR="0025132A">
              <w:rPr>
                <w:rFonts w:cstheme="minorHAnsi"/>
              </w:rPr>
              <w:t xml:space="preserve"> –</w:t>
            </w:r>
            <w:r w:rsidRPr="000E3C66" w:rsidR="006B7011">
              <w:rPr>
                <w:rFonts w:cstheme="minorHAnsi"/>
              </w:rPr>
              <w:t xml:space="preserve"> </w:t>
            </w:r>
            <w:r w:rsidRPr="000E3C66" w:rsidR="00164134">
              <w:rPr>
                <w:rFonts w:cstheme="minorHAnsi"/>
              </w:rPr>
              <w:t>as well as</w:t>
            </w:r>
            <w:r w:rsidRPr="000E3C66" w:rsidR="006B7011">
              <w:rPr>
                <w:rFonts w:cstheme="minorHAnsi"/>
              </w:rPr>
              <w:t xml:space="preserve"> significant engagement with the Diablo Canyon Independent Safety Committee and the Commission’s Independent Peer Review Panel</w:t>
            </w:r>
            <w:r w:rsidRPr="000E3C66" w:rsidR="0090435C">
              <w:rPr>
                <w:rFonts w:cstheme="minorHAnsi"/>
              </w:rPr>
              <w:t>.</w:t>
            </w:r>
            <w:r w:rsidRPr="000E3C66" w:rsidR="006B7011">
              <w:rPr>
                <w:rFonts w:cstheme="minorHAnsi"/>
              </w:rPr>
              <w:t xml:space="preserve"> </w:t>
            </w:r>
            <w:r w:rsidRPr="000E3C66" w:rsidR="00CE392A">
              <w:rPr>
                <w:rFonts w:cstheme="minorHAnsi"/>
              </w:rPr>
              <w:t xml:space="preserve"> </w:t>
            </w:r>
            <w:r w:rsidRPr="000E3C66" w:rsidR="00467B4A">
              <w:rPr>
                <w:rFonts w:cstheme="minorHAnsi"/>
              </w:rPr>
              <w:t xml:space="preserve">As expressed in </w:t>
            </w:r>
            <w:r w:rsidRPr="000E3C66" w:rsidR="000F744D">
              <w:rPr>
                <w:rFonts w:cstheme="minorHAnsi"/>
              </w:rPr>
              <w:t>A4NR Comments, Testimony, Br</w:t>
            </w:r>
            <w:r w:rsidRPr="000E3C66" w:rsidR="00581AF4">
              <w:rPr>
                <w:rFonts w:cstheme="minorHAnsi"/>
              </w:rPr>
              <w:t xml:space="preserve">iefs, and Oral Argument, </w:t>
            </w:r>
            <w:r w:rsidRPr="000E3C66" w:rsidR="00172CEC">
              <w:rPr>
                <w:rFonts w:cstheme="minorHAnsi"/>
              </w:rPr>
              <w:t>the</w:t>
            </w:r>
            <w:r w:rsidRPr="000E3C66" w:rsidR="00E45B28">
              <w:rPr>
                <w:rFonts w:cstheme="minorHAnsi"/>
              </w:rPr>
              <w:t xml:space="preserve"> result</w:t>
            </w:r>
            <w:r w:rsidRPr="000E3C66" w:rsidR="00FA0B1F">
              <w:rPr>
                <w:rFonts w:cstheme="minorHAnsi"/>
              </w:rPr>
              <w:t>s</w:t>
            </w:r>
            <w:r w:rsidRPr="000E3C66" w:rsidR="00E45B28">
              <w:rPr>
                <w:rFonts w:cstheme="minorHAnsi"/>
              </w:rPr>
              <w:t xml:space="preserve"> </w:t>
            </w:r>
            <w:r w:rsidRPr="000E3C66" w:rsidR="00B42ACA">
              <w:rPr>
                <w:rFonts w:cstheme="minorHAnsi"/>
              </w:rPr>
              <w:t xml:space="preserve">enabled the Commission to avoid </w:t>
            </w:r>
            <w:r w:rsidRPr="000E3C66" w:rsidR="00D105B6">
              <w:rPr>
                <w:rFonts w:cstheme="minorHAnsi"/>
              </w:rPr>
              <w:t xml:space="preserve">unfounded </w:t>
            </w:r>
            <w:r w:rsidRPr="000E3C66" w:rsidR="005A036E">
              <w:rPr>
                <w:rFonts w:cstheme="minorHAnsi"/>
              </w:rPr>
              <w:t>findings of reasonabl</w:t>
            </w:r>
            <w:r w:rsidRPr="000E3C66" w:rsidR="001B5132">
              <w:rPr>
                <w:rFonts w:cstheme="minorHAnsi"/>
              </w:rPr>
              <w:t>eness, prudence, or cost</w:t>
            </w:r>
            <w:r w:rsidRPr="000E3C66" w:rsidR="00F949CB">
              <w:rPr>
                <w:rFonts w:cstheme="minorHAnsi"/>
              </w:rPr>
              <w:noBreakHyphen/>
            </w:r>
            <w:r w:rsidRPr="000E3C66" w:rsidR="001B5132">
              <w:rPr>
                <w:rFonts w:cstheme="minorHAnsi"/>
              </w:rPr>
              <w:t xml:space="preserve">effectiveness when </w:t>
            </w:r>
            <w:r w:rsidRPr="000E3C66" w:rsidR="00A81E1A">
              <w:rPr>
                <w:rFonts w:cstheme="minorHAnsi"/>
              </w:rPr>
              <w:t>substantial financial</w:t>
            </w:r>
            <w:r w:rsidRPr="000E3C66" w:rsidR="009C211F">
              <w:rPr>
                <w:rFonts w:cstheme="minorHAnsi"/>
              </w:rPr>
              <w:t xml:space="preserve"> </w:t>
            </w:r>
            <w:r w:rsidRPr="000E3C66" w:rsidR="001658B2">
              <w:rPr>
                <w:rFonts w:cstheme="minorHAnsi"/>
              </w:rPr>
              <w:t>discrepancies emerge</w:t>
            </w:r>
            <w:r w:rsidRPr="000E3C66" w:rsidR="00A311D3">
              <w:rPr>
                <w:rFonts w:cstheme="minorHAnsi"/>
              </w:rPr>
              <w:t>d</w:t>
            </w:r>
            <w:r w:rsidRPr="000E3C66" w:rsidR="001658B2">
              <w:rPr>
                <w:rFonts w:cstheme="minorHAnsi"/>
              </w:rPr>
              <w:t xml:space="preserve"> </w:t>
            </w:r>
            <w:r w:rsidRPr="000E3C66" w:rsidR="00A75CDB">
              <w:rPr>
                <w:rFonts w:cstheme="minorHAnsi"/>
              </w:rPr>
              <w:t xml:space="preserve">from </w:t>
            </w:r>
            <w:r w:rsidRPr="000E3C66" w:rsidR="00EA4CEB">
              <w:rPr>
                <w:rFonts w:cstheme="minorHAnsi"/>
              </w:rPr>
              <w:t xml:space="preserve">the </w:t>
            </w:r>
            <w:r w:rsidRPr="000E3C66" w:rsidR="00A311D3">
              <w:rPr>
                <w:rFonts w:cstheme="minorHAnsi"/>
              </w:rPr>
              <w:t xml:space="preserve">evidence. </w:t>
            </w:r>
            <w:r w:rsidRPr="000E3C66" w:rsidR="00CB21F9">
              <w:rPr>
                <w:rFonts w:cstheme="minorHAnsi"/>
              </w:rPr>
              <w:t>A4NR’s</w:t>
            </w:r>
            <w:r w:rsidRPr="000E3C66" w:rsidR="00A14FDD">
              <w:rPr>
                <w:rFonts w:cstheme="minorHAnsi"/>
              </w:rPr>
              <w:t xml:space="preserve"> effective </w:t>
            </w:r>
            <w:r w:rsidRPr="000E3C66" w:rsidR="00231343">
              <w:rPr>
                <w:rFonts w:cstheme="minorHAnsi"/>
              </w:rPr>
              <w:t xml:space="preserve">advocacy </w:t>
            </w:r>
            <w:r w:rsidRPr="000E3C66" w:rsidR="000C03D0">
              <w:rPr>
                <w:rFonts w:cstheme="minorHAnsi"/>
              </w:rPr>
              <w:t xml:space="preserve">concerning these </w:t>
            </w:r>
            <w:r w:rsidRPr="000E3C66" w:rsidR="00EE1643">
              <w:rPr>
                <w:rFonts w:cstheme="minorHAnsi"/>
              </w:rPr>
              <w:t>issues</w:t>
            </w:r>
            <w:r w:rsidRPr="000E3C66" w:rsidR="009A2C57">
              <w:rPr>
                <w:rFonts w:cstheme="minorHAnsi"/>
              </w:rPr>
              <w:t xml:space="preserve"> prevented </w:t>
            </w:r>
            <w:r w:rsidRPr="000E3C66" w:rsidR="004F7DF8">
              <w:rPr>
                <w:rFonts w:cstheme="minorHAnsi"/>
              </w:rPr>
              <w:t>ratepayers</w:t>
            </w:r>
            <w:r w:rsidRPr="000E3C66" w:rsidR="00CF3EB6">
              <w:rPr>
                <w:rFonts w:cstheme="minorHAnsi"/>
              </w:rPr>
              <w:t xml:space="preserve"> from </w:t>
            </w:r>
            <w:r w:rsidRPr="000E3C66" w:rsidR="00C06797">
              <w:rPr>
                <w:rFonts w:cstheme="minorHAnsi"/>
              </w:rPr>
              <w:t xml:space="preserve">being forced to provide PG&amp;E </w:t>
            </w:r>
            <w:r w:rsidRPr="000E3C66" w:rsidR="005E7DB0">
              <w:rPr>
                <w:rFonts w:cstheme="minorHAnsi"/>
              </w:rPr>
              <w:t xml:space="preserve">with </w:t>
            </w:r>
            <w:r w:rsidRPr="000E3C66" w:rsidR="00C06797">
              <w:rPr>
                <w:rFonts w:cstheme="minorHAnsi"/>
              </w:rPr>
              <w:t xml:space="preserve">a blank check </w:t>
            </w:r>
            <w:r w:rsidRPr="000E3C66" w:rsidR="005E7DB0">
              <w:rPr>
                <w:rFonts w:cstheme="minorHAnsi"/>
              </w:rPr>
              <w:t xml:space="preserve">to pay for </w:t>
            </w:r>
            <w:r w:rsidRPr="000E3C66" w:rsidR="0077576A">
              <w:rPr>
                <w:rFonts w:cstheme="minorHAnsi"/>
              </w:rPr>
              <w:t xml:space="preserve">unjustified costs </w:t>
            </w:r>
            <w:r w:rsidRPr="000E3C66" w:rsidR="003F480E">
              <w:rPr>
                <w:rFonts w:cstheme="minorHAnsi"/>
              </w:rPr>
              <w:t>of</w:t>
            </w:r>
            <w:r w:rsidRPr="000E3C66" w:rsidR="006037E6">
              <w:rPr>
                <w:rFonts w:cstheme="minorHAnsi"/>
              </w:rPr>
              <w:t xml:space="preserve"> a</w:t>
            </w:r>
            <w:r w:rsidRPr="000E3C66" w:rsidR="003F480E">
              <w:rPr>
                <w:rFonts w:cstheme="minorHAnsi"/>
              </w:rPr>
              <w:t xml:space="preserve"> </w:t>
            </w:r>
            <w:r w:rsidRPr="000E3C66" w:rsidR="00E61082">
              <w:rPr>
                <w:rFonts w:cstheme="minorHAnsi"/>
              </w:rPr>
              <w:t>multi</w:t>
            </w:r>
            <w:r w:rsidRPr="000E3C66" w:rsidR="00F949CB">
              <w:rPr>
                <w:rFonts w:cstheme="minorHAnsi"/>
              </w:rPr>
              <w:noBreakHyphen/>
            </w:r>
            <w:r w:rsidRPr="000E3C66" w:rsidR="00E61082">
              <w:rPr>
                <w:rFonts w:cstheme="minorHAnsi"/>
              </w:rPr>
              <w:t>billion</w:t>
            </w:r>
            <w:r w:rsidRPr="000E3C66" w:rsidR="00F949CB">
              <w:rPr>
                <w:rFonts w:cstheme="minorHAnsi"/>
              </w:rPr>
              <w:noBreakHyphen/>
            </w:r>
            <w:r w:rsidRPr="000E3C66" w:rsidR="00E61082">
              <w:rPr>
                <w:rFonts w:cstheme="minorHAnsi"/>
              </w:rPr>
              <w:t>dollar magnitude.</w:t>
            </w:r>
            <w:r w:rsidRPr="000E3C66" w:rsidR="00660D56">
              <w:rPr>
                <w:rFonts w:cstheme="minorHAnsi"/>
              </w:rPr>
              <w:t xml:space="preserve"> </w:t>
            </w:r>
            <w:r w:rsidRPr="000E3C66" w:rsidR="009B7FBF">
              <w:rPr>
                <w:rFonts w:cstheme="minorHAnsi"/>
              </w:rPr>
              <w:t xml:space="preserve">The Commission should find the costs </w:t>
            </w:r>
            <w:r w:rsidRPr="000E3C66" w:rsidR="00837805">
              <w:rPr>
                <w:rFonts w:cstheme="minorHAnsi"/>
              </w:rPr>
              <w:t xml:space="preserve">of A4NR’s intervention reasonable </w:t>
            </w:r>
            <w:r w:rsidRPr="000E3C66" w:rsidR="00CF4E63">
              <w:rPr>
                <w:rFonts w:cstheme="minorHAnsi"/>
              </w:rPr>
              <w:t xml:space="preserve">in relationship to the </w:t>
            </w:r>
            <w:r w:rsidRPr="000E3C66" w:rsidR="00FB1D2D">
              <w:rPr>
                <w:rFonts w:cstheme="minorHAnsi"/>
              </w:rPr>
              <w:t>value produced.</w:t>
            </w:r>
          </w:p>
        </w:tc>
        <w:tc>
          <w:tcPr>
            <w:tcW w:w="2075" w:type="dxa"/>
            <w:shd w:val="clear" w:color="auto" w:fill="auto"/>
          </w:tcPr>
          <w:p w:rsidRPr="000E3C66" w:rsidR="00BB7A81" w:rsidP="000E3C66" w:rsidRDefault="00BB7A81" w14:paraId="223B4665" w14:textId="442EB4F2">
            <w:pPr>
              <w:spacing w:after="240"/>
            </w:pPr>
            <w:r w:rsidRPr="000E3C66">
              <w:t xml:space="preserve">Noted; however, </w:t>
            </w:r>
            <w:r w:rsidRPr="000E3C66">
              <w:rPr>
                <w:i/>
                <w:iCs/>
              </w:rPr>
              <w:t>See</w:t>
            </w:r>
            <w:r w:rsidRPr="000E3C66">
              <w:t xml:space="preserve"> CPUC Comments, Disallowances and Adjustments in </w:t>
            </w:r>
            <w:r w:rsidRPr="000E3C66" w:rsidR="00471EE6">
              <w:t>Part III.D</w:t>
            </w:r>
            <w:r w:rsidRPr="000E3C66">
              <w:t>. After the adjustments and disallowances made to this claim, the remainder of the claim of cost reasonableness is verified.</w:t>
            </w:r>
          </w:p>
        </w:tc>
      </w:tr>
      <w:tr w:rsidRPr="000E3C66" w:rsidR="000E3C66" w:rsidTr="001E5AF2" w14:paraId="5548029C" w14:textId="77777777">
        <w:tc>
          <w:tcPr>
            <w:tcW w:w="7285" w:type="dxa"/>
            <w:shd w:val="clear" w:color="auto" w:fill="auto"/>
          </w:tcPr>
          <w:p w:rsidRPr="000E3C66" w:rsidR="002058B9" w:rsidP="000E3C66" w:rsidRDefault="00FE3BAE" w14:paraId="38F75AC7" w14:textId="4B4E3931">
            <w:pPr>
              <w:spacing w:after="240"/>
              <w:ind w:left="360" w:hanging="360"/>
            </w:pPr>
            <w:r w:rsidRPr="000E3C66">
              <w:rPr>
                <w:b/>
              </w:rPr>
              <w:t>b.</w:t>
            </w:r>
            <w:r w:rsidRPr="000E3C66" w:rsidR="000E3C66">
              <w:rPr>
                <w:b/>
              </w:rPr>
              <w:tab/>
            </w:r>
            <w:r w:rsidRPr="000E3C66">
              <w:rPr>
                <w:b/>
              </w:rPr>
              <w:t>Reasonableness of hours claimed:</w:t>
            </w:r>
            <w:r w:rsidRPr="000E3C66" w:rsidR="00E25078">
              <w:t xml:space="preserve"> </w:t>
            </w:r>
          </w:p>
          <w:p w:rsidRPr="000E3C66" w:rsidR="0026049F" w:rsidP="000E3C66" w:rsidRDefault="00153ED6" w14:paraId="4F05748F" w14:textId="7236575E">
            <w:pPr>
              <w:spacing w:after="240"/>
              <w:rPr>
                <w:rFonts w:cstheme="minorHAnsi"/>
              </w:rPr>
            </w:pPr>
            <w:r w:rsidRPr="000E3C66">
              <w:rPr>
                <w:rFonts w:cstheme="minorHAnsi"/>
              </w:rPr>
              <w:t>R.23</w:t>
            </w:r>
            <w:r w:rsidRPr="000E3C66" w:rsidR="00F949CB">
              <w:rPr>
                <w:rFonts w:cstheme="minorHAnsi"/>
              </w:rPr>
              <w:noBreakHyphen/>
            </w:r>
            <w:r w:rsidRPr="000E3C66">
              <w:rPr>
                <w:rFonts w:cstheme="minorHAnsi"/>
              </w:rPr>
              <w:t>01</w:t>
            </w:r>
            <w:r w:rsidRPr="000E3C66" w:rsidR="00F949CB">
              <w:rPr>
                <w:rFonts w:cstheme="minorHAnsi"/>
              </w:rPr>
              <w:noBreakHyphen/>
            </w:r>
            <w:r w:rsidRPr="000E3C66">
              <w:rPr>
                <w:rFonts w:cstheme="minorHAnsi"/>
              </w:rPr>
              <w:t>007 was, by far, the most demanding</w:t>
            </w:r>
            <w:r w:rsidRPr="000E3C66" w:rsidR="002058B9">
              <w:rPr>
                <w:rFonts w:cstheme="minorHAnsi"/>
              </w:rPr>
              <w:t xml:space="preserve"> Commission proceeding A4NR has participated in sin</w:t>
            </w:r>
            <w:r w:rsidRPr="000E3C66" w:rsidR="00451F46">
              <w:rPr>
                <w:rFonts w:cstheme="minorHAnsi"/>
              </w:rPr>
              <w:t>ce its efforts to modify the I.12</w:t>
            </w:r>
            <w:r w:rsidRPr="000E3C66" w:rsidR="00F949CB">
              <w:rPr>
                <w:rFonts w:cstheme="minorHAnsi"/>
              </w:rPr>
              <w:noBreakHyphen/>
            </w:r>
            <w:r w:rsidRPr="000E3C66" w:rsidR="00451F46">
              <w:rPr>
                <w:rFonts w:cstheme="minorHAnsi"/>
              </w:rPr>
              <w:t>10</w:t>
            </w:r>
            <w:r w:rsidRPr="000E3C66" w:rsidR="00F949CB">
              <w:rPr>
                <w:rFonts w:cstheme="minorHAnsi"/>
              </w:rPr>
              <w:noBreakHyphen/>
            </w:r>
            <w:r w:rsidRPr="000E3C66" w:rsidR="00451F46">
              <w:rPr>
                <w:rFonts w:cstheme="minorHAnsi"/>
              </w:rPr>
              <w:t>0</w:t>
            </w:r>
            <w:r w:rsidRPr="000E3C66" w:rsidR="00A90481">
              <w:rPr>
                <w:rFonts w:cstheme="minorHAnsi"/>
              </w:rPr>
              <w:t>13</w:t>
            </w:r>
            <w:r w:rsidRPr="000E3C66" w:rsidR="00451F46">
              <w:rPr>
                <w:rFonts w:cstheme="minorHAnsi"/>
              </w:rPr>
              <w:t xml:space="preserve"> settlement </w:t>
            </w:r>
            <w:r w:rsidRPr="000E3C66" w:rsidR="00C21A10">
              <w:rPr>
                <w:rFonts w:cstheme="minorHAnsi"/>
              </w:rPr>
              <w:t>resulted in D.</w:t>
            </w:r>
            <w:r w:rsidRPr="000E3C66" w:rsidR="00DE1E24">
              <w:rPr>
                <w:rFonts w:cstheme="minorHAnsi"/>
              </w:rPr>
              <w:t>14</w:t>
            </w:r>
            <w:r w:rsidRPr="000E3C66" w:rsidR="00F949CB">
              <w:rPr>
                <w:rFonts w:cstheme="minorHAnsi"/>
              </w:rPr>
              <w:noBreakHyphen/>
            </w:r>
            <w:r w:rsidRPr="000E3C66" w:rsidR="00DE1E24">
              <w:rPr>
                <w:rFonts w:cstheme="minorHAnsi"/>
              </w:rPr>
              <w:t>11</w:t>
            </w:r>
            <w:r w:rsidRPr="000E3C66" w:rsidR="00F949CB">
              <w:rPr>
                <w:rFonts w:cstheme="minorHAnsi"/>
              </w:rPr>
              <w:noBreakHyphen/>
            </w:r>
            <w:r w:rsidRPr="000E3C66" w:rsidR="00DE1E24">
              <w:rPr>
                <w:rFonts w:cstheme="minorHAnsi"/>
              </w:rPr>
              <w:t xml:space="preserve">040.  </w:t>
            </w:r>
            <w:r w:rsidRPr="000E3C66" w:rsidR="007E1A75">
              <w:rPr>
                <w:rFonts w:cstheme="minorHAnsi"/>
              </w:rPr>
              <w:t xml:space="preserve">In </w:t>
            </w:r>
            <w:r w:rsidRPr="000E3C66" w:rsidR="0056280F">
              <w:rPr>
                <w:rFonts w:cstheme="minorHAnsi"/>
              </w:rPr>
              <w:t>this</w:t>
            </w:r>
            <w:r w:rsidRPr="000E3C66" w:rsidR="007E1A75">
              <w:rPr>
                <w:rFonts w:cstheme="minorHAnsi"/>
              </w:rPr>
              <w:t xml:space="preserve"> time</w:t>
            </w:r>
            <w:r w:rsidRPr="000E3C66" w:rsidR="00F949CB">
              <w:rPr>
                <w:rFonts w:cstheme="minorHAnsi"/>
              </w:rPr>
              <w:noBreakHyphen/>
            </w:r>
            <w:r w:rsidRPr="000E3C66" w:rsidR="007E1A75">
              <w:rPr>
                <w:rFonts w:cstheme="minorHAnsi"/>
              </w:rPr>
              <w:t xml:space="preserve">intensive proceeding driven by </w:t>
            </w:r>
            <w:r w:rsidRPr="000E3C66" w:rsidR="00D41DCA">
              <w:rPr>
                <w:rFonts w:cstheme="minorHAnsi"/>
              </w:rPr>
              <w:t>statutorily</w:t>
            </w:r>
            <w:r w:rsidRPr="000E3C66" w:rsidR="00F949CB">
              <w:rPr>
                <w:rFonts w:cstheme="minorHAnsi"/>
              </w:rPr>
              <w:noBreakHyphen/>
            </w:r>
            <w:r w:rsidRPr="000E3C66" w:rsidR="00D41DCA">
              <w:rPr>
                <w:rFonts w:cstheme="minorHAnsi"/>
              </w:rPr>
              <w:t>expedited deadlines, A4NR partici</w:t>
            </w:r>
            <w:r w:rsidRPr="000E3C66" w:rsidR="003E3B55">
              <w:rPr>
                <w:rFonts w:cstheme="minorHAnsi"/>
              </w:rPr>
              <w:t xml:space="preserve">pated in the adjudication of </w:t>
            </w:r>
            <w:r w:rsidRPr="000E3C66" w:rsidR="00173CA3">
              <w:rPr>
                <w:rFonts w:cstheme="minorHAnsi"/>
              </w:rPr>
              <w:t xml:space="preserve">every </w:t>
            </w:r>
            <w:r w:rsidRPr="000E3C66" w:rsidR="00110BAB">
              <w:rPr>
                <w:rFonts w:cstheme="minorHAnsi"/>
              </w:rPr>
              <w:t>scoped cost</w:t>
            </w:r>
            <w:r w:rsidRPr="000E3C66" w:rsidR="00F95662">
              <w:rPr>
                <w:rFonts w:cstheme="minorHAnsi"/>
              </w:rPr>
              <w:t xml:space="preserve"> issue</w:t>
            </w:r>
            <w:r w:rsidRPr="000E3C66" w:rsidR="00257BBB">
              <w:rPr>
                <w:rFonts w:cstheme="minorHAnsi"/>
              </w:rPr>
              <w:t xml:space="preserve"> and </w:t>
            </w:r>
            <w:r w:rsidRPr="000E3C66" w:rsidR="00372F4A">
              <w:rPr>
                <w:rFonts w:cstheme="minorHAnsi"/>
              </w:rPr>
              <w:t xml:space="preserve">made the following </w:t>
            </w:r>
            <w:r w:rsidRPr="000E3C66" w:rsidR="00784CF1">
              <w:rPr>
                <w:rFonts w:cstheme="minorHAnsi"/>
              </w:rPr>
              <w:t xml:space="preserve">submittals to the </w:t>
            </w:r>
            <w:r w:rsidR="000E3C66">
              <w:rPr>
                <w:rFonts w:cstheme="minorHAnsi"/>
              </w:rPr>
              <w:t>Phase 1</w:t>
            </w:r>
            <w:r w:rsidRPr="000E3C66" w:rsidR="00F50171">
              <w:rPr>
                <w:rFonts w:cstheme="minorHAnsi"/>
              </w:rPr>
              <w:t xml:space="preserve">: </w:t>
            </w:r>
            <w:r w:rsidR="000E3C66">
              <w:rPr>
                <w:rFonts w:cstheme="minorHAnsi"/>
              </w:rPr>
              <w:t>Track 2</w:t>
            </w:r>
            <w:r w:rsidRPr="000E3C66" w:rsidR="00F50171">
              <w:rPr>
                <w:rFonts w:cstheme="minorHAnsi"/>
              </w:rPr>
              <w:t xml:space="preserve"> </w:t>
            </w:r>
            <w:r w:rsidRPr="000E3C66" w:rsidR="00784CF1">
              <w:rPr>
                <w:rFonts w:cstheme="minorHAnsi"/>
              </w:rPr>
              <w:t>record:</w:t>
            </w:r>
            <w:r w:rsidRPr="000E3C66">
              <w:rPr>
                <w:rFonts w:cstheme="minorHAnsi"/>
              </w:rPr>
              <w:t xml:space="preserve"> </w:t>
            </w:r>
          </w:p>
          <w:p w:rsidRPr="000E3C66" w:rsidR="0026049F" w:rsidP="00E37328" w:rsidRDefault="007C2EB9" w14:paraId="55074279" w14:textId="3C51FD57">
            <w:pPr>
              <w:pStyle w:val="ListParagraph"/>
              <w:numPr>
                <w:ilvl w:val="0"/>
                <w:numId w:val="11"/>
              </w:numPr>
              <w:spacing w:after="240"/>
              <w:rPr>
                <w:rFonts w:cstheme="minorHAnsi"/>
                <w:szCs w:val="24"/>
              </w:rPr>
            </w:pPr>
            <w:r w:rsidRPr="000E3C66">
              <w:rPr>
                <w:rFonts w:cstheme="minorHAnsi"/>
                <w:szCs w:val="24"/>
              </w:rPr>
              <w:t xml:space="preserve">Opening Comments in Response to </w:t>
            </w:r>
            <w:r w:rsidRPr="000E3C66" w:rsidR="0026049F">
              <w:rPr>
                <w:rFonts w:cstheme="minorHAnsi"/>
                <w:szCs w:val="24"/>
              </w:rPr>
              <w:t>the OIR;</w:t>
            </w:r>
          </w:p>
          <w:p w:rsidRPr="000E3C66" w:rsidR="00FE3BAE" w:rsidP="00E37328" w:rsidRDefault="00947701" w14:paraId="751A610C" w14:textId="2A12B488">
            <w:pPr>
              <w:pStyle w:val="ListParagraph"/>
              <w:numPr>
                <w:ilvl w:val="0"/>
                <w:numId w:val="11"/>
              </w:numPr>
              <w:spacing w:after="240"/>
              <w:rPr>
                <w:rFonts w:cstheme="minorHAnsi"/>
                <w:szCs w:val="24"/>
              </w:rPr>
            </w:pPr>
            <w:r w:rsidRPr="000E3C66">
              <w:rPr>
                <w:rFonts w:cstheme="minorHAnsi"/>
                <w:szCs w:val="24"/>
              </w:rPr>
              <w:t>Reply Comments on the OIR</w:t>
            </w:r>
            <w:r w:rsidRPr="000E3C66" w:rsidR="00F11C4B">
              <w:rPr>
                <w:rFonts w:cstheme="minorHAnsi"/>
                <w:szCs w:val="24"/>
              </w:rPr>
              <w:t>;</w:t>
            </w:r>
          </w:p>
          <w:p w:rsidRPr="000E3C66" w:rsidR="00F11C4B" w:rsidP="00E37328" w:rsidRDefault="00EC33DF" w14:paraId="049E522E" w14:textId="222916C9">
            <w:pPr>
              <w:pStyle w:val="ListParagraph"/>
              <w:numPr>
                <w:ilvl w:val="0"/>
                <w:numId w:val="11"/>
              </w:numPr>
              <w:spacing w:after="240"/>
              <w:rPr>
                <w:rFonts w:cstheme="minorHAnsi"/>
                <w:szCs w:val="24"/>
              </w:rPr>
            </w:pPr>
            <w:r w:rsidRPr="000E3C66">
              <w:rPr>
                <w:rFonts w:cstheme="minorHAnsi"/>
                <w:szCs w:val="24"/>
              </w:rPr>
              <w:lastRenderedPageBreak/>
              <w:t>I</w:t>
            </w:r>
            <w:r w:rsidRPr="000E3C66" w:rsidR="00283ACD">
              <w:rPr>
                <w:rFonts w:cstheme="minorHAnsi"/>
                <w:szCs w:val="24"/>
              </w:rPr>
              <w:t xml:space="preserve">dentified </w:t>
            </w:r>
            <w:r w:rsidRPr="000E3C66" w:rsidR="00B1348B">
              <w:rPr>
                <w:rFonts w:cstheme="minorHAnsi"/>
                <w:szCs w:val="24"/>
              </w:rPr>
              <w:t>sections of the Joint PHC Statement;</w:t>
            </w:r>
          </w:p>
          <w:p w:rsidRPr="000E3C66" w:rsidR="00B1348B" w:rsidP="00E37328" w:rsidRDefault="00FA00B1" w14:paraId="5E654260" w14:textId="22D4B374">
            <w:pPr>
              <w:pStyle w:val="ListParagraph"/>
              <w:numPr>
                <w:ilvl w:val="0"/>
                <w:numId w:val="11"/>
              </w:numPr>
              <w:spacing w:after="240"/>
              <w:rPr>
                <w:rFonts w:cstheme="minorHAnsi"/>
                <w:szCs w:val="24"/>
              </w:rPr>
            </w:pPr>
            <w:r w:rsidRPr="000E3C66">
              <w:rPr>
                <w:rFonts w:cstheme="minorHAnsi"/>
                <w:szCs w:val="24"/>
              </w:rPr>
              <w:t>Opening Comments</w:t>
            </w:r>
            <w:r w:rsidRPr="000E3C66" w:rsidR="002C0C9E">
              <w:rPr>
                <w:rFonts w:cstheme="minorHAnsi"/>
                <w:szCs w:val="24"/>
              </w:rPr>
              <w:t>/</w:t>
            </w:r>
            <w:r w:rsidRPr="000E3C66">
              <w:rPr>
                <w:rFonts w:cstheme="minorHAnsi"/>
                <w:szCs w:val="24"/>
              </w:rPr>
              <w:t>Testimony on Statutory Interpretation, Issue</w:t>
            </w:r>
            <w:r w:rsidRPr="000E3C66" w:rsidR="002C0C9E">
              <w:rPr>
                <w:rFonts w:cstheme="minorHAnsi"/>
                <w:szCs w:val="24"/>
              </w:rPr>
              <w:t>s</w:t>
            </w:r>
            <w:r w:rsidRPr="000E3C66">
              <w:rPr>
                <w:rFonts w:cstheme="minorHAnsi"/>
                <w:szCs w:val="24"/>
              </w:rPr>
              <w:t xml:space="preserve"> of Policy, and Certain Reports in the Record</w:t>
            </w:r>
            <w:r w:rsidRPr="000E3C66" w:rsidR="00AF7D4F">
              <w:rPr>
                <w:rFonts w:cstheme="minorHAnsi"/>
                <w:szCs w:val="24"/>
              </w:rPr>
              <w:t xml:space="preserve"> (A4NR</w:t>
            </w:r>
            <w:r w:rsidRPr="000E3C66" w:rsidR="00F949CB">
              <w:rPr>
                <w:rFonts w:cstheme="minorHAnsi"/>
                <w:szCs w:val="24"/>
              </w:rPr>
              <w:noBreakHyphen/>
            </w:r>
            <w:r w:rsidRPr="000E3C66" w:rsidR="00AF7D4F">
              <w:rPr>
                <w:rFonts w:cstheme="minorHAnsi"/>
                <w:szCs w:val="24"/>
              </w:rPr>
              <w:t>01</w:t>
            </w:r>
            <w:r w:rsidRPr="000E3C66" w:rsidR="00761F32">
              <w:rPr>
                <w:rFonts w:cstheme="minorHAnsi"/>
                <w:szCs w:val="24"/>
              </w:rPr>
              <w:t xml:space="preserve"> </w:t>
            </w:r>
            <w:r w:rsidRPr="000E3C66" w:rsidR="00BB04F3">
              <w:rPr>
                <w:rFonts w:cstheme="minorHAnsi"/>
                <w:szCs w:val="24"/>
              </w:rPr>
              <w:t>and A4NR</w:t>
            </w:r>
            <w:r w:rsidRPr="000E3C66" w:rsidR="00F949CB">
              <w:rPr>
                <w:rFonts w:cstheme="minorHAnsi"/>
                <w:szCs w:val="24"/>
              </w:rPr>
              <w:noBreakHyphen/>
            </w:r>
            <w:r w:rsidRPr="000E3C66" w:rsidR="00BB04F3">
              <w:rPr>
                <w:rFonts w:cstheme="minorHAnsi"/>
                <w:szCs w:val="24"/>
              </w:rPr>
              <w:t>01C)</w:t>
            </w:r>
            <w:r w:rsidRPr="000E3C66" w:rsidR="002C0C9E">
              <w:rPr>
                <w:rFonts w:cstheme="minorHAnsi"/>
                <w:szCs w:val="24"/>
              </w:rPr>
              <w:t>;</w:t>
            </w:r>
          </w:p>
          <w:p w:rsidRPr="000E3C66" w:rsidR="00F82F6A" w:rsidP="00E37328" w:rsidRDefault="00F82F6A" w14:paraId="379395BA" w14:textId="1136C3A1">
            <w:pPr>
              <w:pStyle w:val="ListParagraph"/>
              <w:numPr>
                <w:ilvl w:val="0"/>
                <w:numId w:val="11"/>
              </w:numPr>
              <w:spacing w:after="240"/>
              <w:rPr>
                <w:rFonts w:cstheme="minorHAnsi"/>
                <w:szCs w:val="24"/>
              </w:rPr>
            </w:pPr>
            <w:r w:rsidRPr="000E3C66">
              <w:rPr>
                <w:rFonts w:cstheme="minorHAnsi"/>
                <w:szCs w:val="24"/>
              </w:rPr>
              <w:t>Reply Comments/Testimony on Statutory Interpretation, Issues of Policy, and Certain Reports in the Record (A4NR</w:t>
            </w:r>
            <w:r w:rsidRPr="000E3C66" w:rsidR="00F949CB">
              <w:rPr>
                <w:rFonts w:cstheme="minorHAnsi"/>
                <w:szCs w:val="24"/>
              </w:rPr>
              <w:noBreakHyphen/>
            </w:r>
            <w:r w:rsidRPr="000E3C66">
              <w:rPr>
                <w:rFonts w:cstheme="minorHAnsi"/>
                <w:szCs w:val="24"/>
              </w:rPr>
              <w:t>02 and A4NR</w:t>
            </w:r>
            <w:r w:rsidRPr="000E3C66" w:rsidR="00F949CB">
              <w:rPr>
                <w:rFonts w:cstheme="minorHAnsi"/>
                <w:szCs w:val="24"/>
              </w:rPr>
              <w:noBreakHyphen/>
            </w:r>
            <w:r w:rsidRPr="000E3C66">
              <w:rPr>
                <w:rFonts w:cstheme="minorHAnsi"/>
                <w:szCs w:val="24"/>
              </w:rPr>
              <w:t>02C);</w:t>
            </w:r>
          </w:p>
          <w:p w:rsidRPr="000E3C66" w:rsidR="002C0C9E" w:rsidP="00E37328" w:rsidRDefault="00EC19C0" w14:paraId="4F3EE4E3" w14:textId="66D8E051">
            <w:pPr>
              <w:pStyle w:val="ListParagraph"/>
              <w:numPr>
                <w:ilvl w:val="0"/>
                <w:numId w:val="11"/>
              </w:numPr>
              <w:spacing w:after="240"/>
              <w:rPr>
                <w:rFonts w:cstheme="minorHAnsi"/>
                <w:szCs w:val="24"/>
              </w:rPr>
            </w:pPr>
            <w:r w:rsidRPr="000E3C66">
              <w:rPr>
                <w:rFonts w:cstheme="minorHAnsi"/>
                <w:szCs w:val="24"/>
              </w:rPr>
              <w:t xml:space="preserve">Rebuttal Testimony on </w:t>
            </w:r>
            <w:r w:rsidR="000E3C66">
              <w:rPr>
                <w:rFonts w:cstheme="minorHAnsi"/>
                <w:szCs w:val="24"/>
              </w:rPr>
              <w:t>Phase 1</w:t>
            </w:r>
            <w:r w:rsidRPr="000E3C66">
              <w:rPr>
                <w:rFonts w:cstheme="minorHAnsi"/>
                <w:szCs w:val="24"/>
              </w:rPr>
              <w:t xml:space="preserve">: </w:t>
            </w:r>
            <w:r w:rsidR="000E3C66">
              <w:rPr>
                <w:rFonts w:cstheme="minorHAnsi"/>
                <w:szCs w:val="24"/>
              </w:rPr>
              <w:t>Track 2</w:t>
            </w:r>
            <w:r w:rsidRPr="000E3C66">
              <w:rPr>
                <w:rFonts w:cstheme="minorHAnsi"/>
                <w:szCs w:val="24"/>
              </w:rPr>
              <w:t xml:space="preserve"> </w:t>
            </w:r>
            <w:r w:rsidRPr="000E3C66" w:rsidR="001B1714">
              <w:rPr>
                <w:rFonts w:cstheme="minorHAnsi"/>
                <w:szCs w:val="24"/>
              </w:rPr>
              <w:t>Issues (A4NR</w:t>
            </w:r>
            <w:r w:rsidRPr="000E3C66" w:rsidR="00F949CB">
              <w:rPr>
                <w:rFonts w:cstheme="minorHAnsi"/>
                <w:szCs w:val="24"/>
              </w:rPr>
              <w:noBreakHyphen/>
            </w:r>
            <w:r w:rsidRPr="000E3C66" w:rsidR="001B1714">
              <w:rPr>
                <w:rFonts w:cstheme="minorHAnsi"/>
                <w:szCs w:val="24"/>
              </w:rPr>
              <w:t>03);</w:t>
            </w:r>
          </w:p>
          <w:p w:rsidRPr="000E3C66" w:rsidR="001B1714" w:rsidP="00E37328" w:rsidRDefault="000575F0" w14:paraId="1E04EE49" w14:textId="26BA6DDB">
            <w:pPr>
              <w:pStyle w:val="ListParagraph"/>
              <w:numPr>
                <w:ilvl w:val="0"/>
                <w:numId w:val="11"/>
              </w:numPr>
              <w:spacing w:after="240"/>
              <w:rPr>
                <w:rFonts w:cstheme="minorHAnsi"/>
                <w:szCs w:val="24"/>
              </w:rPr>
            </w:pPr>
            <w:r w:rsidRPr="000E3C66">
              <w:rPr>
                <w:rFonts w:cstheme="minorHAnsi"/>
                <w:szCs w:val="24"/>
              </w:rPr>
              <w:t xml:space="preserve">Testimony on </w:t>
            </w:r>
            <w:r w:rsidRPr="000E3C66" w:rsidR="00363EF8">
              <w:rPr>
                <w:rFonts w:cstheme="minorHAnsi"/>
                <w:szCs w:val="24"/>
              </w:rPr>
              <w:t>DCISC New or Revised Recommendations (A4NR</w:t>
            </w:r>
            <w:r w:rsidRPr="000E3C66" w:rsidR="00F949CB">
              <w:rPr>
                <w:rFonts w:cstheme="minorHAnsi"/>
                <w:szCs w:val="24"/>
              </w:rPr>
              <w:noBreakHyphen/>
            </w:r>
            <w:r w:rsidRPr="000E3C66" w:rsidR="00363EF8">
              <w:rPr>
                <w:rFonts w:cstheme="minorHAnsi"/>
                <w:szCs w:val="24"/>
              </w:rPr>
              <w:t>04);</w:t>
            </w:r>
          </w:p>
          <w:p w:rsidRPr="000E3C66" w:rsidR="00C85BBD" w:rsidP="00E37328" w:rsidRDefault="00EA5F38" w14:paraId="3F58BB13" w14:textId="0103755B">
            <w:pPr>
              <w:pStyle w:val="ListParagraph"/>
              <w:numPr>
                <w:ilvl w:val="0"/>
                <w:numId w:val="11"/>
              </w:numPr>
              <w:spacing w:after="240"/>
              <w:rPr>
                <w:rFonts w:cstheme="minorHAnsi"/>
                <w:szCs w:val="24"/>
              </w:rPr>
            </w:pPr>
            <w:r w:rsidRPr="000E3C66">
              <w:rPr>
                <w:rFonts w:cstheme="minorHAnsi"/>
                <w:szCs w:val="24"/>
              </w:rPr>
              <w:t xml:space="preserve">Stipulated </w:t>
            </w:r>
            <w:r w:rsidRPr="000E3C66" w:rsidR="00A41234">
              <w:rPr>
                <w:rFonts w:cstheme="minorHAnsi"/>
                <w:szCs w:val="24"/>
              </w:rPr>
              <w:t xml:space="preserve">PG&amp;E Data Responses In Lieu of </w:t>
            </w:r>
            <w:r w:rsidRPr="000E3C66" w:rsidR="00BE7DB9">
              <w:rPr>
                <w:rFonts w:cstheme="minorHAnsi"/>
                <w:szCs w:val="24"/>
              </w:rPr>
              <w:t>Cross</w:t>
            </w:r>
            <w:r w:rsidRPr="000E3C66" w:rsidR="00F949CB">
              <w:rPr>
                <w:rFonts w:cstheme="minorHAnsi"/>
                <w:szCs w:val="24"/>
              </w:rPr>
              <w:noBreakHyphen/>
            </w:r>
            <w:r w:rsidRPr="000E3C66" w:rsidR="00BE7DB9">
              <w:rPr>
                <w:rFonts w:cstheme="minorHAnsi"/>
                <w:szCs w:val="24"/>
              </w:rPr>
              <w:t>Examination (A4NR</w:t>
            </w:r>
            <w:r w:rsidRPr="000E3C66" w:rsidR="00F949CB">
              <w:rPr>
                <w:rFonts w:cstheme="minorHAnsi"/>
                <w:szCs w:val="24"/>
              </w:rPr>
              <w:noBreakHyphen/>
            </w:r>
            <w:r w:rsidRPr="000E3C66" w:rsidR="00BE7DB9">
              <w:rPr>
                <w:rFonts w:cstheme="minorHAnsi"/>
                <w:szCs w:val="24"/>
              </w:rPr>
              <w:t>05);</w:t>
            </w:r>
          </w:p>
          <w:p w:rsidRPr="000E3C66" w:rsidR="00363EF8" w:rsidP="00E37328" w:rsidRDefault="00F8339E" w14:paraId="29E88055" w14:textId="6E999D77">
            <w:pPr>
              <w:pStyle w:val="ListParagraph"/>
              <w:numPr>
                <w:ilvl w:val="0"/>
                <w:numId w:val="11"/>
              </w:numPr>
              <w:spacing w:after="240"/>
              <w:rPr>
                <w:rFonts w:cstheme="minorHAnsi"/>
                <w:szCs w:val="24"/>
              </w:rPr>
            </w:pPr>
            <w:r w:rsidRPr="000E3C66">
              <w:rPr>
                <w:rFonts w:cstheme="minorHAnsi"/>
                <w:szCs w:val="24"/>
              </w:rPr>
              <w:t xml:space="preserve">Response in Opposition to confidential designation by PG&amp;E </w:t>
            </w:r>
            <w:r w:rsidRPr="000E3C66" w:rsidR="003C6200">
              <w:rPr>
                <w:rFonts w:cstheme="minorHAnsi"/>
                <w:szCs w:val="24"/>
              </w:rPr>
              <w:t>for</w:t>
            </w:r>
            <w:r w:rsidRPr="000E3C66">
              <w:rPr>
                <w:rFonts w:cstheme="minorHAnsi"/>
                <w:szCs w:val="24"/>
              </w:rPr>
              <w:t xml:space="preserve"> </w:t>
            </w:r>
            <w:r w:rsidRPr="000E3C66" w:rsidR="00397860">
              <w:rPr>
                <w:rFonts w:cstheme="minorHAnsi"/>
                <w:szCs w:val="24"/>
              </w:rPr>
              <w:t xml:space="preserve">certain </w:t>
            </w:r>
            <w:r w:rsidRPr="000E3C66" w:rsidR="00FC39F0">
              <w:rPr>
                <w:rFonts w:cstheme="minorHAnsi"/>
                <w:szCs w:val="24"/>
              </w:rPr>
              <w:t>PG&amp;E Data Responses</w:t>
            </w:r>
            <w:r w:rsidRPr="000E3C66" w:rsidR="001C4DAC">
              <w:rPr>
                <w:rFonts w:cstheme="minorHAnsi"/>
                <w:szCs w:val="24"/>
              </w:rPr>
              <w:t>;</w:t>
            </w:r>
          </w:p>
          <w:p w:rsidRPr="000E3C66" w:rsidR="001C4DAC" w:rsidP="00E37328" w:rsidRDefault="00421BBB" w14:paraId="06FFA99A" w14:textId="75543C54">
            <w:pPr>
              <w:pStyle w:val="ListParagraph"/>
              <w:numPr>
                <w:ilvl w:val="0"/>
                <w:numId w:val="11"/>
              </w:numPr>
              <w:spacing w:after="240"/>
              <w:rPr>
                <w:rFonts w:cstheme="minorHAnsi"/>
                <w:szCs w:val="24"/>
              </w:rPr>
            </w:pPr>
            <w:r w:rsidRPr="000E3C66">
              <w:rPr>
                <w:rFonts w:cstheme="minorHAnsi"/>
                <w:szCs w:val="24"/>
              </w:rPr>
              <w:t>Opening Brief;</w:t>
            </w:r>
          </w:p>
          <w:p w:rsidRPr="000E3C66" w:rsidR="00421BBB" w:rsidP="00E37328" w:rsidRDefault="00512D17" w14:paraId="512475AA" w14:textId="29394C84">
            <w:pPr>
              <w:pStyle w:val="ListParagraph"/>
              <w:numPr>
                <w:ilvl w:val="0"/>
                <w:numId w:val="11"/>
              </w:numPr>
              <w:spacing w:after="240"/>
              <w:rPr>
                <w:rFonts w:cstheme="minorHAnsi"/>
                <w:szCs w:val="24"/>
              </w:rPr>
            </w:pPr>
            <w:r w:rsidRPr="000E3C66">
              <w:rPr>
                <w:rFonts w:cstheme="minorHAnsi"/>
                <w:szCs w:val="24"/>
              </w:rPr>
              <w:t>Reply Brief</w:t>
            </w:r>
            <w:r w:rsidRPr="000E3C66" w:rsidR="001C12D8">
              <w:rPr>
                <w:rFonts w:cstheme="minorHAnsi"/>
                <w:szCs w:val="24"/>
              </w:rPr>
              <w:t>;</w:t>
            </w:r>
          </w:p>
          <w:p w:rsidRPr="000E3C66" w:rsidR="001C12D8" w:rsidP="00E37328" w:rsidRDefault="001C12D8" w14:paraId="2A19080B" w14:textId="163AD452">
            <w:pPr>
              <w:pStyle w:val="ListParagraph"/>
              <w:numPr>
                <w:ilvl w:val="0"/>
                <w:numId w:val="11"/>
              </w:numPr>
              <w:spacing w:after="240"/>
              <w:rPr>
                <w:rFonts w:cstheme="minorHAnsi"/>
                <w:szCs w:val="24"/>
              </w:rPr>
            </w:pPr>
            <w:r w:rsidRPr="000E3C66">
              <w:rPr>
                <w:rFonts w:cstheme="minorHAnsi"/>
                <w:szCs w:val="24"/>
              </w:rPr>
              <w:t>Comments on CEC Draft Cost Comparison Report</w:t>
            </w:r>
            <w:r w:rsidRPr="000E3C66" w:rsidR="00BF3412">
              <w:rPr>
                <w:rFonts w:cstheme="minorHAnsi"/>
                <w:szCs w:val="24"/>
              </w:rPr>
              <w:t>;</w:t>
            </w:r>
          </w:p>
          <w:p w:rsidRPr="000E3C66" w:rsidR="000E1E88" w:rsidP="00E37328" w:rsidRDefault="000E1E88" w14:paraId="7E9B328B" w14:textId="632535C0">
            <w:pPr>
              <w:pStyle w:val="ListParagraph"/>
              <w:numPr>
                <w:ilvl w:val="0"/>
                <w:numId w:val="11"/>
              </w:numPr>
              <w:spacing w:after="240"/>
              <w:rPr>
                <w:rFonts w:cstheme="minorHAnsi"/>
                <w:szCs w:val="24"/>
              </w:rPr>
            </w:pPr>
            <w:r w:rsidRPr="000E3C66">
              <w:rPr>
                <w:rFonts w:cstheme="minorHAnsi"/>
                <w:szCs w:val="24"/>
              </w:rPr>
              <w:t xml:space="preserve">Motion Requesting Official Notice of Newsom/CEC </w:t>
            </w:r>
            <w:r w:rsidRPr="000E3C66" w:rsidR="00053F20">
              <w:rPr>
                <w:rFonts w:cstheme="minorHAnsi"/>
                <w:szCs w:val="24"/>
              </w:rPr>
              <w:t xml:space="preserve">installed </w:t>
            </w:r>
            <w:r w:rsidRPr="000E3C66" w:rsidR="00CC7873">
              <w:rPr>
                <w:rFonts w:cstheme="minorHAnsi"/>
                <w:szCs w:val="24"/>
              </w:rPr>
              <w:t>storage</w:t>
            </w:r>
            <w:r w:rsidRPr="000E3C66" w:rsidR="003A6F09">
              <w:rPr>
                <w:rFonts w:cstheme="minorHAnsi"/>
                <w:szCs w:val="24"/>
              </w:rPr>
              <w:t xml:space="preserve"> </w:t>
            </w:r>
            <w:r w:rsidRPr="000E3C66" w:rsidR="00432301">
              <w:rPr>
                <w:rFonts w:cstheme="minorHAnsi"/>
                <w:szCs w:val="24"/>
              </w:rPr>
              <w:t>announcement and data base</w:t>
            </w:r>
            <w:r w:rsidRPr="000E3C66" w:rsidR="00C41981">
              <w:rPr>
                <w:rFonts w:cstheme="minorHAnsi"/>
                <w:szCs w:val="24"/>
              </w:rPr>
              <w:t>;</w:t>
            </w:r>
            <w:r w:rsidRPr="000E3C66" w:rsidR="00CC7873">
              <w:rPr>
                <w:rFonts w:cstheme="minorHAnsi"/>
                <w:szCs w:val="24"/>
              </w:rPr>
              <w:t xml:space="preserve"> </w:t>
            </w:r>
          </w:p>
          <w:p w:rsidRPr="000E3C66" w:rsidR="00E6560B" w:rsidP="00E37328" w:rsidRDefault="005F23E4" w14:paraId="139A4BBA" w14:textId="640D5980">
            <w:pPr>
              <w:pStyle w:val="ListParagraph"/>
              <w:numPr>
                <w:ilvl w:val="0"/>
                <w:numId w:val="11"/>
              </w:numPr>
              <w:spacing w:after="240"/>
              <w:rPr>
                <w:rFonts w:cstheme="minorHAnsi"/>
                <w:szCs w:val="24"/>
              </w:rPr>
            </w:pPr>
            <w:r w:rsidRPr="000E3C66">
              <w:rPr>
                <w:rFonts w:cstheme="minorHAnsi"/>
                <w:szCs w:val="24"/>
              </w:rPr>
              <w:t>Oral Argument</w:t>
            </w:r>
            <w:r w:rsidRPr="000E3C66" w:rsidR="00C96625">
              <w:rPr>
                <w:rFonts w:cstheme="minorHAnsi"/>
                <w:szCs w:val="24"/>
              </w:rPr>
              <w:t>;</w:t>
            </w:r>
          </w:p>
          <w:p w:rsidRPr="000E3C66" w:rsidR="00C96625" w:rsidP="00E37328" w:rsidRDefault="00247BDF" w14:paraId="08251862" w14:textId="7CC49C10">
            <w:pPr>
              <w:pStyle w:val="ListParagraph"/>
              <w:numPr>
                <w:ilvl w:val="0"/>
                <w:numId w:val="11"/>
              </w:numPr>
              <w:spacing w:after="240"/>
              <w:rPr>
                <w:rFonts w:cstheme="minorHAnsi"/>
                <w:szCs w:val="24"/>
              </w:rPr>
            </w:pPr>
            <w:r w:rsidRPr="000E3C66">
              <w:rPr>
                <w:rFonts w:cstheme="minorHAnsi"/>
                <w:szCs w:val="24"/>
              </w:rPr>
              <w:t>Opening Comments on PD;</w:t>
            </w:r>
          </w:p>
          <w:p w:rsidRPr="000E3C66" w:rsidR="00247BDF" w:rsidP="00E37328" w:rsidRDefault="00247BDF" w14:paraId="3B792802" w14:textId="3A1699E2">
            <w:pPr>
              <w:pStyle w:val="ListParagraph"/>
              <w:numPr>
                <w:ilvl w:val="0"/>
                <w:numId w:val="11"/>
              </w:numPr>
              <w:spacing w:after="240"/>
              <w:rPr>
                <w:rFonts w:cstheme="minorHAnsi"/>
                <w:szCs w:val="24"/>
              </w:rPr>
            </w:pPr>
            <w:r w:rsidRPr="000E3C66">
              <w:rPr>
                <w:rFonts w:cstheme="minorHAnsi"/>
                <w:szCs w:val="24"/>
              </w:rPr>
              <w:t>Reply Comments on PD</w:t>
            </w:r>
            <w:r w:rsidRPr="000E3C66" w:rsidR="00933613">
              <w:rPr>
                <w:rFonts w:cstheme="minorHAnsi"/>
                <w:szCs w:val="24"/>
              </w:rPr>
              <w:t>;</w:t>
            </w:r>
          </w:p>
          <w:p w:rsidRPr="000E3C66" w:rsidR="00933613" w:rsidP="00E37328" w:rsidRDefault="002A4227" w14:paraId="5CF2409E" w14:textId="52F04045">
            <w:pPr>
              <w:pStyle w:val="ListParagraph"/>
              <w:numPr>
                <w:ilvl w:val="0"/>
                <w:numId w:val="11"/>
              </w:numPr>
              <w:spacing w:after="240"/>
              <w:rPr>
                <w:rFonts w:cstheme="minorHAnsi"/>
                <w:szCs w:val="24"/>
              </w:rPr>
            </w:pPr>
            <w:r w:rsidRPr="000E3C66">
              <w:rPr>
                <w:rFonts w:cstheme="minorHAnsi"/>
                <w:szCs w:val="24"/>
              </w:rPr>
              <w:t>Response to Applications for Rehearing</w:t>
            </w:r>
            <w:r w:rsidRPr="000E3C66" w:rsidR="0080391D">
              <w:rPr>
                <w:rFonts w:cstheme="minorHAnsi"/>
                <w:szCs w:val="24"/>
              </w:rPr>
              <w:t>.</w:t>
            </w:r>
          </w:p>
          <w:p w:rsidRPr="000E3C66" w:rsidR="00165F99" w:rsidP="00E37328" w:rsidRDefault="006D6024" w14:paraId="3621190A" w14:textId="13CC731B">
            <w:pPr>
              <w:pStyle w:val="ListParagraph"/>
              <w:spacing w:after="240"/>
              <w:ind w:left="0"/>
              <w:rPr>
                <w:rFonts w:cstheme="minorHAnsi"/>
                <w:szCs w:val="24"/>
              </w:rPr>
            </w:pPr>
            <w:r w:rsidRPr="000E3C66">
              <w:rPr>
                <w:rFonts w:cstheme="minorHAnsi"/>
                <w:szCs w:val="24"/>
              </w:rPr>
              <w:t xml:space="preserve">In addition to reductions </w:t>
            </w:r>
            <w:r w:rsidRPr="000E3C66" w:rsidR="00D26206">
              <w:rPr>
                <w:rFonts w:cstheme="minorHAnsi"/>
                <w:szCs w:val="24"/>
              </w:rPr>
              <w:t xml:space="preserve">of </w:t>
            </w:r>
            <w:r w:rsidRPr="000E3C66" w:rsidR="00F969D0">
              <w:rPr>
                <w:rFonts w:cstheme="minorHAnsi"/>
                <w:szCs w:val="24"/>
              </w:rPr>
              <w:t xml:space="preserve">other </w:t>
            </w:r>
            <w:r w:rsidRPr="000E3C66" w:rsidR="00760810">
              <w:rPr>
                <w:rFonts w:cstheme="minorHAnsi"/>
                <w:szCs w:val="24"/>
              </w:rPr>
              <w:t>case</w:t>
            </w:r>
            <w:r w:rsidRPr="000E3C66" w:rsidR="00F949CB">
              <w:rPr>
                <w:rFonts w:cstheme="minorHAnsi"/>
                <w:szCs w:val="24"/>
              </w:rPr>
              <w:noBreakHyphen/>
            </w:r>
            <w:r w:rsidRPr="000E3C66" w:rsidR="00760810">
              <w:rPr>
                <w:rFonts w:cstheme="minorHAnsi"/>
                <w:szCs w:val="24"/>
              </w:rPr>
              <w:t xml:space="preserve">related </w:t>
            </w:r>
            <w:r w:rsidRPr="000E3C66" w:rsidR="00D26206">
              <w:rPr>
                <w:rFonts w:cstheme="minorHAnsi"/>
                <w:szCs w:val="24"/>
              </w:rPr>
              <w:t xml:space="preserve">hours </w:t>
            </w:r>
            <w:r w:rsidRPr="000E3C66" w:rsidR="0007617D">
              <w:rPr>
                <w:rFonts w:cstheme="minorHAnsi"/>
                <w:szCs w:val="24"/>
              </w:rPr>
              <w:t>from</w:t>
            </w:r>
            <w:r w:rsidRPr="000E3C66" w:rsidR="00D26206">
              <w:rPr>
                <w:rFonts w:cstheme="minorHAnsi"/>
                <w:szCs w:val="24"/>
              </w:rPr>
              <w:t xml:space="preserve"> </w:t>
            </w:r>
            <w:r w:rsidRPr="000E3C66" w:rsidR="00C60E80">
              <w:rPr>
                <w:rFonts w:cstheme="minorHAnsi"/>
                <w:szCs w:val="24"/>
              </w:rPr>
              <w:t>its</w:t>
            </w:r>
            <w:r w:rsidRPr="000E3C66" w:rsidR="00D26206">
              <w:rPr>
                <w:rFonts w:cstheme="minorHAnsi"/>
                <w:szCs w:val="24"/>
              </w:rPr>
              <w:t xml:space="preserve"> Claim, </w:t>
            </w:r>
            <w:r w:rsidRPr="000E3C66" w:rsidR="002B450A">
              <w:rPr>
                <w:rFonts w:cstheme="minorHAnsi"/>
                <w:szCs w:val="24"/>
              </w:rPr>
              <w:t xml:space="preserve">A4NR does not seek </w:t>
            </w:r>
            <w:r w:rsidRPr="000E3C66" w:rsidR="00705323">
              <w:rPr>
                <w:rFonts w:cstheme="minorHAnsi"/>
                <w:szCs w:val="24"/>
              </w:rPr>
              <w:t xml:space="preserve">compensation for time </w:t>
            </w:r>
            <w:r w:rsidRPr="000E3C66" w:rsidR="000959ED">
              <w:rPr>
                <w:rFonts w:cstheme="minorHAnsi"/>
                <w:szCs w:val="24"/>
              </w:rPr>
              <w:t xml:space="preserve">associated with its several </w:t>
            </w:r>
            <w:r w:rsidRPr="000E3C66" w:rsidR="000959ED">
              <w:rPr>
                <w:rFonts w:cstheme="minorHAnsi"/>
                <w:i/>
                <w:iCs/>
                <w:szCs w:val="24"/>
              </w:rPr>
              <w:t>ex parte</w:t>
            </w:r>
            <w:r w:rsidRPr="000E3C66" w:rsidR="000959ED">
              <w:rPr>
                <w:rFonts w:cstheme="minorHAnsi"/>
                <w:szCs w:val="24"/>
              </w:rPr>
              <w:t xml:space="preserve"> communications</w:t>
            </w:r>
            <w:r w:rsidRPr="000E3C66" w:rsidR="00057714">
              <w:rPr>
                <w:rFonts w:cstheme="minorHAnsi"/>
                <w:szCs w:val="24"/>
              </w:rPr>
              <w:t xml:space="preserve"> or </w:t>
            </w:r>
            <w:r w:rsidRPr="000E3C66" w:rsidR="00C60E80">
              <w:rPr>
                <w:rFonts w:cstheme="minorHAnsi"/>
                <w:szCs w:val="24"/>
              </w:rPr>
              <w:t xml:space="preserve">the </w:t>
            </w:r>
            <w:r w:rsidRPr="000E3C66" w:rsidR="00057714">
              <w:rPr>
                <w:rFonts w:cstheme="minorHAnsi"/>
                <w:szCs w:val="24"/>
              </w:rPr>
              <w:t>preparation</w:t>
            </w:r>
            <w:r w:rsidRPr="000E3C66" w:rsidR="00C60E80">
              <w:rPr>
                <w:rFonts w:cstheme="minorHAnsi"/>
                <w:szCs w:val="24"/>
              </w:rPr>
              <w:t xml:space="preserve"> of its Response to Applications for Rehearing.</w:t>
            </w:r>
            <w:r w:rsidRPr="000E3C66" w:rsidR="00396CA4">
              <w:rPr>
                <w:rFonts w:cstheme="minorHAnsi"/>
                <w:szCs w:val="24"/>
              </w:rPr>
              <w:t xml:space="preserve">  </w:t>
            </w:r>
            <w:r w:rsidRPr="000E3C66" w:rsidR="000C07C9">
              <w:rPr>
                <w:rFonts w:cstheme="minorHAnsi"/>
                <w:szCs w:val="24"/>
              </w:rPr>
              <w:t xml:space="preserve">Notably, A4NR did not request evidentiary hearings and was </w:t>
            </w:r>
            <w:r w:rsidRPr="000E3C66" w:rsidR="00320990">
              <w:rPr>
                <w:rFonts w:cstheme="minorHAnsi"/>
                <w:szCs w:val="24"/>
              </w:rPr>
              <w:t>the only active party not to request briefing</w:t>
            </w:r>
            <w:r w:rsidRPr="000E3C66" w:rsidR="0089217C">
              <w:rPr>
                <w:rFonts w:cstheme="minorHAnsi"/>
                <w:szCs w:val="24"/>
              </w:rPr>
              <w:t xml:space="preserve"> – in the belief that the </w:t>
            </w:r>
            <w:r w:rsidRPr="000E3C66" w:rsidR="00FF5F1D">
              <w:rPr>
                <w:rFonts w:cstheme="minorHAnsi"/>
                <w:szCs w:val="24"/>
              </w:rPr>
              <w:t xml:space="preserve">parties’ </w:t>
            </w:r>
            <w:r w:rsidRPr="000E3C66" w:rsidR="00561BF2">
              <w:rPr>
                <w:rFonts w:cstheme="minorHAnsi"/>
                <w:szCs w:val="24"/>
              </w:rPr>
              <w:t>Comments/Testimony</w:t>
            </w:r>
            <w:r w:rsidRPr="000E3C66" w:rsidR="00FF5F1D">
              <w:rPr>
                <w:rFonts w:cstheme="minorHAnsi"/>
                <w:szCs w:val="24"/>
              </w:rPr>
              <w:t xml:space="preserve"> </w:t>
            </w:r>
            <w:r w:rsidRPr="000E3C66" w:rsidR="007A017C">
              <w:rPr>
                <w:rFonts w:cstheme="minorHAnsi"/>
                <w:szCs w:val="24"/>
              </w:rPr>
              <w:t>had been</w:t>
            </w:r>
            <w:r w:rsidRPr="000E3C66" w:rsidR="00FF5F1D">
              <w:rPr>
                <w:rFonts w:cstheme="minorHAnsi"/>
                <w:szCs w:val="24"/>
              </w:rPr>
              <w:t xml:space="preserve"> sufficiently </w:t>
            </w:r>
            <w:r w:rsidRPr="000E3C66" w:rsidR="005319A4">
              <w:rPr>
                <w:rFonts w:cstheme="minorHAnsi"/>
                <w:szCs w:val="24"/>
              </w:rPr>
              <w:t>explanatory</w:t>
            </w:r>
            <w:r w:rsidRPr="000E3C66" w:rsidR="00FF5F1D">
              <w:rPr>
                <w:rFonts w:cstheme="minorHAnsi"/>
                <w:szCs w:val="24"/>
              </w:rPr>
              <w:t xml:space="preserve"> to </w:t>
            </w:r>
            <w:r w:rsidRPr="000E3C66" w:rsidR="00BE1521">
              <w:rPr>
                <w:rFonts w:cstheme="minorHAnsi"/>
                <w:szCs w:val="24"/>
              </w:rPr>
              <w:lastRenderedPageBreak/>
              <w:t xml:space="preserve">properly inform a Commission decision.  Nevertheless, </w:t>
            </w:r>
            <w:r w:rsidRPr="000E3C66" w:rsidR="00AB1A8F">
              <w:rPr>
                <w:rFonts w:cstheme="minorHAnsi"/>
                <w:szCs w:val="24"/>
              </w:rPr>
              <w:t xml:space="preserve">when the Commission determined that briefs were desired, A4NR </w:t>
            </w:r>
            <w:r w:rsidRPr="000E3C66" w:rsidR="007B3E18">
              <w:rPr>
                <w:rFonts w:cstheme="minorHAnsi"/>
                <w:szCs w:val="24"/>
              </w:rPr>
              <w:t xml:space="preserve">submitted </w:t>
            </w:r>
            <w:r w:rsidRPr="000E3C66" w:rsidR="00955E7F">
              <w:rPr>
                <w:rFonts w:cstheme="minorHAnsi"/>
                <w:szCs w:val="24"/>
              </w:rPr>
              <w:t xml:space="preserve">an Opening Brief summarizing the evidence and a Reply Brief </w:t>
            </w:r>
            <w:r w:rsidRPr="000E3C66" w:rsidR="00542FF0">
              <w:rPr>
                <w:rFonts w:cstheme="minorHAnsi"/>
                <w:szCs w:val="24"/>
              </w:rPr>
              <w:t>primarily</w:t>
            </w:r>
            <w:r w:rsidRPr="000E3C66" w:rsidR="00667E08">
              <w:rPr>
                <w:rFonts w:cstheme="minorHAnsi"/>
                <w:szCs w:val="24"/>
              </w:rPr>
              <w:t xml:space="preserve"> focused on arguments made in PG&amp;E’s Opening Brief.</w:t>
            </w:r>
            <w:r w:rsidRPr="000E3C66" w:rsidR="00285122">
              <w:rPr>
                <w:rFonts w:cstheme="minorHAnsi"/>
                <w:szCs w:val="24"/>
              </w:rPr>
              <w:t xml:space="preserve">  Where</w:t>
            </w:r>
            <w:r w:rsidRPr="000E3C66" w:rsidR="00FA77F9">
              <w:rPr>
                <w:rFonts w:cstheme="minorHAnsi"/>
                <w:szCs w:val="24"/>
              </w:rPr>
              <w:t>ver</w:t>
            </w:r>
            <w:r w:rsidRPr="000E3C66" w:rsidR="00285122">
              <w:rPr>
                <w:rFonts w:cstheme="minorHAnsi"/>
                <w:szCs w:val="24"/>
              </w:rPr>
              <w:t xml:space="preserve"> possible, A4NR </w:t>
            </w:r>
            <w:r w:rsidRPr="000E3C66" w:rsidR="00403A7C">
              <w:rPr>
                <w:rFonts w:cstheme="minorHAnsi"/>
                <w:szCs w:val="24"/>
              </w:rPr>
              <w:t xml:space="preserve">attempted to streamline its </w:t>
            </w:r>
            <w:r w:rsidRPr="000E3C66" w:rsidR="006214CB">
              <w:rPr>
                <w:rFonts w:cstheme="minorHAnsi"/>
                <w:szCs w:val="24"/>
              </w:rPr>
              <w:t xml:space="preserve">participation </w:t>
            </w:r>
            <w:r w:rsidRPr="000E3C66" w:rsidR="00C87F75">
              <w:rPr>
                <w:rFonts w:cstheme="minorHAnsi"/>
                <w:szCs w:val="24"/>
              </w:rPr>
              <w:t>in R.23</w:t>
            </w:r>
            <w:r w:rsidRPr="000E3C66" w:rsidR="00F949CB">
              <w:rPr>
                <w:rFonts w:cstheme="minorHAnsi"/>
                <w:szCs w:val="24"/>
              </w:rPr>
              <w:noBreakHyphen/>
            </w:r>
            <w:r w:rsidRPr="000E3C66" w:rsidR="00C87F75">
              <w:rPr>
                <w:rFonts w:cstheme="minorHAnsi"/>
                <w:szCs w:val="24"/>
              </w:rPr>
              <w:t>01</w:t>
            </w:r>
            <w:r w:rsidRPr="000E3C66" w:rsidR="00F949CB">
              <w:rPr>
                <w:rFonts w:cstheme="minorHAnsi"/>
                <w:szCs w:val="24"/>
              </w:rPr>
              <w:noBreakHyphen/>
            </w:r>
            <w:r w:rsidRPr="000E3C66" w:rsidR="00C87F75">
              <w:rPr>
                <w:rFonts w:cstheme="minorHAnsi"/>
                <w:szCs w:val="24"/>
              </w:rPr>
              <w:t xml:space="preserve">007 in recognition of the </w:t>
            </w:r>
            <w:r w:rsidRPr="000E3C66" w:rsidR="00590D9D">
              <w:rPr>
                <w:rFonts w:cstheme="minorHAnsi"/>
                <w:szCs w:val="24"/>
              </w:rPr>
              <w:t>priority the Commission places on efficiency.</w:t>
            </w:r>
            <w:r w:rsidRPr="000E3C66" w:rsidR="00955E7F">
              <w:rPr>
                <w:rFonts w:cstheme="minorHAnsi"/>
                <w:szCs w:val="24"/>
              </w:rPr>
              <w:t xml:space="preserve"> </w:t>
            </w:r>
            <w:r w:rsidRPr="000E3C66" w:rsidR="00561BF2">
              <w:rPr>
                <w:rFonts w:cstheme="minorHAnsi"/>
                <w:szCs w:val="24"/>
              </w:rPr>
              <w:t xml:space="preserve"> </w:t>
            </w:r>
          </w:p>
          <w:p w:rsidRPr="000E3C66" w:rsidR="004E301F" w:rsidP="00E37328" w:rsidRDefault="00C975F9" w14:paraId="33690C8E" w14:textId="6C10F587">
            <w:pPr>
              <w:pStyle w:val="ListParagraph"/>
              <w:spacing w:after="240"/>
              <w:ind w:left="0"/>
              <w:rPr>
                <w:rFonts w:cstheme="minorHAnsi"/>
                <w:szCs w:val="24"/>
              </w:rPr>
            </w:pPr>
            <w:r w:rsidRPr="000E3C66">
              <w:rPr>
                <w:rFonts w:cstheme="minorHAnsi"/>
                <w:szCs w:val="24"/>
              </w:rPr>
              <w:t>It was imperative</w:t>
            </w:r>
            <w:r w:rsidRPr="000E3C66" w:rsidR="00003B4E">
              <w:rPr>
                <w:rFonts w:cstheme="minorHAnsi"/>
                <w:szCs w:val="24"/>
              </w:rPr>
              <w:t>,</w:t>
            </w:r>
            <w:r w:rsidRPr="000E3C66">
              <w:rPr>
                <w:rFonts w:cstheme="minorHAnsi"/>
                <w:szCs w:val="24"/>
              </w:rPr>
              <w:t xml:space="preserve"> and reasonable</w:t>
            </w:r>
            <w:r w:rsidRPr="000E3C66" w:rsidR="00003B4E">
              <w:rPr>
                <w:rFonts w:cstheme="minorHAnsi"/>
                <w:szCs w:val="24"/>
              </w:rPr>
              <w:t>,</w:t>
            </w:r>
            <w:r w:rsidRPr="000E3C66">
              <w:rPr>
                <w:rFonts w:cstheme="minorHAnsi"/>
                <w:szCs w:val="24"/>
              </w:rPr>
              <w:t xml:space="preserve"> for A4NR to begin </w:t>
            </w:r>
            <w:r w:rsidRPr="000E3C66" w:rsidR="003714EB">
              <w:rPr>
                <w:rFonts w:cstheme="minorHAnsi"/>
                <w:szCs w:val="24"/>
              </w:rPr>
              <w:t xml:space="preserve">its </w:t>
            </w:r>
            <w:r w:rsidRPr="000E3C66">
              <w:rPr>
                <w:rFonts w:cstheme="minorHAnsi"/>
                <w:szCs w:val="24"/>
              </w:rPr>
              <w:t xml:space="preserve">preparation in 2022 </w:t>
            </w:r>
            <w:r w:rsidRPr="000E3C66" w:rsidR="00DC21A6">
              <w:rPr>
                <w:rFonts w:cstheme="minorHAnsi"/>
                <w:szCs w:val="24"/>
              </w:rPr>
              <w:t>when</w:t>
            </w:r>
            <w:r w:rsidRPr="000E3C66">
              <w:rPr>
                <w:rFonts w:cstheme="minorHAnsi"/>
                <w:szCs w:val="24"/>
              </w:rPr>
              <w:t xml:space="preserve"> Governor Newsom publicly announced his plan to pursue extension of the existing Diablo Canyon retirement dates.  A4NR</w:t>
            </w:r>
            <w:r w:rsidRPr="000E3C66" w:rsidR="00BE07B6">
              <w:rPr>
                <w:rFonts w:cstheme="minorHAnsi"/>
                <w:szCs w:val="24"/>
              </w:rPr>
              <w:t xml:space="preserve"> accurately recognized</w:t>
            </w:r>
            <w:r w:rsidRPr="000E3C66">
              <w:rPr>
                <w:rFonts w:cstheme="minorHAnsi"/>
                <w:szCs w:val="24"/>
              </w:rPr>
              <w:t xml:space="preserve"> that this policy sea change would require </w:t>
            </w:r>
            <w:r w:rsidRPr="000E3C66" w:rsidR="003641F0">
              <w:rPr>
                <w:rFonts w:cstheme="minorHAnsi"/>
                <w:szCs w:val="24"/>
              </w:rPr>
              <w:t>substantial</w:t>
            </w:r>
            <w:r w:rsidRPr="000E3C66" w:rsidR="00876A14">
              <w:rPr>
                <w:rFonts w:cstheme="minorHAnsi"/>
                <w:szCs w:val="24"/>
              </w:rPr>
              <w:t xml:space="preserve"> evaluation of </w:t>
            </w:r>
            <w:r w:rsidRPr="000E3C66" w:rsidR="00AF3879">
              <w:rPr>
                <w:rFonts w:cstheme="minorHAnsi"/>
                <w:szCs w:val="24"/>
              </w:rPr>
              <w:t xml:space="preserve">the </w:t>
            </w:r>
            <w:r w:rsidRPr="000E3C66" w:rsidR="00C36BA5">
              <w:rPr>
                <w:rFonts w:cstheme="minorHAnsi"/>
                <w:szCs w:val="24"/>
              </w:rPr>
              <w:t xml:space="preserve">incremental costs </w:t>
            </w:r>
            <w:r w:rsidRPr="000E3C66" w:rsidR="00B95833">
              <w:rPr>
                <w:rFonts w:cstheme="minorHAnsi"/>
                <w:szCs w:val="24"/>
              </w:rPr>
              <w:t xml:space="preserve">necessary to operate each unit </w:t>
            </w:r>
            <w:r w:rsidRPr="000E3C66" w:rsidR="00692D16">
              <w:rPr>
                <w:rFonts w:cstheme="minorHAnsi"/>
                <w:szCs w:val="24"/>
              </w:rPr>
              <w:t xml:space="preserve">for </w:t>
            </w:r>
            <w:r w:rsidRPr="000E3C66" w:rsidR="00B95833">
              <w:rPr>
                <w:rFonts w:cstheme="minorHAnsi"/>
                <w:szCs w:val="24"/>
              </w:rPr>
              <w:t>an additional five years.</w:t>
            </w:r>
            <w:r w:rsidRPr="000E3C66" w:rsidR="00FF48DC">
              <w:rPr>
                <w:rFonts w:cstheme="minorHAnsi"/>
                <w:szCs w:val="24"/>
              </w:rPr>
              <w:t xml:space="preserve"> The June 2022 DCISC meeting</w:t>
            </w:r>
            <w:r w:rsidRPr="000E3C66" w:rsidR="00856292">
              <w:rPr>
                <w:rFonts w:cstheme="minorHAnsi"/>
                <w:szCs w:val="24"/>
              </w:rPr>
              <w:t xml:space="preserve">, in which A4NR </w:t>
            </w:r>
            <w:r w:rsidRPr="000E3C66" w:rsidR="008D2592">
              <w:rPr>
                <w:rFonts w:cstheme="minorHAnsi"/>
                <w:szCs w:val="24"/>
              </w:rPr>
              <w:t>participated,</w:t>
            </w:r>
            <w:r w:rsidRPr="000E3C66" w:rsidR="00FF48DC">
              <w:rPr>
                <w:rFonts w:cstheme="minorHAnsi"/>
                <w:szCs w:val="24"/>
              </w:rPr>
              <w:t xml:space="preserve"> began a compi</w:t>
            </w:r>
            <w:r w:rsidRPr="000E3C66" w:rsidR="00334522">
              <w:rPr>
                <w:rFonts w:cstheme="minorHAnsi"/>
                <w:szCs w:val="24"/>
              </w:rPr>
              <w:t xml:space="preserve">lation of the list of likely candidates </w:t>
            </w:r>
            <w:r w:rsidRPr="000E3C66" w:rsidR="00402DA6">
              <w:rPr>
                <w:rFonts w:cstheme="minorHAnsi"/>
                <w:szCs w:val="24"/>
              </w:rPr>
              <w:t xml:space="preserve">for new investment, and </w:t>
            </w:r>
            <w:r w:rsidRPr="000E3C66" w:rsidR="00104B61">
              <w:rPr>
                <w:rFonts w:cstheme="minorHAnsi"/>
                <w:szCs w:val="24"/>
              </w:rPr>
              <w:t xml:space="preserve">these considerations predictably became </w:t>
            </w:r>
            <w:r w:rsidRPr="000E3C66" w:rsidR="00BD3E13">
              <w:rPr>
                <w:rFonts w:cstheme="minorHAnsi"/>
                <w:szCs w:val="24"/>
              </w:rPr>
              <w:t xml:space="preserve">prominent features of </w:t>
            </w:r>
            <w:r w:rsidR="00813231">
              <w:rPr>
                <w:rFonts w:cstheme="minorHAnsi"/>
                <w:szCs w:val="24"/>
              </w:rPr>
              <w:t>SB </w:t>
            </w:r>
            <w:r w:rsidRPr="000E3C66" w:rsidR="00BD3E13">
              <w:rPr>
                <w:rFonts w:cstheme="minorHAnsi"/>
                <w:szCs w:val="24"/>
              </w:rPr>
              <w:t>846.</w:t>
            </w:r>
            <w:r w:rsidRPr="000E3C66" w:rsidR="003641F0">
              <w:rPr>
                <w:rFonts w:cstheme="minorHAnsi"/>
                <w:szCs w:val="24"/>
              </w:rPr>
              <w:t xml:space="preserve"> </w:t>
            </w:r>
            <w:r w:rsidRPr="000E3C66" w:rsidR="00855378">
              <w:rPr>
                <w:rFonts w:cstheme="minorHAnsi"/>
                <w:szCs w:val="24"/>
              </w:rPr>
              <w:t xml:space="preserve">Knowledge gained from these </w:t>
            </w:r>
            <w:r w:rsidRPr="000E3C66" w:rsidR="00003C0C">
              <w:rPr>
                <w:rFonts w:cstheme="minorHAnsi"/>
                <w:szCs w:val="24"/>
              </w:rPr>
              <w:t>focused</w:t>
            </w:r>
            <w:r w:rsidRPr="000E3C66" w:rsidR="00855378">
              <w:rPr>
                <w:rFonts w:cstheme="minorHAnsi"/>
                <w:szCs w:val="24"/>
              </w:rPr>
              <w:t xml:space="preserve"> efforts</w:t>
            </w:r>
            <w:r w:rsidRPr="000E3C66" w:rsidR="00FE2E3E">
              <w:rPr>
                <w:rFonts w:cstheme="minorHAnsi"/>
                <w:szCs w:val="24"/>
              </w:rPr>
              <w:t xml:space="preserve"> in 2022</w:t>
            </w:r>
            <w:r w:rsidRPr="000E3C66" w:rsidR="00855378">
              <w:rPr>
                <w:rFonts w:cstheme="minorHAnsi"/>
                <w:szCs w:val="24"/>
              </w:rPr>
              <w:t xml:space="preserve"> established the foundation for </w:t>
            </w:r>
            <w:r w:rsidRPr="000E3C66" w:rsidR="00E25E11">
              <w:rPr>
                <w:rFonts w:cstheme="minorHAnsi"/>
                <w:szCs w:val="24"/>
              </w:rPr>
              <w:t xml:space="preserve">the </w:t>
            </w:r>
            <w:r w:rsidRPr="000E3C66" w:rsidR="00855378">
              <w:rPr>
                <w:rFonts w:cstheme="minorHAnsi"/>
                <w:szCs w:val="24"/>
              </w:rPr>
              <w:t xml:space="preserve">A4NR </w:t>
            </w:r>
            <w:r w:rsidRPr="000E3C66" w:rsidR="00E25E11">
              <w:rPr>
                <w:rFonts w:cstheme="minorHAnsi"/>
                <w:szCs w:val="24"/>
              </w:rPr>
              <w:t>c</w:t>
            </w:r>
            <w:r w:rsidRPr="000E3C66" w:rsidR="00855378">
              <w:rPr>
                <w:rFonts w:cstheme="minorHAnsi"/>
                <w:szCs w:val="24"/>
              </w:rPr>
              <w:t>ontributions</w:t>
            </w:r>
            <w:r w:rsidRPr="000E3C66" w:rsidR="00F03B03">
              <w:rPr>
                <w:rFonts w:cstheme="minorHAnsi"/>
                <w:szCs w:val="24"/>
              </w:rPr>
              <w:t xml:space="preserve"> on </w:t>
            </w:r>
            <w:r w:rsidRPr="000E3C66" w:rsidR="004D0193">
              <w:rPr>
                <w:rFonts w:cstheme="minorHAnsi"/>
                <w:szCs w:val="24"/>
              </w:rPr>
              <w:t xml:space="preserve">cost issues identified in </w:t>
            </w:r>
            <w:r w:rsidRPr="000E3C66" w:rsidR="000E3C66">
              <w:rPr>
                <w:rFonts w:cstheme="minorHAnsi"/>
                <w:szCs w:val="24"/>
              </w:rPr>
              <w:t>Part II.A</w:t>
            </w:r>
            <w:r w:rsidRPr="000E3C66" w:rsidR="002169D5">
              <w:rPr>
                <w:rFonts w:cstheme="minorHAnsi"/>
                <w:szCs w:val="24"/>
              </w:rPr>
              <w:t>. above</w:t>
            </w:r>
            <w:r w:rsidRPr="000E3C66" w:rsidR="003A7DBF">
              <w:rPr>
                <w:rFonts w:cstheme="minorHAnsi"/>
                <w:szCs w:val="24"/>
              </w:rPr>
              <w:t>.</w:t>
            </w:r>
            <w:r w:rsidRPr="000E3C66" w:rsidR="00F872D8">
              <w:rPr>
                <w:rFonts w:cstheme="minorHAnsi"/>
                <w:szCs w:val="24"/>
              </w:rPr>
              <w:t xml:space="preserve"> </w:t>
            </w:r>
          </w:p>
          <w:p w:rsidRPr="000E3C66" w:rsidR="00691528" w:rsidP="00E37328" w:rsidRDefault="005C22EF" w14:paraId="694F0B63" w14:textId="500CB31E">
            <w:pPr>
              <w:pStyle w:val="ListParagraph"/>
              <w:spacing w:after="240"/>
              <w:ind w:left="0"/>
            </w:pPr>
            <w:r w:rsidRPr="000E3C66">
              <w:rPr>
                <w:rFonts w:cstheme="minorHAnsi"/>
                <w:szCs w:val="24"/>
              </w:rPr>
              <w:t xml:space="preserve">Consistent with </w:t>
            </w:r>
            <w:r w:rsidRPr="000E3C66" w:rsidR="00AE4FEE">
              <w:rPr>
                <w:rFonts w:cstheme="minorHAnsi"/>
                <w:szCs w:val="24"/>
              </w:rPr>
              <w:t>Pub. Util.</w:t>
            </w:r>
            <w:r w:rsidRPr="000E3C66">
              <w:rPr>
                <w:rFonts w:cstheme="minorHAnsi"/>
                <w:szCs w:val="24"/>
              </w:rPr>
              <w:t xml:space="preserve"> Code </w:t>
            </w:r>
            <w:r w:rsidRPr="000E3C66" w:rsidR="00885CF8">
              <w:rPr>
                <w:rFonts w:cstheme="minorHAnsi"/>
                <w:szCs w:val="24"/>
              </w:rPr>
              <w:t>Sections </w:t>
            </w:r>
            <w:r w:rsidRPr="000E3C66">
              <w:rPr>
                <w:rFonts w:cstheme="minorHAnsi"/>
                <w:szCs w:val="24"/>
              </w:rPr>
              <w:t xml:space="preserve">1801 and 1802(a), A4NR seeks compensation for its reasonable “costs of preparation for and participation in” the </w:t>
            </w:r>
            <w:r w:rsidRPr="000E3C66" w:rsidR="00D94054">
              <w:rPr>
                <w:rFonts w:cstheme="minorHAnsi"/>
                <w:szCs w:val="24"/>
              </w:rPr>
              <w:t>R.23</w:t>
            </w:r>
            <w:r w:rsidRPr="000E3C66" w:rsidR="00F949CB">
              <w:rPr>
                <w:rFonts w:cstheme="minorHAnsi"/>
                <w:szCs w:val="24"/>
              </w:rPr>
              <w:noBreakHyphen/>
            </w:r>
            <w:r w:rsidRPr="000E3C66" w:rsidR="00D94054">
              <w:rPr>
                <w:rFonts w:cstheme="minorHAnsi"/>
                <w:szCs w:val="24"/>
              </w:rPr>
              <w:t>01</w:t>
            </w:r>
            <w:r w:rsidRPr="000E3C66" w:rsidR="00F949CB">
              <w:rPr>
                <w:rFonts w:cstheme="minorHAnsi"/>
                <w:szCs w:val="24"/>
              </w:rPr>
              <w:noBreakHyphen/>
            </w:r>
            <w:r w:rsidRPr="000E3C66" w:rsidR="00D94054">
              <w:rPr>
                <w:rFonts w:cstheme="minorHAnsi"/>
                <w:szCs w:val="24"/>
              </w:rPr>
              <w:t xml:space="preserve">007 </w:t>
            </w:r>
            <w:r w:rsidRPr="000E3C66">
              <w:rPr>
                <w:rFonts w:cstheme="minorHAnsi"/>
                <w:szCs w:val="24"/>
              </w:rPr>
              <w:t>proceeding</w:t>
            </w:r>
            <w:r w:rsidRPr="000E3C66" w:rsidR="00C43FAE">
              <w:rPr>
                <w:rFonts w:cstheme="minorHAnsi"/>
                <w:szCs w:val="24"/>
              </w:rPr>
              <w:t>,</w:t>
            </w:r>
            <w:r w:rsidRPr="000E3C66">
              <w:rPr>
                <w:rFonts w:cstheme="minorHAnsi"/>
                <w:szCs w:val="24"/>
              </w:rPr>
              <w:t xml:space="preserve"> </w:t>
            </w:r>
            <w:r w:rsidRPr="000E3C66" w:rsidR="00C43FAE">
              <w:rPr>
                <w:rFonts w:cstheme="minorHAnsi"/>
                <w:szCs w:val="24"/>
              </w:rPr>
              <w:t>and</w:t>
            </w:r>
            <w:r w:rsidRPr="000E3C66">
              <w:rPr>
                <w:rFonts w:cstheme="minorHAnsi"/>
                <w:szCs w:val="24"/>
              </w:rPr>
              <w:t xml:space="preserve"> Rule 14.4(d) expressly authorizes compensation requests to include reasonable costs incurred prior to the </w:t>
            </w:r>
            <w:r w:rsidRPr="000E3C66" w:rsidR="00786A23">
              <w:rPr>
                <w:rFonts w:cstheme="minorHAnsi"/>
                <w:szCs w:val="24"/>
              </w:rPr>
              <w:t xml:space="preserve">formal </w:t>
            </w:r>
            <w:r w:rsidRPr="000E3C66">
              <w:rPr>
                <w:rFonts w:cstheme="minorHAnsi"/>
                <w:szCs w:val="24"/>
              </w:rPr>
              <w:t>start of a proceeding</w:t>
            </w:r>
            <w:r w:rsidRPr="000E3C66" w:rsidR="001953D3">
              <w:rPr>
                <w:rFonts w:cstheme="minorHAnsi"/>
                <w:szCs w:val="24"/>
              </w:rPr>
              <w:t>.</w:t>
            </w:r>
            <w:r w:rsidRPr="000E3C66">
              <w:rPr>
                <w:rFonts w:cstheme="minorHAnsi"/>
                <w:szCs w:val="24"/>
              </w:rPr>
              <w:t xml:space="preserve"> </w:t>
            </w:r>
            <w:r w:rsidRPr="000E3C66" w:rsidR="00330C5E">
              <w:rPr>
                <w:rFonts w:cstheme="minorHAnsi"/>
                <w:szCs w:val="24"/>
              </w:rPr>
              <w:t>The</w:t>
            </w:r>
            <w:r w:rsidRPr="000E3C66" w:rsidR="00F776DB">
              <w:rPr>
                <w:rFonts w:cstheme="minorHAnsi"/>
                <w:szCs w:val="24"/>
              </w:rPr>
              <w:t xml:space="preserve"> </w:t>
            </w:r>
            <w:r w:rsidRPr="000E3C66" w:rsidR="000A6B5A">
              <w:rPr>
                <w:rFonts w:cstheme="minorHAnsi"/>
                <w:szCs w:val="24"/>
              </w:rPr>
              <w:t>$2.8</w:t>
            </w:r>
            <w:r w:rsidRPr="000E3C66" w:rsidR="003C1828">
              <w:rPr>
                <w:rFonts w:cstheme="minorHAnsi"/>
                <w:szCs w:val="24"/>
              </w:rPr>
              <w:t> billion</w:t>
            </w:r>
            <w:r w:rsidRPr="000E3C66" w:rsidR="000A6B5A">
              <w:rPr>
                <w:rFonts w:cstheme="minorHAnsi"/>
                <w:szCs w:val="24"/>
              </w:rPr>
              <w:t xml:space="preserve"> </w:t>
            </w:r>
            <w:r w:rsidRPr="000E3C66" w:rsidR="00F776DB">
              <w:rPr>
                <w:rFonts w:cstheme="minorHAnsi"/>
                <w:szCs w:val="24"/>
              </w:rPr>
              <w:t xml:space="preserve">magnitude of </w:t>
            </w:r>
            <w:r w:rsidRPr="000E3C66" w:rsidR="007E761A">
              <w:rPr>
                <w:rFonts w:cstheme="minorHAnsi"/>
                <w:szCs w:val="24"/>
              </w:rPr>
              <w:t xml:space="preserve">forced revision to </w:t>
            </w:r>
            <w:r w:rsidRPr="000E3C66" w:rsidR="00F776DB">
              <w:rPr>
                <w:rFonts w:cstheme="minorHAnsi"/>
                <w:szCs w:val="24"/>
              </w:rPr>
              <w:t>PG</w:t>
            </w:r>
            <w:r w:rsidRPr="000E3C66" w:rsidR="00DC45C3">
              <w:rPr>
                <w:rFonts w:cstheme="minorHAnsi"/>
                <w:szCs w:val="24"/>
              </w:rPr>
              <w:t>&amp;E</w:t>
            </w:r>
            <w:r w:rsidRPr="000E3C66" w:rsidR="001312F4">
              <w:rPr>
                <w:rFonts w:cstheme="minorHAnsi"/>
                <w:szCs w:val="24"/>
              </w:rPr>
              <w:t>’s</w:t>
            </w:r>
            <w:r w:rsidRPr="000E3C66" w:rsidR="00D01A89">
              <w:rPr>
                <w:rFonts w:cstheme="minorHAnsi"/>
                <w:szCs w:val="24"/>
              </w:rPr>
              <w:t xml:space="preserve"> </w:t>
            </w:r>
            <w:r w:rsidRPr="000E3C66" w:rsidR="006B6841">
              <w:rPr>
                <w:rFonts w:cstheme="minorHAnsi"/>
                <w:szCs w:val="24"/>
              </w:rPr>
              <w:t xml:space="preserve">original </w:t>
            </w:r>
            <w:r w:rsidRPr="000E3C66" w:rsidR="00D01A89">
              <w:rPr>
                <w:rFonts w:cstheme="minorHAnsi"/>
                <w:szCs w:val="24"/>
              </w:rPr>
              <w:t>estimate</w:t>
            </w:r>
            <w:r w:rsidRPr="000E3C66" w:rsidR="00DC45C3">
              <w:rPr>
                <w:rFonts w:cstheme="minorHAnsi"/>
                <w:szCs w:val="24"/>
              </w:rPr>
              <w:t xml:space="preserve"> of $</w:t>
            </w:r>
            <w:r w:rsidRPr="000E3C66" w:rsidR="00195224">
              <w:rPr>
                <w:rFonts w:cstheme="minorHAnsi"/>
                <w:szCs w:val="24"/>
              </w:rPr>
              <w:t>5.2</w:t>
            </w:r>
            <w:r w:rsidRPr="000E3C66" w:rsidR="003C1828">
              <w:rPr>
                <w:rFonts w:cstheme="minorHAnsi"/>
                <w:szCs w:val="24"/>
              </w:rPr>
              <w:t> billion</w:t>
            </w:r>
            <w:r w:rsidRPr="000E3C66" w:rsidR="00DC45C3">
              <w:rPr>
                <w:rFonts w:cstheme="minorHAnsi"/>
                <w:szCs w:val="24"/>
              </w:rPr>
              <w:t xml:space="preserve"> </w:t>
            </w:r>
            <w:r w:rsidRPr="000E3C66" w:rsidR="00103EBC">
              <w:rPr>
                <w:rFonts w:cstheme="minorHAnsi"/>
                <w:szCs w:val="24"/>
              </w:rPr>
              <w:t xml:space="preserve">in ratepayer </w:t>
            </w:r>
            <w:r w:rsidRPr="000E3C66" w:rsidR="00477602">
              <w:rPr>
                <w:rFonts w:cstheme="minorHAnsi"/>
                <w:szCs w:val="24"/>
              </w:rPr>
              <w:t xml:space="preserve">costs for the </w:t>
            </w:r>
            <w:r w:rsidRPr="000E3C66" w:rsidR="005D6C3A">
              <w:rPr>
                <w:rFonts w:cstheme="minorHAnsi"/>
                <w:szCs w:val="24"/>
              </w:rPr>
              <w:t>five</w:t>
            </w:r>
            <w:r w:rsidRPr="000E3C66" w:rsidR="00F949CB">
              <w:rPr>
                <w:rFonts w:cstheme="minorHAnsi"/>
                <w:szCs w:val="24"/>
              </w:rPr>
              <w:noBreakHyphen/>
            </w:r>
            <w:r w:rsidRPr="000E3C66" w:rsidR="005D6C3A">
              <w:rPr>
                <w:rFonts w:cstheme="minorHAnsi"/>
                <w:szCs w:val="24"/>
              </w:rPr>
              <w:t>year Diablo Canyon</w:t>
            </w:r>
            <w:r w:rsidRPr="000E3C66" w:rsidR="007127FE">
              <w:rPr>
                <w:rFonts w:cstheme="minorHAnsi"/>
                <w:szCs w:val="24"/>
              </w:rPr>
              <w:t xml:space="preserve"> extension </w:t>
            </w:r>
            <w:r w:rsidRPr="000E3C66" w:rsidR="007F52FE">
              <w:rPr>
                <w:rFonts w:cstheme="minorHAnsi"/>
                <w:szCs w:val="24"/>
              </w:rPr>
              <w:t>confirm</w:t>
            </w:r>
            <w:r w:rsidRPr="000E3C66" w:rsidR="004A29A5">
              <w:rPr>
                <w:rFonts w:cstheme="minorHAnsi"/>
                <w:szCs w:val="24"/>
              </w:rPr>
              <w:t>s</w:t>
            </w:r>
            <w:r w:rsidRPr="000E3C66" w:rsidR="00F6704A">
              <w:rPr>
                <w:rFonts w:cstheme="minorHAnsi"/>
                <w:szCs w:val="24"/>
              </w:rPr>
              <w:t xml:space="preserve"> the reasonableness of </w:t>
            </w:r>
            <w:r w:rsidRPr="000E3C66" w:rsidR="007F52FE">
              <w:rPr>
                <w:rFonts w:cstheme="minorHAnsi"/>
                <w:szCs w:val="24"/>
              </w:rPr>
              <w:t>the scale of effort m</w:t>
            </w:r>
            <w:r w:rsidRPr="000E3C66" w:rsidR="009C015A">
              <w:rPr>
                <w:rFonts w:cstheme="minorHAnsi"/>
                <w:szCs w:val="24"/>
              </w:rPr>
              <w:t>ounted</w:t>
            </w:r>
            <w:r w:rsidRPr="000E3C66" w:rsidR="007F52FE">
              <w:rPr>
                <w:rFonts w:cstheme="minorHAnsi"/>
                <w:szCs w:val="24"/>
              </w:rPr>
              <w:t xml:space="preserve"> by A4NR </w:t>
            </w:r>
            <w:r w:rsidRPr="000E3C66" w:rsidR="00892116">
              <w:rPr>
                <w:rFonts w:cstheme="minorHAnsi"/>
                <w:szCs w:val="24"/>
              </w:rPr>
              <w:t>in 2022 and 2023</w:t>
            </w:r>
            <w:r w:rsidRPr="000E3C66" w:rsidR="006456C2">
              <w:rPr>
                <w:rFonts w:cstheme="minorHAnsi"/>
                <w:szCs w:val="24"/>
              </w:rPr>
              <w:t>.  The success of that effort helped</w:t>
            </w:r>
            <w:r w:rsidRPr="000E3C66" w:rsidR="00892116">
              <w:rPr>
                <w:rFonts w:cstheme="minorHAnsi"/>
                <w:szCs w:val="24"/>
              </w:rPr>
              <w:t xml:space="preserve"> </w:t>
            </w:r>
            <w:r w:rsidRPr="000E3C66" w:rsidR="007F52FE">
              <w:rPr>
                <w:rFonts w:cstheme="minorHAnsi"/>
                <w:szCs w:val="24"/>
              </w:rPr>
              <w:t xml:space="preserve">to prevent </w:t>
            </w:r>
            <w:r w:rsidRPr="000E3C66" w:rsidR="007714E1">
              <w:rPr>
                <w:rFonts w:cstheme="minorHAnsi"/>
                <w:szCs w:val="24"/>
              </w:rPr>
              <w:t xml:space="preserve">what would have been </w:t>
            </w:r>
            <w:r w:rsidRPr="000E3C66" w:rsidR="008454CB">
              <w:rPr>
                <w:rFonts w:cstheme="minorHAnsi"/>
                <w:szCs w:val="24"/>
              </w:rPr>
              <w:t xml:space="preserve">unfounded </w:t>
            </w:r>
            <w:r w:rsidRPr="000E3C66" w:rsidR="00EE5278">
              <w:rPr>
                <w:rFonts w:cstheme="minorHAnsi"/>
                <w:szCs w:val="24"/>
              </w:rPr>
              <w:t xml:space="preserve">Commission </w:t>
            </w:r>
            <w:r w:rsidRPr="000E3C66" w:rsidR="00021A1F">
              <w:rPr>
                <w:rFonts w:cstheme="minorHAnsi"/>
                <w:szCs w:val="24"/>
              </w:rPr>
              <w:t>conclusions</w:t>
            </w:r>
            <w:r w:rsidRPr="000E3C66" w:rsidR="004A58CD">
              <w:rPr>
                <w:rFonts w:cstheme="minorHAnsi"/>
                <w:szCs w:val="24"/>
              </w:rPr>
              <w:t xml:space="preserve"> in D.23</w:t>
            </w:r>
            <w:r w:rsidRPr="000E3C66" w:rsidR="00F949CB">
              <w:rPr>
                <w:rFonts w:cstheme="minorHAnsi"/>
                <w:szCs w:val="24"/>
              </w:rPr>
              <w:noBreakHyphen/>
            </w:r>
            <w:r w:rsidRPr="000E3C66" w:rsidR="004A58CD">
              <w:rPr>
                <w:rFonts w:cstheme="minorHAnsi"/>
                <w:szCs w:val="24"/>
              </w:rPr>
              <w:t>12</w:t>
            </w:r>
            <w:r w:rsidRPr="000E3C66" w:rsidR="00F949CB">
              <w:rPr>
                <w:rFonts w:cstheme="minorHAnsi"/>
                <w:szCs w:val="24"/>
              </w:rPr>
              <w:noBreakHyphen/>
            </w:r>
            <w:r w:rsidRPr="000E3C66" w:rsidR="004A58CD">
              <w:rPr>
                <w:rFonts w:cstheme="minorHAnsi"/>
                <w:szCs w:val="24"/>
              </w:rPr>
              <w:t>036</w:t>
            </w:r>
            <w:r w:rsidRPr="000E3C66" w:rsidR="00EE5278">
              <w:rPr>
                <w:rFonts w:cstheme="minorHAnsi"/>
                <w:szCs w:val="24"/>
              </w:rPr>
              <w:t xml:space="preserve"> about </w:t>
            </w:r>
            <w:r w:rsidRPr="000E3C66" w:rsidR="00992EE1">
              <w:rPr>
                <w:rFonts w:cstheme="minorHAnsi"/>
                <w:szCs w:val="24"/>
              </w:rPr>
              <w:t xml:space="preserve">the </w:t>
            </w:r>
            <w:r w:rsidRPr="000E3C66" w:rsidR="003404C5">
              <w:rPr>
                <w:rFonts w:cstheme="minorHAnsi"/>
                <w:szCs w:val="24"/>
              </w:rPr>
              <w:t xml:space="preserve">Diablo Canyon </w:t>
            </w:r>
            <w:r w:rsidRPr="000E3C66" w:rsidR="00992EE1">
              <w:rPr>
                <w:rFonts w:cstheme="minorHAnsi"/>
                <w:szCs w:val="24"/>
              </w:rPr>
              <w:t>extension’s reasonableness, prudence, or cost</w:t>
            </w:r>
            <w:r w:rsidRPr="000E3C66" w:rsidR="00F949CB">
              <w:rPr>
                <w:rFonts w:cstheme="minorHAnsi"/>
                <w:szCs w:val="24"/>
              </w:rPr>
              <w:noBreakHyphen/>
            </w:r>
            <w:r w:rsidRPr="000E3C66" w:rsidR="00992EE1">
              <w:rPr>
                <w:rFonts w:cstheme="minorHAnsi"/>
                <w:szCs w:val="24"/>
              </w:rPr>
              <w:t xml:space="preserve">effectiveness.  </w:t>
            </w:r>
            <w:r w:rsidRPr="000E3C66" w:rsidR="00DD27E7">
              <w:rPr>
                <w:rFonts w:cstheme="minorHAnsi"/>
                <w:szCs w:val="24"/>
              </w:rPr>
              <w:t>Accordingly, t</w:t>
            </w:r>
            <w:r w:rsidRPr="000E3C66" w:rsidR="004C720D">
              <w:rPr>
                <w:rFonts w:cstheme="minorHAnsi"/>
                <w:szCs w:val="24"/>
              </w:rPr>
              <w:t xml:space="preserve">he Commission should find </w:t>
            </w:r>
            <w:r w:rsidRPr="000E3C66" w:rsidR="00962AC0">
              <w:rPr>
                <w:rFonts w:cstheme="minorHAnsi"/>
                <w:szCs w:val="24"/>
              </w:rPr>
              <w:t>A4NR’s</w:t>
            </w:r>
            <w:r w:rsidRPr="000E3C66" w:rsidR="004C720D">
              <w:rPr>
                <w:rFonts w:cstheme="minorHAnsi"/>
                <w:szCs w:val="24"/>
              </w:rPr>
              <w:t xml:space="preserve"> hours reasonable</w:t>
            </w:r>
            <w:r w:rsidRPr="000E3C66" w:rsidR="00BA4E85">
              <w:rPr>
                <w:rFonts w:cstheme="minorHAnsi"/>
                <w:szCs w:val="24"/>
              </w:rPr>
              <w:t xml:space="preserve"> and proportionate to the </w:t>
            </w:r>
            <w:r w:rsidRPr="000E3C66" w:rsidR="00653CB2">
              <w:rPr>
                <w:rFonts w:cstheme="minorHAnsi"/>
                <w:szCs w:val="24"/>
              </w:rPr>
              <w:t xml:space="preserve">cost </w:t>
            </w:r>
            <w:r w:rsidRPr="000E3C66" w:rsidR="00AF2BF9">
              <w:rPr>
                <w:rFonts w:cstheme="minorHAnsi"/>
                <w:szCs w:val="24"/>
              </w:rPr>
              <w:t>exposure</w:t>
            </w:r>
            <w:r w:rsidRPr="000E3C66" w:rsidR="009652C9">
              <w:rPr>
                <w:rFonts w:cstheme="minorHAnsi"/>
                <w:szCs w:val="24"/>
              </w:rPr>
              <w:t xml:space="preserve"> faced by ratepayers statewide</w:t>
            </w:r>
            <w:r w:rsidRPr="000E3C66" w:rsidR="00BA4E85">
              <w:rPr>
                <w:rFonts w:cstheme="minorHAnsi"/>
                <w:szCs w:val="24"/>
              </w:rPr>
              <w:t xml:space="preserve"> </w:t>
            </w:r>
            <w:r w:rsidRPr="000E3C66" w:rsidR="008F4F18">
              <w:rPr>
                <w:rFonts w:cstheme="minorHAnsi"/>
                <w:szCs w:val="24"/>
              </w:rPr>
              <w:t>in th</w:t>
            </w:r>
            <w:r w:rsidRPr="000E3C66" w:rsidR="00A83E75">
              <w:rPr>
                <w:rFonts w:cstheme="minorHAnsi"/>
                <w:szCs w:val="24"/>
              </w:rPr>
              <w:t>is</w:t>
            </w:r>
            <w:r w:rsidRPr="000E3C66" w:rsidR="008F4F18">
              <w:rPr>
                <w:rFonts w:cstheme="minorHAnsi"/>
                <w:szCs w:val="24"/>
              </w:rPr>
              <w:t xml:space="preserve"> proceeding</w:t>
            </w:r>
            <w:r w:rsidRPr="000E3C66" w:rsidR="004C720D">
              <w:rPr>
                <w:rFonts w:cstheme="minorHAnsi"/>
                <w:szCs w:val="24"/>
              </w:rPr>
              <w:t>.</w:t>
            </w:r>
          </w:p>
        </w:tc>
        <w:tc>
          <w:tcPr>
            <w:tcW w:w="2075" w:type="dxa"/>
            <w:shd w:val="clear" w:color="auto" w:fill="auto"/>
          </w:tcPr>
          <w:p w:rsidRPr="000E3C66" w:rsidR="00FE3BAE" w:rsidP="000E3C66" w:rsidRDefault="00BB7A81" w14:paraId="1874D625" w14:textId="4CBAC7DB">
            <w:pPr>
              <w:spacing w:after="240"/>
            </w:pPr>
            <w:r w:rsidRPr="000E3C66">
              <w:lastRenderedPageBreak/>
              <w:t xml:space="preserve">Noted; however, </w:t>
            </w:r>
            <w:r w:rsidRPr="000E3C66">
              <w:rPr>
                <w:i/>
                <w:iCs/>
              </w:rPr>
              <w:t>See</w:t>
            </w:r>
            <w:r w:rsidRPr="000E3C66">
              <w:t xml:space="preserve"> CPUC Comments, Disallowances and Adjustments in </w:t>
            </w:r>
            <w:r w:rsidRPr="000E3C66" w:rsidR="00471EE6">
              <w:t>Part III.D</w:t>
            </w:r>
            <w:r w:rsidRPr="000E3C66">
              <w:t xml:space="preserve">. After the adjustments and disallowances made to this claim, the remainder of the claim of cost </w:t>
            </w:r>
            <w:r w:rsidRPr="000E3C66">
              <w:rPr>
                <w:rFonts w:cstheme="minorHAnsi"/>
                <w:color w:val="000000"/>
              </w:rPr>
              <w:lastRenderedPageBreak/>
              <w:t>reasonableness</w:t>
            </w:r>
            <w:r w:rsidRPr="000E3C66">
              <w:t xml:space="preserve"> is verified.</w:t>
            </w:r>
          </w:p>
        </w:tc>
      </w:tr>
      <w:tr w:rsidRPr="000E3C66" w:rsidR="000E3C66" w:rsidTr="001E5AF2" w14:paraId="3FD38B74" w14:textId="77777777">
        <w:tc>
          <w:tcPr>
            <w:tcW w:w="7285" w:type="dxa"/>
            <w:shd w:val="clear" w:color="auto" w:fill="auto"/>
          </w:tcPr>
          <w:p w:rsidRPr="000E3C66" w:rsidR="00942076" w:rsidP="000E3C66" w:rsidRDefault="00FE3BAE" w14:paraId="042C655F" w14:textId="55EDEE05">
            <w:pPr>
              <w:spacing w:after="240"/>
              <w:ind w:left="360" w:hanging="360"/>
            </w:pPr>
            <w:r w:rsidRPr="000E3C66">
              <w:rPr>
                <w:b/>
              </w:rPr>
              <w:lastRenderedPageBreak/>
              <w:t>c.</w:t>
            </w:r>
            <w:r w:rsidRPr="000E3C66" w:rsidR="000E3C66">
              <w:rPr>
                <w:b/>
              </w:rPr>
              <w:tab/>
            </w:r>
            <w:r w:rsidRPr="000E3C66">
              <w:rPr>
                <w:b/>
              </w:rPr>
              <w:t>Allocation of hours by issue:</w:t>
            </w:r>
            <w:r w:rsidRPr="000E3C66" w:rsidR="00E25078">
              <w:t xml:space="preserve"> </w:t>
            </w:r>
          </w:p>
          <w:p w:rsidRPr="00E37328" w:rsidR="00E37328" w:rsidP="00E37328" w:rsidRDefault="00B50915" w14:paraId="3285939A" w14:textId="2AD284F3">
            <w:pPr>
              <w:pStyle w:val="ListParagraph"/>
              <w:spacing w:after="240"/>
              <w:ind w:left="0"/>
              <w:rPr>
                <w:rFonts w:cstheme="minorHAnsi"/>
              </w:rPr>
            </w:pPr>
            <w:r w:rsidRPr="00E37328">
              <w:rPr>
                <w:rFonts w:cstheme="minorHAnsi"/>
              </w:rPr>
              <w:t xml:space="preserve">A4NR’s compensation request </w:t>
            </w:r>
            <w:r w:rsidRPr="00E37328" w:rsidR="00A3147D">
              <w:rPr>
                <w:rFonts w:cstheme="minorHAnsi"/>
              </w:rPr>
              <w:t xml:space="preserve">documents </w:t>
            </w:r>
            <w:r w:rsidRPr="00E37328" w:rsidR="00437DA9">
              <w:rPr>
                <w:rFonts w:cstheme="minorHAnsi"/>
              </w:rPr>
              <w:t>1</w:t>
            </w:r>
            <w:r w:rsidRPr="00E37328" w:rsidR="00942076">
              <w:rPr>
                <w:rFonts w:cstheme="minorHAnsi"/>
              </w:rPr>
              <w:t>,</w:t>
            </w:r>
            <w:r w:rsidRPr="00E37328" w:rsidR="00437DA9">
              <w:rPr>
                <w:rFonts w:cstheme="minorHAnsi"/>
              </w:rPr>
              <w:t>101.67 hours</w:t>
            </w:r>
            <w:r w:rsidRPr="00E37328" w:rsidR="00942076">
              <w:rPr>
                <w:rFonts w:cstheme="minorHAnsi"/>
              </w:rPr>
              <w:t xml:space="preserve">, allocated as follows: </w:t>
            </w:r>
            <w:r w:rsidRPr="00E37328" w:rsidR="00F6135A">
              <w:rPr>
                <w:rFonts w:cstheme="minorHAnsi"/>
              </w:rPr>
              <w:t>(1</w:t>
            </w:r>
            <w:r w:rsidR="0002595B">
              <w:rPr>
                <w:rFonts w:cstheme="minorHAnsi"/>
              </w:rPr>
              <w:t>) </w:t>
            </w:r>
            <w:r w:rsidRPr="00E37328" w:rsidR="00705894">
              <w:rPr>
                <w:rFonts w:cstheme="minorHAnsi"/>
              </w:rPr>
              <w:t xml:space="preserve">Seismic </w:t>
            </w:r>
            <w:r w:rsidRPr="00E37328" w:rsidR="002F63B9">
              <w:rPr>
                <w:rFonts w:cstheme="minorHAnsi"/>
              </w:rPr>
              <w:t>Upgrade Costs</w:t>
            </w:r>
            <w:r w:rsidRPr="00E37328" w:rsidR="00F06A45">
              <w:rPr>
                <w:rFonts w:cstheme="minorHAnsi"/>
              </w:rPr>
              <w:t xml:space="preserve"> Issues</w:t>
            </w:r>
            <w:r w:rsidRPr="00E37328" w:rsidR="002F63B9">
              <w:rPr>
                <w:rFonts w:cstheme="minorHAnsi"/>
              </w:rPr>
              <w:t>,</w:t>
            </w:r>
            <w:r w:rsidRPr="00E37328" w:rsidR="00C6156B">
              <w:rPr>
                <w:rFonts w:cstheme="minorHAnsi"/>
              </w:rPr>
              <w:t xml:space="preserve"> 270.353 hours</w:t>
            </w:r>
            <w:r w:rsidRPr="00E37328" w:rsidR="002F63B9">
              <w:rPr>
                <w:rFonts w:cstheme="minorHAnsi"/>
              </w:rPr>
              <w:t>,</w:t>
            </w:r>
            <w:r w:rsidRPr="00E37328" w:rsidR="00734248">
              <w:rPr>
                <w:rFonts w:cstheme="minorHAnsi"/>
              </w:rPr>
              <w:t xml:space="preserve"> 24.54</w:t>
            </w:r>
            <w:r w:rsidRPr="00E37328" w:rsidR="002F63B9">
              <w:rPr>
                <w:rFonts w:cstheme="minorHAnsi"/>
              </w:rPr>
              <w:t>%;</w:t>
            </w:r>
            <w:r w:rsidRPr="00E37328" w:rsidR="00EF4A1E">
              <w:rPr>
                <w:rFonts w:cstheme="minorHAnsi"/>
              </w:rPr>
              <w:t xml:space="preserve"> </w:t>
            </w:r>
            <w:r w:rsidRPr="00E37328" w:rsidR="00F6135A">
              <w:rPr>
                <w:rFonts w:cstheme="minorHAnsi"/>
              </w:rPr>
              <w:t>(2</w:t>
            </w:r>
            <w:r w:rsidR="0002595B">
              <w:rPr>
                <w:rFonts w:cstheme="minorHAnsi"/>
              </w:rPr>
              <w:t>) </w:t>
            </w:r>
            <w:r w:rsidRPr="00E37328" w:rsidR="00EF4A1E">
              <w:rPr>
                <w:rFonts w:cstheme="minorHAnsi"/>
              </w:rPr>
              <w:t>Deferred Maintenance Costs</w:t>
            </w:r>
            <w:r w:rsidRPr="00E37328" w:rsidR="000E3B25">
              <w:rPr>
                <w:rFonts w:cstheme="minorHAnsi"/>
              </w:rPr>
              <w:t xml:space="preserve"> Issues</w:t>
            </w:r>
            <w:r w:rsidRPr="00E37328" w:rsidR="00EF4A1E">
              <w:rPr>
                <w:rFonts w:cstheme="minorHAnsi"/>
              </w:rPr>
              <w:t>,</w:t>
            </w:r>
            <w:r w:rsidRPr="00E37328" w:rsidR="00267D32">
              <w:rPr>
                <w:rFonts w:cstheme="minorHAnsi"/>
              </w:rPr>
              <w:t xml:space="preserve"> 238.402 hours</w:t>
            </w:r>
            <w:r w:rsidRPr="00E37328" w:rsidR="00EF4A1E">
              <w:rPr>
                <w:rFonts w:cstheme="minorHAnsi"/>
              </w:rPr>
              <w:t xml:space="preserve">, </w:t>
            </w:r>
            <w:r w:rsidRPr="00E37328" w:rsidR="0064110E">
              <w:rPr>
                <w:rFonts w:cstheme="minorHAnsi"/>
              </w:rPr>
              <w:t>21.64</w:t>
            </w:r>
            <w:r w:rsidRPr="00E37328" w:rsidR="00EF4A1E">
              <w:rPr>
                <w:rFonts w:cstheme="minorHAnsi"/>
              </w:rPr>
              <w:t>%</w:t>
            </w:r>
            <w:r w:rsidRPr="00E37328" w:rsidR="005D48AD">
              <w:rPr>
                <w:rFonts w:cstheme="minorHAnsi"/>
              </w:rPr>
              <w:t xml:space="preserve">; </w:t>
            </w:r>
            <w:r w:rsidRPr="00E37328" w:rsidR="00F6135A">
              <w:rPr>
                <w:rFonts w:cstheme="minorHAnsi"/>
              </w:rPr>
              <w:t>(3</w:t>
            </w:r>
            <w:r w:rsidR="0002595B">
              <w:rPr>
                <w:rFonts w:cstheme="minorHAnsi"/>
              </w:rPr>
              <w:t>) </w:t>
            </w:r>
            <w:r w:rsidRPr="00E37328" w:rsidR="008B4485">
              <w:rPr>
                <w:rFonts w:cstheme="minorHAnsi"/>
              </w:rPr>
              <w:t>NRC Relicensing Costs</w:t>
            </w:r>
            <w:r w:rsidRPr="00E37328" w:rsidR="004C4070">
              <w:rPr>
                <w:rFonts w:cstheme="minorHAnsi"/>
              </w:rPr>
              <w:t xml:space="preserve"> Issues</w:t>
            </w:r>
            <w:r w:rsidRPr="00E37328" w:rsidR="008B4485">
              <w:rPr>
                <w:rFonts w:cstheme="minorHAnsi"/>
              </w:rPr>
              <w:t>,</w:t>
            </w:r>
            <w:r w:rsidRPr="00E37328" w:rsidR="00B841A2">
              <w:rPr>
                <w:rFonts w:cstheme="minorHAnsi"/>
              </w:rPr>
              <w:t xml:space="preserve"> 116.36 hours</w:t>
            </w:r>
            <w:r w:rsidRPr="00E37328" w:rsidR="008B4485">
              <w:rPr>
                <w:rFonts w:cstheme="minorHAnsi"/>
              </w:rPr>
              <w:t xml:space="preserve">, </w:t>
            </w:r>
            <w:r w:rsidRPr="00E37328" w:rsidR="007A5D7E">
              <w:rPr>
                <w:rFonts w:cstheme="minorHAnsi"/>
              </w:rPr>
              <w:t>10.</w:t>
            </w:r>
            <w:r w:rsidRPr="00E37328" w:rsidR="0031778F">
              <w:rPr>
                <w:rFonts w:cstheme="minorHAnsi"/>
              </w:rPr>
              <w:t>56</w:t>
            </w:r>
            <w:r w:rsidRPr="00E37328" w:rsidR="008B4485">
              <w:rPr>
                <w:rFonts w:cstheme="minorHAnsi"/>
              </w:rPr>
              <w:t xml:space="preserve">%; </w:t>
            </w:r>
            <w:r w:rsidRPr="00E37328" w:rsidR="00F6135A">
              <w:rPr>
                <w:rFonts w:cstheme="minorHAnsi"/>
              </w:rPr>
              <w:t>(4</w:t>
            </w:r>
            <w:r w:rsidR="0002595B">
              <w:rPr>
                <w:rFonts w:cstheme="minorHAnsi"/>
              </w:rPr>
              <w:t>) </w:t>
            </w:r>
            <w:r w:rsidRPr="00E37328" w:rsidR="00447DB9">
              <w:rPr>
                <w:rFonts w:cstheme="minorHAnsi"/>
              </w:rPr>
              <w:t>PG&amp;E Estimated Costs</w:t>
            </w:r>
            <w:r w:rsidRPr="00E37328" w:rsidR="004C4070">
              <w:rPr>
                <w:rFonts w:cstheme="minorHAnsi"/>
              </w:rPr>
              <w:t xml:space="preserve"> Issues</w:t>
            </w:r>
            <w:r w:rsidRPr="00E37328" w:rsidR="00447DB9">
              <w:rPr>
                <w:rFonts w:cstheme="minorHAnsi"/>
              </w:rPr>
              <w:t>,</w:t>
            </w:r>
            <w:r w:rsidRPr="00E37328" w:rsidR="00C42751">
              <w:rPr>
                <w:rFonts w:cstheme="minorHAnsi"/>
              </w:rPr>
              <w:t xml:space="preserve"> 162.</w:t>
            </w:r>
            <w:r w:rsidRPr="00E37328" w:rsidR="003526A6">
              <w:rPr>
                <w:rFonts w:cstheme="minorHAnsi"/>
              </w:rPr>
              <w:t>225 hours</w:t>
            </w:r>
            <w:r w:rsidRPr="00E37328" w:rsidR="00447DB9">
              <w:rPr>
                <w:rFonts w:cstheme="minorHAnsi"/>
              </w:rPr>
              <w:t xml:space="preserve">, </w:t>
            </w:r>
            <w:r w:rsidRPr="00E37328" w:rsidR="001521D1">
              <w:rPr>
                <w:rFonts w:cstheme="minorHAnsi"/>
              </w:rPr>
              <w:t>14.73</w:t>
            </w:r>
            <w:r w:rsidRPr="00E37328" w:rsidR="00447DB9">
              <w:rPr>
                <w:rFonts w:cstheme="minorHAnsi"/>
              </w:rPr>
              <w:t xml:space="preserve">%; </w:t>
            </w:r>
            <w:r w:rsidRPr="00E37328" w:rsidR="00F6135A">
              <w:rPr>
                <w:rFonts w:cstheme="minorHAnsi"/>
              </w:rPr>
              <w:t>(5</w:t>
            </w:r>
            <w:r w:rsidR="0002595B">
              <w:rPr>
                <w:rFonts w:cstheme="minorHAnsi"/>
              </w:rPr>
              <w:t>) </w:t>
            </w:r>
            <w:r w:rsidRPr="00E37328" w:rsidR="0098632F">
              <w:rPr>
                <w:rFonts w:cstheme="minorHAnsi"/>
              </w:rPr>
              <w:t>Reliability Need</w:t>
            </w:r>
            <w:r w:rsidRPr="00E37328" w:rsidR="005724BD">
              <w:rPr>
                <w:rFonts w:cstheme="minorHAnsi"/>
              </w:rPr>
              <w:t xml:space="preserve"> &amp; Benefits</w:t>
            </w:r>
            <w:r w:rsidRPr="00E37328" w:rsidR="00F6135A">
              <w:rPr>
                <w:rFonts w:cstheme="minorHAnsi"/>
              </w:rPr>
              <w:t xml:space="preserve"> Issues</w:t>
            </w:r>
            <w:r w:rsidRPr="00E37328" w:rsidR="005724BD">
              <w:rPr>
                <w:rFonts w:cstheme="minorHAnsi"/>
              </w:rPr>
              <w:t>,</w:t>
            </w:r>
            <w:r w:rsidRPr="00E37328" w:rsidR="003526A6">
              <w:rPr>
                <w:rFonts w:cstheme="minorHAnsi"/>
              </w:rPr>
              <w:t xml:space="preserve"> </w:t>
            </w:r>
            <w:r w:rsidRPr="00E37328" w:rsidR="00970594">
              <w:rPr>
                <w:rFonts w:cstheme="minorHAnsi"/>
              </w:rPr>
              <w:t>210.69</w:t>
            </w:r>
            <w:r w:rsidRPr="00E37328" w:rsidR="009822AD">
              <w:rPr>
                <w:rFonts w:cstheme="minorHAnsi"/>
              </w:rPr>
              <w:t xml:space="preserve"> hours</w:t>
            </w:r>
            <w:r w:rsidRPr="00E37328" w:rsidR="005724BD">
              <w:rPr>
                <w:rFonts w:cstheme="minorHAnsi"/>
              </w:rPr>
              <w:t xml:space="preserve">, </w:t>
            </w:r>
            <w:r w:rsidRPr="00E37328" w:rsidR="000C79AB">
              <w:rPr>
                <w:rFonts w:cstheme="minorHAnsi"/>
              </w:rPr>
              <w:t>19.12</w:t>
            </w:r>
            <w:r w:rsidRPr="00E37328" w:rsidR="001D2832">
              <w:rPr>
                <w:rFonts w:cstheme="minorHAnsi"/>
              </w:rPr>
              <w:t xml:space="preserve">%; </w:t>
            </w:r>
            <w:r w:rsidRPr="00E37328" w:rsidR="00F6135A">
              <w:rPr>
                <w:rFonts w:cstheme="minorHAnsi"/>
              </w:rPr>
              <w:t>(6</w:t>
            </w:r>
            <w:r w:rsidR="0002595B">
              <w:rPr>
                <w:rFonts w:cstheme="minorHAnsi"/>
              </w:rPr>
              <w:t>) </w:t>
            </w:r>
            <w:r w:rsidRPr="00E37328" w:rsidR="001D2832">
              <w:rPr>
                <w:rFonts w:cstheme="minorHAnsi"/>
              </w:rPr>
              <w:t>General</w:t>
            </w:r>
            <w:r w:rsidRPr="00E37328" w:rsidR="00F6135A">
              <w:rPr>
                <w:rFonts w:cstheme="minorHAnsi"/>
              </w:rPr>
              <w:t xml:space="preserve"> Issues</w:t>
            </w:r>
            <w:r w:rsidRPr="00E37328" w:rsidR="00345AEE">
              <w:rPr>
                <w:rFonts w:cstheme="minorHAnsi"/>
              </w:rPr>
              <w:t>,</w:t>
            </w:r>
            <w:r w:rsidRPr="00E37328" w:rsidR="00D33887">
              <w:rPr>
                <w:rFonts w:cstheme="minorHAnsi"/>
              </w:rPr>
              <w:t xml:space="preserve"> 85.54 hours</w:t>
            </w:r>
            <w:r w:rsidRPr="00E37328" w:rsidR="00345AEE">
              <w:rPr>
                <w:rFonts w:cstheme="minorHAnsi"/>
              </w:rPr>
              <w:t xml:space="preserve">, </w:t>
            </w:r>
            <w:r w:rsidRPr="00E37328" w:rsidR="00E308A7">
              <w:rPr>
                <w:rFonts w:cstheme="minorHAnsi"/>
              </w:rPr>
              <w:t>7.76</w:t>
            </w:r>
            <w:r w:rsidRPr="00E37328" w:rsidR="00AE13D3">
              <w:rPr>
                <w:rFonts w:cstheme="minorHAnsi"/>
              </w:rPr>
              <w:t>%</w:t>
            </w:r>
            <w:r w:rsidRPr="00E37328" w:rsidR="00345AEE">
              <w:rPr>
                <w:rFonts w:cstheme="minorHAnsi"/>
              </w:rPr>
              <w:t xml:space="preserve">; </w:t>
            </w:r>
            <w:r w:rsidRPr="00E37328" w:rsidR="00410B8B">
              <w:rPr>
                <w:rFonts w:cstheme="minorHAnsi"/>
              </w:rPr>
              <w:t xml:space="preserve">and </w:t>
            </w:r>
            <w:r w:rsidRPr="00E37328" w:rsidR="00D33887">
              <w:rPr>
                <w:rFonts w:cstheme="minorHAnsi"/>
              </w:rPr>
              <w:t>(7</w:t>
            </w:r>
            <w:r w:rsidR="0002595B">
              <w:rPr>
                <w:rFonts w:cstheme="minorHAnsi"/>
              </w:rPr>
              <w:t>) </w:t>
            </w:r>
            <w:r w:rsidRPr="00E37328" w:rsidR="00345AEE">
              <w:rPr>
                <w:rFonts w:cstheme="minorHAnsi"/>
              </w:rPr>
              <w:t>Claim Preparation,</w:t>
            </w:r>
            <w:r w:rsidRPr="00E37328" w:rsidR="00703160">
              <w:rPr>
                <w:rFonts w:cstheme="minorHAnsi"/>
              </w:rPr>
              <w:t xml:space="preserve"> 18.1 hours</w:t>
            </w:r>
            <w:r w:rsidRPr="00E37328" w:rsidR="00345AEE">
              <w:rPr>
                <w:rFonts w:cstheme="minorHAnsi"/>
              </w:rPr>
              <w:t xml:space="preserve">, </w:t>
            </w:r>
            <w:r w:rsidRPr="00E37328" w:rsidR="00E5153C">
              <w:rPr>
                <w:rFonts w:cstheme="minorHAnsi"/>
              </w:rPr>
              <w:t>1.64</w:t>
            </w:r>
            <w:r w:rsidRPr="00E37328" w:rsidR="00345AEE">
              <w:rPr>
                <w:rFonts w:cstheme="minorHAnsi"/>
              </w:rPr>
              <w:t>%.</w:t>
            </w:r>
          </w:p>
        </w:tc>
        <w:tc>
          <w:tcPr>
            <w:tcW w:w="2075" w:type="dxa"/>
            <w:shd w:val="clear" w:color="auto" w:fill="auto"/>
          </w:tcPr>
          <w:p w:rsidRPr="000E3C66" w:rsidR="00FE3BAE" w:rsidP="002F3AB9" w:rsidRDefault="003D3187" w14:paraId="497C4799" w14:textId="5907F290">
            <w:r w:rsidRPr="000E3C66">
              <w:t>Noted; totals 100%</w:t>
            </w:r>
          </w:p>
        </w:tc>
      </w:tr>
    </w:tbl>
    <w:p w:rsidRPr="000E3C66" w:rsidR="00A92D0B" w:rsidP="009B471B" w:rsidRDefault="00A92D0B" w14:paraId="710BC7D6" w14:textId="77777777">
      <w:pPr>
        <w:keepNext/>
        <w:numPr>
          <w:ilvl w:val="0"/>
          <w:numId w:val="20"/>
        </w:numPr>
        <w:spacing w:before="240" w:after="240"/>
        <w:rPr>
          <w:b/>
        </w:rPr>
      </w:pPr>
      <w:r w:rsidRPr="000E3C66">
        <w:rPr>
          <w:b/>
        </w:rPr>
        <w:lastRenderedPageBreak/>
        <w:t>Specific Claim</w:t>
      </w:r>
      <w:r w:rsidRPr="000E3C66" w:rsidR="00C02649">
        <w:rPr>
          <w:b/>
        </w:rPr>
        <w:t>:</w:t>
      </w:r>
      <w:r w:rsidRPr="000E3C66" w:rsidR="00D075B1">
        <w:rPr>
          <w:b/>
        </w:rPr>
        <w:t>*</w:t>
      </w:r>
    </w:p>
    <w:tbl>
      <w:tblPr>
        <w:tblW w:w="10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480"/>
        <w:gridCol w:w="1045"/>
        <w:gridCol w:w="575"/>
        <w:gridCol w:w="145"/>
        <w:gridCol w:w="900"/>
        <w:gridCol w:w="990"/>
        <w:gridCol w:w="90"/>
        <w:gridCol w:w="1620"/>
        <w:gridCol w:w="450"/>
        <w:gridCol w:w="900"/>
        <w:gridCol w:w="990"/>
        <w:gridCol w:w="990"/>
        <w:gridCol w:w="1380"/>
      </w:tblGrid>
      <w:tr w:rsidRPr="008D5339" w:rsidR="000E3C66" w:rsidTr="00076735" w14:paraId="780664A2" w14:textId="77777777">
        <w:trPr>
          <w:cantSplit/>
          <w:tblHeader/>
          <w:jc w:val="center"/>
        </w:trPr>
        <w:tc>
          <w:tcPr>
            <w:tcW w:w="7195" w:type="dxa"/>
            <w:gridSpan w:val="10"/>
            <w:tcBorders>
              <w:bottom w:val="single" w:color="auto" w:sz="4" w:space="0"/>
              <w:right w:val="single" w:color="auto" w:sz="24" w:space="0"/>
            </w:tcBorders>
            <w:shd w:val="clear" w:color="auto" w:fill="D9D9D9" w:themeFill="background1" w:themeFillShade="D9"/>
            <w:vAlign w:val="bottom"/>
          </w:tcPr>
          <w:p w:rsidRPr="008D5339" w:rsidR="00A92D0B" w:rsidP="00926603" w:rsidRDefault="00A92D0B" w14:paraId="6BFE54DA" w14:textId="77777777">
            <w:pPr>
              <w:keepNext/>
              <w:jc w:val="center"/>
              <w:rPr>
                <w:b/>
                <w:smallCaps/>
                <w:sz w:val="22"/>
              </w:rPr>
            </w:pPr>
            <w:r w:rsidRPr="008D5339">
              <w:rPr>
                <w:b/>
                <w:smallCaps/>
                <w:sz w:val="22"/>
              </w:rPr>
              <w:t>Claimed</w:t>
            </w:r>
          </w:p>
        </w:tc>
        <w:tc>
          <w:tcPr>
            <w:tcW w:w="3360" w:type="dxa"/>
            <w:gridSpan w:val="3"/>
            <w:tcBorders>
              <w:left w:val="single" w:color="auto" w:sz="24" w:space="0"/>
              <w:bottom w:val="single" w:color="auto" w:sz="4" w:space="0"/>
            </w:tcBorders>
            <w:shd w:val="clear" w:color="auto" w:fill="D9D9D9" w:themeFill="background1" w:themeFillShade="D9"/>
            <w:vAlign w:val="bottom"/>
          </w:tcPr>
          <w:p w:rsidRPr="008D5339" w:rsidR="00A92D0B" w:rsidP="00926603" w:rsidRDefault="00A92D0B" w14:paraId="170A0FA1" w14:textId="77777777">
            <w:pPr>
              <w:keepNext/>
              <w:jc w:val="center"/>
              <w:rPr>
                <w:b/>
                <w:smallCaps/>
                <w:sz w:val="22"/>
              </w:rPr>
            </w:pPr>
            <w:r w:rsidRPr="008D5339">
              <w:rPr>
                <w:b/>
                <w:smallCaps/>
                <w:sz w:val="22"/>
              </w:rPr>
              <w:t>CPUC Award</w:t>
            </w:r>
          </w:p>
        </w:tc>
      </w:tr>
      <w:tr w:rsidRPr="008D5339" w:rsidR="000E3C66" w:rsidTr="00076735" w14:paraId="0F5B6CAA" w14:textId="77777777">
        <w:trPr>
          <w:cantSplit/>
          <w:jc w:val="center"/>
        </w:trPr>
        <w:tc>
          <w:tcPr>
            <w:tcW w:w="10555" w:type="dxa"/>
            <w:gridSpan w:val="1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D5339" w:rsidR="00A92D0B" w:rsidP="009B471B" w:rsidRDefault="00A92D0B" w14:paraId="284F9031" w14:textId="77777777">
            <w:pPr>
              <w:keepNext/>
              <w:jc w:val="center"/>
              <w:rPr>
                <w:b/>
                <w:sz w:val="22"/>
              </w:rPr>
            </w:pPr>
            <w:r w:rsidRPr="008D5339">
              <w:rPr>
                <w:b/>
                <w:sz w:val="22"/>
              </w:rPr>
              <w:t>ATTORNEY, EXPERT, AND ADVOCATE FEES</w:t>
            </w:r>
          </w:p>
        </w:tc>
      </w:tr>
      <w:tr w:rsidRPr="008D5339" w:rsidR="008D5339" w:rsidTr="00076735" w14:paraId="5A70C962" w14:textId="77777777">
        <w:trPr>
          <w:cantSplit/>
          <w:jc w:val="center"/>
        </w:trPr>
        <w:tc>
          <w:tcPr>
            <w:tcW w:w="1525" w:type="dxa"/>
            <w:gridSpan w:val="2"/>
            <w:tcBorders>
              <w:top w:val="single" w:color="auto" w:sz="4" w:space="0"/>
              <w:bottom w:val="single" w:color="auto" w:sz="4" w:space="0"/>
            </w:tcBorders>
            <w:shd w:val="clear" w:color="auto" w:fill="auto"/>
            <w:vAlign w:val="bottom"/>
          </w:tcPr>
          <w:p w:rsidRPr="008D5339" w:rsidR="00A92D0B" w:rsidP="009B471B" w:rsidRDefault="00A92D0B" w14:paraId="41646676" w14:textId="77777777">
            <w:pPr>
              <w:keepNext/>
              <w:jc w:val="center"/>
              <w:rPr>
                <w:b/>
                <w:sz w:val="22"/>
                <w:szCs w:val="22"/>
              </w:rPr>
            </w:pPr>
            <w:r w:rsidRPr="008D5339">
              <w:rPr>
                <w:b/>
                <w:sz w:val="22"/>
                <w:szCs w:val="22"/>
              </w:rPr>
              <w:t>Item</w:t>
            </w:r>
          </w:p>
        </w:tc>
        <w:tc>
          <w:tcPr>
            <w:tcW w:w="720" w:type="dxa"/>
            <w:gridSpan w:val="2"/>
            <w:tcBorders>
              <w:top w:val="single" w:color="auto" w:sz="4" w:space="0"/>
              <w:bottom w:val="single" w:color="auto" w:sz="4" w:space="0"/>
            </w:tcBorders>
            <w:shd w:val="clear" w:color="auto" w:fill="auto"/>
            <w:vAlign w:val="bottom"/>
          </w:tcPr>
          <w:p w:rsidRPr="008D5339" w:rsidR="00A92D0B" w:rsidP="009B471B" w:rsidRDefault="00A92D0B" w14:paraId="43BB9941" w14:textId="77777777">
            <w:pPr>
              <w:keepNext/>
              <w:jc w:val="center"/>
              <w:rPr>
                <w:b/>
                <w:sz w:val="22"/>
                <w:szCs w:val="22"/>
              </w:rPr>
            </w:pPr>
            <w:r w:rsidRPr="008D5339">
              <w:rPr>
                <w:b/>
                <w:sz w:val="22"/>
                <w:szCs w:val="22"/>
              </w:rPr>
              <w:t>Year</w:t>
            </w:r>
          </w:p>
        </w:tc>
        <w:tc>
          <w:tcPr>
            <w:tcW w:w="900" w:type="dxa"/>
            <w:tcBorders>
              <w:top w:val="single" w:color="auto" w:sz="4" w:space="0"/>
              <w:bottom w:val="single" w:color="auto" w:sz="4" w:space="0"/>
            </w:tcBorders>
            <w:shd w:val="clear" w:color="auto" w:fill="auto"/>
            <w:vAlign w:val="bottom"/>
          </w:tcPr>
          <w:p w:rsidRPr="008D5339" w:rsidR="00A92D0B" w:rsidP="009B471B" w:rsidRDefault="00A92D0B" w14:paraId="0EF32B08" w14:textId="77777777">
            <w:pPr>
              <w:keepNext/>
              <w:jc w:val="center"/>
              <w:rPr>
                <w:b/>
                <w:sz w:val="22"/>
                <w:szCs w:val="22"/>
              </w:rPr>
            </w:pPr>
            <w:r w:rsidRPr="008D5339">
              <w:rPr>
                <w:b/>
                <w:sz w:val="22"/>
                <w:szCs w:val="22"/>
              </w:rPr>
              <w:t>Hours</w:t>
            </w:r>
          </w:p>
        </w:tc>
        <w:tc>
          <w:tcPr>
            <w:tcW w:w="990" w:type="dxa"/>
            <w:tcBorders>
              <w:top w:val="single" w:color="auto" w:sz="4" w:space="0"/>
              <w:bottom w:val="single" w:color="auto" w:sz="4" w:space="0"/>
            </w:tcBorders>
            <w:shd w:val="clear" w:color="auto" w:fill="auto"/>
            <w:vAlign w:val="bottom"/>
          </w:tcPr>
          <w:p w:rsidRPr="008D5339" w:rsidR="00A92D0B" w:rsidP="009B471B" w:rsidRDefault="00A92D0B" w14:paraId="21C69246" w14:textId="77777777">
            <w:pPr>
              <w:keepNext/>
              <w:jc w:val="center"/>
              <w:rPr>
                <w:b/>
                <w:sz w:val="22"/>
                <w:szCs w:val="22"/>
              </w:rPr>
            </w:pPr>
            <w:r w:rsidRPr="008D5339">
              <w:rPr>
                <w:b/>
                <w:sz w:val="22"/>
                <w:szCs w:val="22"/>
              </w:rPr>
              <w:t>Rate</w:t>
            </w:r>
            <w:r w:rsidRPr="008D5339" w:rsidR="00E3786F">
              <w:rPr>
                <w:b/>
                <w:sz w:val="22"/>
                <w:szCs w:val="22"/>
              </w:rPr>
              <w:t xml:space="preserve"> $</w:t>
            </w:r>
          </w:p>
        </w:tc>
        <w:tc>
          <w:tcPr>
            <w:tcW w:w="1710" w:type="dxa"/>
            <w:gridSpan w:val="2"/>
            <w:tcBorders>
              <w:top w:val="single" w:color="auto" w:sz="4" w:space="0"/>
              <w:bottom w:val="single" w:color="auto" w:sz="4" w:space="0"/>
              <w:right w:val="single" w:color="auto" w:sz="4" w:space="0"/>
            </w:tcBorders>
            <w:shd w:val="clear" w:color="auto" w:fill="auto"/>
            <w:vAlign w:val="bottom"/>
          </w:tcPr>
          <w:p w:rsidRPr="008D5339" w:rsidR="00A92D0B" w:rsidP="009B471B" w:rsidRDefault="00A92D0B" w14:paraId="59E63C07" w14:textId="77777777">
            <w:pPr>
              <w:keepNext/>
              <w:jc w:val="center"/>
              <w:rPr>
                <w:b/>
                <w:sz w:val="22"/>
                <w:szCs w:val="22"/>
              </w:rPr>
            </w:pPr>
            <w:r w:rsidRPr="008D5339">
              <w:rPr>
                <w:b/>
                <w:sz w:val="22"/>
                <w:szCs w:val="22"/>
              </w:rPr>
              <w:t>Basis for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8D5339" w:rsidR="00A92D0B" w:rsidP="009B471B" w:rsidRDefault="00A92D0B" w14:paraId="7099C603" w14:textId="77777777">
            <w:pPr>
              <w:keepNext/>
              <w:jc w:val="center"/>
              <w:rPr>
                <w:b/>
                <w:sz w:val="22"/>
                <w:szCs w:val="22"/>
              </w:rPr>
            </w:pPr>
            <w:r w:rsidRPr="008D5339">
              <w:rPr>
                <w:b/>
                <w:sz w:val="22"/>
                <w:szCs w:val="22"/>
              </w:rPr>
              <w:t>Total $</w:t>
            </w:r>
          </w:p>
        </w:tc>
        <w:tc>
          <w:tcPr>
            <w:tcW w:w="990" w:type="dxa"/>
            <w:tcBorders>
              <w:top w:val="single" w:color="auto" w:sz="4" w:space="0"/>
              <w:left w:val="single" w:color="auto" w:sz="4" w:space="0"/>
            </w:tcBorders>
            <w:shd w:val="clear" w:color="auto" w:fill="auto"/>
            <w:vAlign w:val="bottom"/>
          </w:tcPr>
          <w:p w:rsidRPr="008D5339" w:rsidR="00A92D0B" w:rsidP="009B471B" w:rsidRDefault="00A92D0B" w14:paraId="564E4964" w14:textId="77777777">
            <w:pPr>
              <w:keepNext/>
              <w:jc w:val="center"/>
              <w:rPr>
                <w:b/>
                <w:sz w:val="22"/>
                <w:szCs w:val="22"/>
              </w:rPr>
            </w:pPr>
            <w:r w:rsidRPr="008D5339">
              <w:rPr>
                <w:b/>
                <w:sz w:val="22"/>
                <w:szCs w:val="22"/>
              </w:rPr>
              <w:t>Hours</w:t>
            </w:r>
          </w:p>
        </w:tc>
        <w:tc>
          <w:tcPr>
            <w:tcW w:w="990" w:type="dxa"/>
            <w:tcBorders>
              <w:top w:val="single" w:color="auto" w:sz="4" w:space="0"/>
            </w:tcBorders>
            <w:shd w:val="clear" w:color="auto" w:fill="auto"/>
            <w:vAlign w:val="bottom"/>
          </w:tcPr>
          <w:p w:rsidRPr="008D5339" w:rsidR="00A92D0B" w:rsidP="009B471B" w:rsidRDefault="00A92D0B" w14:paraId="1462552D" w14:textId="77777777">
            <w:pPr>
              <w:keepNext/>
              <w:jc w:val="center"/>
              <w:rPr>
                <w:b/>
                <w:sz w:val="22"/>
                <w:szCs w:val="22"/>
              </w:rPr>
            </w:pPr>
            <w:r w:rsidRPr="008D5339">
              <w:rPr>
                <w:b/>
                <w:sz w:val="22"/>
                <w:szCs w:val="22"/>
              </w:rPr>
              <w:t>Rate</w:t>
            </w:r>
            <w:r w:rsidRPr="008D5339" w:rsidR="00E3786F">
              <w:rPr>
                <w:b/>
                <w:sz w:val="22"/>
                <w:szCs w:val="22"/>
              </w:rPr>
              <w:t xml:space="preserve"> $</w:t>
            </w:r>
          </w:p>
        </w:tc>
        <w:tc>
          <w:tcPr>
            <w:tcW w:w="1380" w:type="dxa"/>
            <w:tcBorders>
              <w:top w:val="single" w:color="auto" w:sz="4" w:space="0"/>
            </w:tcBorders>
            <w:shd w:val="clear" w:color="auto" w:fill="auto"/>
            <w:vAlign w:val="bottom"/>
          </w:tcPr>
          <w:p w:rsidRPr="008D5339" w:rsidR="00A92D0B" w:rsidP="009B471B" w:rsidRDefault="00A92D0B" w14:paraId="1B6A5CA4" w14:textId="77777777">
            <w:pPr>
              <w:keepNext/>
              <w:jc w:val="center"/>
              <w:rPr>
                <w:b/>
                <w:sz w:val="22"/>
                <w:szCs w:val="22"/>
              </w:rPr>
            </w:pPr>
            <w:r w:rsidRPr="008D5339">
              <w:rPr>
                <w:b/>
                <w:sz w:val="22"/>
                <w:szCs w:val="22"/>
              </w:rPr>
              <w:t>Total $</w:t>
            </w:r>
          </w:p>
        </w:tc>
      </w:tr>
      <w:tr w:rsidRPr="008D5339" w:rsidR="008D5339" w:rsidTr="00076735" w14:paraId="62E8A168" w14:textId="77777777">
        <w:trPr>
          <w:cantSplit/>
          <w:jc w:val="center"/>
        </w:trPr>
        <w:tc>
          <w:tcPr>
            <w:tcW w:w="1525" w:type="dxa"/>
            <w:gridSpan w:val="2"/>
            <w:shd w:val="clear" w:color="auto" w:fill="auto"/>
          </w:tcPr>
          <w:p w:rsidRPr="008D5339" w:rsidR="00A92D0B" w:rsidP="009B471B" w:rsidRDefault="007941BE" w14:paraId="33EA8B38" w14:textId="250679EA">
            <w:pPr>
              <w:rPr>
                <w:rFonts w:asciiTheme="minorHAnsi" w:hAnsiTheme="minorHAnsi" w:cstheme="minorHAnsi"/>
                <w:sz w:val="22"/>
              </w:rPr>
            </w:pPr>
            <w:r w:rsidRPr="008D5339">
              <w:rPr>
                <w:rFonts w:cstheme="minorHAnsi"/>
                <w:sz w:val="22"/>
              </w:rPr>
              <w:t>John Geesman</w:t>
            </w:r>
          </w:p>
        </w:tc>
        <w:tc>
          <w:tcPr>
            <w:tcW w:w="720" w:type="dxa"/>
            <w:gridSpan w:val="2"/>
            <w:shd w:val="clear" w:color="auto" w:fill="auto"/>
          </w:tcPr>
          <w:p w:rsidRPr="008D5339" w:rsidR="00A92D0B" w:rsidP="008D5339" w:rsidRDefault="007941BE" w14:paraId="47EBBC49" w14:textId="0C7C8FC1">
            <w:pPr>
              <w:rPr>
                <w:rFonts w:asciiTheme="minorHAnsi" w:hAnsiTheme="minorHAnsi" w:cstheme="minorHAnsi"/>
                <w:sz w:val="22"/>
              </w:rPr>
            </w:pPr>
            <w:r w:rsidRPr="008D5339">
              <w:rPr>
                <w:rFonts w:cstheme="minorHAnsi"/>
                <w:sz w:val="22"/>
              </w:rPr>
              <w:t>2023</w:t>
            </w:r>
          </w:p>
        </w:tc>
        <w:tc>
          <w:tcPr>
            <w:tcW w:w="900" w:type="dxa"/>
            <w:shd w:val="clear" w:color="auto" w:fill="auto"/>
          </w:tcPr>
          <w:p w:rsidRPr="008D5339" w:rsidR="00A92D0B" w:rsidP="008D5339" w:rsidRDefault="00A04651" w14:paraId="39A3074C" w14:textId="12F5E8AB">
            <w:pPr>
              <w:jc w:val="center"/>
              <w:rPr>
                <w:rFonts w:asciiTheme="minorHAnsi" w:hAnsiTheme="minorHAnsi" w:cstheme="minorHAnsi"/>
                <w:sz w:val="22"/>
              </w:rPr>
            </w:pPr>
            <w:r w:rsidRPr="008D5339">
              <w:rPr>
                <w:rFonts w:cstheme="minorHAnsi"/>
                <w:sz w:val="22"/>
              </w:rPr>
              <w:t>610.66</w:t>
            </w:r>
          </w:p>
        </w:tc>
        <w:tc>
          <w:tcPr>
            <w:tcW w:w="990" w:type="dxa"/>
            <w:shd w:val="clear" w:color="auto" w:fill="auto"/>
          </w:tcPr>
          <w:p w:rsidRPr="008D5339" w:rsidR="00A92D0B" w:rsidP="009B471B" w:rsidRDefault="008D5339" w14:paraId="3E5BD317" w14:textId="7F6E910D">
            <w:pPr>
              <w:jc w:val="right"/>
              <w:rPr>
                <w:rFonts w:asciiTheme="minorHAnsi" w:hAnsiTheme="minorHAnsi" w:cstheme="minorHAnsi"/>
                <w:sz w:val="22"/>
              </w:rPr>
            </w:pPr>
            <w:r w:rsidRPr="008D5339">
              <w:rPr>
                <w:rFonts w:cstheme="minorHAnsi"/>
                <w:sz w:val="22"/>
              </w:rPr>
              <w:t>$</w:t>
            </w:r>
            <w:r w:rsidRPr="008D5339" w:rsidR="007941BE">
              <w:rPr>
                <w:rFonts w:cstheme="minorHAnsi"/>
                <w:sz w:val="22"/>
              </w:rPr>
              <w:t>745</w:t>
            </w:r>
            <w:r w:rsidRPr="008D5339">
              <w:rPr>
                <w:rFonts w:cstheme="minorHAnsi"/>
                <w:sz w:val="22"/>
              </w:rPr>
              <w:t>.00</w:t>
            </w:r>
          </w:p>
        </w:tc>
        <w:tc>
          <w:tcPr>
            <w:tcW w:w="1710" w:type="dxa"/>
            <w:gridSpan w:val="2"/>
            <w:tcBorders>
              <w:right w:val="single" w:color="auto" w:sz="4" w:space="0"/>
            </w:tcBorders>
            <w:shd w:val="clear" w:color="auto" w:fill="auto"/>
          </w:tcPr>
          <w:p w:rsidRPr="008D5339" w:rsidR="00A92D0B" w:rsidP="009B471B" w:rsidRDefault="007213C1" w14:paraId="63BDE315" w14:textId="45D8825B">
            <w:pPr>
              <w:rPr>
                <w:rFonts w:asciiTheme="minorHAnsi" w:hAnsiTheme="minorHAnsi" w:cstheme="minorHAnsi"/>
                <w:sz w:val="22"/>
              </w:rPr>
            </w:pPr>
            <w:r w:rsidRPr="008D5339">
              <w:rPr>
                <w:rFonts w:cstheme="minorHAnsi"/>
                <w:sz w:val="22"/>
              </w:rPr>
              <w:t>D.2</w:t>
            </w:r>
            <w:r w:rsidRPr="008D5339" w:rsidR="007815B0">
              <w:rPr>
                <w:rFonts w:cstheme="minorHAnsi"/>
                <w:sz w:val="22"/>
              </w:rPr>
              <w:t>4</w:t>
            </w:r>
            <w:r w:rsidRPr="008D5339" w:rsidR="00F949CB">
              <w:rPr>
                <w:rFonts w:cstheme="minorHAnsi"/>
                <w:sz w:val="22"/>
              </w:rPr>
              <w:noBreakHyphen/>
            </w:r>
            <w:r w:rsidRPr="008D5339" w:rsidR="007815B0">
              <w:rPr>
                <w:rFonts w:cstheme="minorHAnsi"/>
                <w:sz w:val="22"/>
              </w:rPr>
              <w:t>01</w:t>
            </w:r>
            <w:r w:rsidRPr="008D5339" w:rsidR="00F949CB">
              <w:rPr>
                <w:rFonts w:cstheme="minorHAnsi"/>
                <w:sz w:val="22"/>
              </w:rPr>
              <w:noBreakHyphen/>
            </w:r>
            <w:r w:rsidRPr="008D5339" w:rsidR="007815B0">
              <w:rPr>
                <w:rFonts w:cstheme="minorHAnsi"/>
                <w:sz w:val="22"/>
              </w:rPr>
              <w:t>044</w:t>
            </w:r>
            <w:r w:rsidRPr="008D5339" w:rsidR="000A4FC9">
              <w:rPr>
                <w:rFonts w:cstheme="minorHAnsi"/>
                <w:sz w:val="22"/>
              </w:rPr>
              <w:t>, ALJ</w:t>
            </w:r>
            <w:r w:rsidRPr="008D5339" w:rsidR="00F949CB">
              <w:rPr>
                <w:rFonts w:cstheme="minorHAnsi"/>
                <w:sz w:val="22"/>
              </w:rPr>
              <w:noBreakHyphen/>
            </w:r>
            <w:r w:rsidRPr="008D5339" w:rsidR="000A4FC9">
              <w:rPr>
                <w:rFonts w:cstheme="minorHAnsi"/>
                <w:sz w:val="22"/>
              </w:rPr>
              <w:t>393 esca</w:t>
            </w:r>
            <w:r w:rsidRPr="008D5339" w:rsidR="00923AD6">
              <w:rPr>
                <w:rFonts w:cstheme="minorHAnsi"/>
                <w:sz w:val="22"/>
              </w:rPr>
              <w:t xml:space="preserve">lation, </w:t>
            </w:r>
            <w:r w:rsidRPr="008D5339" w:rsidR="001D78A3">
              <w:rPr>
                <w:rFonts w:cstheme="minorHAnsi"/>
                <w:sz w:val="22"/>
              </w:rPr>
              <w:t xml:space="preserve">plus </w:t>
            </w:r>
            <w:r w:rsidRPr="008D5339" w:rsidR="002C5E75">
              <w:rPr>
                <w:rFonts w:cstheme="minorHAnsi"/>
                <w:sz w:val="22"/>
              </w:rPr>
              <w:t>second</w:t>
            </w:r>
            <w:r w:rsidRPr="008D5339" w:rsidR="00170D5C">
              <w:rPr>
                <w:rFonts w:cstheme="minorHAnsi"/>
                <w:sz w:val="22"/>
              </w:rPr>
              <w:t xml:space="preserve"> 5%</w:t>
            </w:r>
            <w:r w:rsidRPr="008D5339" w:rsidR="002C5E75">
              <w:rPr>
                <w:rFonts w:cstheme="minorHAnsi"/>
                <w:sz w:val="22"/>
              </w:rPr>
              <w:t xml:space="preserve"> step increase</w:t>
            </w:r>
            <w:r w:rsidRPr="008D5339" w:rsidR="002E3C7F">
              <w:rPr>
                <w:rFonts w:cstheme="minorHAnsi"/>
                <w:sz w:val="22"/>
              </w:rPr>
              <w:t>.</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A92D0B" w:rsidP="009B471B" w:rsidRDefault="008D5339" w14:paraId="06BD92A5" w14:textId="38AB85BC">
            <w:pPr>
              <w:jc w:val="right"/>
              <w:rPr>
                <w:rFonts w:asciiTheme="minorHAnsi" w:hAnsiTheme="minorHAnsi" w:cstheme="minorHAnsi"/>
                <w:sz w:val="22"/>
              </w:rPr>
            </w:pPr>
            <w:r w:rsidRPr="008D5339">
              <w:rPr>
                <w:rFonts w:cstheme="minorHAnsi"/>
                <w:sz w:val="22"/>
              </w:rPr>
              <w:t>$</w:t>
            </w:r>
            <w:r w:rsidRPr="008D5339" w:rsidR="00A04651">
              <w:rPr>
                <w:rFonts w:cstheme="minorHAnsi"/>
                <w:sz w:val="22"/>
              </w:rPr>
              <w:t>454,941.70</w:t>
            </w:r>
          </w:p>
        </w:tc>
        <w:tc>
          <w:tcPr>
            <w:tcW w:w="990" w:type="dxa"/>
            <w:tcBorders>
              <w:left w:val="single" w:color="auto" w:sz="4" w:space="0"/>
            </w:tcBorders>
            <w:shd w:val="clear" w:color="auto" w:fill="auto"/>
          </w:tcPr>
          <w:p w:rsidRPr="008D5339" w:rsidR="008D5339" w:rsidP="009B471B" w:rsidRDefault="008E677B" w14:paraId="5FC0F1A1" w14:textId="585170A5">
            <w:pPr>
              <w:jc w:val="center"/>
              <w:rPr>
                <w:sz w:val="22"/>
              </w:rPr>
            </w:pPr>
            <w:r>
              <w:rPr>
                <w:sz w:val="22"/>
              </w:rPr>
              <w:t>305.33</w:t>
            </w:r>
          </w:p>
          <w:p w:rsidRPr="008D5339" w:rsidR="00A92D0B" w:rsidP="008D5339" w:rsidRDefault="008D5339" w14:paraId="31AF7AA4" w14:textId="6400B3A2">
            <w:pPr>
              <w:jc w:val="center"/>
              <w:rPr>
                <w:sz w:val="22"/>
              </w:rPr>
            </w:pPr>
            <w:r w:rsidRPr="008D5339">
              <w:rPr>
                <w:sz w:val="22"/>
              </w:rPr>
              <w:t>[</w:t>
            </w:r>
            <w:r w:rsidRPr="008D5339" w:rsidR="00EB173D">
              <w:rPr>
                <w:sz w:val="22"/>
              </w:rPr>
              <w:t>4, 7]</w:t>
            </w:r>
          </w:p>
        </w:tc>
        <w:tc>
          <w:tcPr>
            <w:tcW w:w="990" w:type="dxa"/>
            <w:shd w:val="clear" w:color="auto" w:fill="auto"/>
          </w:tcPr>
          <w:p w:rsidRPr="008D5339" w:rsidR="008D5339" w:rsidP="009B471B" w:rsidRDefault="00730514" w14:paraId="3A94C2A9" w14:textId="77777777">
            <w:pPr>
              <w:jc w:val="right"/>
              <w:rPr>
                <w:sz w:val="22"/>
              </w:rPr>
            </w:pPr>
            <w:r w:rsidRPr="008D5339">
              <w:rPr>
                <w:sz w:val="22"/>
              </w:rPr>
              <w:t>$745.00</w:t>
            </w:r>
          </w:p>
          <w:p w:rsidRPr="008D5339" w:rsidR="00A92D0B" w:rsidP="008D5339" w:rsidRDefault="008D5339" w14:paraId="3400AFFC" w14:textId="117BF2F0">
            <w:pPr>
              <w:jc w:val="center"/>
              <w:rPr>
                <w:sz w:val="22"/>
              </w:rPr>
            </w:pPr>
            <w:r w:rsidRPr="008D5339">
              <w:rPr>
                <w:sz w:val="22"/>
              </w:rPr>
              <w:t>[</w:t>
            </w:r>
            <w:r w:rsidRPr="008D5339" w:rsidR="00730514">
              <w:rPr>
                <w:sz w:val="22"/>
              </w:rPr>
              <w:t>1]</w:t>
            </w:r>
          </w:p>
        </w:tc>
        <w:tc>
          <w:tcPr>
            <w:tcW w:w="1380" w:type="dxa"/>
            <w:shd w:val="clear" w:color="auto" w:fill="auto"/>
          </w:tcPr>
          <w:p w:rsidRPr="008D5339" w:rsidR="00A92D0B" w:rsidP="009B471B" w:rsidRDefault="002A6BAC" w14:paraId="196C1830" w14:textId="0C8ECA94">
            <w:pPr>
              <w:jc w:val="right"/>
              <w:rPr>
                <w:sz w:val="22"/>
              </w:rPr>
            </w:pPr>
            <w:r w:rsidRPr="008D5339">
              <w:rPr>
                <w:sz w:val="22"/>
              </w:rPr>
              <w:t>$</w:t>
            </w:r>
            <w:r w:rsidR="008E677B">
              <w:rPr>
                <w:sz w:val="22"/>
              </w:rPr>
              <w:t>227,470.85</w:t>
            </w:r>
          </w:p>
        </w:tc>
      </w:tr>
      <w:tr w:rsidRPr="008D5339" w:rsidR="008D5339" w:rsidTr="00076735" w14:paraId="5BF6A154" w14:textId="77777777">
        <w:trPr>
          <w:cantSplit/>
          <w:jc w:val="center"/>
        </w:trPr>
        <w:tc>
          <w:tcPr>
            <w:tcW w:w="1525" w:type="dxa"/>
            <w:gridSpan w:val="2"/>
            <w:shd w:val="clear" w:color="auto" w:fill="auto"/>
          </w:tcPr>
          <w:p w:rsidRPr="008D5339" w:rsidR="00A92D0B" w:rsidP="009B471B" w:rsidRDefault="007941BE" w14:paraId="118506EC" w14:textId="66D1B754">
            <w:pPr>
              <w:rPr>
                <w:rFonts w:asciiTheme="minorHAnsi" w:hAnsiTheme="minorHAnsi" w:cstheme="minorHAnsi"/>
                <w:sz w:val="22"/>
              </w:rPr>
            </w:pPr>
            <w:r w:rsidRPr="008D5339">
              <w:rPr>
                <w:rFonts w:cstheme="minorHAnsi"/>
                <w:sz w:val="22"/>
              </w:rPr>
              <w:t>John Geesman</w:t>
            </w:r>
          </w:p>
        </w:tc>
        <w:tc>
          <w:tcPr>
            <w:tcW w:w="720" w:type="dxa"/>
            <w:gridSpan w:val="2"/>
            <w:shd w:val="clear" w:color="auto" w:fill="auto"/>
          </w:tcPr>
          <w:p w:rsidRPr="008D5339" w:rsidR="00A92D0B" w:rsidP="008D5339" w:rsidRDefault="007941BE" w14:paraId="3767540B" w14:textId="595ABECB">
            <w:pPr>
              <w:rPr>
                <w:rFonts w:asciiTheme="minorHAnsi" w:hAnsiTheme="minorHAnsi" w:cstheme="minorHAnsi"/>
                <w:sz w:val="22"/>
              </w:rPr>
            </w:pPr>
            <w:r w:rsidRPr="008D5339">
              <w:rPr>
                <w:rFonts w:cstheme="minorHAnsi"/>
                <w:sz w:val="22"/>
              </w:rPr>
              <w:t>2022</w:t>
            </w:r>
          </w:p>
        </w:tc>
        <w:tc>
          <w:tcPr>
            <w:tcW w:w="900" w:type="dxa"/>
            <w:shd w:val="clear" w:color="auto" w:fill="auto"/>
          </w:tcPr>
          <w:p w:rsidRPr="008D5339" w:rsidR="00A92D0B" w:rsidP="008D5339" w:rsidRDefault="00A04651" w14:paraId="120FE857" w14:textId="5312074A">
            <w:pPr>
              <w:jc w:val="center"/>
              <w:rPr>
                <w:rFonts w:asciiTheme="minorHAnsi" w:hAnsiTheme="minorHAnsi" w:cstheme="minorHAnsi"/>
                <w:sz w:val="22"/>
              </w:rPr>
            </w:pPr>
            <w:r w:rsidRPr="008D5339">
              <w:rPr>
                <w:rFonts w:cstheme="minorHAnsi"/>
                <w:sz w:val="22"/>
              </w:rPr>
              <w:t>177.68</w:t>
            </w:r>
          </w:p>
        </w:tc>
        <w:tc>
          <w:tcPr>
            <w:tcW w:w="990" w:type="dxa"/>
            <w:shd w:val="clear" w:color="auto" w:fill="auto"/>
          </w:tcPr>
          <w:p w:rsidRPr="008D5339" w:rsidR="00A92D0B" w:rsidP="009B471B" w:rsidRDefault="008D5339" w14:paraId="075109E1" w14:textId="3FCD2E16">
            <w:pPr>
              <w:jc w:val="right"/>
              <w:rPr>
                <w:rFonts w:asciiTheme="minorHAnsi" w:hAnsiTheme="minorHAnsi" w:cstheme="minorHAnsi"/>
                <w:sz w:val="22"/>
              </w:rPr>
            </w:pPr>
            <w:r w:rsidRPr="008D5339">
              <w:rPr>
                <w:rFonts w:cstheme="minorHAnsi"/>
                <w:sz w:val="22"/>
              </w:rPr>
              <w:t>$</w:t>
            </w:r>
            <w:r w:rsidRPr="008D5339" w:rsidR="00571F46">
              <w:rPr>
                <w:rFonts w:cstheme="minorHAnsi"/>
                <w:sz w:val="22"/>
              </w:rPr>
              <w:t>715</w:t>
            </w:r>
            <w:r w:rsidRPr="008D5339">
              <w:rPr>
                <w:rFonts w:cstheme="minorHAnsi"/>
                <w:sz w:val="22"/>
              </w:rPr>
              <w:t>.00</w:t>
            </w:r>
          </w:p>
        </w:tc>
        <w:tc>
          <w:tcPr>
            <w:tcW w:w="1710" w:type="dxa"/>
            <w:gridSpan w:val="2"/>
            <w:tcBorders>
              <w:right w:val="single" w:color="auto" w:sz="4" w:space="0"/>
            </w:tcBorders>
            <w:shd w:val="clear" w:color="auto" w:fill="auto"/>
          </w:tcPr>
          <w:p w:rsidRPr="008D5339" w:rsidR="00A92D0B" w:rsidP="009B471B" w:rsidRDefault="00390FE9" w14:paraId="4AF4C006" w14:textId="0CC3AD07">
            <w:pPr>
              <w:rPr>
                <w:sz w:val="22"/>
              </w:rPr>
            </w:pPr>
            <w:r w:rsidRPr="008D5339">
              <w:rPr>
                <w:rFonts w:cstheme="minorHAnsi"/>
                <w:sz w:val="22"/>
              </w:rPr>
              <w:t>D.24</w:t>
            </w:r>
            <w:r w:rsidRPr="008D5339" w:rsidR="00F949CB">
              <w:rPr>
                <w:rFonts w:cstheme="minorHAnsi"/>
                <w:sz w:val="22"/>
              </w:rPr>
              <w:noBreakHyphen/>
            </w:r>
            <w:r w:rsidRPr="008D5339">
              <w:rPr>
                <w:rFonts w:cstheme="minorHAnsi"/>
                <w:sz w:val="22"/>
              </w:rPr>
              <w:t>01</w:t>
            </w:r>
            <w:r w:rsidRPr="008D5339" w:rsidR="00F949CB">
              <w:rPr>
                <w:rFonts w:cstheme="minorHAnsi"/>
                <w:sz w:val="22"/>
              </w:rPr>
              <w:noBreakHyphen/>
            </w:r>
            <w:r w:rsidRPr="008D5339">
              <w:rPr>
                <w:rFonts w:cstheme="minorHAnsi"/>
                <w:sz w:val="22"/>
              </w:rPr>
              <w:t>044</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A92D0B" w:rsidP="009B471B" w:rsidRDefault="008D5339" w14:paraId="2A77845E" w14:textId="4FDE48F8">
            <w:pPr>
              <w:jc w:val="right"/>
              <w:rPr>
                <w:rFonts w:asciiTheme="minorHAnsi" w:hAnsiTheme="minorHAnsi" w:cstheme="minorHAnsi"/>
                <w:sz w:val="22"/>
              </w:rPr>
            </w:pPr>
            <w:r w:rsidRPr="008D5339">
              <w:rPr>
                <w:rFonts w:cstheme="minorHAnsi"/>
                <w:sz w:val="22"/>
              </w:rPr>
              <w:t>$</w:t>
            </w:r>
            <w:r w:rsidRPr="008D5339" w:rsidR="00A04651">
              <w:rPr>
                <w:rFonts w:cstheme="minorHAnsi"/>
                <w:sz w:val="22"/>
              </w:rPr>
              <w:t>127,041.20</w:t>
            </w:r>
          </w:p>
        </w:tc>
        <w:tc>
          <w:tcPr>
            <w:tcW w:w="990" w:type="dxa"/>
            <w:tcBorders>
              <w:left w:val="single" w:color="auto" w:sz="4" w:space="0"/>
            </w:tcBorders>
            <w:shd w:val="clear" w:color="auto" w:fill="auto"/>
          </w:tcPr>
          <w:p w:rsidRPr="008D5339" w:rsidR="008D5339" w:rsidP="009B471B" w:rsidRDefault="00EB173D" w14:paraId="58E3F615" w14:textId="5CFE3CA5">
            <w:pPr>
              <w:jc w:val="center"/>
              <w:rPr>
                <w:sz w:val="22"/>
              </w:rPr>
            </w:pPr>
            <w:r w:rsidRPr="008D5339">
              <w:rPr>
                <w:sz w:val="22"/>
              </w:rPr>
              <w:t>72.</w:t>
            </w:r>
            <w:r w:rsidR="008E677B">
              <w:rPr>
                <w:sz w:val="22"/>
              </w:rPr>
              <w:t>38</w:t>
            </w:r>
          </w:p>
          <w:p w:rsidRPr="008D5339" w:rsidR="00A92D0B" w:rsidP="008D5339" w:rsidRDefault="008D5339" w14:paraId="461DC9FD" w14:textId="02E22334">
            <w:pPr>
              <w:jc w:val="center"/>
              <w:rPr>
                <w:sz w:val="22"/>
              </w:rPr>
            </w:pPr>
            <w:r w:rsidRPr="008D5339">
              <w:rPr>
                <w:sz w:val="22"/>
              </w:rPr>
              <w:t>[</w:t>
            </w:r>
            <w:r w:rsidRPr="008D5339" w:rsidR="00EB173D">
              <w:rPr>
                <w:sz w:val="22"/>
              </w:rPr>
              <w:t xml:space="preserve">4, 6, 7] </w:t>
            </w:r>
          </w:p>
        </w:tc>
        <w:tc>
          <w:tcPr>
            <w:tcW w:w="990" w:type="dxa"/>
            <w:shd w:val="clear" w:color="auto" w:fill="auto"/>
          </w:tcPr>
          <w:p w:rsidRPr="008D5339" w:rsidR="00A92D0B" w:rsidP="009B471B" w:rsidRDefault="00730514" w14:paraId="7FDABF74" w14:textId="0804624E">
            <w:pPr>
              <w:jc w:val="right"/>
              <w:rPr>
                <w:sz w:val="22"/>
              </w:rPr>
            </w:pPr>
            <w:r w:rsidRPr="008D5339">
              <w:rPr>
                <w:sz w:val="22"/>
              </w:rPr>
              <w:t>$715.00</w:t>
            </w:r>
          </w:p>
        </w:tc>
        <w:tc>
          <w:tcPr>
            <w:tcW w:w="1380" w:type="dxa"/>
            <w:shd w:val="clear" w:color="auto" w:fill="auto"/>
          </w:tcPr>
          <w:p w:rsidRPr="008D5339" w:rsidR="00A92D0B" w:rsidP="009B471B" w:rsidRDefault="00C10D30" w14:paraId="05EFCF76" w14:textId="20697E94">
            <w:pPr>
              <w:jc w:val="right"/>
              <w:rPr>
                <w:sz w:val="22"/>
              </w:rPr>
            </w:pPr>
            <w:r w:rsidRPr="008D5339">
              <w:rPr>
                <w:sz w:val="22"/>
              </w:rPr>
              <w:t>$51,</w:t>
            </w:r>
            <w:r w:rsidR="008E677B">
              <w:rPr>
                <w:sz w:val="22"/>
              </w:rPr>
              <w:t>751.70</w:t>
            </w:r>
          </w:p>
        </w:tc>
      </w:tr>
      <w:tr w:rsidRPr="008D5339" w:rsidR="008D5339" w:rsidTr="00076735" w14:paraId="38E0B4EA" w14:textId="77777777">
        <w:trPr>
          <w:cantSplit/>
          <w:jc w:val="center"/>
        </w:trPr>
        <w:tc>
          <w:tcPr>
            <w:tcW w:w="1525" w:type="dxa"/>
            <w:gridSpan w:val="2"/>
            <w:shd w:val="clear" w:color="auto" w:fill="auto"/>
          </w:tcPr>
          <w:p w:rsidRPr="008D5339" w:rsidR="007941BE" w:rsidP="009B471B" w:rsidRDefault="007941BE" w14:paraId="1F980DF3" w14:textId="7DC0FF53">
            <w:pPr>
              <w:rPr>
                <w:sz w:val="22"/>
              </w:rPr>
            </w:pPr>
            <w:r w:rsidRPr="008D5339">
              <w:rPr>
                <w:rFonts w:cstheme="minorHAnsi"/>
                <w:sz w:val="22"/>
              </w:rPr>
              <w:t>Rochelle Becker</w:t>
            </w:r>
          </w:p>
        </w:tc>
        <w:tc>
          <w:tcPr>
            <w:tcW w:w="720" w:type="dxa"/>
            <w:gridSpan w:val="2"/>
            <w:shd w:val="clear" w:color="auto" w:fill="auto"/>
          </w:tcPr>
          <w:p w:rsidRPr="008D5339" w:rsidR="007941BE" w:rsidP="008D5339" w:rsidRDefault="007941BE" w14:paraId="275BF57A" w14:textId="76288561">
            <w:pPr>
              <w:rPr>
                <w:sz w:val="22"/>
              </w:rPr>
            </w:pPr>
            <w:r w:rsidRPr="008D5339">
              <w:rPr>
                <w:rFonts w:cstheme="minorHAnsi"/>
                <w:sz w:val="22"/>
              </w:rPr>
              <w:t>2023</w:t>
            </w:r>
          </w:p>
        </w:tc>
        <w:tc>
          <w:tcPr>
            <w:tcW w:w="900" w:type="dxa"/>
            <w:shd w:val="clear" w:color="auto" w:fill="auto"/>
          </w:tcPr>
          <w:p w:rsidRPr="008D5339" w:rsidR="007941BE" w:rsidP="008D5339" w:rsidRDefault="007915F3" w14:paraId="0DE506C4" w14:textId="7DD41099">
            <w:pPr>
              <w:jc w:val="center"/>
              <w:rPr>
                <w:rFonts w:asciiTheme="minorHAnsi" w:hAnsiTheme="minorHAnsi" w:cstheme="minorHAnsi"/>
                <w:sz w:val="22"/>
              </w:rPr>
            </w:pPr>
            <w:r w:rsidRPr="008D5339">
              <w:rPr>
                <w:rFonts w:cstheme="minorHAnsi"/>
                <w:sz w:val="22"/>
              </w:rPr>
              <w:t>55</w:t>
            </w:r>
            <w:r w:rsidRPr="008D5339" w:rsidR="00600CC3">
              <w:rPr>
                <w:rFonts w:cstheme="minorHAnsi"/>
                <w:sz w:val="22"/>
              </w:rPr>
              <w:t>.00</w:t>
            </w:r>
          </w:p>
        </w:tc>
        <w:tc>
          <w:tcPr>
            <w:tcW w:w="990" w:type="dxa"/>
            <w:shd w:val="clear" w:color="auto" w:fill="auto"/>
          </w:tcPr>
          <w:p w:rsidRPr="008D5339" w:rsidR="007941BE" w:rsidP="009B471B" w:rsidRDefault="008D5339" w14:paraId="26413E95" w14:textId="3D6DD58A">
            <w:pPr>
              <w:jc w:val="right"/>
              <w:rPr>
                <w:rFonts w:asciiTheme="minorHAnsi" w:hAnsiTheme="minorHAnsi" w:cstheme="minorHAnsi"/>
                <w:sz w:val="22"/>
              </w:rPr>
            </w:pPr>
            <w:r w:rsidRPr="008D5339">
              <w:rPr>
                <w:rFonts w:cstheme="minorHAnsi"/>
                <w:sz w:val="22"/>
              </w:rPr>
              <w:t>$</w:t>
            </w:r>
            <w:r w:rsidRPr="008D5339" w:rsidR="00571F46">
              <w:rPr>
                <w:rFonts w:cstheme="minorHAnsi"/>
                <w:sz w:val="22"/>
              </w:rPr>
              <w:t>320</w:t>
            </w:r>
            <w:r w:rsidRPr="008D5339">
              <w:rPr>
                <w:rFonts w:cstheme="minorHAnsi"/>
                <w:sz w:val="22"/>
              </w:rPr>
              <w:t>.00</w:t>
            </w:r>
          </w:p>
        </w:tc>
        <w:tc>
          <w:tcPr>
            <w:tcW w:w="1710" w:type="dxa"/>
            <w:gridSpan w:val="2"/>
            <w:tcBorders>
              <w:right w:val="single" w:color="auto" w:sz="4" w:space="0"/>
            </w:tcBorders>
            <w:shd w:val="clear" w:color="auto" w:fill="auto"/>
          </w:tcPr>
          <w:p w:rsidRPr="008D5339" w:rsidR="007941BE" w:rsidP="009B471B" w:rsidRDefault="0076356C" w14:paraId="300AA881" w14:textId="5803E7EE">
            <w:pPr>
              <w:rPr>
                <w:sz w:val="22"/>
              </w:rPr>
            </w:pPr>
            <w:r w:rsidRPr="008D5339">
              <w:rPr>
                <w:rFonts w:cstheme="minorHAnsi"/>
                <w:sz w:val="22"/>
              </w:rPr>
              <w:t>D.24</w:t>
            </w:r>
            <w:r w:rsidRPr="008D5339" w:rsidR="00F949CB">
              <w:rPr>
                <w:rFonts w:cstheme="minorHAnsi"/>
                <w:sz w:val="22"/>
              </w:rPr>
              <w:noBreakHyphen/>
            </w:r>
            <w:r w:rsidRPr="008D5339">
              <w:rPr>
                <w:rFonts w:cstheme="minorHAnsi"/>
                <w:sz w:val="22"/>
              </w:rPr>
              <w:t>01</w:t>
            </w:r>
            <w:r w:rsidRPr="008D5339" w:rsidR="00F949CB">
              <w:rPr>
                <w:rFonts w:cstheme="minorHAnsi"/>
                <w:sz w:val="22"/>
              </w:rPr>
              <w:noBreakHyphen/>
            </w:r>
            <w:r w:rsidRPr="008D5339">
              <w:rPr>
                <w:rFonts w:cstheme="minorHAnsi"/>
                <w:sz w:val="22"/>
              </w:rPr>
              <w:t>044, ALJ</w:t>
            </w:r>
            <w:r w:rsidRPr="008D5339" w:rsidR="00F949CB">
              <w:rPr>
                <w:rFonts w:cstheme="minorHAnsi"/>
                <w:sz w:val="22"/>
              </w:rPr>
              <w:noBreakHyphen/>
            </w:r>
            <w:r w:rsidRPr="008D5339">
              <w:rPr>
                <w:rFonts w:cstheme="minorHAnsi"/>
                <w:sz w:val="22"/>
              </w:rPr>
              <w:t>393 escalation, plus second 5% step increase</w:t>
            </w:r>
            <w:r w:rsidRPr="008D5339" w:rsidR="007053D2">
              <w:rPr>
                <w:rFonts w:cstheme="minorHAnsi"/>
                <w:sz w:val="22"/>
              </w:rPr>
              <w:t>.</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7941BE" w:rsidP="009B471B" w:rsidRDefault="008D5339" w14:paraId="23EF368E" w14:textId="1DA229B0">
            <w:pPr>
              <w:jc w:val="right"/>
              <w:rPr>
                <w:rFonts w:asciiTheme="minorHAnsi" w:hAnsiTheme="minorHAnsi" w:cstheme="minorHAnsi"/>
                <w:sz w:val="22"/>
              </w:rPr>
            </w:pPr>
            <w:r w:rsidRPr="008D5339">
              <w:rPr>
                <w:rFonts w:cstheme="minorHAnsi"/>
                <w:sz w:val="22"/>
              </w:rPr>
              <w:t>$</w:t>
            </w:r>
            <w:r w:rsidRPr="008D5339" w:rsidR="006444CC">
              <w:rPr>
                <w:rFonts w:cstheme="minorHAnsi"/>
                <w:sz w:val="22"/>
              </w:rPr>
              <w:t>17,60</w:t>
            </w:r>
            <w:r w:rsidRPr="008D5339" w:rsidR="00600CC3">
              <w:rPr>
                <w:rFonts w:cstheme="minorHAnsi"/>
                <w:sz w:val="22"/>
              </w:rPr>
              <w:t>0.00</w:t>
            </w:r>
          </w:p>
        </w:tc>
        <w:tc>
          <w:tcPr>
            <w:tcW w:w="990" w:type="dxa"/>
            <w:tcBorders>
              <w:left w:val="single" w:color="auto" w:sz="4" w:space="0"/>
            </w:tcBorders>
            <w:shd w:val="clear" w:color="auto" w:fill="auto"/>
          </w:tcPr>
          <w:p w:rsidRPr="008D5339" w:rsidR="008D5339" w:rsidP="009B471B" w:rsidRDefault="008E677B" w14:paraId="42FDAE83" w14:textId="7BC74190">
            <w:pPr>
              <w:jc w:val="center"/>
              <w:rPr>
                <w:sz w:val="22"/>
              </w:rPr>
            </w:pPr>
            <w:r>
              <w:rPr>
                <w:sz w:val="22"/>
              </w:rPr>
              <w:t>27.50</w:t>
            </w:r>
          </w:p>
          <w:p w:rsidRPr="008D5339" w:rsidR="007941BE" w:rsidP="008D5339" w:rsidRDefault="008D5339" w14:paraId="2B0CA953" w14:textId="52151845">
            <w:pPr>
              <w:jc w:val="center"/>
              <w:rPr>
                <w:sz w:val="22"/>
              </w:rPr>
            </w:pPr>
            <w:r w:rsidRPr="008D5339">
              <w:rPr>
                <w:sz w:val="22"/>
              </w:rPr>
              <w:t>[</w:t>
            </w:r>
            <w:r w:rsidRPr="008D5339" w:rsidR="000A469B">
              <w:rPr>
                <w:sz w:val="22"/>
              </w:rPr>
              <w:t>7]</w:t>
            </w:r>
          </w:p>
        </w:tc>
        <w:tc>
          <w:tcPr>
            <w:tcW w:w="990" w:type="dxa"/>
            <w:shd w:val="clear" w:color="auto" w:fill="auto"/>
          </w:tcPr>
          <w:p w:rsidRPr="008D5339" w:rsidR="008D5339" w:rsidP="009B471B" w:rsidRDefault="00F23CDC" w14:paraId="33B87D4E" w14:textId="77777777">
            <w:pPr>
              <w:jc w:val="right"/>
              <w:rPr>
                <w:sz w:val="22"/>
              </w:rPr>
            </w:pPr>
            <w:r w:rsidRPr="008D5339">
              <w:rPr>
                <w:sz w:val="22"/>
              </w:rPr>
              <w:t>$320.00</w:t>
            </w:r>
          </w:p>
          <w:p w:rsidRPr="008D5339" w:rsidR="007941BE" w:rsidP="008D5339" w:rsidRDefault="008D5339" w14:paraId="1FC8906C" w14:textId="501548B0">
            <w:pPr>
              <w:jc w:val="center"/>
              <w:rPr>
                <w:sz w:val="22"/>
              </w:rPr>
            </w:pPr>
            <w:r w:rsidRPr="008D5339">
              <w:rPr>
                <w:sz w:val="22"/>
              </w:rPr>
              <w:t>[</w:t>
            </w:r>
            <w:r w:rsidRPr="008D5339" w:rsidR="00F23CDC">
              <w:rPr>
                <w:sz w:val="22"/>
              </w:rPr>
              <w:t>2]</w:t>
            </w:r>
          </w:p>
        </w:tc>
        <w:tc>
          <w:tcPr>
            <w:tcW w:w="1380" w:type="dxa"/>
            <w:shd w:val="clear" w:color="auto" w:fill="auto"/>
          </w:tcPr>
          <w:p w:rsidRPr="008D5339" w:rsidR="007941BE" w:rsidP="009B471B" w:rsidRDefault="00C10D30" w14:paraId="6C594CB5" w14:textId="3D1EBDB6">
            <w:pPr>
              <w:jc w:val="right"/>
              <w:rPr>
                <w:sz w:val="22"/>
              </w:rPr>
            </w:pPr>
            <w:r w:rsidRPr="008D5339">
              <w:rPr>
                <w:sz w:val="22"/>
              </w:rPr>
              <w:t>$</w:t>
            </w:r>
            <w:r w:rsidR="008E677B">
              <w:rPr>
                <w:sz w:val="22"/>
              </w:rPr>
              <w:t>8,800</w:t>
            </w:r>
            <w:r w:rsidRPr="008D5339" w:rsidR="00B86CC7">
              <w:rPr>
                <w:sz w:val="22"/>
              </w:rPr>
              <w:t>.00</w:t>
            </w:r>
          </w:p>
        </w:tc>
      </w:tr>
      <w:tr w:rsidRPr="008D5339" w:rsidR="008D5339" w:rsidTr="00076735" w14:paraId="78FC5ECE" w14:textId="77777777">
        <w:trPr>
          <w:cantSplit/>
          <w:jc w:val="center"/>
        </w:trPr>
        <w:tc>
          <w:tcPr>
            <w:tcW w:w="1525" w:type="dxa"/>
            <w:gridSpan w:val="2"/>
            <w:shd w:val="clear" w:color="auto" w:fill="auto"/>
          </w:tcPr>
          <w:p w:rsidRPr="008D5339" w:rsidR="007941BE" w:rsidP="009B471B" w:rsidRDefault="007941BE" w14:paraId="1F8943E9" w14:textId="344512B4">
            <w:pPr>
              <w:rPr>
                <w:sz w:val="22"/>
              </w:rPr>
            </w:pPr>
            <w:r w:rsidRPr="008D5339">
              <w:rPr>
                <w:rFonts w:cstheme="minorHAnsi"/>
                <w:sz w:val="22"/>
              </w:rPr>
              <w:t>Rochelle Becker</w:t>
            </w:r>
          </w:p>
        </w:tc>
        <w:tc>
          <w:tcPr>
            <w:tcW w:w="720" w:type="dxa"/>
            <w:gridSpan w:val="2"/>
            <w:shd w:val="clear" w:color="auto" w:fill="auto"/>
          </w:tcPr>
          <w:p w:rsidRPr="008D5339" w:rsidR="007941BE" w:rsidP="008D5339" w:rsidRDefault="00571F46" w14:paraId="6FFEFF62" w14:textId="4EBEFFBF">
            <w:pPr>
              <w:rPr>
                <w:sz w:val="22"/>
              </w:rPr>
            </w:pPr>
            <w:r w:rsidRPr="008D5339">
              <w:rPr>
                <w:rFonts w:cstheme="minorHAnsi"/>
                <w:sz w:val="22"/>
              </w:rPr>
              <w:t>2022</w:t>
            </w:r>
          </w:p>
        </w:tc>
        <w:tc>
          <w:tcPr>
            <w:tcW w:w="900" w:type="dxa"/>
            <w:shd w:val="clear" w:color="auto" w:fill="auto"/>
          </w:tcPr>
          <w:p w:rsidRPr="008D5339" w:rsidR="007941BE" w:rsidP="008D5339" w:rsidRDefault="00F83269" w14:paraId="24984638" w14:textId="5DF9F6F1">
            <w:pPr>
              <w:jc w:val="center"/>
              <w:rPr>
                <w:rFonts w:asciiTheme="minorHAnsi" w:hAnsiTheme="minorHAnsi" w:cstheme="minorHAnsi"/>
                <w:sz w:val="22"/>
              </w:rPr>
            </w:pPr>
            <w:r w:rsidRPr="008D5339">
              <w:rPr>
                <w:rFonts w:cstheme="minorHAnsi"/>
                <w:sz w:val="22"/>
              </w:rPr>
              <w:t>38.71</w:t>
            </w:r>
          </w:p>
        </w:tc>
        <w:tc>
          <w:tcPr>
            <w:tcW w:w="990" w:type="dxa"/>
            <w:shd w:val="clear" w:color="auto" w:fill="auto"/>
          </w:tcPr>
          <w:p w:rsidRPr="008D5339" w:rsidR="007941BE" w:rsidP="009B471B" w:rsidRDefault="008D5339" w14:paraId="00CA9050" w14:textId="39A5D6EA">
            <w:pPr>
              <w:jc w:val="right"/>
              <w:rPr>
                <w:rFonts w:asciiTheme="minorHAnsi" w:hAnsiTheme="minorHAnsi" w:cstheme="minorHAnsi"/>
                <w:sz w:val="22"/>
              </w:rPr>
            </w:pPr>
            <w:r w:rsidRPr="008D5339">
              <w:rPr>
                <w:rFonts w:cstheme="minorHAnsi"/>
                <w:sz w:val="22"/>
              </w:rPr>
              <w:t>$</w:t>
            </w:r>
            <w:r w:rsidRPr="008D5339" w:rsidR="00571F46">
              <w:rPr>
                <w:rFonts w:cstheme="minorHAnsi"/>
                <w:sz w:val="22"/>
              </w:rPr>
              <w:t>305</w:t>
            </w:r>
            <w:r w:rsidRPr="008D5339">
              <w:rPr>
                <w:rFonts w:cstheme="minorHAnsi"/>
                <w:sz w:val="22"/>
              </w:rPr>
              <w:t>.00</w:t>
            </w:r>
          </w:p>
        </w:tc>
        <w:tc>
          <w:tcPr>
            <w:tcW w:w="1710" w:type="dxa"/>
            <w:gridSpan w:val="2"/>
            <w:tcBorders>
              <w:right w:val="single" w:color="auto" w:sz="4" w:space="0"/>
            </w:tcBorders>
            <w:shd w:val="clear" w:color="auto" w:fill="auto"/>
          </w:tcPr>
          <w:p w:rsidRPr="008D5339" w:rsidR="007941BE" w:rsidP="009B471B" w:rsidRDefault="00390FE9" w14:paraId="760F08DA" w14:textId="334FB709">
            <w:pPr>
              <w:rPr>
                <w:sz w:val="22"/>
              </w:rPr>
            </w:pPr>
            <w:r w:rsidRPr="008D5339">
              <w:rPr>
                <w:rFonts w:cstheme="minorHAnsi"/>
                <w:sz w:val="22"/>
              </w:rPr>
              <w:t>D.24</w:t>
            </w:r>
            <w:r w:rsidRPr="008D5339" w:rsidR="00F949CB">
              <w:rPr>
                <w:rFonts w:cstheme="minorHAnsi"/>
                <w:sz w:val="22"/>
              </w:rPr>
              <w:noBreakHyphen/>
            </w:r>
            <w:r w:rsidRPr="008D5339">
              <w:rPr>
                <w:rFonts w:cstheme="minorHAnsi"/>
                <w:sz w:val="22"/>
              </w:rPr>
              <w:t>01</w:t>
            </w:r>
            <w:r w:rsidRPr="008D5339" w:rsidR="00F949CB">
              <w:rPr>
                <w:rFonts w:cstheme="minorHAnsi"/>
                <w:sz w:val="22"/>
              </w:rPr>
              <w:noBreakHyphen/>
            </w:r>
            <w:r w:rsidRPr="008D5339">
              <w:rPr>
                <w:rFonts w:cstheme="minorHAnsi"/>
                <w:sz w:val="22"/>
              </w:rPr>
              <w:t>044</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7941BE" w:rsidP="009B471B" w:rsidRDefault="008D5339" w14:paraId="39D39174" w14:textId="71260560">
            <w:pPr>
              <w:jc w:val="right"/>
              <w:rPr>
                <w:rFonts w:asciiTheme="minorHAnsi" w:hAnsiTheme="minorHAnsi" w:cstheme="minorHAnsi"/>
                <w:sz w:val="22"/>
              </w:rPr>
            </w:pPr>
            <w:r w:rsidRPr="008D5339">
              <w:rPr>
                <w:rFonts w:cstheme="minorHAnsi"/>
                <w:sz w:val="22"/>
              </w:rPr>
              <w:t>$</w:t>
            </w:r>
            <w:r w:rsidRPr="008D5339" w:rsidR="00031215">
              <w:rPr>
                <w:rFonts w:cstheme="minorHAnsi"/>
                <w:sz w:val="22"/>
              </w:rPr>
              <w:t>11,806.55</w:t>
            </w:r>
          </w:p>
        </w:tc>
        <w:tc>
          <w:tcPr>
            <w:tcW w:w="990" w:type="dxa"/>
            <w:tcBorders>
              <w:left w:val="single" w:color="auto" w:sz="4" w:space="0"/>
            </w:tcBorders>
            <w:shd w:val="clear" w:color="auto" w:fill="auto"/>
          </w:tcPr>
          <w:p w:rsidRPr="008D5339" w:rsidR="008D5339" w:rsidP="009B471B" w:rsidRDefault="000A469B" w14:paraId="3914185A" w14:textId="5F60CB94">
            <w:pPr>
              <w:jc w:val="center"/>
              <w:rPr>
                <w:sz w:val="22"/>
              </w:rPr>
            </w:pPr>
            <w:r w:rsidRPr="008D5339">
              <w:rPr>
                <w:sz w:val="22"/>
              </w:rPr>
              <w:t>12.</w:t>
            </w:r>
            <w:r w:rsidR="008E677B">
              <w:rPr>
                <w:sz w:val="22"/>
              </w:rPr>
              <w:t>42</w:t>
            </w:r>
          </w:p>
          <w:p w:rsidRPr="008D5339" w:rsidR="007941BE" w:rsidP="008D5339" w:rsidRDefault="008D5339" w14:paraId="047FD0B5" w14:textId="1931074E">
            <w:pPr>
              <w:jc w:val="center"/>
              <w:rPr>
                <w:sz w:val="22"/>
              </w:rPr>
            </w:pPr>
            <w:r w:rsidRPr="008D5339">
              <w:rPr>
                <w:sz w:val="22"/>
              </w:rPr>
              <w:t>[</w:t>
            </w:r>
            <w:r w:rsidRPr="008D5339" w:rsidR="000A469B">
              <w:rPr>
                <w:sz w:val="22"/>
              </w:rPr>
              <w:t>5, 6, 7]</w:t>
            </w:r>
          </w:p>
        </w:tc>
        <w:tc>
          <w:tcPr>
            <w:tcW w:w="990" w:type="dxa"/>
            <w:shd w:val="clear" w:color="auto" w:fill="auto"/>
          </w:tcPr>
          <w:p w:rsidRPr="008D5339" w:rsidR="007941BE" w:rsidP="009B471B" w:rsidRDefault="00F23CDC" w14:paraId="367660C2" w14:textId="51F634DD">
            <w:pPr>
              <w:jc w:val="right"/>
              <w:rPr>
                <w:sz w:val="22"/>
              </w:rPr>
            </w:pPr>
            <w:r w:rsidRPr="008D5339">
              <w:rPr>
                <w:sz w:val="22"/>
              </w:rPr>
              <w:t>$305.00</w:t>
            </w:r>
          </w:p>
        </w:tc>
        <w:tc>
          <w:tcPr>
            <w:tcW w:w="1380" w:type="dxa"/>
            <w:shd w:val="clear" w:color="auto" w:fill="auto"/>
          </w:tcPr>
          <w:p w:rsidRPr="008D5339" w:rsidR="007941BE" w:rsidP="009B471B" w:rsidRDefault="00C10D30" w14:paraId="766AC45F" w14:textId="1F6ECC27">
            <w:pPr>
              <w:jc w:val="right"/>
              <w:rPr>
                <w:sz w:val="22"/>
              </w:rPr>
            </w:pPr>
            <w:r w:rsidRPr="008D5339">
              <w:rPr>
                <w:sz w:val="22"/>
              </w:rPr>
              <w:t>$3,</w:t>
            </w:r>
            <w:r w:rsidR="008E677B">
              <w:rPr>
                <w:sz w:val="22"/>
              </w:rPr>
              <w:t>788.10</w:t>
            </w:r>
            <w:r w:rsidRPr="008D5339">
              <w:rPr>
                <w:sz w:val="22"/>
              </w:rPr>
              <w:t>.</w:t>
            </w:r>
          </w:p>
        </w:tc>
      </w:tr>
      <w:tr w:rsidRPr="008D5339" w:rsidR="008D5339" w:rsidTr="00076735" w14:paraId="4E698889" w14:textId="77777777">
        <w:trPr>
          <w:cantSplit/>
          <w:jc w:val="center"/>
        </w:trPr>
        <w:tc>
          <w:tcPr>
            <w:tcW w:w="1525" w:type="dxa"/>
            <w:gridSpan w:val="2"/>
            <w:shd w:val="clear" w:color="auto" w:fill="auto"/>
          </w:tcPr>
          <w:p w:rsidRPr="008D5339" w:rsidR="007941BE" w:rsidP="009B471B" w:rsidRDefault="00571F46" w14:paraId="04CDED11" w14:textId="324FFCB1">
            <w:pPr>
              <w:rPr>
                <w:rFonts w:asciiTheme="minorHAnsi" w:hAnsiTheme="minorHAnsi" w:cstheme="minorHAnsi"/>
                <w:sz w:val="22"/>
              </w:rPr>
            </w:pPr>
            <w:r w:rsidRPr="008D5339">
              <w:rPr>
                <w:rFonts w:cstheme="minorHAnsi"/>
                <w:sz w:val="22"/>
              </w:rPr>
              <w:t>David Weisman</w:t>
            </w:r>
          </w:p>
        </w:tc>
        <w:tc>
          <w:tcPr>
            <w:tcW w:w="720" w:type="dxa"/>
            <w:gridSpan w:val="2"/>
            <w:shd w:val="clear" w:color="auto" w:fill="auto"/>
          </w:tcPr>
          <w:p w:rsidRPr="008D5339" w:rsidR="007941BE" w:rsidP="008D5339" w:rsidRDefault="007941BE" w14:paraId="6B0C4BC3" w14:textId="0779DFDC">
            <w:pPr>
              <w:rPr>
                <w:rFonts w:asciiTheme="minorHAnsi" w:hAnsiTheme="minorHAnsi" w:cstheme="minorHAnsi"/>
                <w:sz w:val="22"/>
              </w:rPr>
            </w:pPr>
            <w:r w:rsidRPr="008D5339">
              <w:rPr>
                <w:rFonts w:cstheme="minorHAnsi"/>
                <w:sz w:val="22"/>
              </w:rPr>
              <w:t>2023</w:t>
            </w:r>
          </w:p>
        </w:tc>
        <w:tc>
          <w:tcPr>
            <w:tcW w:w="900" w:type="dxa"/>
            <w:shd w:val="clear" w:color="auto" w:fill="auto"/>
          </w:tcPr>
          <w:p w:rsidRPr="008D5339" w:rsidR="007941BE" w:rsidP="008D5339" w:rsidRDefault="00E66B46" w14:paraId="51C36695" w14:textId="23FB4A42">
            <w:pPr>
              <w:jc w:val="center"/>
              <w:rPr>
                <w:rFonts w:asciiTheme="minorHAnsi" w:hAnsiTheme="minorHAnsi" w:cstheme="minorHAnsi"/>
                <w:sz w:val="22"/>
              </w:rPr>
            </w:pPr>
            <w:r w:rsidRPr="008D5339">
              <w:rPr>
                <w:rFonts w:cstheme="minorHAnsi"/>
                <w:sz w:val="22"/>
              </w:rPr>
              <w:t>13</w:t>
            </w:r>
            <w:r w:rsidRPr="008D5339" w:rsidR="00347C7E">
              <w:rPr>
                <w:rFonts w:cstheme="minorHAnsi"/>
                <w:sz w:val="22"/>
              </w:rPr>
              <w:t>2.76</w:t>
            </w:r>
          </w:p>
        </w:tc>
        <w:tc>
          <w:tcPr>
            <w:tcW w:w="990" w:type="dxa"/>
            <w:shd w:val="clear" w:color="auto" w:fill="auto"/>
          </w:tcPr>
          <w:p w:rsidRPr="008D5339" w:rsidR="007941BE" w:rsidP="009B471B" w:rsidRDefault="008D5339" w14:paraId="50434DF3" w14:textId="2A32A94C">
            <w:pPr>
              <w:jc w:val="right"/>
              <w:rPr>
                <w:rFonts w:asciiTheme="minorHAnsi" w:hAnsiTheme="minorHAnsi" w:cstheme="minorHAnsi"/>
                <w:sz w:val="22"/>
              </w:rPr>
            </w:pPr>
            <w:r w:rsidRPr="008D5339">
              <w:rPr>
                <w:rFonts w:cstheme="minorHAnsi"/>
                <w:sz w:val="22"/>
              </w:rPr>
              <w:t>$</w:t>
            </w:r>
            <w:r w:rsidRPr="008D5339" w:rsidR="00571F46">
              <w:rPr>
                <w:rFonts w:cstheme="minorHAnsi"/>
                <w:sz w:val="22"/>
              </w:rPr>
              <w:t>220</w:t>
            </w:r>
            <w:r w:rsidRPr="008D5339">
              <w:rPr>
                <w:rFonts w:cstheme="minorHAnsi"/>
                <w:sz w:val="22"/>
              </w:rPr>
              <w:t>.00</w:t>
            </w:r>
          </w:p>
        </w:tc>
        <w:tc>
          <w:tcPr>
            <w:tcW w:w="1710" w:type="dxa"/>
            <w:gridSpan w:val="2"/>
            <w:tcBorders>
              <w:right w:val="single" w:color="auto" w:sz="4" w:space="0"/>
            </w:tcBorders>
            <w:shd w:val="clear" w:color="auto" w:fill="auto"/>
          </w:tcPr>
          <w:p w:rsidRPr="008D5339" w:rsidR="007941BE" w:rsidP="009B471B" w:rsidRDefault="0076356C" w14:paraId="41124BBA" w14:textId="2C23C08E">
            <w:pPr>
              <w:rPr>
                <w:sz w:val="22"/>
              </w:rPr>
            </w:pPr>
            <w:r w:rsidRPr="008D5339">
              <w:rPr>
                <w:rFonts w:cstheme="minorHAnsi"/>
                <w:sz w:val="22"/>
              </w:rPr>
              <w:t>D.24</w:t>
            </w:r>
            <w:r w:rsidRPr="008D5339" w:rsidR="00F949CB">
              <w:rPr>
                <w:rFonts w:cstheme="minorHAnsi"/>
                <w:sz w:val="22"/>
              </w:rPr>
              <w:noBreakHyphen/>
            </w:r>
            <w:r w:rsidRPr="008D5339">
              <w:rPr>
                <w:rFonts w:cstheme="minorHAnsi"/>
                <w:sz w:val="22"/>
              </w:rPr>
              <w:t>01</w:t>
            </w:r>
            <w:r w:rsidRPr="008D5339" w:rsidR="00F949CB">
              <w:rPr>
                <w:rFonts w:cstheme="minorHAnsi"/>
                <w:sz w:val="22"/>
              </w:rPr>
              <w:noBreakHyphen/>
            </w:r>
            <w:r w:rsidRPr="008D5339">
              <w:rPr>
                <w:rFonts w:cstheme="minorHAnsi"/>
                <w:sz w:val="22"/>
              </w:rPr>
              <w:t>044, ALJ</w:t>
            </w:r>
            <w:r w:rsidRPr="008D5339" w:rsidR="00F949CB">
              <w:rPr>
                <w:rFonts w:cstheme="minorHAnsi"/>
                <w:sz w:val="22"/>
              </w:rPr>
              <w:noBreakHyphen/>
            </w:r>
            <w:r w:rsidRPr="008D5339">
              <w:rPr>
                <w:rFonts w:cstheme="minorHAnsi"/>
                <w:sz w:val="22"/>
              </w:rPr>
              <w:t>393 escalation, plus second 5% step increase</w:t>
            </w:r>
            <w:r w:rsidRPr="008D5339" w:rsidR="007053D2">
              <w:rPr>
                <w:rFonts w:cstheme="minorHAnsi"/>
                <w:sz w:val="22"/>
              </w:rPr>
              <w:t>.</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7941BE" w:rsidP="009B471B" w:rsidRDefault="008D5339" w14:paraId="75F00059" w14:textId="5AA915CE">
            <w:pPr>
              <w:jc w:val="right"/>
              <w:rPr>
                <w:rFonts w:asciiTheme="minorHAnsi" w:hAnsiTheme="minorHAnsi" w:cstheme="minorHAnsi"/>
                <w:sz w:val="22"/>
              </w:rPr>
            </w:pPr>
            <w:r w:rsidRPr="008D5339">
              <w:rPr>
                <w:rFonts w:cstheme="minorHAnsi"/>
                <w:sz w:val="22"/>
              </w:rPr>
              <w:t>$</w:t>
            </w:r>
            <w:r w:rsidRPr="008D5339" w:rsidR="000B3D0B">
              <w:rPr>
                <w:rFonts w:cstheme="minorHAnsi"/>
                <w:sz w:val="22"/>
              </w:rPr>
              <w:t>29,207.20</w:t>
            </w:r>
          </w:p>
        </w:tc>
        <w:tc>
          <w:tcPr>
            <w:tcW w:w="990" w:type="dxa"/>
            <w:tcBorders>
              <w:left w:val="single" w:color="auto" w:sz="4" w:space="0"/>
            </w:tcBorders>
            <w:shd w:val="clear" w:color="auto" w:fill="auto"/>
          </w:tcPr>
          <w:p w:rsidRPr="008D5339" w:rsidR="008D5339" w:rsidP="009B471B" w:rsidRDefault="00A373F1" w14:paraId="0E464B2D" w14:textId="2EDB1964">
            <w:pPr>
              <w:jc w:val="center"/>
              <w:rPr>
                <w:sz w:val="22"/>
              </w:rPr>
            </w:pPr>
            <w:r>
              <w:rPr>
                <w:sz w:val="22"/>
              </w:rPr>
              <w:t>66.38</w:t>
            </w:r>
          </w:p>
          <w:p w:rsidRPr="008D5339" w:rsidR="007941BE" w:rsidP="008D5339" w:rsidRDefault="008D5339" w14:paraId="134A581C" w14:textId="45D6428D">
            <w:pPr>
              <w:jc w:val="center"/>
              <w:rPr>
                <w:sz w:val="22"/>
              </w:rPr>
            </w:pPr>
            <w:r w:rsidRPr="008D5339">
              <w:rPr>
                <w:sz w:val="22"/>
              </w:rPr>
              <w:t>[</w:t>
            </w:r>
            <w:r w:rsidRPr="008D5339" w:rsidR="00EA23EC">
              <w:rPr>
                <w:sz w:val="22"/>
              </w:rPr>
              <w:t>5, 7]</w:t>
            </w:r>
          </w:p>
        </w:tc>
        <w:tc>
          <w:tcPr>
            <w:tcW w:w="990" w:type="dxa"/>
            <w:shd w:val="clear" w:color="auto" w:fill="auto"/>
          </w:tcPr>
          <w:p w:rsidRPr="008D5339" w:rsidR="008D5339" w:rsidP="009B471B" w:rsidRDefault="00495F3D" w14:paraId="1951C32B" w14:textId="77777777">
            <w:pPr>
              <w:jc w:val="right"/>
              <w:rPr>
                <w:sz w:val="22"/>
              </w:rPr>
            </w:pPr>
            <w:r w:rsidRPr="008D5339">
              <w:rPr>
                <w:sz w:val="22"/>
              </w:rPr>
              <w:t>$220.00</w:t>
            </w:r>
          </w:p>
          <w:p w:rsidRPr="008D5339" w:rsidR="007941BE" w:rsidP="008D5339" w:rsidRDefault="008D5339" w14:paraId="2622F4BA" w14:textId="445DCFD2">
            <w:pPr>
              <w:jc w:val="center"/>
              <w:rPr>
                <w:sz w:val="22"/>
              </w:rPr>
            </w:pPr>
            <w:r w:rsidRPr="008D5339">
              <w:rPr>
                <w:sz w:val="22"/>
              </w:rPr>
              <w:t>[</w:t>
            </w:r>
            <w:r w:rsidRPr="008D5339" w:rsidR="00495F3D">
              <w:rPr>
                <w:sz w:val="22"/>
              </w:rPr>
              <w:t>3]</w:t>
            </w:r>
          </w:p>
        </w:tc>
        <w:tc>
          <w:tcPr>
            <w:tcW w:w="1380" w:type="dxa"/>
            <w:shd w:val="clear" w:color="auto" w:fill="auto"/>
          </w:tcPr>
          <w:p w:rsidRPr="008D5339" w:rsidR="007941BE" w:rsidP="009B471B" w:rsidRDefault="00C10D30" w14:paraId="26135325" w14:textId="08D53918">
            <w:pPr>
              <w:jc w:val="right"/>
              <w:rPr>
                <w:sz w:val="22"/>
              </w:rPr>
            </w:pPr>
            <w:r w:rsidRPr="008D5339">
              <w:rPr>
                <w:sz w:val="22"/>
              </w:rPr>
              <w:t>$</w:t>
            </w:r>
            <w:r w:rsidR="00A373F1">
              <w:rPr>
                <w:sz w:val="22"/>
              </w:rPr>
              <w:t>14,603</w:t>
            </w:r>
            <w:r w:rsidRPr="008D5339">
              <w:rPr>
                <w:sz w:val="22"/>
              </w:rPr>
              <w:t>.</w:t>
            </w:r>
            <w:r w:rsidRPr="008D5339" w:rsidR="00726EE5">
              <w:rPr>
                <w:sz w:val="22"/>
              </w:rPr>
              <w:t>6</w:t>
            </w:r>
            <w:r w:rsidRPr="008D5339">
              <w:rPr>
                <w:sz w:val="22"/>
              </w:rPr>
              <w:t>0</w:t>
            </w:r>
          </w:p>
        </w:tc>
      </w:tr>
      <w:tr w:rsidRPr="008D5339" w:rsidR="008D5339" w:rsidTr="00076735" w14:paraId="541B1A43" w14:textId="77777777">
        <w:trPr>
          <w:cantSplit/>
          <w:jc w:val="center"/>
        </w:trPr>
        <w:tc>
          <w:tcPr>
            <w:tcW w:w="1525" w:type="dxa"/>
            <w:gridSpan w:val="2"/>
            <w:shd w:val="clear" w:color="auto" w:fill="auto"/>
          </w:tcPr>
          <w:p w:rsidRPr="008D5339" w:rsidR="007941BE" w:rsidP="002A53A8" w:rsidRDefault="00571F46" w14:paraId="41A7BE4B" w14:textId="313EBD73">
            <w:pPr>
              <w:keepNext/>
              <w:rPr>
                <w:rFonts w:asciiTheme="minorHAnsi" w:hAnsiTheme="minorHAnsi" w:cstheme="minorHAnsi"/>
                <w:sz w:val="22"/>
              </w:rPr>
            </w:pPr>
            <w:r w:rsidRPr="008D5339">
              <w:rPr>
                <w:rFonts w:cstheme="minorHAnsi"/>
                <w:sz w:val="22"/>
              </w:rPr>
              <w:t>David Weisman</w:t>
            </w:r>
          </w:p>
        </w:tc>
        <w:tc>
          <w:tcPr>
            <w:tcW w:w="720" w:type="dxa"/>
            <w:gridSpan w:val="2"/>
            <w:shd w:val="clear" w:color="auto" w:fill="auto"/>
          </w:tcPr>
          <w:p w:rsidRPr="008D5339" w:rsidR="007941BE" w:rsidP="002A53A8" w:rsidRDefault="00571F46" w14:paraId="5B3C2ADF" w14:textId="00ECD590">
            <w:pPr>
              <w:keepNext/>
              <w:rPr>
                <w:rFonts w:asciiTheme="minorHAnsi" w:hAnsiTheme="minorHAnsi" w:cstheme="minorHAnsi"/>
                <w:sz w:val="22"/>
              </w:rPr>
            </w:pPr>
            <w:r w:rsidRPr="008D5339">
              <w:rPr>
                <w:rFonts w:cstheme="minorHAnsi"/>
                <w:sz w:val="22"/>
              </w:rPr>
              <w:t>2022</w:t>
            </w:r>
          </w:p>
        </w:tc>
        <w:tc>
          <w:tcPr>
            <w:tcW w:w="900" w:type="dxa"/>
            <w:shd w:val="clear" w:color="auto" w:fill="auto"/>
          </w:tcPr>
          <w:p w:rsidRPr="008D5339" w:rsidR="007941BE" w:rsidP="002A53A8" w:rsidRDefault="007E66C9" w14:paraId="2E458EDF" w14:textId="39DB73B1">
            <w:pPr>
              <w:keepNext/>
              <w:jc w:val="center"/>
              <w:rPr>
                <w:rFonts w:asciiTheme="minorHAnsi" w:hAnsiTheme="minorHAnsi" w:cstheme="minorHAnsi"/>
                <w:sz w:val="22"/>
              </w:rPr>
            </w:pPr>
            <w:r w:rsidRPr="008D5339">
              <w:rPr>
                <w:rFonts w:cstheme="minorHAnsi"/>
                <w:sz w:val="22"/>
              </w:rPr>
              <w:t>43.76</w:t>
            </w:r>
          </w:p>
        </w:tc>
        <w:tc>
          <w:tcPr>
            <w:tcW w:w="990" w:type="dxa"/>
            <w:shd w:val="clear" w:color="auto" w:fill="auto"/>
          </w:tcPr>
          <w:p w:rsidRPr="008D5339" w:rsidR="007941BE" w:rsidP="002A53A8" w:rsidRDefault="008D5339" w14:paraId="3D86BD08" w14:textId="74959DBA">
            <w:pPr>
              <w:keepNext/>
              <w:jc w:val="right"/>
              <w:rPr>
                <w:rFonts w:asciiTheme="minorHAnsi" w:hAnsiTheme="minorHAnsi" w:cstheme="minorHAnsi"/>
                <w:sz w:val="22"/>
              </w:rPr>
            </w:pPr>
            <w:r w:rsidRPr="008D5339">
              <w:rPr>
                <w:rFonts w:cstheme="minorHAnsi"/>
                <w:sz w:val="22"/>
              </w:rPr>
              <w:t>$</w:t>
            </w:r>
            <w:r w:rsidRPr="008D5339" w:rsidR="00571F46">
              <w:rPr>
                <w:rFonts w:cstheme="minorHAnsi"/>
                <w:sz w:val="22"/>
              </w:rPr>
              <w:t>210</w:t>
            </w:r>
            <w:r w:rsidRPr="008D5339">
              <w:rPr>
                <w:rFonts w:cstheme="minorHAnsi"/>
                <w:sz w:val="22"/>
              </w:rPr>
              <w:t>.00</w:t>
            </w:r>
          </w:p>
        </w:tc>
        <w:tc>
          <w:tcPr>
            <w:tcW w:w="1710" w:type="dxa"/>
            <w:gridSpan w:val="2"/>
            <w:tcBorders>
              <w:right w:val="single" w:color="auto" w:sz="4" w:space="0"/>
            </w:tcBorders>
            <w:shd w:val="clear" w:color="auto" w:fill="auto"/>
          </w:tcPr>
          <w:p w:rsidRPr="008D5339" w:rsidR="007941BE" w:rsidP="002A53A8" w:rsidRDefault="00390FE9" w14:paraId="750EA256" w14:textId="03702A41">
            <w:pPr>
              <w:keepNext/>
              <w:rPr>
                <w:sz w:val="22"/>
              </w:rPr>
            </w:pPr>
            <w:r w:rsidRPr="008D5339">
              <w:rPr>
                <w:rFonts w:cstheme="minorHAnsi"/>
                <w:sz w:val="22"/>
              </w:rPr>
              <w:t>D.24</w:t>
            </w:r>
            <w:r w:rsidRPr="008D5339" w:rsidR="00F949CB">
              <w:rPr>
                <w:rFonts w:cstheme="minorHAnsi"/>
                <w:sz w:val="22"/>
              </w:rPr>
              <w:noBreakHyphen/>
            </w:r>
            <w:r w:rsidRPr="008D5339">
              <w:rPr>
                <w:rFonts w:cstheme="minorHAnsi"/>
                <w:sz w:val="22"/>
              </w:rPr>
              <w:t>01</w:t>
            </w:r>
            <w:r w:rsidRPr="008D5339" w:rsidR="00F949CB">
              <w:rPr>
                <w:rFonts w:cstheme="minorHAnsi"/>
                <w:sz w:val="22"/>
              </w:rPr>
              <w:noBreakHyphen/>
            </w:r>
            <w:r w:rsidRPr="008D5339">
              <w:rPr>
                <w:rFonts w:cstheme="minorHAnsi"/>
                <w:sz w:val="22"/>
              </w:rPr>
              <w:t>044</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7941BE" w:rsidP="002A53A8" w:rsidRDefault="008D5339" w14:paraId="4D76B38E" w14:textId="23B66943">
            <w:pPr>
              <w:keepNext/>
              <w:jc w:val="right"/>
              <w:rPr>
                <w:rFonts w:asciiTheme="minorHAnsi" w:hAnsiTheme="minorHAnsi" w:cstheme="minorHAnsi"/>
                <w:sz w:val="22"/>
              </w:rPr>
            </w:pPr>
            <w:r w:rsidRPr="008D5339">
              <w:rPr>
                <w:rFonts w:cstheme="minorHAnsi"/>
                <w:sz w:val="22"/>
              </w:rPr>
              <w:t>$</w:t>
            </w:r>
            <w:r w:rsidRPr="008D5339" w:rsidR="0037001F">
              <w:rPr>
                <w:rFonts w:cstheme="minorHAnsi"/>
                <w:sz w:val="22"/>
              </w:rPr>
              <w:t>9,189.60</w:t>
            </w:r>
          </w:p>
        </w:tc>
        <w:tc>
          <w:tcPr>
            <w:tcW w:w="990" w:type="dxa"/>
            <w:tcBorders>
              <w:left w:val="single" w:color="auto" w:sz="4" w:space="0"/>
            </w:tcBorders>
            <w:shd w:val="clear" w:color="auto" w:fill="auto"/>
          </w:tcPr>
          <w:p w:rsidRPr="008D5339" w:rsidR="008D5339" w:rsidP="002A53A8" w:rsidRDefault="00EA23EC" w14:paraId="3C039CA7" w14:textId="76FC00AB">
            <w:pPr>
              <w:keepNext/>
              <w:jc w:val="center"/>
              <w:rPr>
                <w:sz w:val="22"/>
              </w:rPr>
            </w:pPr>
            <w:r w:rsidRPr="008D5339">
              <w:rPr>
                <w:sz w:val="22"/>
              </w:rPr>
              <w:t>13.</w:t>
            </w:r>
            <w:r w:rsidR="00A3423F">
              <w:rPr>
                <w:sz w:val="22"/>
              </w:rPr>
              <w:t>39</w:t>
            </w:r>
          </w:p>
          <w:p w:rsidRPr="008D5339" w:rsidR="007941BE" w:rsidP="002A53A8" w:rsidRDefault="008D5339" w14:paraId="5DD3213B" w14:textId="6D9E827F">
            <w:pPr>
              <w:keepNext/>
              <w:jc w:val="center"/>
              <w:rPr>
                <w:sz w:val="22"/>
              </w:rPr>
            </w:pPr>
            <w:r w:rsidRPr="008D5339">
              <w:rPr>
                <w:sz w:val="22"/>
              </w:rPr>
              <w:t>[</w:t>
            </w:r>
            <w:r w:rsidRPr="008D5339" w:rsidR="00EA23EC">
              <w:rPr>
                <w:sz w:val="22"/>
              </w:rPr>
              <w:t>5, 6, 7]</w:t>
            </w:r>
          </w:p>
        </w:tc>
        <w:tc>
          <w:tcPr>
            <w:tcW w:w="990" w:type="dxa"/>
            <w:shd w:val="clear" w:color="auto" w:fill="auto"/>
          </w:tcPr>
          <w:p w:rsidRPr="008D5339" w:rsidR="007941BE" w:rsidP="002A53A8" w:rsidRDefault="00B94BD3" w14:paraId="07AEBBB0" w14:textId="7392C0B5">
            <w:pPr>
              <w:keepNext/>
              <w:jc w:val="right"/>
              <w:rPr>
                <w:sz w:val="22"/>
              </w:rPr>
            </w:pPr>
            <w:r w:rsidRPr="008D5339">
              <w:rPr>
                <w:sz w:val="22"/>
              </w:rPr>
              <w:t>$210.00</w:t>
            </w:r>
          </w:p>
        </w:tc>
        <w:tc>
          <w:tcPr>
            <w:tcW w:w="1380" w:type="dxa"/>
            <w:shd w:val="clear" w:color="auto" w:fill="auto"/>
          </w:tcPr>
          <w:p w:rsidRPr="008D5339" w:rsidR="007941BE" w:rsidP="002A53A8" w:rsidRDefault="00C10D30" w14:paraId="55630DF4" w14:textId="3CB28DBE">
            <w:pPr>
              <w:keepNext/>
              <w:jc w:val="right"/>
              <w:rPr>
                <w:sz w:val="22"/>
              </w:rPr>
            </w:pPr>
            <w:r w:rsidRPr="008D5339">
              <w:rPr>
                <w:sz w:val="22"/>
              </w:rPr>
              <w:t>$2,</w:t>
            </w:r>
            <w:r w:rsidR="00A3423F">
              <w:rPr>
                <w:sz w:val="22"/>
              </w:rPr>
              <w:t>811</w:t>
            </w:r>
            <w:r w:rsidRPr="008D5339">
              <w:rPr>
                <w:sz w:val="22"/>
              </w:rPr>
              <w:t>.</w:t>
            </w:r>
            <w:r w:rsidR="00A3423F">
              <w:rPr>
                <w:sz w:val="22"/>
              </w:rPr>
              <w:t>9</w:t>
            </w:r>
            <w:r w:rsidRPr="008D5339">
              <w:rPr>
                <w:sz w:val="22"/>
              </w:rPr>
              <w:t>0</w:t>
            </w:r>
          </w:p>
        </w:tc>
      </w:tr>
      <w:tr w:rsidRPr="008D5339" w:rsidR="000E3C66" w:rsidTr="00076735" w14:paraId="1B237C11" w14:textId="77777777">
        <w:trPr>
          <w:cantSplit/>
          <w:jc w:val="center"/>
        </w:trPr>
        <w:tc>
          <w:tcPr>
            <w:tcW w:w="7195" w:type="dxa"/>
            <w:gridSpan w:val="10"/>
            <w:tcBorders>
              <w:bottom w:val="single" w:color="auto" w:sz="4" w:space="0"/>
              <w:right w:val="single" w:color="auto" w:sz="24" w:space="0"/>
            </w:tcBorders>
            <w:shd w:val="clear" w:color="auto" w:fill="auto"/>
            <w:vAlign w:val="bottom"/>
          </w:tcPr>
          <w:p w:rsidRPr="008D5339" w:rsidR="007941BE" w:rsidP="002A53A8" w:rsidRDefault="007941BE" w14:paraId="2ECB6744" w14:textId="533B95AB">
            <w:pPr>
              <w:tabs>
                <w:tab w:val="left" w:pos="957"/>
              </w:tabs>
              <w:jc w:val="right"/>
              <w:rPr>
                <w:b/>
                <w:i/>
                <w:sz w:val="22"/>
              </w:rPr>
            </w:pPr>
            <w:r w:rsidRPr="008D5339">
              <w:rPr>
                <w:b/>
                <w:i/>
                <w:sz w:val="22"/>
              </w:rPr>
              <w:t>Subtotal: $</w:t>
            </w:r>
            <w:r w:rsidRPr="008D5339" w:rsidR="006F304C">
              <w:rPr>
                <w:b/>
                <w:i/>
                <w:sz w:val="22"/>
              </w:rPr>
              <w:t>649,786.25</w:t>
            </w:r>
          </w:p>
        </w:tc>
        <w:tc>
          <w:tcPr>
            <w:tcW w:w="3360" w:type="dxa"/>
            <w:gridSpan w:val="3"/>
            <w:tcBorders>
              <w:left w:val="single" w:color="auto" w:sz="24" w:space="0"/>
              <w:bottom w:val="single" w:color="auto" w:sz="4" w:space="0"/>
            </w:tcBorders>
            <w:shd w:val="clear" w:color="auto" w:fill="auto"/>
            <w:vAlign w:val="bottom"/>
          </w:tcPr>
          <w:p w:rsidRPr="008D5339" w:rsidR="007941BE" w:rsidP="002A53A8" w:rsidRDefault="007941BE" w14:paraId="4C4556E5" w14:textId="28F481F9">
            <w:pPr>
              <w:tabs>
                <w:tab w:val="left" w:pos="957"/>
              </w:tabs>
              <w:jc w:val="right"/>
              <w:rPr>
                <w:sz w:val="22"/>
              </w:rPr>
            </w:pPr>
            <w:r w:rsidRPr="008D5339">
              <w:rPr>
                <w:b/>
                <w:i/>
                <w:sz w:val="22"/>
              </w:rPr>
              <w:t xml:space="preserve">Subtotal: </w:t>
            </w:r>
            <w:r w:rsidRPr="008D5339" w:rsidR="00613C87">
              <w:rPr>
                <w:b/>
                <w:i/>
                <w:iCs/>
                <w:sz w:val="22"/>
              </w:rPr>
              <w:t>$3</w:t>
            </w:r>
            <w:r w:rsidR="00A3423F">
              <w:rPr>
                <w:b/>
                <w:i/>
                <w:iCs/>
                <w:sz w:val="22"/>
              </w:rPr>
              <w:t>09,226.15</w:t>
            </w:r>
          </w:p>
        </w:tc>
      </w:tr>
      <w:tr w:rsidRPr="008D5339" w:rsidR="000E3C66" w:rsidTr="00076735" w14:paraId="3F3C1C42" w14:textId="77777777">
        <w:trPr>
          <w:cantSplit/>
          <w:jc w:val="center"/>
        </w:trPr>
        <w:tc>
          <w:tcPr>
            <w:tcW w:w="10555" w:type="dxa"/>
            <w:gridSpan w:val="1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8D5339" w:rsidR="007941BE" w:rsidP="009B471B" w:rsidRDefault="007941BE" w14:paraId="3B5B48BB" w14:textId="77777777">
            <w:pPr>
              <w:keepNext/>
              <w:jc w:val="center"/>
              <w:rPr>
                <w:b/>
                <w:sz w:val="22"/>
              </w:rPr>
            </w:pPr>
            <w:r w:rsidRPr="008D5339">
              <w:rPr>
                <w:b/>
                <w:sz w:val="22"/>
              </w:rPr>
              <w:t>OTHER FEES</w:t>
            </w:r>
          </w:p>
          <w:p w:rsidRPr="008D5339" w:rsidR="007941BE" w:rsidP="009B471B" w:rsidRDefault="007941BE" w14:paraId="3801FC62" w14:textId="77777777">
            <w:pPr>
              <w:keepNext/>
              <w:jc w:val="center"/>
              <w:rPr>
                <w:b/>
                <w:sz w:val="22"/>
              </w:rPr>
            </w:pPr>
            <w:r w:rsidRPr="008D5339">
              <w:rPr>
                <w:b/>
                <w:sz w:val="22"/>
              </w:rPr>
              <w:t>Describe here what OTHER HOURLY FEES you are Claiming (paralegal, travel **, etc.):</w:t>
            </w:r>
          </w:p>
        </w:tc>
      </w:tr>
      <w:tr w:rsidRPr="008D5339" w:rsidR="008D5339" w:rsidTr="00076735" w14:paraId="48E38006" w14:textId="77777777">
        <w:trPr>
          <w:cantSplit/>
          <w:jc w:val="center"/>
        </w:trPr>
        <w:tc>
          <w:tcPr>
            <w:tcW w:w="1525" w:type="dxa"/>
            <w:gridSpan w:val="2"/>
            <w:tcBorders>
              <w:top w:val="single" w:color="auto" w:sz="4" w:space="0"/>
              <w:bottom w:val="single" w:color="auto" w:sz="4" w:space="0"/>
            </w:tcBorders>
            <w:shd w:val="clear" w:color="auto" w:fill="auto"/>
            <w:vAlign w:val="bottom"/>
          </w:tcPr>
          <w:p w:rsidRPr="008D5339" w:rsidR="007941BE" w:rsidP="009B471B" w:rsidRDefault="007941BE" w14:paraId="0014F5F5" w14:textId="77777777">
            <w:pPr>
              <w:keepNext/>
              <w:jc w:val="center"/>
              <w:rPr>
                <w:b/>
                <w:sz w:val="22"/>
                <w:szCs w:val="22"/>
              </w:rPr>
            </w:pPr>
            <w:r w:rsidRPr="008D5339">
              <w:rPr>
                <w:b/>
                <w:sz w:val="22"/>
                <w:szCs w:val="22"/>
              </w:rPr>
              <w:t>Item</w:t>
            </w:r>
          </w:p>
        </w:tc>
        <w:tc>
          <w:tcPr>
            <w:tcW w:w="720" w:type="dxa"/>
            <w:gridSpan w:val="2"/>
            <w:tcBorders>
              <w:top w:val="single" w:color="auto" w:sz="4" w:space="0"/>
              <w:bottom w:val="single" w:color="auto" w:sz="4" w:space="0"/>
            </w:tcBorders>
            <w:shd w:val="clear" w:color="auto" w:fill="auto"/>
            <w:vAlign w:val="bottom"/>
          </w:tcPr>
          <w:p w:rsidRPr="008D5339" w:rsidR="007941BE" w:rsidP="009B471B" w:rsidRDefault="007941BE" w14:paraId="3F2C73A6" w14:textId="77777777">
            <w:pPr>
              <w:keepNext/>
              <w:jc w:val="center"/>
              <w:rPr>
                <w:b/>
                <w:sz w:val="22"/>
                <w:szCs w:val="22"/>
              </w:rPr>
            </w:pPr>
            <w:r w:rsidRPr="008D5339">
              <w:rPr>
                <w:b/>
                <w:sz w:val="22"/>
                <w:szCs w:val="22"/>
              </w:rPr>
              <w:t>Year</w:t>
            </w:r>
          </w:p>
        </w:tc>
        <w:tc>
          <w:tcPr>
            <w:tcW w:w="900" w:type="dxa"/>
            <w:tcBorders>
              <w:top w:val="single" w:color="auto" w:sz="4" w:space="0"/>
              <w:bottom w:val="single" w:color="auto" w:sz="4" w:space="0"/>
            </w:tcBorders>
            <w:shd w:val="clear" w:color="auto" w:fill="auto"/>
            <w:vAlign w:val="bottom"/>
          </w:tcPr>
          <w:p w:rsidRPr="008D5339" w:rsidR="007941BE" w:rsidP="009B471B" w:rsidRDefault="007941BE" w14:paraId="275D7143" w14:textId="77777777">
            <w:pPr>
              <w:keepNext/>
              <w:jc w:val="center"/>
              <w:rPr>
                <w:b/>
                <w:sz w:val="22"/>
                <w:szCs w:val="22"/>
              </w:rPr>
            </w:pPr>
            <w:r w:rsidRPr="008D5339">
              <w:rPr>
                <w:b/>
                <w:sz w:val="22"/>
                <w:szCs w:val="22"/>
              </w:rPr>
              <w:t>Hours</w:t>
            </w:r>
          </w:p>
        </w:tc>
        <w:tc>
          <w:tcPr>
            <w:tcW w:w="990" w:type="dxa"/>
            <w:tcBorders>
              <w:top w:val="single" w:color="auto" w:sz="4" w:space="0"/>
              <w:bottom w:val="single" w:color="auto" w:sz="4" w:space="0"/>
            </w:tcBorders>
            <w:shd w:val="clear" w:color="auto" w:fill="auto"/>
            <w:vAlign w:val="bottom"/>
          </w:tcPr>
          <w:p w:rsidRPr="008D5339" w:rsidR="007941BE" w:rsidP="009B471B" w:rsidRDefault="007941BE" w14:paraId="46CEE32B" w14:textId="61F58D09">
            <w:pPr>
              <w:keepNext/>
              <w:jc w:val="center"/>
              <w:rPr>
                <w:b/>
                <w:sz w:val="22"/>
                <w:szCs w:val="22"/>
              </w:rPr>
            </w:pPr>
            <w:r w:rsidRPr="008D5339">
              <w:rPr>
                <w:b/>
                <w:sz w:val="22"/>
                <w:szCs w:val="22"/>
              </w:rPr>
              <w:t>Rate $</w:t>
            </w:r>
          </w:p>
        </w:tc>
        <w:tc>
          <w:tcPr>
            <w:tcW w:w="1710" w:type="dxa"/>
            <w:gridSpan w:val="2"/>
            <w:tcBorders>
              <w:top w:val="single" w:color="auto" w:sz="4" w:space="0"/>
              <w:bottom w:val="single" w:color="auto" w:sz="4" w:space="0"/>
              <w:right w:val="single" w:color="auto" w:sz="4" w:space="0"/>
            </w:tcBorders>
            <w:shd w:val="clear" w:color="auto" w:fill="auto"/>
            <w:vAlign w:val="bottom"/>
          </w:tcPr>
          <w:p w:rsidRPr="008D5339" w:rsidR="007941BE" w:rsidP="009B471B" w:rsidRDefault="007941BE" w14:paraId="09EDBB92" w14:textId="77777777">
            <w:pPr>
              <w:keepNext/>
              <w:jc w:val="center"/>
              <w:rPr>
                <w:b/>
                <w:sz w:val="22"/>
                <w:szCs w:val="22"/>
              </w:rPr>
            </w:pPr>
            <w:r w:rsidRPr="008D5339">
              <w:rPr>
                <w:b/>
                <w:sz w:val="22"/>
                <w:szCs w:val="22"/>
              </w:rPr>
              <w:t>Basis for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8D5339" w:rsidR="007941BE" w:rsidP="009B471B" w:rsidRDefault="007941BE" w14:paraId="00418671" w14:textId="77777777">
            <w:pPr>
              <w:keepNext/>
              <w:jc w:val="center"/>
              <w:rPr>
                <w:b/>
                <w:sz w:val="22"/>
                <w:szCs w:val="22"/>
              </w:rPr>
            </w:pPr>
            <w:r w:rsidRPr="008D5339">
              <w:rPr>
                <w:b/>
                <w:sz w:val="22"/>
                <w:szCs w:val="22"/>
              </w:rPr>
              <w:t>Total $</w:t>
            </w:r>
          </w:p>
        </w:tc>
        <w:tc>
          <w:tcPr>
            <w:tcW w:w="990" w:type="dxa"/>
            <w:tcBorders>
              <w:top w:val="single" w:color="auto" w:sz="4" w:space="0"/>
              <w:left w:val="single" w:color="auto" w:sz="4" w:space="0"/>
            </w:tcBorders>
            <w:shd w:val="clear" w:color="auto" w:fill="auto"/>
            <w:vAlign w:val="bottom"/>
          </w:tcPr>
          <w:p w:rsidRPr="008D5339" w:rsidR="007941BE" w:rsidP="009B471B" w:rsidRDefault="007941BE" w14:paraId="6CCF4B94" w14:textId="77777777">
            <w:pPr>
              <w:keepNext/>
              <w:jc w:val="center"/>
              <w:rPr>
                <w:b/>
                <w:sz w:val="22"/>
                <w:szCs w:val="22"/>
              </w:rPr>
            </w:pPr>
            <w:r w:rsidRPr="008D5339">
              <w:rPr>
                <w:b/>
                <w:sz w:val="22"/>
                <w:szCs w:val="22"/>
              </w:rPr>
              <w:t>Hours</w:t>
            </w:r>
          </w:p>
        </w:tc>
        <w:tc>
          <w:tcPr>
            <w:tcW w:w="990" w:type="dxa"/>
            <w:tcBorders>
              <w:top w:val="single" w:color="auto" w:sz="4" w:space="0"/>
            </w:tcBorders>
            <w:shd w:val="clear" w:color="auto" w:fill="auto"/>
            <w:vAlign w:val="bottom"/>
          </w:tcPr>
          <w:p w:rsidRPr="008D5339" w:rsidR="007941BE" w:rsidP="009B471B" w:rsidRDefault="007941BE" w14:paraId="67936540" w14:textId="3D6F9D17">
            <w:pPr>
              <w:keepNext/>
              <w:jc w:val="center"/>
              <w:rPr>
                <w:b/>
                <w:sz w:val="22"/>
                <w:szCs w:val="22"/>
              </w:rPr>
            </w:pPr>
            <w:r w:rsidRPr="008D5339">
              <w:rPr>
                <w:b/>
                <w:sz w:val="22"/>
                <w:szCs w:val="22"/>
              </w:rPr>
              <w:t>Rate $</w:t>
            </w:r>
          </w:p>
        </w:tc>
        <w:tc>
          <w:tcPr>
            <w:tcW w:w="1380" w:type="dxa"/>
            <w:tcBorders>
              <w:top w:val="single" w:color="auto" w:sz="4" w:space="0"/>
            </w:tcBorders>
            <w:shd w:val="clear" w:color="auto" w:fill="auto"/>
            <w:vAlign w:val="bottom"/>
          </w:tcPr>
          <w:p w:rsidRPr="008D5339" w:rsidR="007941BE" w:rsidP="009B471B" w:rsidRDefault="007941BE" w14:paraId="1CA0337A" w14:textId="77777777">
            <w:pPr>
              <w:keepNext/>
              <w:jc w:val="center"/>
              <w:rPr>
                <w:b/>
                <w:sz w:val="22"/>
                <w:szCs w:val="22"/>
              </w:rPr>
            </w:pPr>
            <w:r w:rsidRPr="008D5339">
              <w:rPr>
                <w:b/>
                <w:sz w:val="22"/>
                <w:szCs w:val="22"/>
              </w:rPr>
              <w:t>Total $</w:t>
            </w:r>
          </w:p>
        </w:tc>
      </w:tr>
      <w:tr w:rsidRPr="008D5339" w:rsidR="008D5339" w:rsidTr="00076735" w14:paraId="09CFB749" w14:textId="77777777">
        <w:trPr>
          <w:cantSplit/>
          <w:jc w:val="center"/>
        </w:trPr>
        <w:tc>
          <w:tcPr>
            <w:tcW w:w="1525" w:type="dxa"/>
            <w:gridSpan w:val="2"/>
            <w:shd w:val="clear" w:color="auto" w:fill="auto"/>
          </w:tcPr>
          <w:p w:rsidR="00F711E1" w:rsidP="009B471B" w:rsidRDefault="00571F46" w14:paraId="3F2AA55E" w14:textId="77777777">
            <w:pPr>
              <w:rPr>
                <w:rFonts w:cstheme="minorHAnsi"/>
                <w:sz w:val="22"/>
              </w:rPr>
            </w:pPr>
            <w:r w:rsidRPr="008D5339">
              <w:rPr>
                <w:rFonts w:cstheme="minorHAnsi"/>
                <w:sz w:val="22"/>
              </w:rPr>
              <w:t>John Geesman</w:t>
            </w:r>
            <w:r w:rsidRPr="008D5339" w:rsidR="0076356C">
              <w:rPr>
                <w:rFonts w:cstheme="minorHAnsi"/>
                <w:sz w:val="22"/>
              </w:rPr>
              <w:t xml:space="preserve"> </w:t>
            </w:r>
          </w:p>
          <w:p w:rsidR="00FE6107" w:rsidP="009B471B" w:rsidRDefault="0076356C" w14:paraId="2D23F867" w14:textId="30AEDB95">
            <w:pPr>
              <w:rPr>
                <w:rFonts w:cstheme="minorHAnsi"/>
                <w:sz w:val="22"/>
              </w:rPr>
            </w:pPr>
            <w:r w:rsidRPr="008D5339">
              <w:rPr>
                <w:rFonts w:cstheme="minorHAnsi"/>
                <w:sz w:val="22"/>
              </w:rPr>
              <w:t xml:space="preserve">travel </w:t>
            </w:r>
          </w:p>
          <w:p w:rsidR="00F711E1" w:rsidP="009B471B" w:rsidRDefault="0076356C" w14:paraId="65CAD088" w14:textId="77777777">
            <w:pPr>
              <w:rPr>
                <w:rFonts w:cstheme="minorHAnsi"/>
                <w:sz w:val="22"/>
              </w:rPr>
            </w:pPr>
            <w:r w:rsidRPr="008D5339">
              <w:rPr>
                <w:rFonts w:cstheme="minorHAnsi"/>
                <w:sz w:val="22"/>
              </w:rPr>
              <w:t>(</w:t>
            </w:r>
            <w:r w:rsidRPr="008D5339" w:rsidR="0046194D">
              <w:rPr>
                <w:rFonts w:cstheme="minorHAnsi"/>
                <w:sz w:val="22"/>
              </w:rPr>
              <w:t>at one</w:t>
            </w:r>
            <w:r w:rsidRPr="008D5339" w:rsidR="00F949CB">
              <w:rPr>
                <w:rFonts w:cstheme="minorHAnsi"/>
                <w:sz w:val="22"/>
              </w:rPr>
              <w:noBreakHyphen/>
            </w:r>
            <w:r w:rsidRPr="008D5339" w:rsidR="0046194D">
              <w:rPr>
                <w:rFonts w:cstheme="minorHAnsi"/>
                <w:sz w:val="22"/>
              </w:rPr>
              <w:t xml:space="preserve">half </w:t>
            </w:r>
          </w:p>
          <w:p w:rsidRPr="008D5339" w:rsidR="007941BE" w:rsidP="009B471B" w:rsidRDefault="0046194D" w14:paraId="5AB34291" w14:textId="24E7A5A7">
            <w:pPr>
              <w:rPr>
                <w:sz w:val="22"/>
              </w:rPr>
            </w:pPr>
            <w:r w:rsidRPr="008D5339">
              <w:rPr>
                <w:rFonts w:cstheme="minorHAnsi"/>
                <w:sz w:val="22"/>
              </w:rPr>
              <w:t>hourly rate)</w:t>
            </w:r>
          </w:p>
        </w:tc>
        <w:tc>
          <w:tcPr>
            <w:tcW w:w="720" w:type="dxa"/>
            <w:gridSpan w:val="2"/>
            <w:shd w:val="clear" w:color="auto" w:fill="auto"/>
          </w:tcPr>
          <w:p w:rsidRPr="008D5339" w:rsidR="007941BE" w:rsidP="008D5339" w:rsidRDefault="00571F46" w14:paraId="2A0D8D18" w14:textId="06E3E694">
            <w:pPr>
              <w:rPr>
                <w:rFonts w:asciiTheme="minorHAnsi" w:hAnsiTheme="minorHAnsi" w:cstheme="minorHAnsi"/>
                <w:sz w:val="22"/>
              </w:rPr>
            </w:pPr>
            <w:r w:rsidRPr="008D5339">
              <w:rPr>
                <w:rFonts w:cstheme="minorHAnsi"/>
                <w:sz w:val="22"/>
              </w:rPr>
              <w:t>2023</w:t>
            </w:r>
          </w:p>
        </w:tc>
        <w:tc>
          <w:tcPr>
            <w:tcW w:w="900" w:type="dxa"/>
            <w:shd w:val="clear" w:color="auto" w:fill="auto"/>
          </w:tcPr>
          <w:p w:rsidRPr="008D5339" w:rsidR="007941BE" w:rsidP="008D5339" w:rsidRDefault="00A04651" w14:paraId="64EA9215" w14:textId="3C5AD4B2">
            <w:pPr>
              <w:jc w:val="center"/>
              <w:rPr>
                <w:rFonts w:asciiTheme="minorHAnsi" w:hAnsiTheme="minorHAnsi" w:cstheme="minorHAnsi"/>
                <w:sz w:val="22"/>
              </w:rPr>
            </w:pPr>
            <w:r w:rsidRPr="008D5339">
              <w:rPr>
                <w:rFonts w:cstheme="minorHAnsi"/>
                <w:sz w:val="22"/>
              </w:rPr>
              <w:t>9</w:t>
            </w:r>
            <w:r w:rsidRPr="008D5339" w:rsidR="00E25F1C">
              <w:rPr>
                <w:rFonts w:cstheme="minorHAnsi"/>
                <w:sz w:val="22"/>
              </w:rPr>
              <w:t>.00</w:t>
            </w:r>
          </w:p>
        </w:tc>
        <w:tc>
          <w:tcPr>
            <w:tcW w:w="990" w:type="dxa"/>
            <w:shd w:val="clear" w:color="auto" w:fill="auto"/>
          </w:tcPr>
          <w:p w:rsidRPr="008D5339" w:rsidR="007941BE" w:rsidP="009B471B" w:rsidRDefault="008D5339" w14:paraId="15F30A98" w14:textId="2AD0CF99">
            <w:pPr>
              <w:jc w:val="right"/>
              <w:rPr>
                <w:rFonts w:asciiTheme="minorHAnsi" w:hAnsiTheme="minorHAnsi" w:cstheme="minorHAnsi"/>
                <w:sz w:val="22"/>
              </w:rPr>
            </w:pPr>
            <w:r w:rsidRPr="008D5339">
              <w:rPr>
                <w:rFonts w:cstheme="minorHAnsi"/>
                <w:sz w:val="22"/>
              </w:rPr>
              <w:t>$</w:t>
            </w:r>
            <w:r w:rsidRPr="008D5339" w:rsidR="00D94CBF">
              <w:rPr>
                <w:rFonts w:cstheme="minorHAnsi"/>
                <w:sz w:val="22"/>
              </w:rPr>
              <w:t>3</w:t>
            </w:r>
            <w:r w:rsidRPr="008D5339" w:rsidR="00C2089A">
              <w:rPr>
                <w:rFonts w:cstheme="minorHAnsi"/>
                <w:sz w:val="22"/>
              </w:rPr>
              <w:t>72</w:t>
            </w:r>
            <w:r w:rsidRPr="008D5339" w:rsidR="00D94CBF">
              <w:rPr>
                <w:rFonts w:cstheme="minorHAnsi"/>
                <w:sz w:val="22"/>
              </w:rPr>
              <w:t>.50</w:t>
            </w:r>
          </w:p>
        </w:tc>
        <w:tc>
          <w:tcPr>
            <w:tcW w:w="1710" w:type="dxa"/>
            <w:gridSpan w:val="2"/>
            <w:tcBorders>
              <w:right w:val="single" w:color="auto" w:sz="4" w:space="0"/>
            </w:tcBorders>
            <w:shd w:val="clear" w:color="auto" w:fill="auto"/>
          </w:tcPr>
          <w:p w:rsidRPr="008D5339" w:rsidR="007941BE" w:rsidP="009B471B" w:rsidRDefault="0076356C" w14:paraId="27EA3054" w14:textId="0B9260F9">
            <w:pPr>
              <w:rPr>
                <w:sz w:val="22"/>
              </w:rPr>
            </w:pPr>
            <w:r w:rsidRPr="008D5339">
              <w:rPr>
                <w:rFonts w:cstheme="minorHAnsi"/>
                <w:sz w:val="22"/>
              </w:rPr>
              <w:t>D.24</w:t>
            </w:r>
            <w:r w:rsidRPr="008D5339" w:rsidR="00F949CB">
              <w:rPr>
                <w:rFonts w:cstheme="minorHAnsi"/>
                <w:sz w:val="22"/>
              </w:rPr>
              <w:noBreakHyphen/>
            </w:r>
            <w:r w:rsidRPr="008D5339">
              <w:rPr>
                <w:rFonts w:cstheme="minorHAnsi"/>
                <w:sz w:val="22"/>
              </w:rPr>
              <w:t>01</w:t>
            </w:r>
            <w:r w:rsidRPr="008D5339" w:rsidR="00F949CB">
              <w:rPr>
                <w:rFonts w:cstheme="minorHAnsi"/>
                <w:sz w:val="22"/>
              </w:rPr>
              <w:noBreakHyphen/>
            </w:r>
            <w:r w:rsidRPr="008D5339">
              <w:rPr>
                <w:rFonts w:cstheme="minorHAnsi"/>
                <w:sz w:val="22"/>
              </w:rPr>
              <w:t>044, ALJ</w:t>
            </w:r>
            <w:r w:rsidRPr="008D5339" w:rsidR="00F949CB">
              <w:rPr>
                <w:rFonts w:cstheme="minorHAnsi"/>
                <w:sz w:val="22"/>
              </w:rPr>
              <w:noBreakHyphen/>
            </w:r>
            <w:r w:rsidRPr="008D5339">
              <w:rPr>
                <w:rFonts w:cstheme="minorHAnsi"/>
                <w:sz w:val="22"/>
              </w:rPr>
              <w:t>393 escalation, plus second 5% step increase</w:t>
            </w:r>
            <w:r w:rsidRPr="008D5339" w:rsidR="007053D2">
              <w:rPr>
                <w:rFonts w:cstheme="minorHAnsi"/>
                <w:sz w:val="22"/>
              </w:rPr>
              <w:t>.</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7941BE" w:rsidP="009B471B" w:rsidRDefault="008D5339" w14:paraId="5E4CC873" w14:textId="27F0F89F">
            <w:pPr>
              <w:jc w:val="right"/>
              <w:rPr>
                <w:rFonts w:asciiTheme="minorHAnsi" w:hAnsiTheme="minorHAnsi" w:cstheme="minorHAnsi"/>
                <w:sz w:val="22"/>
              </w:rPr>
            </w:pPr>
            <w:r w:rsidRPr="008D5339">
              <w:rPr>
                <w:rFonts w:cstheme="minorHAnsi"/>
                <w:sz w:val="22"/>
              </w:rPr>
              <w:t>$</w:t>
            </w:r>
            <w:r w:rsidRPr="008D5339" w:rsidR="00A04651">
              <w:rPr>
                <w:rFonts w:cstheme="minorHAnsi"/>
                <w:sz w:val="22"/>
              </w:rPr>
              <w:t>3,</w:t>
            </w:r>
            <w:r w:rsidRPr="008D5339" w:rsidR="008F079F">
              <w:rPr>
                <w:rFonts w:cstheme="minorHAnsi"/>
                <w:sz w:val="22"/>
              </w:rPr>
              <w:t>352</w:t>
            </w:r>
            <w:r w:rsidRPr="008D5339" w:rsidR="00A04651">
              <w:rPr>
                <w:rFonts w:cstheme="minorHAnsi"/>
                <w:sz w:val="22"/>
              </w:rPr>
              <w:t>.50</w:t>
            </w:r>
          </w:p>
        </w:tc>
        <w:tc>
          <w:tcPr>
            <w:tcW w:w="990" w:type="dxa"/>
            <w:tcBorders>
              <w:left w:val="single" w:color="auto" w:sz="4" w:space="0"/>
              <w:right w:val="single" w:color="auto" w:sz="4" w:space="0"/>
            </w:tcBorders>
            <w:shd w:val="clear" w:color="auto" w:fill="auto"/>
          </w:tcPr>
          <w:p w:rsidRPr="008D5339" w:rsidR="007941BE" w:rsidP="008D5339" w:rsidRDefault="00C56B44" w14:paraId="42B2DDFC" w14:textId="625F4506">
            <w:pPr>
              <w:jc w:val="center"/>
              <w:rPr>
                <w:sz w:val="22"/>
              </w:rPr>
            </w:pPr>
            <w:r w:rsidRPr="008D5339">
              <w:rPr>
                <w:sz w:val="22"/>
              </w:rPr>
              <w:t>9.00</w:t>
            </w:r>
          </w:p>
        </w:tc>
        <w:tc>
          <w:tcPr>
            <w:tcW w:w="990" w:type="dxa"/>
            <w:tcBorders>
              <w:left w:val="single" w:color="auto" w:sz="4" w:space="0"/>
            </w:tcBorders>
            <w:shd w:val="clear" w:color="auto" w:fill="auto"/>
          </w:tcPr>
          <w:p w:rsidRPr="008D5339" w:rsidR="008D5339" w:rsidP="009B471B" w:rsidRDefault="006C3EE9" w14:paraId="5154CB6A" w14:textId="77777777">
            <w:pPr>
              <w:jc w:val="right"/>
              <w:rPr>
                <w:sz w:val="22"/>
              </w:rPr>
            </w:pPr>
            <w:r w:rsidRPr="008D5339">
              <w:rPr>
                <w:sz w:val="22"/>
              </w:rPr>
              <w:t>$372.50</w:t>
            </w:r>
          </w:p>
          <w:p w:rsidRPr="008D5339" w:rsidR="007941BE" w:rsidP="008D5339" w:rsidRDefault="008D5339" w14:paraId="62FAF033" w14:textId="496117B3">
            <w:pPr>
              <w:jc w:val="center"/>
              <w:rPr>
                <w:sz w:val="22"/>
              </w:rPr>
            </w:pPr>
            <w:r w:rsidRPr="008D5339">
              <w:rPr>
                <w:sz w:val="22"/>
              </w:rPr>
              <w:t>[</w:t>
            </w:r>
            <w:r w:rsidRPr="008D5339" w:rsidR="006C3EE9">
              <w:rPr>
                <w:sz w:val="22"/>
              </w:rPr>
              <w:t>1]</w:t>
            </w:r>
          </w:p>
        </w:tc>
        <w:tc>
          <w:tcPr>
            <w:tcW w:w="1380" w:type="dxa"/>
            <w:shd w:val="clear" w:color="auto" w:fill="auto"/>
          </w:tcPr>
          <w:p w:rsidRPr="008D5339" w:rsidR="007941BE" w:rsidP="009B471B" w:rsidRDefault="00C56B44" w14:paraId="4FDDC4B2" w14:textId="03DB740A">
            <w:pPr>
              <w:jc w:val="right"/>
              <w:rPr>
                <w:sz w:val="22"/>
              </w:rPr>
            </w:pPr>
            <w:r w:rsidRPr="008D5339">
              <w:rPr>
                <w:sz w:val="22"/>
              </w:rPr>
              <w:t>$3,352.50</w:t>
            </w:r>
          </w:p>
        </w:tc>
      </w:tr>
      <w:tr w:rsidRPr="008D5339" w:rsidR="008D5339" w:rsidTr="00076735" w14:paraId="3F18ECF4" w14:textId="77777777">
        <w:trPr>
          <w:cantSplit/>
          <w:jc w:val="center"/>
        </w:trPr>
        <w:tc>
          <w:tcPr>
            <w:tcW w:w="1525" w:type="dxa"/>
            <w:gridSpan w:val="2"/>
            <w:shd w:val="clear" w:color="auto" w:fill="auto"/>
          </w:tcPr>
          <w:p w:rsidR="00164C61" w:rsidP="009B471B" w:rsidRDefault="00571F46" w14:paraId="56FB2177" w14:textId="77777777">
            <w:pPr>
              <w:rPr>
                <w:rFonts w:cstheme="minorHAnsi"/>
                <w:sz w:val="22"/>
              </w:rPr>
            </w:pPr>
            <w:r w:rsidRPr="008D5339">
              <w:rPr>
                <w:rFonts w:cstheme="minorHAnsi"/>
                <w:sz w:val="22"/>
              </w:rPr>
              <w:t xml:space="preserve">Rochelle </w:t>
            </w:r>
          </w:p>
          <w:p w:rsidR="00164C61" w:rsidP="009B471B" w:rsidRDefault="00571F46" w14:paraId="545D0459" w14:textId="77777777">
            <w:pPr>
              <w:rPr>
                <w:rFonts w:cstheme="minorHAnsi"/>
                <w:sz w:val="22"/>
              </w:rPr>
            </w:pPr>
            <w:r w:rsidRPr="008D5339">
              <w:rPr>
                <w:rFonts w:cstheme="minorHAnsi"/>
                <w:sz w:val="22"/>
              </w:rPr>
              <w:t>Becker</w:t>
            </w:r>
            <w:r w:rsidRPr="008D5339" w:rsidR="0046194D">
              <w:rPr>
                <w:rFonts w:cstheme="minorHAnsi"/>
                <w:sz w:val="22"/>
              </w:rPr>
              <w:t xml:space="preserve"> travel </w:t>
            </w:r>
          </w:p>
          <w:p w:rsidR="00164C61" w:rsidP="009B471B" w:rsidRDefault="0046194D" w14:paraId="3E2B6134" w14:textId="77777777">
            <w:pPr>
              <w:rPr>
                <w:rFonts w:cstheme="minorHAnsi"/>
                <w:sz w:val="22"/>
              </w:rPr>
            </w:pPr>
            <w:r w:rsidRPr="008D5339">
              <w:rPr>
                <w:rFonts w:cstheme="minorHAnsi"/>
                <w:sz w:val="22"/>
              </w:rPr>
              <w:t>(at one</w:t>
            </w:r>
            <w:r w:rsidRPr="008D5339" w:rsidR="00F949CB">
              <w:rPr>
                <w:rFonts w:cstheme="minorHAnsi"/>
                <w:sz w:val="22"/>
              </w:rPr>
              <w:noBreakHyphen/>
            </w:r>
            <w:r w:rsidRPr="008D5339" w:rsidR="006D6457">
              <w:rPr>
                <w:rFonts w:cstheme="minorHAnsi"/>
                <w:sz w:val="22"/>
              </w:rPr>
              <w:t xml:space="preserve">half </w:t>
            </w:r>
          </w:p>
          <w:p w:rsidRPr="008D5339" w:rsidR="007941BE" w:rsidP="009B471B" w:rsidRDefault="006D6457" w14:paraId="00B71E1A" w14:textId="0F7CB4A9">
            <w:pPr>
              <w:rPr>
                <w:sz w:val="22"/>
              </w:rPr>
            </w:pPr>
            <w:r w:rsidRPr="008D5339">
              <w:rPr>
                <w:rFonts w:cstheme="minorHAnsi"/>
                <w:sz w:val="22"/>
              </w:rPr>
              <w:t>hourly rate)</w:t>
            </w:r>
          </w:p>
        </w:tc>
        <w:tc>
          <w:tcPr>
            <w:tcW w:w="720" w:type="dxa"/>
            <w:gridSpan w:val="2"/>
            <w:shd w:val="clear" w:color="auto" w:fill="auto"/>
          </w:tcPr>
          <w:p w:rsidRPr="008D5339" w:rsidR="007941BE" w:rsidP="008D5339" w:rsidRDefault="00571F46" w14:paraId="0C0A6FDD" w14:textId="74E7E9E7">
            <w:pPr>
              <w:rPr>
                <w:sz w:val="22"/>
              </w:rPr>
            </w:pPr>
            <w:r w:rsidRPr="008D5339">
              <w:rPr>
                <w:rFonts w:cstheme="minorHAnsi"/>
                <w:sz w:val="22"/>
              </w:rPr>
              <w:t>2023</w:t>
            </w:r>
          </w:p>
        </w:tc>
        <w:tc>
          <w:tcPr>
            <w:tcW w:w="900" w:type="dxa"/>
            <w:shd w:val="clear" w:color="auto" w:fill="auto"/>
          </w:tcPr>
          <w:p w:rsidRPr="008D5339" w:rsidR="007941BE" w:rsidP="008D5339" w:rsidRDefault="00CA494B" w14:paraId="07722F68" w14:textId="38D6E94F">
            <w:pPr>
              <w:jc w:val="center"/>
              <w:rPr>
                <w:rFonts w:asciiTheme="minorHAnsi" w:hAnsiTheme="minorHAnsi" w:cstheme="minorHAnsi"/>
                <w:sz w:val="22"/>
              </w:rPr>
            </w:pPr>
            <w:r w:rsidRPr="008D5339">
              <w:rPr>
                <w:rFonts w:cstheme="minorHAnsi"/>
                <w:sz w:val="22"/>
              </w:rPr>
              <w:t>8.00</w:t>
            </w:r>
          </w:p>
        </w:tc>
        <w:tc>
          <w:tcPr>
            <w:tcW w:w="990" w:type="dxa"/>
            <w:shd w:val="clear" w:color="auto" w:fill="auto"/>
          </w:tcPr>
          <w:p w:rsidRPr="008D5339" w:rsidR="007941BE" w:rsidP="009B471B" w:rsidRDefault="008D5339" w14:paraId="429157A6" w14:textId="27B8F122">
            <w:pPr>
              <w:jc w:val="right"/>
              <w:rPr>
                <w:rFonts w:asciiTheme="minorHAnsi" w:hAnsiTheme="minorHAnsi" w:cstheme="minorHAnsi"/>
                <w:sz w:val="22"/>
              </w:rPr>
            </w:pPr>
            <w:r w:rsidRPr="008D5339">
              <w:rPr>
                <w:rFonts w:cstheme="minorHAnsi"/>
                <w:sz w:val="22"/>
              </w:rPr>
              <w:t>$</w:t>
            </w:r>
            <w:r w:rsidRPr="008D5339" w:rsidR="00D94CBF">
              <w:rPr>
                <w:rFonts w:cstheme="minorHAnsi"/>
                <w:sz w:val="22"/>
              </w:rPr>
              <w:t>160</w:t>
            </w:r>
            <w:r w:rsidRPr="008D5339">
              <w:rPr>
                <w:rFonts w:cstheme="minorHAnsi"/>
                <w:sz w:val="22"/>
              </w:rPr>
              <w:t>.00</w:t>
            </w:r>
          </w:p>
        </w:tc>
        <w:tc>
          <w:tcPr>
            <w:tcW w:w="1710" w:type="dxa"/>
            <w:gridSpan w:val="2"/>
            <w:tcBorders>
              <w:right w:val="single" w:color="auto" w:sz="4" w:space="0"/>
            </w:tcBorders>
            <w:shd w:val="clear" w:color="auto" w:fill="auto"/>
          </w:tcPr>
          <w:p w:rsidRPr="008D5339" w:rsidR="007941BE" w:rsidP="009B471B" w:rsidRDefault="0076356C" w14:paraId="5CDC599A" w14:textId="156C94B6">
            <w:pPr>
              <w:rPr>
                <w:sz w:val="22"/>
              </w:rPr>
            </w:pPr>
            <w:r w:rsidRPr="008D5339">
              <w:rPr>
                <w:rFonts w:cstheme="minorHAnsi"/>
                <w:sz w:val="22"/>
              </w:rPr>
              <w:t>D.24</w:t>
            </w:r>
            <w:r w:rsidRPr="008D5339" w:rsidR="00F949CB">
              <w:rPr>
                <w:rFonts w:cstheme="minorHAnsi"/>
                <w:sz w:val="22"/>
              </w:rPr>
              <w:noBreakHyphen/>
            </w:r>
            <w:r w:rsidRPr="008D5339">
              <w:rPr>
                <w:rFonts w:cstheme="minorHAnsi"/>
                <w:sz w:val="22"/>
              </w:rPr>
              <w:t>01</w:t>
            </w:r>
            <w:r w:rsidRPr="008D5339" w:rsidR="00F949CB">
              <w:rPr>
                <w:rFonts w:cstheme="minorHAnsi"/>
                <w:sz w:val="22"/>
              </w:rPr>
              <w:noBreakHyphen/>
            </w:r>
            <w:r w:rsidRPr="008D5339">
              <w:rPr>
                <w:rFonts w:cstheme="minorHAnsi"/>
                <w:sz w:val="22"/>
              </w:rPr>
              <w:t>044, ALJ</w:t>
            </w:r>
            <w:r w:rsidRPr="008D5339" w:rsidR="00F949CB">
              <w:rPr>
                <w:rFonts w:cstheme="minorHAnsi"/>
                <w:sz w:val="22"/>
              </w:rPr>
              <w:noBreakHyphen/>
            </w:r>
            <w:r w:rsidRPr="008D5339">
              <w:rPr>
                <w:rFonts w:cstheme="minorHAnsi"/>
                <w:sz w:val="22"/>
              </w:rPr>
              <w:t>393 escalation, plus second 5% step increase</w:t>
            </w:r>
            <w:r w:rsidRPr="008D5339" w:rsidR="007053D2">
              <w:rPr>
                <w:rFonts w:cstheme="minorHAnsi"/>
                <w:sz w:val="22"/>
              </w:rPr>
              <w:t>.</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7941BE" w:rsidP="009B471B" w:rsidRDefault="008D5339" w14:paraId="0C664676" w14:textId="627EB7F6">
            <w:pPr>
              <w:jc w:val="right"/>
              <w:rPr>
                <w:rFonts w:asciiTheme="minorHAnsi" w:hAnsiTheme="minorHAnsi" w:cstheme="minorHAnsi"/>
                <w:sz w:val="22"/>
              </w:rPr>
            </w:pPr>
            <w:r w:rsidRPr="008D5339">
              <w:rPr>
                <w:rFonts w:cstheme="minorHAnsi"/>
                <w:sz w:val="22"/>
              </w:rPr>
              <w:t>$</w:t>
            </w:r>
            <w:r w:rsidRPr="008D5339" w:rsidR="00E25F1C">
              <w:rPr>
                <w:rFonts w:cstheme="minorHAnsi"/>
                <w:sz w:val="22"/>
              </w:rPr>
              <w:t>1,280.00</w:t>
            </w:r>
          </w:p>
        </w:tc>
        <w:tc>
          <w:tcPr>
            <w:tcW w:w="990" w:type="dxa"/>
            <w:tcBorders>
              <w:left w:val="single" w:color="auto" w:sz="4" w:space="0"/>
              <w:right w:val="single" w:color="auto" w:sz="4" w:space="0"/>
            </w:tcBorders>
            <w:shd w:val="clear" w:color="auto" w:fill="auto"/>
          </w:tcPr>
          <w:p w:rsidRPr="008D5339" w:rsidR="008D5339" w:rsidP="008D5339" w:rsidRDefault="008825A8" w14:paraId="1A9FED5E" w14:textId="77777777">
            <w:pPr>
              <w:jc w:val="center"/>
              <w:rPr>
                <w:sz w:val="22"/>
              </w:rPr>
            </w:pPr>
            <w:r w:rsidRPr="008D5339">
              <w:rPr>
                <w:sz w:val="22"/>
              </w:rPr>
              <w:t>0.00</w:t>
            </w:r>
          </w:p>
          <w:p w:rsidRPr="008D5339" w:rsidR="007941BE" w:rsidP="008D5339" w:rsidRDefault="008D5339" w14:paraId="4AA9C45B" w14:textId="4F4D2D38">
            <w:pPr>
              <w:jc w:val="center"/>
              <w:rPr>
                <w:sz w:val="22"/>
              </w:rPr>
            </w:pPr>
            <w:r w:rsidRPr="008D5339">
              <w:rPr>
                <w:sz w:val="22"/>
              </w:rPr>
              <w:t>[</w:t>
            </w:r>
            <w:r w:rsidRPr="008D5339" w:rsidR="008825A8">
              <w:rPr>
                <w:sz w:val="22"/>
              </w:rPr>
              <w:t>8]</w:t>
            </w:r>
          </w:p>
        </w:tc>
        <w:tc>
          <w:tcPr>
            <w:tcW w:w="990" w:type="dxa"/>
            <w:tcBorders>
              <w:left w:val="single" w:color="auto" w:sz="4" w:space="0"/>
            </w:tcBorders>
            <w:shd w:val="clear" w:color="auto" w:fill="auto"/>
          </w:tcPr>
          <w:p w:rsidRPr="008D5339" w:rsidR="008D5339" w:rsidP="009B471B" w:rsidRDefault="006E4A9C" w14:paraId="405F9C80" w14:textId="77777777">
            <w:pPr>
              <w:jc w:val="right"/>
              <w:rPr>
                <w:sz w:val="22"/>
              </w:rPr>
            </w:pPr>
            <w:r w:rsidRPr="008D5339">
              <w:rPr>
                <w:sz w:val="22"/>
              </w:rPr>
              <w:t>$160.00</w:t>
            </w:r>
          </w:p>
          <w:p w:rsidRPr="008D5339" w:rsidR="007941BE" w:rsidP="008D5339" w:rsidRDefault="008D5339" w14:paraId="6DDEA655" w14:textId="69130048">
            <w:pPr>
              <w:jc w:val="center"/>
              <w:rPr>
                <w:sz w:val="22"/>
              </w:rPr>
            </w:pPr>
            <w:r w:rsidRPr="008D5339">
              <w:rPr>
                <w:sz w:val="22"/>
              </w:rPr>
              <w:t>[</w:t>
            </w:r>
            <w:r w:rsidRPr="008D5339" w:rsidR="006E4A9C">
              <w:rPr>
                <w:sz w:val="22"/>
              </w:rPr>
              <w:t>2]</w:t>
            </w:r>
          </w:p>
        </w:tc>
        <w:tc>
          <w:tcPr>
            <w:tcW w:w="1380" w:type="dxa"/>
            <w:shd w:val="clear" w:color="auto" w:fill="auto"/>
          </w:tcPr>
          <w:p w:rsidRPr="008D5339" w:rsidR="007941BE" w:rsidP="009B471B" w:rsidRDefault="00F147B1" w14:paraId="119FEB77" w14:textId="178C84C1">
            <w:pPr>
              <w:jc w:val="right"/>
              <w:rPr>
                <w:sz w:val="22"/>
              </w:rPr>
            </w:pPr>
            <w:r w:rsidRPr="008D5339">
              <w:rPr>
                <w:sz w:val="22"/>
              </w:rPr>
              <w:t>$0.00</w:t>
            </w:r>
          </w:p>
        </w:tc>
      </w:tr>
      <w:tr w:rsidRPr="008D5339" w:rsidR="008D5339" w:rsidTr="00076735" w14:paraId="4FF11C82" w14:textId="77777777">
        <w:trPr>
          <w:cantSplit/>
          <w:jc w:val="center"/>
        </w:trPr>
        <w:tc>
          <w:tcPr>
            <w:tcW w:w="1525" w:type="dxa"/>
            <w:gridSpan w:val="2"/>
            <w:shd w:val="clear" w:color="auto" w:fill="auto"/>
          </w:tcPr>
          <w:p w:rsidR="00F711E1" w:rsidP="002A53A8" w:rsidRDefault="00571F46" w14:paraId="2049B809" w14:textId="77777777">
            <w:pPr>
              <w:keepNext/>
              <w:rPr>
                <w:rFonts w:cstheme="minorHAnsi"/>
                <w:sz w:val="22"/>
              </w:rPr>
            </w:pPr>
            <w:r w:rsidRPr="008D5339">
              <w:rPr>
                <w:rFonts w:cstheme="minorHAnsi"/>
                <w:sz w:val="22"/>
              </w:rPr>
              <w:lastRenderedPageBreak/>
              <w:t xml:space="preserve">David </w:t>
            </w:r>
          </w:p>
          <w:p w:rsidR="00F711E1" w:rsidP="002A53A8" w:rsidRDefault="00571F46" w14:paraId="17575BF0" w14:textId="77777777">
            <w:pPr>
              <w:keepNext/>
              <w:rPr>
                <w:rFonts w:cstheme="minorHAnsi"/>
                <w:sz w:val="22"/>
              </w:rPr>
            </w:pPr>
            <w:r w:rsidRPr="008D5339">
              <w:rPr>
                <w:rFonts w:cstheme="minorHAnsi"/>
                <w:sz w:val="22"/>
              </w:rPr>
              <w:t>Weisman</w:t>
            </w:r>
            <w:r w:rsidRPr="008D5339" w:rsidR="006D6457">
              <w:rPr>
                <w:rFonts w:cstheme="minorHAnsi"/>
                <w:sz w:val="22"/>
              </w:rPr>
              <w:t xml:space="preserve"> </w:t>
            </w:r>
          </w:p>
          <w:p w:rsidR="00F711E1" w:rsidP="002A53A8" w:rsidRDefault="006D6457" w14:paraId="6AD88BCF" w14:textId="77777777">
            <w:pPr>
              <w:keepNext/>
              <w:rPr>
                <w:rFonts w:cstheme="minorHAnsi"/>
                <w:sz w:val="22"/>
              </w:rPr>
            </w:pPr>
            <w:r w:rsidRPr="008D5339">
              <w:rPr>
                <w:rFonts w:cstheme="minorHAnsi"/>
                <w:sz w:val="22"/>
              </w:rPr>
              <w:t xml:space="preserve">travel </w:t>
            </w:r>
          </w:p>
          <w:p w:rsidR="00F711E1" w:rsidP="002A53A8" w:rsidRDefault="006D6457" w14:paraId="77461A26" w14:textId="77777777">
            <w:pPr>
              <w:keepNext/>
              <w:rPr>
                <w:rFonts w:cstheme="minorHAnsi"/>
                <w:sz w:val="22"/>
              </w:rPr>
            </w:pPr>
            <w:r w:rsidRPr="008D5339">
              <w:rPr>
                <w:rFonts w:cstheme="minorHAnsi"/>
                <w:sz w:val="22"/>
              </w:rPr>
              <w:t>(at one</w:t>
            </w:r>
            <w:r w:rsidRPr="008D5339" w:rsidR="00F949CB">
              <w:rPr>
                <w:rFonts w:cstheme="minorHAnsi"/>
                <w:sz w:val="22"/>
              </w:rPr>
              <w:noBreakHyphen/>
            </w:r>
            <w:r w:rsidRPr="008D5339">
              <w:rPr>
                <w:rFonts w:cstheme="minorHAnsi"/>
                <w:sz w:val="22"/>
              </w:rPr>
              <w:t xml:space="preserve">half </w:t>
            </w:r>
          </w:p>
          <w:p w:rsidRPr="008D5339" w:rsidR="00571F46" w:rsidP="002A53A8" w:rsidRDefault="00C6056E" w14:paraId="41CF7DAE" w14:textId="10786EFA">
            <w:pPr>
              <w:keepNext/>
              <w:rPr>
                <w:rFonts w:asciiTheme="minorHAnsi" w:hAnsiTheme="minorHAnsi" w:cstheme="minorHAnsi"/>
                <w:sz w:val="22"/>
              </w:rPr>
            </w:pPr>
            <w:r w:rsidRPr="008D5339">
              <w:rPr>
                <w:rFonts w:cstheme="minorHAnsi"/>
                <w:sz w:val="22"/>
              </w:rPr>
              <w:t>hourly rate)</w:t>
            </w:r>
          </w:p>
        </w:tc>
        <w:tc>
          <w:tcPr>
            <w:tcW w:w="720" w:type="dxa"/>
            <w:gridSpan w:val="2"/>
            <w:shd w:val="clear" w:color="auto" w:fill="auto"/>
          </w:tcPr>
          <w:p w:rsidRPr="008D5339" w:rsidR="00571F46" w:rsidP="002A53A8" w:rsidRDefault="00571F46" w14:paraId="50154976" w14:textId="32F48A47">
            <w:pPr>
              <w:keepNext/>
              <w:rPr>
                <w:rFonts w:asciiTheme="minorHAnsi" w:hAnsiTheme="minorHAnsi" w:cstheme="minorHAnsi"/>
                <w:sz w:val="22"/>
              </w:rPr>
            </w:pPr>
            <w:r w:rsidRPr="008D5339">
              <w:rPr>
                <w:rFonts w:cstheme="minorHAnsi"/>
                <w:sz w:val="22"/>
              </w:rPr>
              <w:t>2023</w:t>
            </w:r>
          </w:p>
        </w:tc>
        <w:tc>
          <w:tcPr>
            <w:tcW w:w="900" w:type="dxa"/>
            <w:shd w:val="clear" w:color="auto" w:fill="auto"/>
          </w:tcPr>
          <w:p w:rsidRPr="008D5339" w:rsidR="00571F46" w:rsidP="002A53A8" w:rsidRDefault="001D1BE3" w14:paraId="5BB0181F" w14:textId="62593E30">
            <w:pPr>
              <w:keepNext/>
              <w:jc w:val="center"/>
              <w:rPr>
                <w:rFonts w:asciiTheme="minorHAnsi" w:hAnsiTheme="minorHAnsi" w:cstheme="minorHAnsi"/>
                <w:sz w:val="22"/>
              </w:rPr>
            </w:pPr>
            <w:r w:rsidRPr="008D5339">
              <w:rPr>
                <w:rFonts w:cstheme="minorHAnsi"/>
                <w:sz w:val="22"/>
              </w:rPr>
              <w:t>8.00</w:t>
            </w:r>
          </w:p>
        </w:tc>
        <w:tc>
          <w:tcPr>
            <w:tcW w:w="990" w:type="dxa"/>
            <w:shd w:val="clear" w:color="auto" w:fill="auto"/>
          </w:tcPr>
          <w:p w:rsidRPr="008D5339" w:rsidR="00571F46" w:rsidP="002A53A8" w:rsidRDefault="008D5339" w14:paraId="0D9A3874" w14:textId="7D0762F0">
            <w:pPr>
              <w:keepNext/>
              <w:jc w:val="right"/>
              <w:rPr>
                <w:rFonts w:asciiTheme="minorHAnsi" w:hAnsiTheme="minorHAnsi" w:cstheme="minorHAnsi"/>
                <w:sz w:val="22"/>
              </w:rPr>
            </w:pPr>
            <w:r w:rsidRPr="008D5339">
              <w:rPr>
                <w:rFonts w:cstheme="minorHAnsi"/>
                <w:sz w:val="22"/>
              </w:rPr>
              <w:t>$</w:t>
            </w:r>
            <w:r w:rsidRPr="008D5339" w:rsidR="00D94CBF">
              <w:rPr>
                <w:rFonts w:cstheme="minorHAnsi"/>
                <w:sz w:val="22"/>
              </w:rPr>
              <w:t>110</w:t>
            </w:r>
            <w:r w:rsidRPr="008D5339">
              <w:rPr>
                <w:rFonts w:cstheme="minorHAnsi"/>
                <w:sz w:val="22"/>
              </w:rPr>
              <w:t>.00</w:t>
            </w:r>
          </w:p>
        </w:tc>
        <w:tc>
          <w:tcPr>
            <w:tcW w:w="1710" w:type="dxa"/>
            <w:gridSpan w:val="2"/>
            <w:tcBorders>
              <w:right w:val="single" w:color="auto" w:sz="4" w:space="0"/>
            </w:tcBorders>
            <w:shd w:val="clear" w:color="auto" w:fill="auto"/>
          </w:tcPr>
          <w:p w:rsidRPr="008D5339" w:rsidR="00571F46" w:rsidP="002A53A8" w:rsidRDefault="0076356C" w14:paraId="70746FC9" w14:textId="1621A792">
            <w:pPr>
              <w:keepNext/>
              <w:rPr>
                <w:sz w:val="22"/>
              </w:rPr>
            </w:pPr>
            <w:r w:rsidRPr="008D5339">
              <w:rPr>
                <w:rFonts w:cstheme="minorHAnsi"/>
                <w:sz w:val="22"/>
              </w:rPr>
              <w:t>D.24</w:t>
            </w:r>
            <w:r w:rsidRPr="008D5339" w:rsidR="00F949CB">
              <w:rPr>
                <w:rFonts w:cstheme="minorHAnsi"/>
                <w:sz w:val="22"/>
              </w:rPr>
              <w:noBreakHyphen/>
            </w:r>
            <w:r w:rsidRPr="008D5339">
              <w:rPr>
                <w:rFonts w:cstheme="minorHAnsi"/>
                <w:sz w:val="22"/>
              </w:rPr>
              <w:t>01</w:t>
            </w:r>
            <w:r w:rsidRPr="008D5339" w:rsidR="00F949CB">
              <w:rPr>
                <w:rFonts w:cstheme="minorHAnsi"/>
                <w:sz w:val="22"/>
              </w:rPr>
              <w:noBreakHyphen/>
            </w:r>
            <w:r w:rsidRPr="008D5339">
              <w:rPr>
                <w:rFonts w:cstheme="minorHAnsi"/>
                <w:sz w:val="22"/>
              </w:rPr>
              <w:t>044, ALJ</w:t>
            </w:r>
            <w:r w:rsidRPr="008D5339" w:rsidR="00F949CB">
              <w:rPr>
                <w:rFonts w:cstheme="minorHAnsi"/>
                <w:sz w:val="22"/>
              </w:rPr>
              <w:noBreakHyphen/>
            </w:r>
            <w:r w:rsidRPr="008D5339">
              <w:rPr>
                <w:rFonts w:cstheme="minorHAnsi"/>
                <w:sz w:val="22"/>
              </w:rPr>
              <w:t>393 escalation, plus second 5% step increase</w:t>
            </w:r>
            <w:r w:rsidRPr="008D5339" w:rsidR="007053D2">
              <w:rPr>
                <w:rFonts w:cstheme="minorHAnsi"/>
                <w:sz w:val="22"/>
              </w:rPr>
              <w:t>.</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571F46" w:rsidP="002A53A8" w:rsidRDefault="008D5339" w14:paraId="3DF17452" w14:textId="32644E28">
            <w:pPr>
              <w:keepNext/>
              <w:jc w:val="right"/>
              <w:rPr>
                <w:rFonts w:asciiTheme="minorHAnsi" w:hAnsiTheme="minorHAnsi" w:cstheme="minorHAnsi"/>
                <w:sz w:val="22"/>
              </w:rPr>
            </w:pPr>
            <w:r w:rsidRPr="008D5339">
              <w:rPr>
                <w:rFonts w:cstheme="minorHAnsi"/>
                <w:sz w:val="22"/>
              </w:rPr>
              <w:t>$</w:t>
            </w:r>
            <w:r w:rsidRPr="008D5339" w:rsidR="001D1BE3">
              <w:rPr>
                <w:rFonts w:cstheme="minorHAnsi"/>
                <w:sz w:val="22"/>
              </w:rPr>
              <w:t>880.00</w:t>
            </w:r>
          </w:p>
        </w:tc>
        <w:tc>
          <w:tcPr>
            <w:tcW w:w="990" w:type="dxa"/>
            <w:tcBorders>
              <w:left w:val="single" w:color="auto" w:sz="4" w:space="0"/>
              <w:right w:val="single" w:color="auto" w:sz="4" w:space="0"/>
            </w:tcBorders>
            <w:shd w:val="clear" w:color="auto" w:fill="auto"/>
          </w:tcPr>
          <w:p w:rsidRPr="008D5339" w:rsidR="008D5339" w:rsidP="002A53A8" w:rsidRDefault="008825A8" w14:paraId="77284320" w14:textId="77777777">
            <w:pPr>
              <w:keepNext/>
              <w:jc w:val="center"/>
              <w:rPr>
                <w:sz w:val="22"/>
              </w:rPr>
            </w:pPr>
            <w:r w:rsidRPr="008D5339">
              <w:rPr>
                <w:sz w:val="22"/>
              </w:rPr>
              <w:t>0.00</w:t>
            </w:r>
          </w:p>
          <w:p w:rsidRPr="008D5339" w:rsidR="00571F46" w:rsidP="002A53A8" w:rsidRDefault="008D5339" w14:paraId="730842D4" w14:textId="7C593A22">
            <w:pPr>
              <w:keepNext/>
              <w:jc w:val="center"/>
              <w:rPr>
                <w:sz w:val="22"/>
              </w:rPr>
            </w:pPr>
            <w:r w:rsidRPr="008D5339">
              <w:rPr>
                <w:sz w:val="22"/>
              </w:rPr>
              <w:t>[</w:t>
            </w:r>
            <w:r w:rsidRPr="008D5339" w:rsidR="008825A8">
              <w:rPr>
                <w:sz w:val="22"/>
              </w:rPr>
              <w:t>8]</w:t>
            </w:r>
          </w:p>
        </w:tc>
        <w:tc>
          <w:tcPr>
            <w:tcW w:w="990" w:type="dxa"/>
            <w:tcBorders>
              <w:left w:val="single" w:color="auto" w:sz="4" w:space="0"/>
            </w:tcBorders>
            <w:shd w:val="clear" w:color="auto" w:fill="auto"/>
          </w:tcPr>
          <w:p w:rsidRPr="008D5339" w:rsidR="008D5339" w:rsidP="002A53A8" w:rsidRDefault="00495F3D" w14:paraId="70742AEB" w14:textId="77777777">
            <w:pPr>
              <w:keepNext/>
              <w:jc w:val="right"/>
              <w:rPr>
                <w:sz w:val="22"/>
              </w:rPr>
            </w:pPr>
            <w:r w:rsidRPr="008D5339">
              <w:rPr>
                <w:sz w:val="22"/>
              </w:rPr>
              <w:t>$110.00</w:t>
            </w:r>
          </w:p>
          <w:p w:rsidRPr="008D5339" w:rsidR="00571F46" w:rsidP="002A53A8" w:rsidRDefault="008D5339" w14:paraId="1EF8C570" w14:textId="665F2FC4">
            <w:pPr>
              <w:keepNext/>
              <w:jc w:val="center"/>
              <w:rPr>
                <w:sz w:val="22"/>
              </w:rPr>
            </w:pPr>
            <w:r w:rsidRPr="008D5339">
              <w:rPr>
                <w:sz w:val="22"/>
              </w:rPr>
              <w:t>[</w:t>
            </w:r>
            <w:r w:rsidRPr="008D5339" w:rsidR="00495F3D">
              <w:rPr>
                <w:sz w:val="22"/>
              </w:rPr>
              <w:t>3]</w:t>
            </w:r>
          </w:p>
        </w:tc>
        <w:tc>
          <w:tcPr>
            <w:tcW w:w="1380" w:type="dxa"/>
            <w:shd w:val="clear" w:color="auto" w:fill="auto"/>
          </w:tcPr>
          <w:p w:rsidRPr="008D5339" w:rsidR="00571F46" w:rsidP="002A53A8" w:rsidRDefault="00F147B1" w14:paraId="48BB2E6E" w14:textId="5BE244F0">
            <w:pPr>
              <w:keepNext/>
              <w:jc w:val="right"/>
              <w:rPr>
                <w:sz w:val="22"/>
              </w:rPr>
            </w:pPr>
            <w:r w:rsidRPr="008D5339">
              <w:rPr>
                <w:sz w:val="22"/>
              </w:rPr>
              <w:t>$0.00</w:t>
            </w:r>
          </w:p>
        </w:tc>
      </w:tr>
      <w:tr w:rsidRPr="008D5339" w:rsidR="000E3C66" w:rsidTr="00076735" w14:paraId="63BC1854" w14:textId="77777777">
        <w:trPr>
          <w:cantSplit/>
          <w:jc w:val="center"/>
        </w:trPr>
        <w:tc>
          <w:tcPr>
            <w:tcW w:w="7195" w:type="dxa"/>
            <w:gridSpan w:val="10"/>
            <w:tcBorders>
              <w:bottom w:val="single" w:color="auto" w:sz="4" w:space="0"/>
              <w:right w:val="single" w:color="auto" w:sz="24" w:space="0"/>
            </w:tcBorders>
            <w:shd w:val="clear" w:color="auto" w:fill="auto"/>
            <w:vAlign w:val="bottom"/>
          </w:tcPr>
          <w:p w:rsidRPr="008D5339" w:rsidR="007941BE" w:rsidP="002A53A8" w:rsidRDefault="007941BE" w14:paraId="3A471360" w14:textId="3BE3F6BD">
            <w:pPr>
              <w:tabs>
                <w:tab w:val="left" w:pos="957"/>
              </w:tabs>
              <w:jc w:val="right"/>
              <w:rPr>
                <w:b/>
                <w:i/>
                <w:sz w:val="22"/>
              </w:rPr>
            </w:pPr>
            <w:r w:rsidRPr="008D5339">
              <w:rPr>
                <w:b/>
                <w:i/>
                <w:sz w:val="22"/>
              </w:rPr>
              <w:t>Subtotal: $</w:t>
            </w:r>
            <w:r w:rsidRPr="008D5339" w:rsidR="00EE3904">
              <w:rPr>
                <w:b/>
                <w:i/>
                <w:sz w:val="22"/>
              </w:rPr>
              <w:t>5,</w:t>
            </w:r>
            <w:r w:rsidRPr="008D5339" w:rsidR="00587110">
              <w:rPr>
                <w:b/>
                <w:i/>
                <w:sz w:val="22"/>
              </w:rPr>
              <w:t>512</w:t>
            </w:r>
            <w:r w:rsidRPr="008D5339" w:rsidR="00EE3904">
              <w:rPr>
                <w:b/>
                <w:i/>
                <w:sz w:val="22"/>
              </w:rPr>
              <w:t>.50</w:t>
            </w:r>
          </w:p>
        </w:tc>
        <w:tc>
          <w:tcPr>
            <w:tcW w:w="3360" w:type="dxa"/>
            <w:gridSpan w:val="3"/>
            <w:tcBorders>
              <w:left w:val="single" w:color="auto" w:sz="24" w:space="0"/>
              <w:bottom w:val="single" w:color="auto" w:sz="4" w:space="0"/>
            </w:tcBorders>
            <w:shd w:val="clear" w:color="auto" w:fill="auto"/>
            <w:vAlign w:val="bottom"/>
          </w:tcPr>
          <w:p w:rsidRPr="008D5339" w:rsidR="007941BE" w:rsidP="002A53A8" w:rsidRDefault="007941BE" w14:paraId="53BF0F55" w14:textId="5A455B79">
            <w:pPr>
              <w:tabs>
                <w:tab w:val="left" w:pos="957"/>
              </w:tabs>
              <w:jc w:val="right"/>
              <w:rPr>
                <w:b/>
                <w:i/>
                <w:sz w:val="22"/>
              </w:rPr>
            </w:pPr>
            <w:r w:rsidRPr="008D5339">
              <w:rPr>
                <w:b/>
                <w:i/>
                <w:sz w:val="22"/>
              </w:rPr>
              <w:t>Subtotal:  $</w:t>
            </w:r>
            <w:r w:rsidRPr="008D5339" w:rsidR="00F147B1">
              <w:rPr>
                <w:b/>
                <w:i/>
                <w:sz w:val="22"/>
              </w:rPr>
              <w:t>3,352.</w:t>
            </w:r>
            <w:r w:rsidRPr="008D5339" w:rsidR="00B86CC7">
              <w:rPr>
                <w:b/>
                <w:i/>
                <w:sz w:val="22"/>
              </w:rPr>
              <w:t>50</w:t>
            </w:r>
          </w:p>
        </w:tc>
      </w:tr>
      <w:tr w:rsidRPr="008D5339" w:rsidR="000E3C66" w:rsidTr="00076735" w14:paraId="4F8FAF05" w14:textId="77777777">
        <w:trPr>
          <w:cantSplit/>
          <w:jc w:val="center"/>
        </w:trPr>
        <w:tc>
          <w:tcPr>
            <w:tcW w:w="10555" w:type="dxa"/>
            <w:gridSpan w:val="1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D5339" w:rsidR="007941BE" w:rsidP="009B471B" w:rsidRDefault="007941BE" w14:paraId="41FE304C" w14:textId="77777777">
            <w:pPr>
              <w:keepNext/>
              <w:jc w:val="center"/>
              <w:rPr>
                <w:sz w:val="22"/>
              </w:rPr>
            </w:pPr>
            <w:r w:rsidRPr="008D5339">
              <w:rPr>
                <w:b/>
                <w:sz w:val="22"/>
              </w:rPr>
              <w:t xml:space="preserve">INTERVENOR COMPENSATION CLAIM PREPARATION </w:t>
            </w:r>
            <w:r w:rsidRPr="008D5339">
              <w:rPr>
                <w:b/>
                <w:smallCaps/>
                <w:sz w:val="22"/>
              </w:rPr>
              <w:t xml:space="preserve"> **</w:t>
            </w:r>
          </w:p>
        </w:tc>
      </w:tr>
      <w:tr w:rsidRPr="008D5339" w:rsidR="008D5339" w:rsidTr="00076735" w14:paraId="48B3E535" w14:textId="77777777">
        <w:trPr>
          <w:cantSplit/>
          <w:jc w:val="center"/>
        </w:trPr>
        <w:tc>
          <w:tcPr>
            <w:tcW w:w="1525" w:type="dxa"/>
            <w:gridSpan w:val="2"/>
            <w:tcBorders>
              <w:top w:val="single" w:color="auto" w:sz="4" w:space="0"/>
              <w:bottom w:val="single" w:color="auto" w:sz="4" w:space="0"/>
            </w:tcBorders>
            <w:shd w:val="clear" w:color="auto" w:fill="auto"/>
            <w:vAlign w:val="bottom"/>
          </w:tcPr>
          <w:p w:rsidRPr="008D5339" w:rsidR="007941BE" w:rsidP="009B471B" w:rsidRDefault="007941BE" w14:paraId="563A43BB" w14:textId="77777777">
            <w:pPr>
              <w:keepNext/>
              <w:jc w:val="center"/>
              <w:rPr>
                <w:b/>
                <w:sz w:val="22"/>
                <w:szCs w:val="22"/>
              </w:rPr>
            </w:pPr>
            <w:r w:rsidRPr="008D5339">
              <w:rPr>
                <w:b/>
                <w:sz w:val="22"/>
                <w:szCs w:val="22"/>
              </w:rPr>
              <w:t>Item</w:t>
            </w:r>
          </w:p>
        </w:tc>
        <w:tc>
          <w:tcPr>
            <w:tcW w:w="720" w:type="dxa"/>
            <w:gridSpan w:val="2"/>
            <w:tcBorders>
              <w:top w:val="single" w:color="auto" w:sz="4" w:space="0"/>
              <w:bottom w:val="single" w:color="auto" w:sz="4" w:space="0"/>
            </w:tcBorders>
            <w:shd w:val="clear" w:color="auto" w:fill="auto"/>
            <w:vAlign w:val="bottom"/>
          </w:tcPr>
          <w:p w:rsidRPr="008D5339" w:rsidR="007941BE" w:rsidP="009B471B" w:rsidRDefault="007941BE" w14:paraId="144552E0" w14:textId="77777777">
            <w:pPr>
              <w:keepNext/>
              <w:jc w:val="center"/>
              <w:rPr>
                <w:b/>
                <w:sz w:val="22"/>
                <w:szCs w:val="22"/>
              </w:rPr>
            </w:pPr>
            <w:r w:rsidRPr="008D5339">
              <w:rPr>
                <w:b/>
                <w:sz w:val="22"/>
                <w:szCs w:val="22"/>
              </w:rPr>
              <w:t>Year</w:t>
            </w:r>
          </w:p>
        </w:tc>
        <w:tc>
          <w:tcPr>
            <w:tcW w:w="900" w:type="dxa"/>
            <w:tcBorders>
              <w:top w:val="single" w:color="auto" w:sz="4" w:space="0"/>
              <w:bottom w:val="single" w:color="auto" w:sz="4" w:space="0"/>
            </w:tcBorders>
            <w:shd w:val="clear" w:color="auto" w:fill="auto"/>
            <w:vAlign w:val="bottom"/>
          </w:tcPr>
          <w:p w:rsidRPr="008D5339" w:rsidR="007941BE" w:rsidP="009B471B" w:rsidRDefault="007941BE" w14:paraId="42890B1B" w14:textId="77777777">
            <w:pPr>
              <w:keepNext/>
              <w:jc w:val="center"/>
              <w:rPr>
                <w:b/>
                <w:sz w:val="22"/>
                <w:szCs w:val="22"/>
              </w:rPr>
            </w:pPr>
            <w:r w:rsidRPr="008D5339">
              <w:rPr>
                <w:b/>
                <w:sz w:val="22"/>
                <w:szCs w:val="22"/>
              </w:rPr>
              <w:t>Hours</w:t>
            </w:r>
          </w:p>
        </w:tc>
        <w:tc>
          <w:tcPr>
            <w:tcW w:w="990" w:type="dxa"/>
            <w:tcBorders>
              <w:top w:val="single" w:color="auto" w:sz="4" w:space="0"/>
              <w:bottom w:val="single" w:color="auto" w:sz="4" w:space="0"/>
            </w:tcBorders>
            <w:shd w:val="clear" w:color="auto" w:fill="auto"/>
            <w:vAlign w:val="bottom"/>
          </w:tcPr>
          <w:p w:rsidRPr="008D5339" w:rsidR="007941BE" w:rsidP="009B471B" w:rsidRDefault="007941BE" w14:paraId="1E7BD956" w14:textId="243077B9">
            <w:pPr>
              <w:keepNext/>
              <w:jc w:val="center"/>
              <w:rPr>
                <w:b/>
                <w:sz w:val="22"/>
                <w:szCs w:val="22"/>
              </w:rPr>
            </w:pPr>
            <w:r w:rsidRPr="008D5339">
              <w:rPr>
                <w:b/>
                <w:sz w:val="22"/>
                <w:szCs w:val="22"/>
              </w:rPr>
              <w:t>Rate $</w:t>
            </w:r>
          </w:p>
        </w:tc>
        <w:tc>
          <w:tcPr>
            <w:tcW w:w="1710" w:type="dxa"/>
            <w:gridSpan w:val="2"/>
            <w:tcBorders>
              <w:top w:val="single" w:color="auto" w:sz="4" w:space="0"/>
              <w:bottom w:val="single" w:color="auto" w:sz="4" w:space="0"/>
              <w:right w:val="single" w:color="auto" w:sz="4" w:space="0"/>
            </w:tcBorders>
            <w:shd w:val="clear" w:color="auto" w:fill="auto"/>
            <w:vAlign w:val="bottom"/>
          </w:tcPr>
          <w:p w:rsidRPr="008D5339" w:rsidR="007941BE" w:rsidP="009B471B" w:rsidRDefault="007941BE" w14:paraId="104D7982" w14:textId="77777777">
            <w:pPr>
              <w:keepNext/>
              <w:jc w:val="center"/>
              <w:rPr>
                <w:b/>
                <w:sz w:val="22"/>
                <w:szCs w:val="22"/>
              </w:rPr>
            </w:pPr>
            <w:r w:rsidRPr="008D5339">
              <w:rPr>
                <w:b/>
                <w:sz w:val="22"/>
                <w:szCs w:val="22"/>
              </w:rPr>
              <w:t>Basis for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8D5339" w:rsidR="007941BE" w:rsidP="009B471B" w:rsidRDefault="007941BE" w14:paraId="073B2BB9" w14:textId="77777777">
            <w:pPr>
              <w:keepNext/>
              <w:jc w:val="center"/>
              <w:rPr>
                <w:b/>
                <w:sz w:val="22"/>
                <w:szCs w:val="22"/>
              </w:rPr>
            </w:pPr>
            <w:r w:rsidRPr="008D5339">
              <w:rPr>
                <w:b/>
                <w:sz w:val="22"/>
                <w:szCs w:val="22"/>
              </w:rPr>
              <w:t>Total $</w:t>
            </w:r>
          </w:p>
        </w:tc>
        <w:tc>
          <w:tcPr>
            <w:tcW w:w="990" w:type="dxa"/>
            <w:tcBorders>
              <w:top w:val="single" w:color="auto" w:sz="4" w:space="0"/>
              <w:left w:val="single" w:color="auto" w:sz="4" w:space="0"/>
            </w:tcBorders>
            <w:shd w:val="clear" w:color="auto" w:fill="auto"/>
            <w:vAlign w:val="bottom"/>
          </w:tcPr>
          <w:p w:rsidRPr="008D5339" w:rsidR="007941BE" w:rsidP="009B471B" w:rsidRDefault="007941BE" w14:paraId="0409143B" w14:textId="77777777">
            <w:pPr>
              <w:keepNext/>
              <w:jc w:val="center"/>
              <w:rPr>
                <w:b/>
                <w:sz w:val="22"/>
                <w:szCs w:val="22"/>
              </w:rPr>
            </w:pPr>
            <w:r w:rsidRPr="008D5339">
              <w:rPr>
                <w:b/>
                <w:sz w:val="22"/>
                <w:szCs w:val="22"/>
              </w:rPr>
              <w:t>Hours</w:t>
            </w:r>
          </w:p>
        </w:tc>
        <w:tc>
          <w:tcPr>
            <w:tcW w:w="990" w:type="dxa"/>
            <w:tcBorders>
              <w:top w:val="single" w:color="auto" w:sz="4" w:space="0"/>
            </w:tcBorders>
            <w:shd w:val="clear" w:color="auto" w:fill="auto"/>
            <w:vAlign w:val="bottom"/>
          </w:tcPr>
          <w:p w:rsidRPr="008D5339" w:rsidR="007941BE" w:rsidP="009B471B" w:rsidRDefault="007941BE" w14:paraId="6B59BB80" w14:textId="2C791D8E">
            <w:pPr>
              <w:keepNext/>
              <w:jc w:val="center"/>
              <w:rPr>
                <w:b/>
                <w:sz w:val="22"/>
                <w:szCs w:val="22"/>
              </w:rPr>
            </w:pPr>
            <w:r w:rsidRPr="008D5339">
              <w:rPr>
                <w:b/>
                <w:sz w:val="22"/>
                <w:szCs w:val="22"/>
              </w:rPr>
              <w:t>Rate $</w:t>
            </w:r>
          </w:p>
        </w:tc>
        <w:tc>
          <w:tcPr>
            <w:tcW w:w="1380" w:type="dxa"/>
            <w:tcBorders>
              <w:top w:val="single" w:color="auto" w:sz="4" w:space="0"/>
            </w:tcBorders>
            <w:shd w:val="clear" w:color="auto" w:fill="auto"/>
            <w:vAlign w:val="bottom"/>
          </w:tcPr>
          <w:p w:rsidRPr="008D5339" w:rsidR="007941BE" w:rsidP="009B471B" w:rsidRDefault="007941BE" w14:paraId="6C7B13CF" w14:textId="77777777">
            <w:pPr>
              <w:keepNext/>
              <w:jc w:val="center"/>
              <w:rPr>
                <w:b/>
                <w:sz w:val="22"/>
                <w:szCs w:val="22"/>
              </w:rPr>
            </w:pPr>
            <w:r w:rsidRPr="008D5339">
              <w:rPr>
                <w:b/>
                <w:sz w:val="22"/>
                <w:szCs w:val="22"/>
              </w:rPr>
              <w:t>Total $</w:t>
            </w:r>
          </w:p>
        </w:tc>
      </w:tr>
      <w:tr w:rsidRPr="008D5339" w:rsidR="008D5339" w:rsidTr="00076735" w14:paraId="25086E67" w14:textId="77777777">
        <w:trPr>
          <w:cantSplit/>
          <w:jc w:val="center"/>
        </w:trPr>
        <w:tc>
          <w:tcPr>
            <w:tcW w:w="1525" w:type="dxa"/>
            <w:gridSpan w:val="2"/>
            <w:shd w:val="clear" w:color="auto" w:fill="auto"/>
          </w:tcPr>
          <w:p w:rsidRPr="008D5339" w:rsidR="007941BE" w:rsidP="009B471B" w:rsidRDefault="00571F46" w14:paraId="386D0995" w14:textId="3E46F672">
            <w:pPr>
              <w:rPr>
                <w:sz w:val="22"/>
              </w:rPr>
            </w:pPr>
            <w:r w:rsidRPr="008D5339">
              <w:rPr>
                <w:rFonts w:cstheme="minorHAnsi"/>
                <w:sz w:val="22"/>
              </w:rPr>
              <w:t>John Geesman</w:t>
            </w:r>
          </w:p>
        </w:tc>
        <w:tc>
          <w:tcPr>
            <w:tcW w:w="720" w:type="dxa"/>
            <w:gridSpan w:val="2"/>
            <w:shd w:val="clear" w:color="auto" w:fill="auto"/>
          </w:tcPr>
          <w:p w:rsidRPr="008D5339" w:rsidR="007941BE" w:rsidP="008D5339" w:rsidRDefault="00571F46" w14:paraId="4A155F1D" w14:textId="13E947A8">
            <w:pPr>
              <w:rPr>
                <w:sz w:val="22"/>
              </w:rPr>
            </w:pPr>
            <w:r w:rsidRPr="008D5339">
              <w:rPr>
                <w:rFonts w:cstheme="minorHAnsi"/>
                <w:sz w:val="22"/>
              </w:rPr>
              <w:t>2024</w:t>
            </w:r>
          </w:p>
        </w:tc>
        <w:tc>
          <w:tcPr>
            <w:tcW w:w="900" w:type="dxa"/>
            <w:shd w:val="clear" w:color="auto" w:fill="auto"/>
          </w:tcPr>
          <w:p w:rsidRPr="008D5339" w:rsidR="007941BE" w:rsidP="008D5339" w:rsidRDefault="00506A62" w14:paraId="30EEA80A" w14:textId="57B2FA60">
            <w:pPr>
              <w:jc w:val="center"/>
              <w:rPr>
                <w:rFonts w:asciiTheme="minorHAnsi" w:hAnsiTheme="minorHAnsi" w:cstheme="minorHAnsi"/>
                <w:sz w:val="22"/>
              </w:rPr>
            </w:pPr>
            <w:r w:rsidRPr="008D5339">
              <w:rPr>
                <w:rFonts w:cstheme="minorHAnsi"/>
                <w:sz w:val="22"/>
              </w:rPr>
              <w:t>13.25</w:t>
            </w:r>
          </w:p>
        </w:tc>
        <w:tc>
          <w:tcPr>
            <w:tcW w:w="990" w:type="dxa"/>
            <w:shd w:val="clear" w:color="auto" w:fill="auto"/>
          </w:tcPr>
          <w:p w:rsidRPr="008D5339" w:rsidR="007941BE" w:rsidP="009B471B" w:rsidRDefault="008D5339" w14:paraId="4EB14C91" w14:textId="1F6B9D3B">
            <w:pPr>
              <w:jc w:val="right"/>
              <w:rPr>
                <w:rFonts w:asciiTheme="minorHAnsi" w:hAnsiTheme="minorHAnsi" w:cstheme="minorHAnsi"/>
                <w:sz w:val="22"/>
              </w:rPr>
            </w:pPr>
            <w:r w:rsidRPr="008D5339">
              <w:rPr>
                <w:rFonts w:cstheme="minorHAnsi"/>
                <w:sz w:val="22"/>
              </w:rPr>
              <w:t>$</w:t>
            </w:r>
            <w:r w:rsidRPr="008D5339" w:rsidR="00D92BF3">
              <w:rPr>
                <w:rFonts w:cstheme="minorHAnsi"/>
                <w:sz w:val="22"/>
              </w:rPr>
              <w:t>3</w:t>
            </w:r>
            <w:r w:rsidRPr="008D5339" w:rsidR="001302F2">
              <w:rPr>
                <w:rFonts w:cstheme="minorHAnsi"/>
                <w:sz w:val="22"/>
              </w:rPr>
              <w:t>72</w:t>
            </w:r>
            <w:r w:rsidRPr="008D5339" w:rsidR="00D92BF3">
              <w:rPr>
                <w:rFonts w:cstheme="minorHAnsi"/>
                <w:sz w:val="22"/>
              </w:rPr>
              <w:t>.5</w:t>
            </w:r>
            <w:r w:rsidRPr="008D5339" w:rsidR="00801D61">
              <w:rPr>
                <w:rFonts w:cstheme="minorHAnsi"/>
                <w:sz w:val="22"/>
              </w:rPr>
              <w:t>0</w:t>
            </w:r>
          </w:p>
        </w:tc>
        <w:tc>
          <w:tcPr>
            <w:tcW w:w="1710" w:type="dxa"/>
            <w:gridSpan w:val="2"/>
            <w:tcBorders>
              <w:right w:val="single" w:color="auto" w:sz="4" w:space="0"/>
            </w:tcBorders>
            <w:shd w:val="clear" w:color="auto" w:fill="auto"/>
          </w:tcPr>
          <w:p w:rsidRPr="008D5339" w:rsidR="007941BE" w:rsidP="009B471B" w:rsidRDefault="008143C2" w14:paraId="02D334B7" w14:textId="02D78FA9">
            <w:pPr>
              <w:rPr>
                <w:sz w:val="22"/>
              </w:rPr>
            </w:pPr>
            <w:r w:rsidRPr="008D5339">
              <w:rPr>
                <w:rFonts w:cstheme="minorHAnsi"/>
                <w:sz w:val="22"/>
              </w:rPr>
              <w:t>D.24</w:t>
            </w:r>
            <w:r w:rsidRPr="008D5339" w:rsidR="00F949CB">
              <w:rPr>
                <w:rFonts w:cstheme="minorHAnsi"/>
                <w:sz w:val="22"/>
              </w:rPr>
              <w:noBreakHyphen/>
            </w:r>
            <w:r w:rsidRPr="008D5339">
              <w:rPr>
                <w:rFonts w:cstheme="minorHAnsi"/>
                <w:sz w:val="22"/>
              </w:rPr>
              <w:t>01</w:t>
            </w:r>
            <w:r w:rsidRPr="008D5339" w:rsidR="00F949CB">
              <w:rPr>
                <w:rFonts w:cstheme="minorHAnsi"/>
                <w:sz w:val="22"/>
              </w:rPr>
              <w:noBreakHyphen/>
            </w:r>
            <w:r w:rsidRPr="008D5339">
              <w:rPr>
                <w:rFonts w:cstheme="minorHAnsi"/>
                <w:sz w:val="22"/>
              </w:rPr>
              <w:t>044, ALJ</w:t>
            </w:r>
            <w:r w:rsidRPr="008D5339" w:rsidR="00F949CB">
              <w:rPr>
                <w:rFonts w:cstheme="minorHAnsi"/>
                <w:sz w:val="22"/>
              </w:rPr>
              <w:noBreakHyphen/>
            </w:r>
            <w:r w:rsidRPr="008D5339">
              <w:rPr>
                <w:rFonts w:cstheme="minorHAnsi"/>
                <w:sz w:val="22"/>
              </w:rPr>
              <w:t>393 escalation, plus second 5% step increase</w:t>
            </w:r>
            <w:r w:rsidRPr="008D5339" w:rsidR="002E33B1">
              <w:rPr>
                <w:rFonts w:cstheme="minorHAnsi"/>
                <w:sz w:val="22"/>
              </w:rPr>
              <w:t>.</w:t>
            </w:r>
            <w:r w:rsidRPr="008D5339">
              <w:rPr>
                <w:rFonts w:cstheme="minorHAnsi"/>
                <w:sz w:val="22"/>
              </w:rPr>
              <w:t xml:space="preserve"> </w:t>
            </w:r>
            <w:r w:rsidRPr="008D5339" w:rsidR="00CF4901">
              <w:rPr>
                <w:rFonts w:cstheme="minorHAnsi"/>
                <w:sz w:val="22"/>
              </w:rPr>
              <w:t xml:space="preserve">Potential COLA addressed in </w:t>
            </w:r>
            <w:r w:rsidRPr="008D5339" w:rsidR="00DE2163">
              <w:rPr>
                <w:rFonts w:cstheme="minorHAnsi"/>
                <w:sz w:val="22"/>
              </w:rPr>
              <w:t>Comment 1</w:t>
            </w:r>
            <w:r w:rsidRPr="008D5339" w:rsidR="008A397D">
              <w:rPr>
                <w:rFonts w:cstheme="minorHAnsi"/>
                <w:sz w:val="22"/>
              </w:rPr>
              <w:t xml:space="preserve"> below</w:t>
            </w:r>
            <w:r w:rsidRPr="008D5339" w:rsidR="007053D2">
              <w:rPr>
                <w:rFonts w:cstheme="minorHAnsi"/>
                <w:sz w:val="22"/>
              </w:rPr>
              <w:t>.</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7941BE" w:rsidP="009B471B" w:rsidRDefault="008D5339" w14:paraId="7B9A0261" w14:textId="4D171CB0">
            <w:pPr>
              <w:jc w:val="right"/>
              <w:rPr>
                <w:rFonts w:asciiTheme="minorHAnsi" w:hAnsiTheme="minorHAnsi" w:cstheme="minorHAnsi"/>
                <w:sz w:val="22"/>
              </w:rPr>
            </w:pPr>
            <w:r w:rsidRPr="008D5339">
              <w:rPr>
                <w:rFonts w:cstheme="minorHAnsi"/>
                <w:sz w:val="22"/>
              </w:rPr>
              <w:t>$</w:t>
            </w:r>
            <w:r w:rsidRPr="008D5339" w:rsidR="00B17C2B">
              <w:rPr>
                <w:rFonts w:cstheme="minorHAnsi"/>
                <w:sz w:val="22"/>
              </w:rPr>
              <w:t>4,</w:t>
            </w:r>
            <w:r w:rsidRPr="008D5339" w:rsidR="0089618A">
              <w:rPr>
                <w:rFonts w:cstheme="minorHAnsi"/>
                <w:sz w:val="22"/>
              </w:rPr>
              <w:t>935</w:t>
            </w:r>
            <w:r w:rsidRPr="008D5339" w:rsidR="001B4E10">
              <w:rPr>
                <w:rFonts w:cstheme="minorHAnsi"/>
                <w:sz w:val="22"/>
              </w:rPr>
              <w:t>.</w:t>
            </w:r>
            <w:r w:rsidRPr="008D5339" w:rsidR="0089618A">
              <w:rPr>
                <w:rFonts w:cstheme="minorHAnsi"/>
                <w:sz w:val="22"/>
              </w:rPr>
              <w:t>63</w:t>
            </w:r>
          </w:p>
        </w:tc>
        <w:tc>
          <w:tcPr>
            <w:tcW w:w="990" w:type="dxa"/>
            <w:tcBorders>
              <w:left w:val="single" w:color="auto" w:sz="4" w:space="0"/>
              <w:right w:val="single" w:color="auto" w:sz="4" w:space="0"/>
            </w:tcBorders>
            <w:shd w:val="clear" w:color="auto" w:fill="auto"/>
          </w:tcPr>
          <w:p w:rsidRPr="008D5339" w:rsidR="007941BE" w:rsidP="008D5339" w:rsidRDefault="00EB173D" w14:paraId="5E5A4264" w14:textId="2678D341">
            <w:pPr>
              <w:jc w:val="center"/>
              <w:rPr>
                <w:sz w:val="22"/>
              </w:rPr>
            </w:pPr>
            <w:r w:rsidRPr="008D5339">
              <w:rPr>
                <w:sz w:val="22"/>
              </w:rPr>
              <w:t>13.25</w:t>
            </w:r>
          </w:p>
        </w:tc>
        <w:tc>
          <w:tcPr>
            <w:tcW w:w="990" w:type="dxa"/>
            <w:tcBorders>
              <w:left w:val="single" w:color="auto" w:sz="4" w:space="0"/>
            </w:tcBorders>
            <w:shd w:val="clear" w:color="auto" w:fill="auto"/>
          </w:tcPr>
          <w:p w:rsidRPr="008D5339" w:rsidR="008D5339" w:rsidP="009B471B" w:rsidRDefault="00624E50" w14:paraId="212C2BB8" w14:textId="2B715C6B">
            <w:pPr>
              <w:jc w:val="right"/>
              <w:rPr>
                <w:sz w:val="22"/>
              </w:rPr>
            </w:pPr>
            <w:r w:rsidRPr="008D5339">
              <w:rPr>
                <w:sz w:val="22"/>
              </w:rPr>
              <w:t>$</w:t>
            </w:r>
            <w:r w:rsidR="00074A70">
              <w:rPr>
                <w:sz w:val="22"/>
              </w:rPr>
              <w:t>372.50</w:t>
            </w:r>
          </w:p>
          <w:p w:rsidRPr="008D5339" w:rsidR="007941BE" w:rsidP="008D5339" w:rsidRDefault="008D5339" w14:paraId="47B1F089" w14:textId="761BEA39">
            <w:pPr>
              <w:jc w:val="center"/>
              <w:rPr>
                <w:sz w:val="22"/>
              </w:rPr>
            </w:pPr>
            <w:r w:rsidRPr="008D5339">
              <w:rPr>
                <w:sz w:val="22"/>
              </w:rPr>
              <w:t>[</w:t>
            </w:r>
            <w:r w:rsidRPr="008D5339" w:rsidR="00624E50">
              <w:rPr>
                <w:sz w:val="22"/>
              </w:rPr>
              <w:t>1]</w:t>
            </w:r>
          </w:p>
        </w:tc>
        <w:tc>
          <w:tcPr>
            <w:tcW w:w="1380" w:type="dxa"/>
            <w:shd w:val="clear" w:color="auto" w:fill="auto"/>
          </w:tcPr>
          <w:p w:rsidRPr="008D5339" w:rsidR="007941BE" w:rsidP="009B471B" w:rsidRDefault="00EB173D" w14:paraId="10659B6D" w14:textId="36F33CF4">
            <w:pPr>
              <w:jc w:val="right"/>
              <w:rPr>
                <w:sz w:val="22"/>
              </w:rPr>
            </w:pPr>
            <w:r w:rsidRPr="008D5339">
              <w:rPr>
                <w:sz w:val="22"/>
              </w:rPr>
              <w:t>$</w:t>
            </w:r>
            <w:r w:rsidR="00316244">
              <w:rPr>
                <w:sz w:val="22"/>
              </w:rPr>
              <w:t>4,935.63</w:t>
            </w:r>
          </w:p>
        </w:tc>
      </w:tr>
      <w:tr w:rsidRPr="008D5339" w:rsidR="008D5339" w:rsidTr="00076735" w14:paraId="7AB9EF54" w14:textId="77777777">
        <w:trPr>
          <w:cantSplit/>
          <w:jc w:val="center"/>
        </w:trPr>
        <w:tc>
          <w:tcPr>
            <w:tcW w:w="1525" w:type="dxa"/>
            <w:gridSpan w:val="2"/>
            <w:shd w:val="clear" w:color="auto" w:fill="auto"/>
          </w:tcPr>
          <w:p w:rsidRPr="008D5339" w:rsidR="007941BE" w:rsidP="009B471B" w:rsidRDefault="00571F46" w14:paraId="4F803C09" w14:textId="2370AC8B">
            <w:pPr>
              <w:rPr>
                <w:sz w:val="22"/>
              </w:rPr>
            </w:pPr>
            <w:r w:rsidRPr="008D5339">
              <w:rPr>
                <w:rFonts w:cstheme="minorHAnsi"/>
                <w:sz w:val="22"/>
              </w:rPr>
              <w:t>John Geesman</w:t>
            </w:r>
          </w:p>
        </w:tc>
        <w:tc>
          <w:tcPr>
            <w:tcW w:w="720" w:type="dxa"/>
            <w:gridSpan w:val="2"/>
            <w:shd w:val="clear" w:color="auto" w:fill="auto"/>
          </w:tcPr>
          <w:p w:rsidRPr="008D5339" w:rsidR="007941BE" w:rsidP="008D5339" w:rsidRDefault="00571F46" w14:paraId="058BFE37" w14:textId="52727DEF">
            <w:pPr>
              <w:rPr>
                <w:sz w:val="22"/>
              </w:rPr>
            </w:pPr>
            <w:r w:rsidRPr="008D5339">
              <w:rPr>
                <w:rFonts w:cstheme="minorHAnsi"/>
                <w:sz w:val="22"/>
              </w:rPr>
              <w:t>2023</w:t>
            </w:r>
          </w:p>
        </w:tc>
        <w:tc>
          <w:tcPr>
            <w:tcW w:w="900" w:type="dxa"/>
            <w:shd w:val="clear" w:color="auto" w:fill="auto"/>
          </w:tcPr>
          <w:p w:rsidRPr="008D5339" w:rsidR="007941BE" w:rsidP="008D5339" w:rsidRDefault="00A04651" w14:paraId="66A42865" w14:textId="084F40EC">
            <w:pPr>
              <w:jc w:val="center"/>
              <w:rPr>
                <w:rFonts w:asciiTheme="minorHAnsi" w:hAnsiTheme="minorHAnsi" w:cstheme="minorHAnsi"/>
                <w:sz w:val="22"/>
              </w:rPr>
            </w:pPr>
            <w:r w:rsidRPr="008D5339">
              <w:rPr>
                <w:rFonts w:cstheme="minorHAnsi"/>
                <w:sz w:val="22"/>
              </w:rPr>
              <w:t>.6</w:t>
            </w:r>
          </w:p>
        </w:tc>
        <w:tc>
          <w:tcPr>
            <w:tcW w:w="990" w:type="dxa"/>
            <w:shd w:val="clear" w:color="auto" w:fill="auto"/>
          </w:tcPr>
          <w:p w:rsidRPr="008D5339" w:rsidR="007941BE" w:rsidP="009B471B" w:rsidRDefault="008D5339" w14:paraId="42AE8F2C" w14:textId="7E7BA6A3">
            <w:pPr>
              <w:jc w:val="right"/>
              <w:rPr>
                <w:rFonts w:asciiTheme="minorHAnsi" w:hAnsiTheme="minorHAnsi" w:cstheme="minorHAnsi"/>
                <w:sz w:val="22"/>
              </w:rPr>
            </w:pPr>
            <w:r w:rsidRPr="008D5339">
              <w:rPr>
                <w:rFonts w:cstheme="minorHAnsi"/>
                <w:sz w:val="22"/>
              </w:rPr>
              <w:t>$</w:t>
            </w:r>
            <w:r w:rsidRPr="008D5339" w:rsidR="00D94CBF">
              <w:rPr>
                <w:rFonts w:cstheme="minorHAnsi"/>
                <w:sz w:val="22"/>
              </w:rPr>
              <w:t>3</w:t>
            </w:r>
            <w:r w:rsidRPr="008D5339" w:rsidR="001302F2">
              <w:rPr>
                <w:rFonts w:cstheme="minorHAnsi"/>
                <w:sz w:val="22"/>
              </w:rPr>
              <w:t>72</w:t>
            </w:r>
            <w:r w:rsidRPr="008D5339" w:rsidR="00D94CBF">
              <w:rPr>
                <w:rFonts w:cstheme="minorHAnsi"/>
                <w:sz w:val="22"/>
              </w:rPr>
              <w:t>.50</w:t>
            </w:r>
          </w:p>
        </w:tc>
        <w:tc>
          <w:tcPr>
            <w:tcW w:w="1710" w:type="dxa"/>
            <w:gridSpan w:val="2"/>
            <w:tcBorders>
              <w:right w:val="single" w:color="auto" w:sz="4" w:space="0"/>
            </w:tcBorders>
            <w:shd w:val="clear" w:color="auto" w:fill="auto"/>
          </w:tcPr>
          <w:p w:rsidRPr="008D5339" w:rsidR="007941BE" w:rsidP="009B471B" w:rsidRDefault="00C6056E" w14:paraId="3DB754B7" w14:textId="09EC74D6">
            <w:pPr>
              <w:rPr>
                <w:sz w:val="22"/>
              </w:rPr>
            </w:pPr>
            <w:r w:rsidRPr="008D5339">
              <w:rPr>
                <w:rFonts w:cstheme="minorHAnsi"/>
                <w:sz w:val="22"/>
              </w:rPr>
              <w:t>D.24</w:t>
            </w:r>
            <w:r w:rsidRPr="008D5339" w:rsidR="00F949CB">
              <w:rPr>
                <w:rFonts w:cstheme="minorHAnsi"/>
                <w:sz w:val="22"/>
              </w:rPr>
              <w:noBreakHyphen/>
            </w:r>
            <w:r w:rsidRPr="008D5339">
              <w:rPr>
                <w:rFonts w:cstheme="minorHAnsi"/>
                <w:sz w:val="22"/>
              </w:rPr>
              <w:t>01</w:t>
            </w:r>
            <w:r w:rsidRPr="008D5339" w:rsidR="00F949CB">
              <w:rPr>
                <w:rFonts w:cstheme="minorHAnsi"/>
                <w:sz w:val="22"/>
              </w:rPr>
              <w:noBreakHyphen/>
            </w:r>
            <w:r w:rsidRPr="008D5339">
              <w:rPr>
                <w:rFonts w:cstheme="minorHAnsi"/>
                <w:sz w:val="22"/>
              </w:rPr>
              <w:t>044, ALJ</w:t>
            </w:r>
            <w:r w:rsidRPr="008D5339" w:rsidR="00F949CB">
              <w:rPr>
                <w:rFonts w:cstheme="minorHAnsi"/>
                <w:sz w:val="22"/>
              </w:rPr>
              <w:noBreakHyphen/>
            </w:r>
            <w:r w:rsidRPr="008D5339">
              <w:rPr>
                <w:rFonts w:cstheme="minorHAnsi"/>
                <w:sz w:val="22"/>
              </w:rPr>
              <w:t>393 escalation, plus second 5% step increase</w:t>
            </w:r>
            <w:r w:rsidRPr="008D5339" w:rsidR="007053D2">
              <w:rPr>
                <w:rFonts w:cstheme="minorHAnsi"/>
                <w:sz w:val="22"/>
              </w:rPr>
              <w:t>.</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7941BE" w:rsidP="009B471B" w:rsidRDefault="008D5339" w14:paraId="3D39C021" w14:textId="0AB462B5">
            <w:pPr>
              <w:jc w:val="right"/>
              <w:rPr>
                <w:rFonts w:asciiTheme="minorHAnsi" w:hAnsiTheme="minorHAnsi" w:cstheme="minorHAnsi"/>
                <w:sz w:val="22"/>
              </w:rPr>
            </w:pPr>
            <w:r w:rsidRPr="008D5339">
              <w:rPr>
                <w:rFonts w:cstheme="minorHAnsi"/>
                <w:sz w:val="22"/>
              </w:rPr>
              <w:t>$</w:t>
            </w:r>
            <w:r w:rsidRPr="008D5339" w:rsidR="00A04651">
              <w:rPr>
                <w:rFonts w:cstheme="minorHAnsi"/>
                <w:sz w:val="22"/>
              </w:rPr>
              <w:t>2</w:t>
            </w:r>
            <w:r w:rsidRPr="008D5339" w:rsidR="00E82ACB">
              <w:rPr>
                <w:rFonts w:cstheme="minorHAnsi"/>
                <w:sz w:val="22"/>
              </w:rPr>
              <w:t>23</w:t>
            </w:r>
            <w:r w:rsidRPr="008D5339" w:rsidR="00A04651">
              <w:rPr>
                <w:rFonts w:cstheme="minorHAnsi"/>
                <w:sz w:val="22"/>
              </w:rPr>
              <w:t>.50</w:t>
            </w:r>
          </w:p>
        </w:tc>
        <w:tc>
          <w:tcPr>
            <w:tcW w:w="990" w:type="dxa"/>
            <w:tcBorders>
              <w:left w:val="single" w:color="auto" w:sz="4" w:space="0"/>
              <w:right w:val="single" w:color="auto" w:sz="4" w:space="0"/>
            </w:tcBorders>
            <w:shd w:val="clear" w:color="auto" w:fill="auto"/>
          </w:tcPr>
          <w:p w:rsidRPr="008D5339" w:rsidR="007941BE" w:rsidP="008D5339" w:rsidRDefault="006B4339" w14:paraId="6B8C8F0C" w14:textId="4CF2F4AE">
            <w:pPr>
              <w:jc w:val="center"/>
              <w:rPr>
                <w:sz w:val="22"/>
              </w:rPr>
            </w:pPr>
            <w:r w:rsidRPr="008D5339">
              <w:rPr>
                <w:sz w:val="22"/>
              </w:rPr>
              <w:t>0.60</w:t>
            </w:r>
          </w:p>
        </w:tc>
        <w:tc>
          <w:tcPr>
            <w:tcW w:w="990" w:type="dxa"/>
            <w:tcBorders>
              <w:left w:val="single" w:color="auto" w:sz="4" w:space="0"/>
            </w:tcBorders>
            <w:shd w:val="clear" w:color="auto" w:fill="auto"/>
          </w:tcPr>
          <w:p w:rsidRPr="008D5339" w:rsidR="008D5339" w:rsidP="009B471B" w:rsidRDefault="006D38A2" w14:paraId="7C287109" w14:textId="77777777">
            <w:pPr>
              <w:jc w:val="right"/>
              <w:rPr>
                <w:sz w:val="22"/>
              </w:rPr>
            </w:pPr>
            <w:r w:rsidRPr="008D5339">
              <w:rPr>
                <w:sz w:val="22"/>
              </w:rPr>
              <w:t>$372.50</w:t>
            </w:r>
          </w:p>
          <w:p w:rsidRPr="008D5339" w:rsidR="007941BE" w:rsidP="008D5339" w:rsidRDefault="008D5339" w14:paraId="0A58B021" w14:textId="13060E91">
            <w:pPr>
              <w:jc w:val="center"/>
              <w:rPr>
                <w:sz w:val="22"/>
              </w:rPr>
            </w:pPr>
            <w:r w:rsidRPr="008D5339">
              <w:rPr>
                <w:sz w:val="22"/>
              </w:rPr>
              <w:t>[</w:t>
            </w:r>
            <w:r w:rsidRPr="008D5339" w:rsidR="006D38A2">
              <w:rPr>
                <w:sz w:val="22"/>
              </w:rPr>
              <w:t>1]</w:t>
            </w:r>
          </w:p>
        </w:tc>
        <w:tc>
          <w:tcPr>
            <w:tcW w:w="1380" w:type="dxa"/>
            <w:shd w:val="clear" w:color="auto" w:fill="auto"/>
          </w:tcPr>
          <w:p w:rsidRPr="008D5339" w:rsidR="007941BE" w:rsidP="009B471B" w:rsidRDefault="006B4339" w14:paraId="0769A3B4" w14:textId="76F698E9">
            <w:pPr>
              <w:jc w:val="right"/>
              <w:rPr>
                <w:sz w:val="22"/>
              </w:rPr>
            </w:pPr>
            <w:r w:rsidRPr="008D5339">
              <w:rPr>
                <w:sz w:val="22"/>
              </w:rPr>
              <w:t>$223.50</w:t>
            </w:r>
          </w:p>
        </w:tc>
      </w:tr>
      <w:tr w:rsidRPr="008D5339" w:rsidR="008D5339" w:rsidTr="00076735" w14:paraId="078B121B" w14:textId="77777777">
        <w:trPr>
          <w:cantSplit/>
          <w:jc w:val="center"/>
        </w:trPr>
        <w:tc>
          <w:tcPr>
            <w:tcW w:w="1525" w:type="dxa"/>
            <w:gridSpan w:val="2"/>
            <w:shd w:val="clear" w:color="auto" w:fill="auto"/>
          </w:tcPr>
          <w:p w:rsidR="00FE6107" w:rsidP="002A53A8" w:rsidRDefault="00571F46" w14:paraId="25EF20E5" w14:textId="77777777">
            <w:pPr>
              <w:keepNext/>
              <w:rPr>
                <w:rFonts w:cstheme="minorHAnsi"/>
                <w:sz w:val="22"/>
              </w:rPr>
            </w:pPr>
            <w:r w:rsidRPr="008D5339">
              <w:rPr>
                <w:rFonts w:cstheme="minorHAnsi"/>
                <w:sz w:val="22"/>
              </w:rPr>
              <w:t xml:space="preserve">David </w:t>
            </w:r>
          </w:p>
          <w:p w:rsidRPr="00FE6107" w:rsidR="00FE6107" w:rsidP="002A53A8" w:rsidRDefault="00571F46" w14:paraId="4E870878" w14:textId="1AAE25DC">
            <w:pPr>
              <w:keepNext/>
              <w:rPr>
                <w:rFonts w:cstheme="minorHAnsi"/>
                <w:sz w:val="22"/>
              </w:rPr>
            </w:pPr>
            <w:r w:rsidRPr="008D5339">
              <w:rPr>
                <w:rFonts w:cstheme="minorHAnsi"/>
                <w:sz w:val="22"/>
              </w:rPr>
              <w:t>Weisman</w:t>
            </w:r>
          </w:p>
        </w:tc>
        <w:tc>
          <w:tcPr>
            <w:tcW w:w="720" w:type="dxa"/>
            <w:gridSpan w:val="2"/>
            <w:shd w:val="clear" w:color="auto" w:fill="auto"/>
          </w:tcPr>
          <w:p w:rsidRPr="008D5339" w:rsidR="00571F46" w:rsidP="002A53A8" w:rsidRDefault="00571F46" w14:paraId="2D5CCEBE" w14:textId="7C643165">
            <w:pPr>
              <w:keepNext/>
              <w:rPr>
                <w:rFonts w:asciiTheme="minorHAnsi" w:hAnsiTheme="minorHAnsi" w:cstheme="minorHAnsi"/>
                <w:sz w:val="22"/>
              </w:rPr>
            </w:pPr>
            <w:r w:rsidRPr="008D5339">
              <w:rPr>
                <w:rFonts w:cstheme="minorHAnsi"/>
                <w:sz w:val="22"/>
              </w:rPr>
              <w:t>2024</w:t>
            </w:r>
          </w:p>
        </w:tc>
        <w:tc>
          <w:tcPr>
            <w:tcW w:w="900" w:type="dxa"/>
            <w:shd w:val="clear" w:color="auto" w:fill="auto"/>
          </w:tcPr>
          <w:p w:rsidRPr="008D5339" w:rsidR="00571F46" w:rsidP="002A53A8" w:rsidRDefault="00EC59C7" w14:paraId="5C741F1F" w14:textId="566C5F20">
            <w:pPr>
              <w:keepNext/>
              <w:jc w:val="center"/>
              <w:rPr>
                <w:rFonts w:asciiTheme="minorHAnsi" w:hAnsiTheme="minorHAnsi" w:cstheme="minorHAnsi"/>
                <w:sz w:val="22"/>
              </w:rPr>
            </w:pPr>
            <w:r w:rsidRPr="008D5339">
              <w:rPr>
                <w:rFonts w:cstheme="minorHAnsi"/>
                <w:sz w:val="22"/>
              </w:rPr>
              <w:t>4.25</w:t>
            </w:r>
          </w:p>
        </w:tc>
        <w:tc>
          <w:tcPr>
            <w:tcW w:w="990" w:type="dxa"/>
            <w:shd w:val="clear" w:color="auto" w:fill="auto"/>
          </w:tcPr>
          <w:p w:rsidRPr="008D5339" w:rsidR="00571F46" w:rsidP="002A53A8" w:rsidRDefault="008D5339" w14:paraId="6DDAC8C4" w14:textId="68B4C2FC">
            <w:pPr>
              <w:keepNext/>
              <w:jc w:val="right"/>
              <w:rPr>
                <w:rFonts w:asciiTheme="minorHAnsi" w:hAnsiTheme="minorHAnsi" w:cstheme="minorHAnsi"/>
                <w:sz w:val="22"/>
              </w:rPr>
            </w:pPr>
            <w:r w:rsidRPr="008D5339">
              <w:rPr>
                <w:rFonts w:cstheme="minorHAnsi"/>
                <w:sz w:val="22"/>
              </w:rPr>
              <w:t>$</w:t>
            </w:r>
            <w:r w:rsidRPr="008D5339" w:rsidR="00A30D69">
              <w:rPr>
                <w:rFonts w:cstheme="minorHAnsi"/>
                <w:sz w:val="22"/>
              </w:rPr>
              <w:t>110</w:t>
            </w:r>
            <w:r w:rsidRPr="008D5339">
              <w:rPr>
                <w:rFonts w:cstheme="minorHAnsi"/>
                <w:sz w:val="22"/>
              </w:rPr>
              <w:t>.00</w:t>
            </w:r>
          </w:p>
        </w:tc>
        <w:tc>
          <w:tcPr>
            <w:tcW w:w="1710" w:type="dxa"/>
            <w:gridSpan w:val="2"/>
            <w:tcBorders>
              <w:right w:val="single" w:color="auto" w:sz="4" w:space="0"/>
            </w:tcBorders>
            <w:shd w:val="clear" w:color="auto" w:fill="auto"/>
          </w:tcPr>
          <w:p w:rsidRPr="008D5339" w:rsidR="00571F46" w:rsidP="002A53A8" w:rsidRDefault="005B10E1" w14:paraId="7D55059B" w14:textId="68A61DE0">
            <w:pPr>
              <w:keepNext/>
              <w:rPr>
                <w:rFonts w:asciiTheme="minorHAnsi" w:hAnsiTheme="minorHAnsi" w:cstheme="minorHAnsi"/>
                <w:sz w:val="22"/>
              </w:rPr>
            </w:pPr>
            <w:r w:rsidRPr="008D5339">
              <w:rPr>
                <w:rFonts w:cstheme="minorHAnsi"/>
                <w:sz w:val="22"/>
              </w:rPr>
              <w:t>D.24</w:t>
            </w:r>
            <w:r w:rsidRPr="008D5339" w:rsidR="00F949CB">
              <w:rPr>
                <w:rFonts w:cstheme="minorHAnsi"/>
                <w:sz w:val="22"/>
              </w:rPr>
              <w:noBreakHyphen/>
            </w:r>
            <w:r w:rsidRPr="008D5339">
              <w:rPr>
                <w:rFonts w:cstheme="minorHAnsi"/>
                <w:sz w:val="22"/>
              </w:rPr>
              <w:t>01</w:t>
            </w:r>
            <w:r w:rsidRPr="008D5339" w:rsidR="00F949CB">
              <w:rPr>
                <w:rFonts w:cstheme="minorHAnsi"/>
                <w:sz w:val="22"/>
              </w:rPr>
              <w:noBreakHyphen/>
            </w:r>
            <w:r w:rsidRPr="008D5339">
              <w:rPr>
                <w:rFonts w:cstheme="minorHAnsi"/>
                <w:sz w:val="22"/>
              </w:rPr>
              <w:t>044, ALJ</w:t>
            </w:r>
            <w:r w:rsidRPr="008D5339" w:rsidR="00F949CB">
              <w:rPr>
                <w:rFonts w:cstheme="minorHAnsi"/>
                <w:sz w:val="22"/>
              </w:rPr>
              <w:noBreakHyphen/>
            </w:r>
            <w:r w:rsidRPr="008D5339">
              <w:rPr>
                <w:rFonts w:cstheme="minorHAnsi"/>
                <w:sz w:val="22"/>
              </w:rPr>
              <w:t xml:space="preserve">393 escalation, plus second 5% step increase. </w:t>
            </w:r>
            <w:r w:rsidRPr="008D5339" w:rsidR="008A397D">
              <w:rPr>
                <w:rFonts w:cstheme="minorHAnsi"/>
                <w:sz w:val="22"/>
              </w:rPr>
              <w:t xml:space="preserve">Potential COLA addressed in </w:t>
            </w:r>
            <w:r w:rsidRPr="008D5339" w:rsidR="007F6387">
              <w:rPr>
                <w:rFonts w:cstheme="minorHAnsi"/>
                <w:sz w:val="22"/>
              </w:rPr>
              <w:t>Comment 1 below</w:t>
            </w:r>
            <w:r w:rsidRPr="008D5339" w:rsidR="007053D2">
              <w:rPr>
                <w:rFonts w:cstheme="minorHAnsi"/>
                <w:sz w:val="22"/>
              </w:rPr>
              <w:t>.</w:t>
            </w:r>
            <w:r w:rsidRPr="008D5339" w:rsidR="00F730FD">
              <w:rPr>
                <w:rFonts w:cstheme="minorHAnsi"/>
                <w:sz w:val="22"/>
              </w:rPr>
              <w:t xml:space="preserve"> </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571F46" w:rsidP="002A53A8" w:rsidRDefault="008D5339" w14:paraId="41C4F5A2" w14:textId="453B7A44">
            <w:pPr>
              <w:keepNext/>
              <w:jc w:val="right"/>
              <w:rPr>
                <w:rFonts w:asciiTheme="minorHAnsi" w:hAnsiTheme="minorHAnsi" w:cstheme="minorHAnsi"/>
                <w:sz w:val="22"/>
              </w:rPr>
            </w:pPr>
            <w:r w:rsidRPr="008D5339">
              <w:rPr>
                <w:rFonts w:cstheme="minorHAnsi"/>
                <w:sz w:val="22"/>
              </w:rPr>
              <w:t>$</w:t>
            </w:r>
            <w:r w:rsidRPr="008D5339" w:rsidR="00346B85">
              <w:rPr>
                <w:rFonts w:cstheme="minorHAnsi"/>
                <w:sz w:val="22"/>
              </w:rPr>
              <w:t>467.50</w:t>
            </w:r>
          </w:p>
        </w:tc>
        <w:tc>
          <w:tcPr>
            <w:tcW w:w="990" w:type="dxa"/>
            <w:tcBorders>
              <w:left w:val="single" w:color="auto" w:sz="4" w:space="0"/>
              <w:right w:val="single" w:color="auto" w:sz="4" w:space="0"/>
            </w:tcBorders>
            <w:shd w:val="clear" w:color="auto" w:fill="auto"/>
          </w:tcPr>
          <w:p w:rsidRPr="008D5339" w:rsidR="00571F46" w:rsidP="002A53A8" w:rsidRDefault="003D0B34" w14:paraId="3C10181A" w14:textId="37F4B433">
            <w:pPr>
              <w:keepNext/>
              <w:jc w:val="center"/>
              <w:rPr>
                <w:sz w:val="22"/>
              </w:rPr>
            </w:pPr>
            <w:r w:rsidRPr="008D5339">
              <w:rPr>
                <w:sz w:val="22"/>
              </w:rPr>
              <w:t>4.25</w:t>
            </w:r>
          </w:p>
        </w:tc>
        <w:tc>
          <w:tcPr>
            <w:tcW w:w="990" w:type="dxa"/>
            <w:tcBorders>
              <w:left w:val="single" w:color="auto" w:sz="4" w:space="0"/>
            </w:tcBorders>
            <w:shd w:val="clear" w:color="auto" w:fill="auto"/>
          </w:tcPr>
          <w:p w:rsidRPr="008D5339" w:rsidR="008D5339" w:rsidP="002A53A8" w:rsidRDefault="00C33222" w14:paraId="54A8797C" w14:textId="77777777">
            <w:pPr>
              <w:keepNext/>
              <w:jc w:val="right"/>
              <w:rPr>
                <w:sz w:val="22"/>
              </w:rPr>
            </w:pPr>
            <w:r w:rsidRPr="008D5339">
              <w:rPr>
                <w:sz w:val="22"/>
              </w:rPr>
              <w:t>$120.00</w:t>
            </w:r>
          </w:p>
          <w:p w:rsidRPr="008D5339" w:rsidR="00571F46" w:rsidP="002A53A8" w:rsidRDefault="008D5339" w14:paraId="50796587" w14:textId="6D083D73">
            <w:pPr>
              <w:keepNext/>
              <w:jc w:val="center"/>
              <w:rPr>
                <w:sz w:val="22"/>
              </w:rPr>
            </w:pPr>
            <w:r w:rsidRPr="008D5339">
              <w:rPr>
                <w:sz w:val="22"/>
              </w:rPr>
              <w:t>[</w:t>
            </w:r>
            <w:r w:rsidRPr="008D5339" w:rsidR="00C33222">
              <w:rPr>
                <w:sz w:val="22"/>
              </w:rPr>
              <w:t>3]</w:t>
            </w:r>
          </w:p>
        </w:tc>
        <w:tc>
          <w:tcPr>
            <w:tcW w:w="1380" w:type="dxa"/>
            <w:shd w:val="clear" w:color="auto" w:fill="auto"/>
          </w:tcPr>
          <w:p w:rsidRPr="008D5339" w:rsidR="00571F46" w:rsidP="002A53A8" w:rsidRDefault="003D0B34" w14:paraId="5C38BBD7" w14:textId="10CD0FC3">
            <w:pPr>
              <w:keepNext/>
              <w:jc w:val="right"/>
              <w:rPr>
                <w:sz w:val="22"/>
              </w:rPr>
            </w:pPr>
            <w:r w:rsidRPr="008D5339">
              <w:rPr>
                <w:sz w:val="22"/>
              </w:rPr>
              <w:t>$510.00</w:t>
            </w:r>
          </w:p>
        </w:tc>
      </w:tr>
      <w:tr w:rsidRPr="008D5339" w:rsidR="000E3C66" w:rsidTr="00076735" w14:paraId="266CEDD5" w14:textId="77777777">
        <w:trPr>
          <w:cantSplit/>
          <w:jc w:val="center"/>
        </w:trPr>
        <w:tc>
          <w:tcPr>
            <w:tcW w:w="7195" w:type="dxa"/>
            <w:gridSpan w:val="10"/>
            <w:tcBorders>
              <w:bottom w:val="single" w:color="auto" w:sz="4" w:space="0"/>
              <w:right w:val="single" w:color="auto" w:sz="24" w:space="0"/>
            </w:tcBorders>
            <w:shd w:val="clear" w:color="auto" w:fill="auto"/>
            <w:vAlign w:val="bottom"/>
          </w:tcPr>
          <w:p w:rsidRPr="008D5339" w:rsidR="007941BE" w:rsidP="002A53A8" w:rsidRDefault="007941BE" w14:paraId="4A1F5988" w14:textId="765E5628">
            <w:pPr>
              <w:tabs>
                <w:tab w:val="left" w:pos="957"/>
              </w:tabs>
              <w:jc w:val="right"/>
              <w:rPr>
                <w:b/>
                <w:i/>
                <w:sz w:val="22"/>
              </w:rPr>
            </w:pPr>
            <w:r w:rsidRPr="008D5339">
              <w:rPr>
                <w:b/>
                <w:i/>
                <w:sz w:val="22"/>
              </w:rPr>
              <w:t>Subtotal: $</w:t>
            </w:r>
            <w:r w:rsidRPr="008D5339" w:rsidR="009639A1">
              <w:rPr>
                <w:b/>
                <w:i/>
                <w:sz w:val="22"/>
              </w:rPr>
              <w:t>5,</w:t>
            </w:r>
            <w:r w:rsidRPr="008D5339" w:rsidR="007C7513">
              <w:rPr>
                <w:b/>
                <w:i/>
                <w:sz w:val="22"/>
              </w:rPr>
              <w:t>626.63</w:t>
            </w:r>
          </w:p>
        </w:tc>
        <w:tc>
          <w:tcPr>
            <w:tcW w:w="3360" w:type="dxa"/>
            <w:gridSpan w:val="3"/>
            <w:tcBorders>
              <w:left w:val="single" w:color="auto" w:sz="24" w:space="0"/>
              <w:bottom w:val="single" w:color="auto" w:sz="4" w:space="0"/>
            </w:tcBorders>
            <w:shd w:val="clear" w:color="auto" w:fill="auto"/>
            <w:vAlign w:val="bottom"/>
          </w:tcPr>
          <w:p w:rsidRPr="008D5339" w:rsidR="007941BE" w:rsidP="002A53A8" w:rsidRDefault="007941BE" w14:paraId="2FBAA587" w14:textId="2C762C71">
            <w:pPr>
              <w:tabs>
                <w:tab w:val="left" w:pos="957"/>
              </w:tabs>
              <w:jc w:val="right"/>
              <w:rPr>
                <w:b/>
                <w:i/>
                <w:sz w:val="22"/>
              </w:rPr>
            </w:pPr>
            <w:r w:rsidRPr="008D5339">
              <w:rPr>
                <w:b/>
                <w:i/>
                <w:sz w:val="22"/>
              </w:rPr>
              <w:t>Subtotal: $</w:t>
            </w:r>
            <w:r w:rsidR="0056665E">
              <w:rPr>
                <w:b/>
                <w:i/>
                <w:sz w:val="22"/>
              </w:rPr>
              <w:t>5,669.13</w:t>
            </w:r>
          </w:p>
        </w:tc>
      </w:tr>
      <w:tr w:rsidRPr="008D5339" w:rsidR="000E3C66" w:rsidTr="00076735" w14:paraId="06193E6C" w14:textId="77777777">
        <w:trPr>
          <w:cantSplit/>
          <w:jc w:val="center"/>
        </w:trPr>
        <w:tc>
          <w:tcPr>
            <w:tcW w:w="10555" w:type="dxa"/>
            <w:gridSpan w:val="1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D5339" w:rsidR="007941BE" w:rsidP="009B471B" w:rsidRDefault="007941BE" w14:paraId="3BECCA4A" w14:textId="77777777">
            <w:pPr>
              <w:keepNext/>
              <w:jc w:val="center"/>
              <w:rPr>
                <w:b/>
                <w:smallCaps/>
                <w:sz w:val="22"/>
              </w:rPr>
            </w:pPr>
            <w:r w:rsidRPr="008D5339">
              <w:rPr>
                <w:b/>
                <w:smallCaps/>
                <w:sz w:val="22"/>
              </w:rPr>
              <w:t>COSTS</w:t>
            </w:r>
          </w:p>
        </w:tc>
      </w:tr>
      <w:tr w:rsidRPr="008D5339" w:rsidR="000E3C66" w:rsidTr="00076735" w14:paraId="72A80274" w14:textId="77777777">
        <w:trPr>
          <w:cantSplit/>
          <w:jc w:val="center"/>
        </w:trPr>
        <w:tc>
          <w:tcPr>
            <w:tcW w:w="480" w:type="dxa"/>
            <w:tcBorders>
              <w:top w:val="single" w:color="auto" w:sz="4" w:space="0"/>
              <w:bottom w:val="single" w:color="auto" w:sz="4" w:space="0"/>
            </w:tcBorders>
            <w:shd w:val="clear" w:color="auto" w:fill="auto"/>
          </w:tcPr>
          <w:p w:rsidRPr="008D5339" w:rsidR="007941BE" w:rsidP="009B471B" w:rsidRDefault="007941BE" w14:paraId="117C57EE" w14:textId="77777777">
            <w:pPr>
              <w:keepNext/>
              <w:jc w:val="center"/>
              <w:rPr>
                <w:b/>
                <w:sz w:val="22"/>
              </w:rPr>
            </w:pPr>
            <w:r w:rsidRPr="008D5339">
              <w:rPr>
                <w:b/>
                <w:sz w:val="22"/>
              </w:rPr>
              <w:t>#</w:t>
            </w:r>
          </w:p>
        </w:tc>
        <w:tc>
          <w:tcPr>
            <w:tcW w:w="1620" w:type="dxa"/>
            <w:gridSpan w:val="2"/>
            <w:tcBorders>
              <w:top w:val="single" w:color="auto" w:sz="4" w:space="0"/>
              <w:bottom w:val="single" w:color="auto" w:sz="4" w:space="0"/>
            </w:tcBorders>
            <w:shd w:val="clear" w:color="auto" w:fill="auto"/>
          </w:tcPr>
          <w:p w:rsidRPr="008D5339" w:rsidR="007941BE" w:rsidP="009B471B" w:rsidRDefault="007941BE" w14:paraId="6A45FCC1" w14:textId="77777777">
            <w:pPr>
              <w:keepNext/>
              <w:jc w:val="center"/>
              <w:rPr>
                <w:b/>
                <w:sz w:val="22"/>
              </w:rPr>
            </w:pPr>
            <w:r w:rsidRPr="008D5339">
              <w:rPr>
                <w:b/>
                <w:sz w:val="22"/>
              </w:rPr>
              <w:t>Item</w:t>
            </w:r>
          </w:p>
        </w:tc>
        <w:tc>
          <w:tcPr>
            <w:tcW w:w="3745" w:type="dxa"/>
            <w:gridSpan w:val="5"/>
            <w:tcBorders>
              <w:top w:val="single" w:color="auto" w:sz="4" w:space="0"/>
              <w:left w:val="single" w:color="auto" w:sz="4" w:space="0"/>
              <w:bottom w:val="single" w:color="auto" w:sz="4" w:space="0"/>
              <w:right w:val="single" w:color="auto" w:sz="4" w:space="0"/>
            </w:tcBorders>
            <w:shd w:val="clear" w:color="auto" w:fill="FFFFFF"/>
          </w:tcPr>
          <w:p w:rsidRPr="008D5339" w:rsidR="007941BE" w:rsidP="009B471B" w:rsidRDefault="007941BE" w14:paraId="19FE7A44" w14:textId="77777777">
            <w:pPr>
              <w:keepNext/>
              <w:jc w:val="center"/>
              <w:rPr>
                <w:b/>
                <w:sz w:val="22"/>
              </w:rPr>
            </w:pPr>
            <w:r w:rsidRPr="008D5339">
              <w:rPr>
                <w:b/>
                <w:sz w:val="22"/>
              </w:rPr>
              <w:t>Detail</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7941BE" w:rsidP="009B471B" w:rsidRDefault="007941BE" w14:paraId="52A549BC" w14:textId="77777777">
            <w:pPr>
              <w:keepNext/>
              <w:jc w:val="center"/>
              <w:rPr>
                <w:b/>
                <w:sz w:val="22"/>
              </w:rPr>
            </w:pPr>
            <w:r w:rsidRPr="008D5339">
              <w:rPr>
                <w:b/>
                <w:sz w:val="22"/>
              </w:rPr>
              <w:t>Amount</w:t>
            </w:r>
          </w:p>
        </w:tc>
        <w:tc>
          <w:tcPr>
            <w:tcW w:w="3360" w:type="dxa"/>
            <w:gridSpan w:val="3"/>
            <w:tcBorders>
              <w:top w:val="single" w:color="auto" w:sz="4" w:space="0"/>
              <w:left w:val="single" w:color="auto" w:sz="24" w:space="0"/>
            </w:tcBorders>
            <w:shd w:val="clear" w:color="auto" w:fill="auto"/>
          </w:tcPr>
          <w:p w:rsidRPr="008D5339" w:rsidR="007941BE" w:rsidP="009B471B" w:rsidRDefault="007941BE" w14:paraId="2A0A92A1" w14:textId="77777777">
            <w:pPr>
              <w:keepNext/>
              <w:jc w:val="center"/>
              <w:rPr>
                <w:b/>
                <w:sz w:val="22"/>
              </w:rPr>
            </w:pPr>
            <w:r w:rsidRPr="008D5339">
              <w:rPr>
                <w:b/>
                <w:sz w:val="22"/>
              </w:rPr>
              <w:t>Amount</w:t>
            </w:r>
          </w:p>
        </w:tc>
      </w:tr>
      <w:tr w:rsidRPr="008D5339" w:rsidR="000E3C66" w:rsidTr="00076735" w14:paraId="14B6D61A" w14:textId="77777777">
        <w:trPr>
          <w:cantSplit/>
          <w:jc w:val="center"/>
        </w:trPr>
        <w:tc>
          <w:tcPr>
            <w:tcW w:w="480" w:type="dxa"/>
            <w:tcBorders>
              <w:bottom w:val="single" w:color="auto" w:sz="4" w:space="0"/>
            </w:tcBorders>
            <w:shd w:val="clear" w:color="auto" w:fill="auto"/>
          </w:tcPr>
          <w:p w:rsidRPr="008D5339" w:rsidR="007941BE" w:rsidP="009B471B" w:rsidRDefault="007941BE" w14:paraId="3272FF6C" w14:textId="77777777">
            <w:pPr>
              <w:rPr>
                <w:sz w:val="22"/>
              </w:rPr>
            </w:pPr>
            <w:r w:rsidRPr="008D5339">
              <w:rPr>
                <w:sz w:val="22"/>
              </w:rPr>
              <w:t>1.</w:t>
            </w:r>
          </w:p>
        </w:tc>
        <w:tc>
          <w:tcPr>
            <w:tcW w:w="1620" w:type="dxa"/>
            <w:gridSpan w:val="2"/>
            <w:tcBorders>
              <w:bottom w:val="single" w:color="auto" w:sz="4" w:space="0"/>
            </w:tcBorders>
            <w:shd w:val="clear" w:color="auto" w:fill="auto"/>
          </w:tcPr>
          <w:p w:rsidR="008A230F" w:rsidP="009B471B" w:rsidRDefault="009401D9" w14:paraId="7C84F798" w14:textId="77777777">
            <w:pPr>
              <w:rPr>
                <w:rFonts w:cstheme="minorHAnsi"/>
                <w:sz w:val="22"/>
              </w:rPr>
            </w:pPr>
            <w:r w:rsidRPr="008D5339">
              <w:rPr>
                <w:rFonts w:cstheme="minorHAnsi"/>
                <w:sz w:val="22"/>
              </w:rPr>
              <w:t xml:space="preserve">Geesman </w:t>
            </w:r>
            <w:r w:rsidRPr="008D5339" w:rsidR="00AF2E4E">
              <w:rPr>
                <w:rFonts w:cstheme="minorHAnsi"/>
                <w:sz w:val="22"/>
              </w:rPr>
              <w:t xml:space="preserve">travel to </w:t>
            </w:r>
            <w:r w:rsidRPr="008D5339" w:rsidR="00AA6981">
              <w:rPr>
                <w:rFonts w:cstheme="minorHAnsi"/>
                <w:sz w:val="22"/>
              </w:rPr>
              <w:t>6/28</w:t>
            </w:r>
            <w:r w:rsidRPr="008D5339" w:rsidR="0098318B">
              <w:rPr>
                <w:rFonts w:cstheme="minorHAnsi"/>
                <w:sz w:val="22"/>
              </w:rPr>
              <w:t>/2023</w:t>
            </w:r>
            <w:r w:rsidRPr="008D5339" w:rsidR="009D4181">
              <w:rPr>
                <w:rFonts w:cstheme="minorHAnsi"/>
                <w:sz w:val="22"/>
              </w:rPr>
              <w:noBreakHyphen/>
            </w:r>
          </w:p>
          <w:p w:rsidRPr="00FE6107" w:rsidR="00FE6107" w:rsidP="009B471B" w:rsidRDefault="0098318B" w14:paraId="00BD9FA4" w14:textId="03B8E9B2">
            <w:pPr>
              <w:rPr>
                <w:rFonts w:cstheme="minorHAnsi"/>
                <w:sz w:val="22"/>
              </w:rPr>
            </w:pPr>
            <w:r w:rsidRPr="008D5339">
              <w:rPr>
                <w:rFonts w:cstheme="minorHAnsi"/>
                <w:sz w:val="22"/>
              </w:rPr>
              <w:t>6/29/20</w:t>
            </w:r>
            <w:r w:rsidRPr="008D5339" w:rsidR="00851EBF">
              <w:rPr>
                <w:rFonts w:cstheme="minorHAnsi"/>
                <w:sz w:val="22"/>
              </w:rPr>
              <w:t xml:space="preserve">23 </w:t>
            </w:r>
            <w:r w:rsidRPr="008D5339" w:rsidR="00AF2E4E">
              <w:rPr>
                <w:rFonts w:cstheme="minorHAnsi"/>
                <w:sz w:val="22"/>
              </w:rPr>
              <w:t>DCISC</w:t>
            </w:r>
            <w:r w:rsidRPr="008D5339" w:rsidR="00851EBF">
              <w:rPr>
                <w:rFonts w:cstheme="minorHAnsi"/>
                <w:sz w:val="22"/>
              </w:rPr>
              <w:t xml:space="preserve"> mtg.</w:t>
            </w:r>
          </w:p>
        </w:tc>
        <w:tc>
          <w:tcPr>
            <w:tcW w:w="3745" w:type="dxa"/>
            <w:gridSpan w:val="5"/>
            <w:tcBorders>
              <w:top w:val="single" w:color="auto" w:sz="4" w:space="0"/>
              <w:left w:val="single" w:color="auto" w:sz="4" w:space="0"/>
              <w:bottom w:val="single" w:color="auto" w:sz="4" w:space="0"/>
              <w:right w:val="single" w:color="auto" w:sz="4" w:space="0"/>
            </w:tcBorders>
            <w:shd w:val="clear" w:color="auto" w:fill="auto"/>
          </w:tcPr>
          <w:p w:rsidRPr="008D5339" w:rsidR="007941BE" w:rsidP="009B471B" w:rsidRDefault="005A1C2F" w14:paraId="05A1FC0C" w14:textId="536128D8">
            <w:pPr>
              <w:rPr>
                <w:rFonts w:asciiTheme="minorHAnsi" w:hAnsiTheme="minorHAnsi" w:cstheme="minorHAnsi"/>
                <w:sz w:val="22"/>
              </w:rPr>
            </w:pPr>
            <w:r w:rsidRPr="008D5339">
              <w:rPr>
                <w:rFonts w:cstheme="minorHAnsi"/>
                <w:sz w:val="22"/>
              </w:rPr>
              <w:t>Round</w:t>
            </w:r>
            <w:r w:rsidRPr="008D5339" w:rsidR="00F949CB">
              <w:rPr>
                <w:rFonts w:cstheme="minorHAnsi"/>
                <w:sz w:val="22"/>
              </w:rPr>
              <w:noBreakHyphen/>
            </w:r>
            <w:r w:rsidRPr="008D5339">
              <w:rPr>
                <w:rFonts w:cstheme="minorHAnsi"/>
                <w:sz w:val="22"/>
              </w:rPr>
              <w:t>trip p</w:t>
            </w:r>
            <w:r w:rsidRPr="008D5339" w:rsidR="00A810F2">
              <w:rPr>
                <w:rFonts w:cstheme="minorHAnsi"/>
                <w:sz w:val="22"/>
              </w:rPr>
              <w:t>lane ticket from San Francisco to San Luis Obispo</w:t>
            </w:r>
            <w:r w:rsidRPr="008D5339" w:rsidR="007E05B7">
              <w:rPr>
                <w:rFonts w:cstheme="minorHAnsi"/>
                <w:sz w:val="22"/>
              </w:rPr>
              <w:t xml:space="preserve"> ($437.80)</w:t>
            </w:r>
            <w:r w:rsidRPr="008D5339">
              <w:rPr>
                <w:rFonts w:cstheme="minorHAnsi"/>
                <w:sz w:val="22"/>
              </w:rPr>
              <w:t xml:space="preserve">; </w:t>
            </w:r>
            <w:r w:rsidRPr="008D5339" w:rsidR="00A50DB6">
              <w:rPr>
                <w:rFonts w:cstheme="minorHAnsi"/>
                <w:sz w:val="22"/>
              </w:rPr>
              <w:t>two nights</w:t>
            </w:r>
            <w:r w:rsidRPr="008D5339" w:rsidR="00CF4B53">
              <w:rPr>
                <w:rFonts w:cstheme="minorHAnsi"/>
                <w:sz w:val="22"/>
              </w:rPr>
              <w:t xml:space="preserve"> </w:t>
            </w:r>
            <w:r w:rsidRPr="008D5339" w:rsidR="00AA585D">
              <w:rPr>
                <w:rFonts w:cstheme="minorHAnsi"/>
                <w:sz w:val="22"/>
              </w:rPr>
              <w:t xml:space="preserve">hotel </w:t>
            </w:r>
            <w:r w:rsidRPr="008D5339" w:rsidR="00CF4B53">
              <w:rPr>
                <w:rFonts w:cstheme="minorHAnsi"/>
                <w:sz w:val="22"/>
              </w:rPr>
              <w:t>($</w:t>
            </w:r>
            <w:r w:rsidRPr="008D5339" w:rsidR="00E00E85">
              <w:rPr>
                <w:rFonts w:cstheme="minorHAnsi"/>
                <w:sz w:val="22"/>
              </w:rPr>
              <w:t>325.13)</w:t>
            </w:r>
            <w:r w:rsidRPr="008D5339" w:rsidR="00A50DB6">
              <w:rPr>
                <w:rFonts w:cstheme="minorHAnsi"/>
                <w:sz w:val="22"/>
              </w:rPr>
              <w:t>; airport parking</w:t>
            </w:r>
            <w:r w:rsidRPr="008D5339" w:rsidR="00711489">
              <w:rPr>
                <w:rFonts w:cstheme="minorHAnsi"/>
                <w:sz w:val="22"/>
              </w:rPr>
              <w:t xml:space="preserve"> ($75).</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7941BE" w:rsidP="009B471B" w:rsidRDefault="008D5339" w14:paraId="324F04F2" w14:textId="15CE6B9B">
            <w:pPr>
              <w:jc w:val="right"/>
              <w:rPr>
                <w:rFonts w:asciiTheme="minorHAnsi" w:hAnsiTheme="minorHAnsi" w:cstheme="minorHAnsi"/>
                <w:sz w:val="22"/>
              </w:rPr>
            </w:pPr>
            <w:r w:rsidRPr="008D5339">
              <w:rPr>
                <w:rFonts w:cstheme="minorHAnsi"/>
                <w:sz w:val="22"/>
              </w:rPr>
              <w:t>$</w:t>
            </w:r>
            <w:r w:rsidRPr="008D5339" w:rsidR="00C53F4F">
              <w:rPr>
                <w:rFonts w:cstheme="minorHAnsi"/>
                <w:sz w:val="22"/>
              </w:rPr>
              <w:t>837</w:t>
            </w:r>
            <w:r w:rsidRPr="008D5339" w:rsidR="00F969D2">
              <w:rPr>
                <w:rFonts w:cstheme="minorHAnsi"/>
                <w:sz w:val="22"/>
              </w:rPr>
              <w:t>.93</w:t>
            </w:r>
          </w:p>
        </w:tc>
        <w:tc>
          <w:tcPr>
            <w:tcW w:w="3360" w:type="dxa"/>
            <w:gridSpan w:val="3"/>
            <w:tcBorders>
              <w:left w:val="single" w:color="auto" w:sz="24" w:space="0"/>
            </w:tcBorders>
            <w:shd w:val="clear" w:color="auto" w:fill="auto"/>
          </w:tcPr>
          <w:p w:rsidRPr="008D5339" w:rsidR="007941BE" w:rsidP="009B471B" w:rsidRDefault="00E369A0" w14:paraId="1C7D79D0" w14:textId="3A0B863E">
            <w:pPr>
              <w:jc w:val="right"/>
              <w:rPr>
                <w:sz w:val="22"/>
              </w:rPr>
            </w:pPr>
            <w:r w:rsidRPr="008D5339">
              <w:rPr>
                <w:sz w:val="22"/>
              </w:rPr>
              <w:t>$837.93</w:t>
            </w:r>
          </w:p>
        </w:tc>
      </w:tr>
      <w:tr w:rsidRPr="008D5339" w:rsidR="000E3C66" w:rsidTr="00076735" w14:paraId="5988A992" w14:textId="77777777">
        <w:trPr>
          <w:cantSplit/>
          <w:jc w:val="center"/>
        </w:trPr>
        <w:tc>
          <w:tcPr>
            <w:tcW w:w="480" w:type="dxa"/>
            <w:tcBorders>
              <w:bottom w:val="single" w:color="auto" w:sz="4" w:space="0"/>
            </w:tcBorders>
            <w:shd w:val="clear" w:color="auto" w:fill="auto"/>
          </w:tcPr>
          <w:p w:rsidRPr="008D5339" w:rsidR="007941BE" w:rsidP="002A53A8" w:rsidRDefault="007941BE" w14:paraId="454061C0" w14:textId="77777777">
            <w:pPr>
              <w:keepNext/>
              <w:rPr>
                <w:sz w:val="22"/>
              </w:rPr>
            </w:pPr>
            <w:r w:rsidRPr="008D5339">
              <w:rPr>
                <w:sz w:val="22"/>
              </w:rPr>
              <w:lastRenderedPageBreak/>
              <w:t>2.</w:t>
            </w:r>
          </w:p>
        </w:tc>
        <w:tc>
          <w:tcPr>
            <w:tcW w:w="1620" w:type="dxa"/>
            <w:gridSpan w:val="2"/>
            <w:tcBorders>
              <w:bottom w:val="single" w:color="auto" w:sz="4" w:space="0"/>
            </w:tcBorders>
            <w:shd w:val="clear" w:color="auto" w:fill="auto"/>
          </w:tcPr>
          <w:p w:rsidR="009A00A6" w:rsidP="002A53A8" w:rsidRDefault="00A23292" w14:paraId="2591C29F" w14:textId="77777777">
            <w:pPr>
              <w:keepNext/>
              <w:rPr>
                <w:rFonts w:cstheme="minorHAnsi"/>
                <w:sz w:val="22"/>
              </w:rPr>
            </w:pPr>
            <w:r w:rsidRPr="008D5339">
              <w:rPr>
                <w:rFonts w:cstheme="minorHAnsi"/>
                <w:sz w:val="22"/>
              </w:rPr>
              <w:t>Becker</w:t>
            </w:r>
            <w:r w:rsidRPr="008D5339" w:rsidR="00AA20DD">
              <w:rPr>
                <w:rFonts w:cstheme="minorHAnsi"/>
                <w:sz w:val="22"/>
              </w:rPr>
              <w:t>/</w:t>
            </w:r>
          </w:p>
          <w:p w:rsidRPr="00FE6107" w:rsidR="00FE6107" w:rsidP="002A53A8" w:rsidRDefault="00AA20DD" w14:paraId="51F2CAB8" w14:textId="65AD3758">
            <w:pPr>
              <w:keepNext/>
              <w:rPr>
                <w:rFonts w:cstheme="minorHAnsi"/>
                <w:sz w:val="22"/>
              </w:rPr>
            </w:pPr>
            <w:r w:rsidRPr="008D5339">
              <w:rPr>
                <w:rFonts w:cstheme="minorHAnsi"/>
                <w:sz w:val="22"/>
              </w:rPr>
              <w:t xml:space="preserve">Weisman </w:t>
            </w:r>
            <w:r w:rsidRPr="008D5339" w:rsidR="00C05710">
              <w:rPr>
                <w:rFonts w:cstheme="minorHAnsi"/>
                <w:sz w:val="22"/>
              </w:rPr>
              <w:t xml:space="preserve">SF </w:t>
            </w:r>
            <w:r w:rsidRPr="008D5339">
              <w:rPr>
                <w:rFonts w:cstheme="minorHAnsi"/>
                <w:sz w:val="22"/>
              </w:rPr>
              <w:t xml:space="preserve">hotel rooms </w:t>
            </w:r>
            <w:r w:rsidRPr="008D5339" w:rsidR="00B06756">
              <w:rPr>
                <w:rFonts w:cstheme="minorHAnsi"/>
                <w:sz w:val="22"/>
              </w:rPr>
              <w:t xml:space="preserve">for </w:t>
            </w:r>
            <w:r w:rsidRPr="008D5339" w:rsidR="00020094">
              <w:rPr>
                <w:rFonts w:cstheme="minorHAnsi"/>
                <w:sz w:val="22"/>
              </w:rPr>
              <w:t>11/7/2023</w:t>
            </w:r>
            <w:r w:rsidRPr="008D5339" w:rsidR="0030589E">
              <w:rPr>
                <w:rFonts w:cstheme="minorHAnsi"/>
                <w:sz w:val="22"/>
              </w:rPr>
              <w:t xml:space="preserve"> oral argument</w:t>
            </w:r>
          </w:p>
        </w:tc>
        <w:tc>
          <w:tcPr>
            <w:tcW w:w="3745" w:type="dxa"/>
            <w:gridSpan w:val="5"/>
            <w:tcBorders>
              <w:top w:val="single" w:color="auto" w:sz="4" w:space="0"/>
              <w:left w:val="single" w:color="auto" w:sz="4" w:space="0"/>
              <w:bottom w:val="single" w:color="auto" w:sz="4" w:space="0"/>
              <w:right w:val="single" w:color="auto" w:sz="4" w:space="0"/>
            </w:tcBorders>
            <w:shd w:val="clear" w:color="auto" w:fill="auto"/>
          </w:tcPr>
          <w:p w:rsidRPr="008D5339" w:rsidR="007941BE" w:rsidP="002A53A8" w:rsidRDefault="002C5370" w14:paraId="6A57CD68" w14:textId="5E92AE65">
            <w:pPr>
              <w:keepNext/>
              <w:rPr>
                <w:rFonts w:asciiTheme="minorHAnsi" w:hAnsiTheme="minorHAnsi" w:cstheme="minorHAnsi"/>
                <w:sz w:val="22"/>
              </w:rPr>
            </w:pPr>
            <w:r w:rsidRPr="008D5339">
              <w:rPr>
                <w:rFonts w:cstheme="minorHAnsi"/>
                <w:sz w:val="22"/>
              </w:rPr>
              <w:t xml:space="preserve">Holiday Inn Rm. 2324 ($265.59) and Rm. </w:t>
            </w:r>
            <w:r w:rsidRPr="008D5339" w:rsidR="00506966">
              <w:rPr>
                <w:rFonts w:cstheme="minorHAnsi"/>
                <w:sz w:val="22"/>
              </w:rPr>
              <w:t>2405 ($265.59)</w:t>
            </w:r>
            <w:r w:rsidRPr="008D5339" w:rsidR="007053D2">
              <w:rPr>
                <w:rFonts w:cstheme="minorHAnsi"/>
                <w:sz w:val="22"/>
              </w:rPr>
              <w:t>.</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8D5339" w:rsidR="007941BE" w:rsidP="002A53A8" w:rsidRDefault="008D5339" w14:paraId="45700372" w14:textId="2B02D82D">
            <w:pPr>
              <w:keepNext/>
              <w:jc w:val="right"/>
              <w:rPr>
                <w:rFonts w:asciiTheme="minorHAnsi" w:hAnsiTheme="minorHAnsi" w:cstheme="minorHAnsi"/>
                <w:sz w:val="22"/>
              </w:rPr>
            </w:pPr>
            <w:r w:rsidRPr="008D5339">
              <w:rPr>
                <w:rFonts w:cstheme="minorHAnsi"/>
                <w:sz w:val="22"/>
              </w:rPr>
              <w:t>$</w:t>
            </w:r>
            <w:r w:rsidRPr="008D5339" w:rsidR="00974108">
              <w:rPr>
                <w:rFonts w:cstheme="minorHAnsi"/>
                <w:sz w:val="22"/>
              </w:rPr>
              <w:t>531.18</w:t>
            </w:r>
          </w:p>
        </w:tc>
        <w:tc>
          <w:tcPr>
            <w:tcW w:w="3360" w:type="dxa"/>
            <w:gridSpan w:val="3"/>
            <w:tcBorders>
              <w:left w:val="single" w:color="auto" w:sz="24" w:space="0"/>
            </w:tcBorders>
            <w:shd w:val="clear" w:color="auto" w:fill="auto"/>
          </w:tcPr>
          <w:p w:rsidRPr="008D5339" w:rsidR="008D5339" w:rsidP="002A53A8" w:rsidRDefault="008825A8" w14:paraId="38841A64" w14:textId="77777777">
            <w:pPr>
              <w:keepNext/>
              <w:jc w:val="right"/>
              <w:rPr>
                <w:sz w:val="22"/>
              </w:rPr>
            </w:pPr>
            <w:r w:rsidRPr="008D5339">
              <w:rPr>
                <w:sz w:val="22"/>
              </w:rPr>
              <w:t>$0.00</w:t>
            </w:r>
          </w:p>
          <w:p w:rsidRPr="008D5339" w:rsidR="007941BE" w:rsidP="002A53A8" w:rsidRDefault="008D5339" w14:paraId="7540FF22" w14:textId="238538F9">
            <w:pPr>
              <w:keepNext/>
              <w:jc w:val="right"/>
              <w:rPr>
                <w:sz w:val="22"/>
              </w:rPr>
            </w:pPr>
            <w:r w:rsidRPr="008D5339">
              <w:rPr>
                <w:sz w:val="22"/>
              </w:rPr>
              <w:t>[</w:t>
            </w:r>
            <w:r w:rsidRPr="008D5339" w:rsidR="008825A8">
              <w:rPr>
                <w:sz w:val="22"/>
              </w:rPr>
              <w:t>8]</w:t>
            </w:r>
          </w:p>
        </w:tc>
      </w:tr>
      <w:tr w:rsidRPr="008D5339" w:rsidR="000E3C66" w:rsidTr="00076735" w14:paraId="7D250EBF" w14:textId="77777777">
        <w:trPr>
          <w:cantSplit/>
          <w:jc w:val="center"/>
        </w:trPr>
        <w:tc>
          <w:tcPr>
            <w:tcW w:w="7195" w:type="dxa"/>
            <w:gridSpan w:val="10"/>
            <w:tcBorders>
              <w:bottom w:val="single" w:color="auto" w:sz="4" w:space="0"/>
              <w:right w:val="single" w:color="auto" w:sz="24" w:space="0"/>
            </w:tcBorders>
            <w:shd w:val="clear" w:color="auto" w:fill="auto"/>
            <w:vAlign w:val="bottom"/>
          </w:tcPr>
          <w:p w:rsidRPr="008D5339" w:rsidR="007941BE" w:rsidP="002A53A8" w:rsidRDefault="007941BE" w14:paraId="6ADE275E" w14:textId="1353241D">
            <w:pPr>
              <w:keepNext/>
              <w:tabs>
                <w:tab w:val="left" w:pos="957"/>
              </w:tabs>
              <w:jc w:val="right"/>
              <w:rPr>
                <w:b/>
                <w:i/>
                <w:sz w:val="22"/>
              </w:rPr>
            </w:pPr>
            <w:r w:rsidRPr="008D5339">
              <w:rPr>
                <w:b/>
                <w:i/>
                <w:sz w:val="22"/>
              </w:rPr>
              <w:t>Subtotal: $</w:t>
            </w:r>
            <w:r w:rsidRPr="008D5339" w:rsidR="00A97406">
              <w:rPr>
                <w:b/>
                <w:i/>
                <w:sz w:val="22"/>
              </w:rPr>
              <w:t>1,369.11</w:t>
            </w:r>
          </w:p>
        </w:tc>
        <w:tc>
          <w:tcPr>
            <w:tcW w:w="3360" w:type="dxa"/>
            <w:gridSpan w:val="3"/>
            <w:tcBorders>
              <w:left w:val="single" w:color="auto" w:sz="24" w:space="0"/>
            </w:tcBorders>
            <w:shd w:val="clear" w:color="auto" w:fill="auto"/>
            <w:vAlign w:val="bottom"/>
          </w:tcPr>
          <w:p w:rsidRPr="008D5339" w:rsidR="007941BE" w:rsidP="002A53A8" w:rsidRDefault="007941BE" w14:paraId="67993F7A" w14:textId="4D2E935A">
            <w:pPr>
              <w:keepNext/>
              <w:tabs>
                <w:tab w:val="left" w:pos="957"/>
              </w:tabs>
              <w:jc w:val="right"/>
              <w:rPr>
                <w:b/>
                <w:i/>
                <w:sz w:val="22"/>
              </w:rPr>
            </w:pPr>
            <w:r w:rsidRPr="008D5339">
              <w:rPr>
                <w:b/>
                <w:i/>
                <w:sz w:val="22"/>
              </w:rPr>
              <w:t>Subtotal: $</w:t>
            </w:r>
            <w:r w:rsidRPr="008D5339" w:rsidR="008825A8">
              <w:rPr>
                <w:b/>
                <w:i/>
                <w:sz w:val="22"/>
              </w:rPr>
              <w:t>837.93</w:t>
            </w:r>
          </w:p>
        </w:tc>
      </w:tr>
      <w:tr w:rsidRPr="008D5339" w:rsidR="000E3C66" w:rsidTr="00076735" w14:paraId="06E7371A" w14:textId="77777777">
        <w:trPr>
          <w:cantSplit/>
          <w:jc w:val="center"/>
        </w:trPr>
        <w:tc>
          <w:tcPr>
            <w:tcW w:w="7195" w:type="dxa"/>
            <w:gridSpan w:val="10"/>
            <w:tcBorders>
              <w:top w:val="single" w:color="auto" w:sz="4" w:space="0"/>
              <w:bottom w:val="single" w:color="auto" w:sz="4" w:space="0"/>
              <w:right w:val="single" w:color="auto" w:sz="24" w:space="0"/>
            </w:tcBorders>
            <w:shd w:val="clear" w:color="auto" w:fill="D9D9D9" w:themeFill="background1" w:themeFillShade="D9"/>
            <w:vAlign w:val="bottom"/>
          </w:tcPr>
          <w:p w:rsidRPr="008D5339" w:rsidR="007941BE" w:rsidP="002A53A8" w:rsidRDefault="007941BE" w14:paraId="11B3B704" w14:textId="10A3B3D1">
            <w:pPr>
              <w:tabs>
                <w:tab w:val="left" w:pos="957"/>
              </w:tabs>
              <w:jc w:val="right"/>
              <w:rPr>
                <w:b/>
                <w:sz w:val="22"/>
              </w:rPr>
            </w:pPr>
            <w:r w:rsidRPr="008D5339">
              <w:rPr>
                <w:b/>
                <w:i/>
                <w:sz w:val="22"/>
              </w:rPr>
              <w:t>TOTAL REQUEST: $</w:t>
            </w:r>
            <w:r w:rsidRPr="008D5339" w:rsidR="00465C04">
              <w:rPr>
                <w:b/>
                <w:i/>
                <w:sz w:val="22"/>
              </w:rPr>
              <w:t>662,294.49</w:t>
            </w:r>
          </w:p>
        </w:tc>
        <w:tc>
          <w:tcPr>
            <w:tcW w:w="3360" w:type="dxa"/>
            <w:gridSpan w:val="3"/>
            <w:tcBorders>
              <w:left w:val="single" w:color="auto" w:sz="24" w:space="0"/>
            </w:tcBorders>
            <w:shd w:val="clear" w:color="auto" w:fill="D9D9D9" w:themeFill="background1" w:themeFillShade="D9"/>
            <w:vAlign w:val="bottom"/>
          </w:tcPr>
          <w:p w:rsidRPr="008D5339" w:rsidR="007941BE" w:rsidP="002A53A8" w:rsidRDefault="007941BE" w14:paraId="3680D139" w14:textId="58C7B519">
            <w:pPr>
              <w:tabs>
                <w:tab w:val="left" w:pos="957"/>
              </w:tabs>
              <w:jc w:val="right"/>
              <w:rPr>
                <w:b/>
                <w:sz w:val="22"/>
              </w:rPr>
            </w:pPr>
            <w:r w:rsidRPr="008D5339">
              <w:rPr>
                <w:b/>
                <w:i/>
                <w:sz w:val="22"/>
              </w:rPr>
              <w:t>TOTAL AWARD: $</w:t>
            </w:r>
            <w:r w:rsidR="0056665E">
              <w:rPr>
                <w:b/>
                <w:i/>
                <w:sz w:val="22"/>
              </w:rPr>
              <w:t>319,085.71</w:t>
            </w:r>
          </w:p>
        </w:tc>
      </w:tr>
      <w:tr w:rsidRPr="008D5339" w:rsidR="000E3C66" w:rsidTr="00076735" w14:paraId="6A909BC1" w14:textId="77777777">
        <w:trPr>
          <w:cantSplit/>
          <w:jc w:val="center"/>
        </w:trPr>
        <w:tc>
          <w:tcPr>
            <w:tcW w:w="10555" w:type="dxa"/>
            <w:gridSpan w:val="13"/>
            <w:tcBorders>
              <w:top w:val="single" w:color="auto" w:sz="4" w:space="0"/>
              <w:bottom w:val="single" w:color="auto" w:sz="4" w:space="0"/>
            </w:tcBorders>
            <w:shd w:val="clear" w:color="auto" w:fill="auto"/>
          </w:tcPr>
          <w:p w:rsidRPr="008D5339" w:rsidR="007941BE" w:rsidP="00076735" w:rsidRDefault="007941BE" w14:paraId="6F39872E" w14:textId="0DEAFAF8">
            <w:pPr>
              <w:spacing w:after="120"/>
              <w:rPr>
                <w:sz w:val="22"/>
              </w:rPr>
            </w:pPr>
            <w:r w:rsidRPr="008D5339">
              <w:rPr>
                <w:sz w:val="22"/>
              </w:rPr>
              <w:t xml:space="preserve">  *We remind all intervenors that Commission staff may audit the records and books of the intervenors to the extent necessary to verify the basis for the award (</w:t>
            </w:r>
            <w:r w:rsidRPr="008D5339" w:rsidR="00AE4FEE">
              <w:rPr>
                <w:sz w:val="22"/>
              </w:rPr>
              <w:t>§ </w:t>
            </w:r>
            <w:r w:rsidRPr="008D5339">
              <w:rPr>
                <w:sz w:val="22"/>
              </w:rPr>
              <w:t xml:space="preserve">1804(d)).  Intervenors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8D5339" w:rsidR="007941BE" w:rsidP="009B471B" w:rsidRDefault="007941BE" w14:paraId="0D03EC65" w14:textId="77777777">
            <w:pPr>
              <w:rPr>
                <w:sz w:val="22"/>
              </w:rPr>
            </w:pPr>
            <w:r w:rsidRPr="008D5339">
              <w:rPr>
                <w:sz w:val="22"/>
              </w:rPr>
              <w:t>**Travel and Reasonable Claim preparation time are typically compensated at ½ of preparer’s normal hourly rate</w:t>
            </w:r>
            <w:r w:rsidRPr="008D5339" w:rsidDel="00D075B1">
              <w:rPr>
                <w:sz w:val="22"/>
              </w:rPr>
              <w:t xml:space="preserve"> </w:t>
            </w:r>
          </w:p>
        </w:tc>
      </w:tr>
      <w:tr w:rsidRPr="008D5339" w:rsidR="000E3C66" w:rsidTr="00076735" w14:paraId="458B01A4" w14:textId="77777777">
        <w:trPr>
          <w:cantSplit/>
          <w:jc w:val="center"/>
        </w:trPr>
        <w:tc>
          <w:tcPr>
            <w:tcW w:w="10555" w:type="dxa"/>
            <w:gridSpan w:val="1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D5339" w:rsidR="007941BE" w:rsidP="009B471B" w:rsidRDefault="007941BE" w14:paraId="48B43CBD" w14:textId="77777777">
            <w:pPr>
              <w:keepNext/>
              <w:jc w:val="center"/>
              <w:rPr>
                <w:b/>
                <w:smallCaps/>
                <w:sz w:val="22"/>
              </w:rPr>
            </w:pPr>
            <w:r w:rsidRPr="008D5339">
              <w:rPr>
                <w:b/>
                <w:smallCaps/>
                <w:sz w:val="22"/>
              </w:rPr>
              <w:t>ATTORNEY INFORMATION</w:t>
            </w:r>
          </w:p>
        </w:tc>
      </w:tr>
      <w:tr w:rsidRPr="008D5339" w:rsidR="000E3C66" w:rsidTr="00076735" w14:paraId="790C92C0" w14:textId="77777777">
        <w:trPr>
          <w:cantSplit/>
          <w:jc w:val="center"/>
        </w:trPr>
        <w:tc>
          <w:tcPr>
            <w:tcW w:w="2245" w:type="dxa"/>
            <w:gridSpan w:val="4"/>
            <w:tcBorders>
              <w:top w:val="single" w:color="auto" w:sz="4" w:space="0"/>
              <w:bottom w:val="single" w:color="auto" w:sz="4" w:space="0"/>
            </w:tcBorders>
            <w:shd w:val="clear" w:color="auto" w:fill="FFFFFF"/>
            <w:vAlign w:val="bottom"/>
          </w:tcPr>
          <w:p w:rsidRPr="008D5339" w:rsidR="007941BE" w:rsidP="009B471B" w:rsidRDefault="007941BE" w14:paraId="00CAC866" w14:textId="77777777">
            <w:pPr>
              <w:keepNext/>
              <w:jc w:val="center"/>
              <w:rPr>
                <w:b/>
                <w:sz w:val="22"/>
                <w:szCs w:val="22"/>
              </w:rPr>
            </w:pPr>
            <w:r w:rsidRPr="008D5339">
              <w:rPr>
                <w:b/>
                <w:sz w:val="22"/>
                <w:szCs w:val="22"/>
              </w:rPr>
              <w:t>Attorney</w:t>
            </w:r>
          </w:p>
        </w:tc>
        <w:tc>
          <w:tcPr>
            <w:tcW w:w="1980" w:type="dxa"/>
            <w:gridSpan w:val="3"/>
            <w:tcBorders>
              <w:top w:val="single" w:color="auto" w:sz="4" w:space="0"/>
              <w:bottom w:val="single" w:color="auto" w:sz="4" w:space="0"/>
            </w:tcBorders>
            <w:shd w:val="clear" w:color="auto" w:fill="FFFFFF"/>
            <w:vAlign w:val="bottom"/>
          </w:tcPr>
          <w:p w:rsidRPr="008D5339" w:rsidR="00D15155" w:rsidP="009B471B" w:rsidRDefault="007941BE" w14:paraId="26D06AA6" w14:textId="77777777">
            <w:pPr>
              <w:keepNext/>
              <w:jc w:val="center"/>
              <w:rPr>
                <w:b/>
                <w:sz w:val="22"/>
                <w:szCs w:val="22"/>
              </w:rPr>
            </w:pPr>
            <w:r w:rsidRPr="008D5339">
              <w:rPr>
                <w:b/>
                <w:sz w:val="22"/>
                <w:szCs w:val="22"/>
              </w:rPr>
              <w:t xml:space="preserve">Date Admitted </w:t>
            </w:r>
          </w:p>
          <w:p w:rsidRPr="008D5339" w:rsidR="007941BE" w:rsidP="009B471B" w:rsidRDefault="007941BE" w14:paraId="7E76A008" w14:textId="74F2EF3A">
            <w:pPr>
              <w:keepNext/>
              <w:jc w:val="center"/>
              <w:rPr>
                <w:b/>
                <w:sz w:val="22"/>
                <w:szCs w:val="22"/>
              </w:rPr>
            </w:pPr>
            <w:r w:rsidRPr="008D5339">
              <w:rPr>
                <w:b/>
                <w:sz w:val="22"/>
                <w:szCs w:val="22"/>
              </w:rPr>
              <w:t>to CA BAR</w:t>
            </w:r>
            <w:r w:rsidRPr="008D5339">
              <w:rPr>
                <w:rStyle w:val="FootnoteReference"/>
                <w:b/>
                <w:sz w:val="22"/>
                <w:szCs w:val="22"/>
              </w:rPr>
              <w:footnoteReference w:id="4"/>
            </w:r>
          </w:p>
        </w:tc>
        <w:tc>
          <w:tcPr>
            <w:tcW w:w="2070" w:type="dxa"/>
            <w:gridSpan w:val="2"/>
            <w:tcBorders>
              <w:top w:val="single" w:color="auto" w:sz="4" w:space="0"/>
              <w:bottom w:val="single" w:color="auto" w:sz="4" w:space="0"/>
            </w:tcBorders>
            <w:shd w:val="clear" w:color="auto" w:fill="FFFFFF"/>
            <w:vAlign w:val="bottom"/>
          </w:tcPr>
          <w:p w:rsidRPr="008D5339" w:rsidR="007941BE" w:rsidP="009B471B" w:rsidRDefault="007941BE" w14:paraId="27E64ED7" w14:textId="77777777">
            <w:pPr>
              <w:keepNext/>
              <w:jc w:val="center"/>
              <w:rPr>
                <w:b/>
                <w:sz w:val="22"/>
                <w:szCs w:val="22"/>
              </w:rPr>
            </w:pPr>
            <w:r w:rsidRPr="008D5339">
              <w:rPr>
                <w:b/>
                <w:sz w:val="22"/>
                <w:szCs w:val="22"/>
              </w:rPr>
              <w:t>Member Number</w:t>
            </w:r>
          </w:p>
        </w:tc>
        <w:tc>
          <w:tcPr>
            <w:tcW w:w="4260" w:type="dxa"/>
            <w:gridSpan w:val="4"/>
            <w:tcBorders>
              <w:top w:val="single" w:color="auto" w:sz="4" w:space="0"/>
              <w:bottom w:val="single" w:color="auto" w:sz="4" w:space="0"/>
            </w:tcBorders>
            <w:shd w:val="clear" w:color="auto" w:fill="FFFFFF"/>
            <w:vAlign w:val="bottom"/>
          </w:tcPr>
          <w:p w:rsidRPr="008D5339" w:rsidR="007941BE" w:rsidP="009B471B" w:rsidRDefault="007941BE" w14:paraId="496B5DC1" w14:textId="77777777">
            <w:pPr>
              <w:keepNext/>
              <w:jc w:val="center"/>
              <w:rPr>
                <w:b/>
                <w:sz w:val="22"/>
                <w:szCs w:val="22"/>
              </w:rPr>
            </w:pPr>
            <w:r w:rsidRPr="008D5339">
              <w:rPr>
                <w:b/>
                <w:sz w:val="22"/>
                <w:szCs w:val="22"/>
              </w:rPr>
              <w:t>Actions Affecting Eligibility (Yes/No?)</w:t>
            </w:r>
          </w:p>
          <w:p w:rsidRPr="008D5339" w:rsidR="007941BE" w:rsidP="009B471B" w:rsidRDefault="007941BE" w14:paraId="36F8922D" w14:textId="77777777">
            <w:pPr>
              <w:keepNext/>
              <w:jc w:val="center"/>
              <w:rPr>
                <w:b/>
                <w:sz w:val="22"/>
                <w:szCs w:val="22"/>
              </w:rPr>
            </w:pPr>
            <w:r w:rsidRPr="008D5339">
              <w:rPr>
                <w:b/>
                <w:sz w:val="22"/>
                <w:szCs w:val="22"/>
              </w:rPr>
              <w:t>If “Yes”, attach explanation</w:t>
            </w:r>
          </w:p>
        </w:tc>
      </w:tr>
      <w:tr w:rsidRPr="008D5339" w:rsidR="000E3C66" w:rsidTr="00076735" w14:paraId="4DC5EE9B" w14:textId="77777777">
        <w:trPr>
          <w:cantSplit/>
          <w:jc w:val="center"/>
        </w:trPr>
        <w:tc>
          <w:tcPr>
            <w:tcW w:w="2245" w:type="dxa"/>
            <w:gridSpan w:val="4"/>
            <w:tcBorders>
              <w:top w:val="single" w:color="auto" w:sz="4" w:space="0"/>
              <w:bottom w:val="single" w:color="auto" w:sz="4" w:space="0"/>
            </w:tcBorders>
            <w:shd w:val="clear" w:color="auto" w:fill="auto"/>
          </w:tcPr>
          <w:p w:rsidRPr="008D5339" w:rsidR="007941BE" w:rsidP="009B471B" w:rsidRDefault="007941BE" w14:paraId="7266B7BF" w14:textId="065E49B7">
            <w:pPr>
              <w:jc w:val="center"/>
              <w:rPr>
                <w:sz w:val="22"/>
              </w:rPr>
            </w:pPr>
            <w:r w:rsidRPr="008D5339">
              <w:rPr>
                <w:rFonts w:cstheme="minorHAnsi"/>
                <w:sz w:val="22"/>
              </w:rPr>
              <w:t>John Geesman</w:t>
            </w:r>
          </w:p>
        </w:tc>
        <w:tc>
          <w:tcPr>
            <w:tcW w:w="1980" w:type="dxa"/>
            <w:gridSpan w:val="3"/>
            <w:tcBorders>
              <w:top w:val="single" w:color="auto" w:sz="4" w:space="0"/>
              <w:bottom w:val="single" w:color="auto" w:sz="4" w:space="0"/>
            </w:tcBorders>
            <w:shd w:val="clear" w:color="auto" w:fill="auto"/>
          </w:tcPr>
          <w:p w:rsidRPr="008D5339" w:rsidR="007941BE" w:rsidP="009B471B" w:rsidRDefault="007941BE" w14:paraId="69A41F15" w14:textId="44BF8655">
            <w:pPr>
              <w:jc w:val="center"/>
              <w:rPr>
                <w:sz w:val="22"/>
              </w:rPr>
            </w:pPr>
            <w:r w:rsidRPr="008D5339">
              <w:rPr>
                <w:rFonts w:cstheme="minorHAnsi"/>
                <w:sz w:val="22"/>
              </w:rPr>
              <w:t>June 28, 1977</w:t>
            </w:r>
          </w:p>
        </w:tc>
        <w:tc>
          <w:tcPr>
            <w:tcW w:w="2070" w:type="dxa"/>
            <w:gridSpan w:val="2"/>
            <w:tcBorders>
              <w:top w:val="single" w:color="auto" w:sz="4" w:space="0"/>
              <w:bottom w:val="single" w:color="auto" w:sz="4" w:space="0"/>
            </w:tcBorders>
            <w:shd w:val="clear" w:color="auto" w:fill="auto"/>
          </w:tcPr>
          <w:p w:rsidRPr="008D5339" w:rsidR="007941BE" w:rsidP="009B471B" w:rsidRDefault="007941BE" w14:paraId="58495CD7" w14:textId="388B63BF">
            <w:pPr>
              <w:jc w:val="center"/>
              <w:rPr>
                <w:sz w:val="22"/>
              </w:rPr>
            </w:pPr>
            <w:r w:rsidRPr="008D5339">
              <w:rPr>
                <w:rFonts w:cstheme="minorHAnsi"/>
                <w:sz w:val="22"/>
              </w:rPr>
              <w:t>74448</w:t>
            </w:r>
          </w:p>
        </w:tc>
        <w:tc>
          <w:tcPr>
            <w:tcW w:w="4260" w:type="dxa"/>
            <w:gridSpan w:val="4"/>
            <w:tcBorders>
              <w:top w:val="single" w:color="auto" w:sz="4" w:space="0"/>
              <w:bottom w:val="single" w:color="auto" w:sz="4" w:space="0"/>
            </w:tcBorders>
            <w:shd w:val="clear" w:color="auto" w:fill="auto"/>
          </w:tcPr>
          <w:p w:rsidRPr="008D5339" w:rsidR="007941BE" w:rsidP="009B471B" w:rsidRDefault="007941BE" w14:paraId="117B99BF" w14:textId="012C9116">
            <w:pPr>
              <w:jc w:val="center"/>
              <w:rPr>
                <w:rFonts w:cstheme="minorHAnsi"/>
                <w:sz w:val="22"/>
              </w:rPr>
            </w:pPr>
            <w:r w:rsidRPr="008D5339">
              <w:rPr>
                <w:rFonts w:cstheme="minorHAnsi"/>
                <w:sz w:val="22"/>
              </w:rPr>
              <w:t>No</w:t>
            </w:r>
          </w:p>
        </w:tc>
      </w:tr>
    </w:tbl>
    <w:p w:rsidRPr="000E3C66" w:rsidR="00A92D0B" w:rsidP="003223EC" w:rsidRDefault="00A92D0B" w14:paraId="04BC309E" w14:textId="59F5AA38">
      <w:pPr>
        <w:keepNext/>
        <w:numPr>
          <w:ilvl w:val="0"/>
          <w:numId w:val="20"/>
        </w:numPr>
        <w:spacing w:before="240" w:after="240"/>
        <w:rPr>
          <w:b/>
          <w:iCs/>
          <w:u w:val="single"/>
        </w:rPr>
      </w:pPr>
      <w:r w:rsidRPr="000E3C66">
        <w:rPr>
          <w:b/>
        </w:rPr>
        <w:t xml:space="preserve">Attachments Documenting Specific Claim and Comments on </w:t>
      </w:r>
      <w:r w:rsidRPr="000E3C66" w:rsidR="00471EE6">
        <w:rPr>
          <w:b/>
        </w:rPr>
        <w:t>Part I</w:t>
      </w:r>
      <w:r w:rsidRPr="000E3C66">
        <w:rPr>
          <w:b/>
        </w:rPr>
        <w:t>II</w:t>
      </w:r>
      <w:r w:rsidRPr="000E3C66" w:rsidR="00C02649">
        <w:rPr>
          <w:b/>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705"/>
        <w:gridCol w:w="7655"/>
      </w:tblGrid>
      <w:tr w:rsidRPr="000E3C66" w:rsidR="000E3C66" w:rsidTr="002E448A" w14:paraId="0C2B760A" w14:textId="77777777">
        <w:trPr>
          <w:tblHeader/>
        </w:trPr>
        <w:tc>
          <w:tcPr>
            <w:tcW w:w="1705" w:type="dxa"/>
            <w:shd w:val="clear" w:color="auto" w:fill="D9D9D9" w:themeFill="background1" w:themeFillShade="D9"/>
            <w:vAlign w:val="bottom"/>
          </w:tcPr>
          <w:p w:rsidR="002018E9" w:rsidP="00926603" w:rsidRDefault="00A92D0B" w14:paraId="4DFC935A" w14:textId="77777777">
            <w:pPr>
              <w:keepNext/>
              <w:tabs>
                <w:tab w:val="left" w:pos="1260"/>
              </w:tabs>
              <w:jc w:val="center"/>
              <w:rPr>
                <w:b/>
              </w:rPr>
            </w:pPr>
            <w:r w:rsidRPr="000E3C66">
              <w:rPr>
                <w:b/>
              </w:rPr>
              <w:t xml:space="preserve">Attachment </w:t>
            </w:r>
          </w:p>
          <w:p w:rsidRPr="000E3C66" w:rsidR="00A92D0B" w:rsidP="00926603" w:rsidRDefault="00A92D0B" w14:paraId="42A1D838" w14:textId="2400CE71">
            <w:pPr>
              <w:keepNext/>
              <w:tabs>
                <w:tab w:val="left" w:pos="1260"/>
              </w:tabs>
              <w:jc w:val="center"/>
              <w:rPr>
                <w:b/>
              </w:rPr>
            </w:pPr>
            <w:r w:rsidRPr="000E3C66">
              <w:rPr>
                <w:b/>
              </w:rPr>
              <w:t>or Comment #</w:t>
            </w:r>
          </w:p>
        </w:tc>
        <w:tc>
          <w:tcPr>
            <w:tcW w:w="7655" w:type="dxa"/>
            <w:tcBorders>
              <w:bottom w:val="single" w:color="auto" w:sz="4" w:space="0"/>
            </w:tcBorders>
            <w:shd w:val="clear" w:color="auto" w:fill="D9D9D9" w:themeFill="background1" w:themeFillShade="D9"/>
            <w:vAlign w:val="bottom"/>
          </w:tcPr>
          <w:p w:rsidRPr="000E3C66" w:rsidR="00A92D0B" w:rsidP="00926603" w:rsidRDefault="00A92D0B" w14:paraId="55F0A65F" w14:textId="77777777">
            <w:pPr>
              <w:keepNext/>
              <w:tabs>
                <w:tab w:val="left" w:pos="1260"/>
              </w:tabs>
              <w:jc w:val="center"/>
              <w:rPr>
                <w:b/>
              </w:rPr>
            </w:pPr>
            <w:r w:rsidRPr="000E3C66">
              <w:rPr>
                <w:b/>
              </w:rPr>
              <w:t>Description/Comment</w:t>
            </w:r>
          </w:p>
        </w:tc>
      </w:tr>
      <w:tr w:rsidRPr="000E3C66" w:rsidR="000E3C66" w:rsidTr="002E448A" w14:paraId="71F47148" w14:textId="77777777">
        <w:tc>
          <w:tcPr>
            <w:tcW w:w="1705" w:type="dxa"/>
            <w:tcBorders>
              <w:bottom w:val="single" w:color="auto" w:sz="4" w:space="0"/>
            </w:tcBorders>
            <w:shd w:val="clear" w:color="auto" w:fill="auto"/>
          </w:tcPr>
          <w:p w:rsidRPr="000E3C66" w:rsidR="00A92D0B" w:rsidP="002F3AB9" w:rsidRDefault="00A92D0B" w14:paraId="7A5C03D8" w14:textId="77777777">
            <w:pPr>
              <w:tabs>
                <w:tab w:val="left" w:pos="1260"/>
              </w:tabs>
            </w:pPr>
            <w:r w:rsidRPr="000E3C66">
              <w:t>1</w:t>
            </w:r>
          </w:p>
        </w:tc>
        <w:tc>
          <w:tcPr>
            <w:tcW w:w="7655" w:type="dxa"/>
            <w:tcBorders>
              <w:bottom w:val="single" w:color="auto" w:sz="4" w:space="0"/>
            </w:tcBorders>
            <w:shd w:val="clear" w:color="auto" w:fill="auto"/>
          </w:tcPr>
          <w:p w:rsidRPr="000E3C66" w:rsidR="00A92D0B" w:rsidP="002F3AB9" w:rsidRDefault="00A92D0B" w14:paraId="370C67BC" w14:textId="77777777">
            <w:pPr>
              <w:tabs>
                <w:tab w:val="left" w:pos="1260"/>
              </w:tabs>
            </w:pPr>
            <w:r w:rsidRPr="000E3C66">
              <w:t>Certificate of Service</w:t>
            </w:r>
          </w:p>
        </w:tc>
      </w:tr>
      <w:tr w:rsidRPr="000E3C66" w:rsidR="000E3C66" w:rsidTr="002E448A" w14:paraId="72C869B0" w14:textId="77777777">
        <w:tc>
          <w:tcPr>
            <w:tcW w:w="1705" w:type="dxa"/>
            <w:shd w:val="clear" w:color="auto" w:fill="auto"/>
          </w:tcPr>
          <w:p w:rsidRPr="000E3C66" w:rsidR="00A92D0B" w:rsidP="002F3AB9" w:rsidRDefault="0022302F" w14:paraId="49AADD21" w14:textId="77777777">
            <w:pPr>
              <w:tabs>
                <w:tab w:val="left" w:pos="1260"/>
              </w:tabs>
            </w:pPr>
            <w:r w:rsidRPr="000E3C66">
              <w:t>2</w:t>
            </w:r>
          </w:p>
        </w:tc>
        <w:tc>
          <w:tcPr>
            <w:tcW w:w="7655" w:type="dxa"/>
            <w:shd w:val="clear" w:color="auto" w:fill="auto"/>
          </w:tcPr>
          <w:p w:rsidRPr="002018E9" w:rsidR="00A92D0B" w:rsidP="002F3AB9" w:rsidRDefault="00A40339" w14:paraId="3AF20C23" w14:textId="610A81DF">
            <w:pPr>
              <w:tabs>
                <w:tab w:val="left" w:pos="1260"/>
              </w:tabs>
              <w:rPr>
                <w:bCs/>
              </w:rPr>
            </w:pPr>
            <w:r w:rsidRPr="002018E9">
              <w:rPr>
                <w:rFonts w:cstheme="minorHAnsi"/>
                <w:bCs/>
              </w:rPr>
              <w:t>Time Records of John Geesman</w:t>
            </w:r>
          </w:p>
        </w:tc>
      </w:tr>
      <w:tr w:rsidRPr="000E3C66" w:rsidR="000E3C66" w:rsidTr="002E448A" w14:paraId="21C97AB6" w14:textId="77777777">
        <w:tc>
          <w:tcPr>
            <w:tcW w:w="1705" w:type="dxa"/>
            <w:shd w:val="clear" w:color="auto" w:fill="auto"/>
          </w:tcPr>
          <w:p w:rsidRPr="000E3C66" w:rsidR="00A40339" w:rsidP="002F3AB9" w:rsidRDefault="00A40339" w14:paraId="03CF9CB9" w14:textId="578575E5">
            <w:pPr>
              <w:tabs>
                <w:tab w:val="left" w:pos="1260"/>
              </w:tabs>
            </w:pPr>
            <w:r w:rsidRPr="000E3C66">
              <w:t>3</w:t>
            </w:r>
          </w:p>
        </w:tc>
        <w:tc>
          <w:tcPr>
            <w:tcW w:w="7655" w:type="dxa"/>
            <w:shd w:val="clear" w:color="auto" w:fill="auto"/>
          </w:tcPr>
          <w:p w:rsidRPr="002018E9" w:rsidR="002018E9" w:rsidP="002F3AB9" w:rsidRDefault="00A40339" w14:paraId="4EBC1DA1" w14:textId="44A7D1CE">
            <w:pPr>
              <w:tabs>
                <w:tab w:val="left" w:pos="1260"/>
              </w:tabs>
              <w:rPr>
                <w:rFonts w:cstheme="minorHAnsi"/>
                <w:bCs/>
              </w:rPr>
            </w:pPr>
            <w:r w:rsidRPr="002018E9">
              <w:rPr>
                <w:rFonts w:cstheme="minorHAnsi"/>
                <w:bCs/>
              </w:rPr>
              <w:t>Time Records of Rochelle Becker</w:t>
            </w:r>
          </w:p>
        </w:tc>
      </w:tr>
      <w:tr w:rsidRPr="000E3C66" w:rsidR="000E3C66" w:rsidTr="002E448A" w14:paraId="32842B88" w14:textId="77777777">
        <w:tc>
          <w:tcPr>
            <w:tcW w:w="1705" w:type="dxa"/>
            <w:shd w:val="clear" w:color="auto" w:fill="auto"/>
          </w:tcPr>
          <w:p w:rsidRPr="000E3C66" w:rsidR="00A40339" w:rsidP="002F3AB9" w:rsidRDefault="00A40339" w14:paraId="20AA64ED" w14:textId="3608C402">
            <w:pPr>
              <w:tabs>
                <w:tab w:val="left" w:pos="1260"/>
              </w:tabs>
            </w:pPr>
            <w:r w:rsidRPr="000E3C66">
              <w:t>4</w:t>
            </w:r>
          </w:p>
        </w:tc>
        <w:tc>
          <w:tcPr>
            <w:tcW w:w="7655" w:type="dxa"/>
            <w:shd w:val="clear" w:color="auto" w:fill="auto"/>
          </w:tcPr>
          <w:p w:rsidRPr="002018E9" w:rsidR="002018E9" w:rsidP="002F3AB9" w:rsidRDefault="00A40339" w14:paraId="43EE92D7" w14:textId="6D3F482D">
            <w:pPr>
              <w:tabs>
                <w:tab w:val="left" w:pos="1260"/>
              </w:tabs>
              <w:rPr>
                <w:rFonts w:cstheme="minorHAnsi"/>
                <w:bCs/>
              </w:rPr>
            </w:pPr>
            <w:r w:rsidRPr="002018E9">
              <w:rPr>
                <w:rFonts w:cstheme="minorHAnsi"/>
                <w:bCs/>
              </w:rPr>
              <w:t>Time Records of David Weisman</w:t>
            </w:r>
          </w:p>
        </w:tc>
      </w:tr>
      <w:tr w:rsidRPr="000E3C66" w:rsidR="000E3C66" w:rsidTr="002E448A" w14:paraId="69C1E895" w14:textId="77777777">
        <w:tc>
          <w:tcPr>
            <w:tcW w:w="1705" w:type="dxa"/>
            <w:shd w:val="clear" w:color="auto" w:fill="auto"/>
          </w:tcPr>
          <w:p w:rsidRPr="000E3C66" w:rsidR="00A40339" w:rsidP="002F3AB9" w:rsidRDefault="00A40339" w14:paraId="170E0181" w14:textId="09545733">
            <w:pPr>
              <w:tabs>
                <w:tab w:val="left" w:pos="1260"/>
              </w:tabs>
            </w:pPr>
            <w:r w:rsidRPr="000E3C66">
              <w:t>5</w:t>
            </w:r>
          </w:p>
        </w:tc>
        <w:tc>
          <w:tcPr>
            <w:tcW w:w="7655" w:type="dxa"/>
            <w:shd w:val="clear" w:color="auto" w:fill="auto"/>
          </w:tcPr>
          <w:p w:rsidRPr="002018E9" w:rsidR="002018E9" w:rsidP="002F3AB9" w:rsidRDefault="00A40339" w14:paraId="0F5C7A06" w14:textId="3E54877C">
            <w:pPr>
              <w:tabs>
                <w:tab w:val="left" w:pos="1260"/>
              </w:tabs>
              <w:rPr>
                <w:rFonts w:cstheme="minorHAnsi"/>
                <w:bCs/>
              </w:rPr>
            </w:pPr>
            <w:r w:rsidRPr="002018E9">
              <w:rPr>
                <w:rFonts w:cstheme="minorHAnsi"/>
                <w:bCs/>
              </w:rPr>
              <w:t>Spreadsheet Verification of Calculations</w:t>
            </w:r>
          </w:p>
        </w:tc>
      </w:tr>
      <w:tr w:rsidRPr="000E3C66" w:rsidR="000E3C66" w:rsidTr="002E448A" w14:paraId="3DAE5229" w14:textId="77777777">
        <w:tc>
          <w:tcPr>
            <w:tcW w:w="1705" w:type="dxa"/>
            <w:shd w:val="clear" w:color="auto" w:fill="auto"/>
          </w:tcPr>
          <w:p w:rsidRPr="000E3C66" w:rsidR="00651123" w:rsidP="002F3AB9" w:rsidRDefault="00651123" w14:paraId="734596F9" w14:textId="6392D3E5">
            <w:pPr>
              <w:tabs>
                <w:tab w:val="left" w:pos="1260"/>
              </w:tabs>
            </w:pPr>
            <w:r w:rsidRPr="000E3C66">
              <w:t>6</w:t>
            </w:r>
          </w:p>
        </w:tc>
        <w:tc>
          <w:tcPr>
            <w:tcW w:w="7655" w:type="dxa"/>
            <w:shd w:val="clear" w:color="auto" w:fill="auto"/>
          </w:tcPr>
          <w:p w:rsidRPr="002018E9" w:rsidR="002018E9" w:rsidP="002F3AB9" w:rsidRDefault="008A3E65" w14:paraId="4FBDC152" w14:textId="308023F2">
            <w:pPr>
              <w:tabs>
                <w:tab w:val="left" w:pos="1260"/>
              </w:tabs>
              <w:rPr>
                <w:rFonts w:cstheme="minorHAnsi"/>
                <w:bCs/>
              </w:rPr>
            </w:pPr>
            <w:r w:rsidRPr="002018E9">
              <w:rPr>
                <w:rFonts w:cstheme="minorHAnsi"/>
                <w:bCs/>
              </w:rPr>
              <w:t>Travel Receipts</w:t>
            </w:r>
          </w:p>
        </w:tc>
      </w:tr>
      <w:tr w:rsidRPr="000E3C66" w:rsidR="000E3C66" w:rsidTr="002E448A" w14:paraId="14E797BD" w14:textId="77777777">
        <w:tc>
          <w:tcPr>
            <w:tcW w:w="1705" w:type="dxa"/>
            <w:shd w:val="clear" w:color="auto" w:fill="auto"/>
          </w:tcPr>
          <w:p w:rsidRPr="000E3C66" w:rsidR="00135F5D" w:rsidP="002F3AB9" w:rsidRDefault="002018E9" w14:paraId="2FF652CB" w14:textId="0D1E9733">
            <w:pPr>
              <w:tabs>
                <w:tab w:val="left" w:pos="1260"/>
              </w:tabs>
            </w:pPr>
            <w:r w:rsidRPr="000E3C66">
              <w:t>Comment 1</w:t>
            </w:r>
          </w:p>
        </w:tc>
        <w:tc>
          <w:tcPr>
            <w:tcW w:w="7655" w:type="dxa"/>
            <w:shd w:val="clear" w:color="auto" w:fill="auto"/>
          </w:tcPr>
          <w:p w:rsidRPr="002018E9" w:rsidR="00135F5D" w:rsidP="002F3AB9" w:rsidRDefault="00A522A3" w14:paraId="17D3015A" w14:textId="51422CA1">
            <w:pPr>
              <w:tabs>
                <w:tab w:val="left" w:pos="1260"/>
              </w:tabs>
              <w:rPr>
                <w:rFonts w:cstheme="minorHAnsi"/>
                <w:bCs/>
              </w:rPr>
            </w:pPr>
            <w:r w:rsidRPr="002018E9">
              <w:rPr>
                <w:rFonts w:cstheme="minorHAnsi"/>
                <w:bCs/>
              </w:rPr>
              <w:t xml:space="preserve">The 2024 rates for claim preparation </w:t>
            </w:r>
            <w:r w:rsidRPr="002018E9" w:rsidR="00C64C34">
              <w:rPr>
                <w:rFonts w:cstheme="minorHAnsi"/>
                <w:bCs/>
              </w:rPr>
              <w:t xml:space="preserve">identified above for Geesman and Weisman are those approved by the Commission for 2023.  If a COLA is adopted for 2024, A4NR requests that </w:t>
            </w:r>
            <w:r w:rsidRPr="002018E9" w:rsidR="00131C60">
              <w:rPr>
                <w:rFonts w:cstheme="minorHAnsi"/>
                <w:bCs/>
              </w:rPr>
              <w:t>it be applied to its 2024 hours</w:t>
            </w:r>
            <w:r w:rsidRPr="002018E9" w:rsidR="00D912B8">
              <w:rPr>
                <w:rFonts w:cstheme="minorHAnsi"/>
                <w:bCs/>
              </w:rPr>
              <w:t>.</w:t>
            </w:r>
          </w:p>
        </w:tc>
      </w:tr>
    </w:tbl>
    <w:p w:rsidRPr="000E3C66" w:rsidR="00A92D0B" w:rsidP="00926603" w:rsidRDefault="00A92D0B" w14:paraId="0D8B7003" w14:textId="29AECB0A">
      <w:pPr>
        <w:keepNext/>
        <w:numPr>
          <w:ilvl w:val="0"/>
          <w:numId w:val="20"/>
        </w:numPr>
        <w:spacing w:before="240" w:after="240"/>
        <w:rPr>
          <w:b/>
        </w:rPr>
      </w:pPr>
      <w:r w:rsidRPr="000E3C66">
        <w:rPr>
          <w:b/>
        </w:rPr>
        <w:lastRenderedPageBreak/>
        <w:t xml:space="preserve">CPUC </w:t>
      </w:r>
      <w:r w:rsidRPr="000E3C66" w:rsidR="008C09F7">
        <w:rPr>
          <w:b/>
        </w:rPr>
        <w:t xml:space="preserve">Comments, </w:t>
      </w:r>
      <w:r w:rsidRPr="000E3C66">
        <w:rPr>
          <w:b/>
        </w:rPr>
        <w:t>Disallowances</w:t>
      </w:r>
      <w:r w:rsidRPr="000E3C66" w:rsidR="008C09F7">
        <w:rPr>
          <w:b/>
        </w:rPr>
        <w:t>,</w:t>
      </w:r>
      <w:r w:rsidRPr="000E3C66" w:rsidR="00D075B1">
        <w:rPr>
          <w:b/>
        </w:rPr>
        <w:t xml:space="preserve"> </w:t>
      </w:r>
      <w:r w:rsidRPr="000E3C66" w:rsidR="00A319DE">
        <w:rPr>
          <w:b/>
        </w:rPr>
        <w:t>and</w:t>
      </w:r>
      <w:r w:rsidRPr="000E3C66" w:rsidR="00D075B1">
        <w:rPr>
          <w:b/>
        </w:rPr>
        <w:t xml:space="preserve"> </w:t>
      </w:r>
      <w:r w:rsidRPr="000E3C66">
        <w:rPr>
          <w:b/>
        </w:rPr>
        <w:t xml:space="preserve">Adjustments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2155"/>
        <w:gridCol w:w="7205"/>
      </w:tblGrid>
      <w:tr w:rsidRPr="000E3C66" w:rsidR="000E3C66" w:rsidTr="00897C27" w14:paraId="52CD0603" w14:textId="77777777">
        <w:trPr>
          <w:tblHeader/>
        </w:trPr>
        <w:tc>
          <w:tcPr>
            <w:tcW w:w="2155" w:type="dxa"/>
            <w:shd w:val="clear" w:color="auto" w:fill="D9D9D9" w:themeFill="background1" w:themeFillShade="D9"/>
            <w:vAlign w:val="bottom"/>
          </w:tcPr>
          <w:p w:rsidRPr="000E3C66" w:rsidR="00A92D0B" w:rsidP="00926603" w:rsidRDefault="00072C81" w14:paraId="3954EC4C" w14:textId="77777777">
            <w:pPr>
              <w:keepNext/>
              <w:tabs>
                <w:tab w:val="left" w:pos="1440"/>
              </w:tabs>
              <w:jc w:val="center"/>
              <w:rPr>
                <w:b/>
              </w:rPr>
            </w:pPr>
            <w:r w:rsidRPr="000E3C66">
              <w:rPr>
                <w:b/>
              </w:rPr>
              <w:t>Item</w:t>
            </w:r>
          </w:p>
        </w:tc>
        <w:tc>
          <w:tcPr>
            <w:tcW w:w="7205" w:type="dxa"/>
            <w:shd w:val="clear" w:color="auto" w:fill="D9D9D9" w:themeFill="background1" w:themeFillShade="D9"/>
            <w:vAlign w:val="bottom"/>
          </w:tcPr>
          <w:p w:rsidRPr="000E3C66" w:rsidR="00A92D0B" w:rsidP="00926603" w:rsidRDefault="00A92D0B" w14:paraId="09F9E4D9" w14:textId="77777777">
            <w:pPr>
              <w:keepNext/>
              <w:tabs>
                <w:tab w:val="left" w:pos="1440"/>
              </w:tabs>
              <w:jc w:val="center"/>
              <w:rPr>
                <w:b/>
              </w:rPr>
            </w:pPr>
            <w:r w:rsidRPr="000E3C66">
              <w:rPr>
                <w:b/>
              </w:rPr>
              <w:t>Reason</w:t>
            </w:r>
          </w:p>
        </w:tc>
      </w:tr>
      <w:tr w:rsidRPr="000E3C66" w:rsidR="000E3C66" w:rsidTr="00897C27" w14:paraId="69DEE01C" w14:textId="77777777">
        <w:tc>
          <w:tcPr>
            <w:tcW w:w="2155" w:type="dxa"/>
            <w:shd w:val="clear" w:color="auto" w:fill="auto"/>
          </w:tcPr>
          <w:p w:rsidR="002E448A" w:rsidP="002F3AB9" w:rsidRDefault="00730514" w14:paraId="37550780" w14:textId="77777777">
            <w:pPr>
              <w:tabs>
                <w:tab w:val="left" w:pos="1440"/>
              </w:tabs>
            </w:pPr>
            <w:r w:rsidRPr="000E3C66">
              <w:t xml:space="preserve">[1] John Geesman (Geesman) </w:t>
            </w:r>
          </w:p>
          <w:p w:rsidR="002E448A" w:rsidP="002F3AB9" w:rsidRDefault="006024D1" w14:paraId="291953ED" w14:textId="77777777">
            <w:pPr>
              <w:tabs>
                <w:tab w:val="left" w:pos="1440"/>
              </w:tabs>
            </w:pPr>
            <w:r w:rsidRPr="000E3C66">
              <w:t xml:space="preserve">2022, </w:t>
            </w:r>
            <w:r w:rsidRPr="000E3C66" w:rsidR="00730514">
              <w:t xml:space="preserve">2023 &amp; 2024 </w:t>
            </w:r>
          </w:p>
          <w:p w:rsidRPr="000E3C66" w:rsidR="00A92D0B" w:rsidP="002F3AB9" w:rsidRDefault="00730514" w14:paraId="1E6C8F3D" w14:textId="540D9BA8">
            <w:pPr>
              <w:tabs>
                <w:tab w:val="left" w:pos="1440"/>
              </w:tabs>
            </w:pPr>
            <w:r w:rsidRPr="000E3C66">
              <w:t xml:space="preserve">Hourly Rates </w:t>
            </w:r>
          </w:p>
        </w:tc>
        <w:tc>
          <w:tcPr>
            <w:tcW w:w="7205" w:type="dxa"/>
            <w:shd w:val="clear" w:color="auto" w:fill="auto"/>
          </w:tcPr>
          <w:p w:rsidRPr="000E3C66" w:rsidR="00BD1A74" w:rsidP="002E448A" w:rsidRDefault="00BD1A74" w14:paraId="07CB17A5" w14:textId="3D21ABCA">
            <w:pPr>
              <w:tabs>
                <w:tab w:val="left" w:pos="1440"/>
              </w:tabs>
              <w:spacing w:after="240"/>
            </w:pPr>
            <w:r w:rsidRPr="000E3C66">
              <w:t>Upon further review, we note that A4NR failed to identify Geesman as a consultant, instead of a full</w:t>
            </w:r>
            <w:r w:rsidRPr="000E3C66" w:rsidR="00F949CB">
              <w:noBreakHyphen/>
            </w:r>
            <w:r w:rsidRPr="000E3C66">
              <w:t xml:space="preserve">time staff member of A4NR. The Commission requested supplemental documentation be submitted by A4NR to confirm the rate charged by Geesman. </w:t>
            </w:r>
          </w:p>
          <w:p w:rsidRPr="000E3C66" w:rsidR="0015263D" w:rsidP="00897C27" w:rsidRDefault="00BD1A74" w14:paraId="732EB7D7" w14:textId="513FE96B">
            <w:pPr>
              <w:tabs>
                <w:tab w:val="left" w:pos="1440"/>
              </w:tabs>
              <w:spacing w:after="240"/>
            </w:pPr>
            <w:r w:rsidRPr="000E3C66">
              <w:t>Pursuant to Commission policy, the rate requested by an intervenor must not exceed the rate billed to that intervenor by any outside consultant it hires, even if the consultant’s billed rate is below the floor for a given experience level.</w:t>
            </w:r>
            <w:bookmarkStart w:name="_Ref188513431" w:id="1"/>
            <w:r w:rsidRPr="000E3C66">
              <w:rPr>
                <w:vertAlign w:val="superscript"/>
              </w:rPr>
              <w:footnoteReference w:id="5"/>
            </w:r>
            <w:bookmarkEnd w:id="1"/>
            <w:r w:rsidRPr="000E3C66">
              <w:t xml:space="preserve"> Per the IComp Program Guide at 24, the Commission may audit the records and books of the intervenors to the extent necessary to verify the basis for the award (</w:t>
            </w:r>
            <w:r w:rsidRPr="000E3C66" w:rsidR="00AE4FEE">
              <w:t>§ </w:t>
            </w:r>
            <w:r w:rsidRPr="000E3C66">
              <w:t xml:space="preserve">1804(d)). </w:t>
            </w:r>
          </w:p>
          <w:p w:rsidRPr="000E3C66" w:rsidR="00BD1A74" w:rsidP="00897C27" w:rsidRDefault="006306AF" w14:paraId="03EAEC9A" w14:textId="74ACC10F">
            <w:pPr>
              <w:tabs>
                <w:tab w:val="left" w:pos="1440"/>
              </w:tabs>
              <w:spacing w:after="240"/>
            </w:pPr>
            <w:r w:rsidRPr="000E3C66">
              <w:t>A4NR</w:t>
            </w:r>
            <w:r w:rsidRPr="000E3C66" w:rsidDel="006306AF">
              <w:t xml:space="preserve"> </w:t>
            </w:r>
            <w:r w:rsidRPr="000E3C66" w:rsidR="00BD1A74">
              <w:t xml:space="preserve">has confirmed that Geesman serves A4NR under contract on a contingency basis where the consultant has not billed or collected compensation for the work performed until final award is given. </w:t>
            </w:r>
            <w:r w:rsidR="002C49CD">
              <w:t>Given this contingency, w</w:t>
            </w:r>
            <w:r w:rsidRPr="000E3C66" w:rsidR="00BD1A74">
              <w:t>e therefore utilize the reasonable rates established by Resolution ALJ</w:t>
            </w:r>
            <w:r w:rsidRPr="000E3C66" w:rsidR="00F949CB">
              <w:noBreakHyphen/>
            </w:r>
            <w:r w:rsidRPr="000E3C66" w:rsidR="00BD1A74">
              <w:t xml:space="preserve">393 based on Geesman’s experience. Given the 2022 Attorney V rate range is $506.38 to $719.10 with a median of $626.38, we find the </w:t>
            </w:r>
            <w:r w:rsidR="002C49CD">
              <w:t xml:space="preserve">requested </w:t>
            </w:r>
            <w:r w:rsidRPr="000E3C66" w:rsidR="00BD1A74">
              <w:t xml:space="preserve">2022 hourly rate of $715.00 to be reasonable and we apply it here. </w:t>
            </w:r>
          </w:p>
          <w:p w:rsidRPr="000E3C66" w:rsidR="00506C4B" w:rsidP="00897C27" w:rsidRDefault="00BD1A74" w14:paraId="2AA39329" w14:textId="7923709C">
            <w:pPr>
              <w:tabs>
                <w:tab w:val="left" w:pos="1440"/>
              </w:tabs>
              <w:spacing w:after="240"/>
            </w:pPr>
            <w:r w:rsidRPr="000E3C66">
              <w:t>Given the 202</w:t>
            </w:r>
            <w:r w:rsidRPr="000E3C66" w:rsidR="00506C4B">
              <w:t>3</w:t>
            </w:r>
            <w:r w:rsidRPr="000E3C66">
              <w:t xml:space="preserve"> Attorney V rate range is $</w:t>
            </w:r>
            <w:r w:rsidRPr="000E3C66" w:rsidR="00506C4B">
              <w:t>534.32</w:t>
            </w:r>
            <w:r w:rsidRPr="000E3C66">
              <w:t xml:space="preserve"> to $</w:t>
            </w:r>
            <w:r w:rsidRPr="000E3C66" w:rsidR="00506C4B">
              <w:t>747.04</w:t>
            </w:r>
            <w:r w:rsidRPr="000E3C66">
              <w:t xml:space="preserve"> with a median of $</w:t>
            </w:r>
            <w:r w:rsidRPr="000E3C66" w:rsidR="00506C4B">
              <w:t>654.32</w:t>
            </w:r>
            <w:r w:rsidRPr="000E3C66">
              <w:t xml:space="preserve">, we find the </w:t>
            </w:r>
            <w:r w:rsidR="002C49CD">
              <w:t xml:space="preserve">requested </w:t>
            </w:r>
            <w:r w:rsidRPr="000E3C66">
              <w:t>202</w:t>
            </w:r>
            <w:r w:rsidRPr="000E3C66" w:rsidR="00506C4B">
              <w:t>3</w:t>
            </w:r>
            <w:r w:rsidRPr="000E3C66">
              <w:t xml:space="preserve"> hourly rate of $</w:t>
            </w:r>
            <w:r w:rsidRPr="000E3C66" w:rsidR="00506C4B">
              <w:t>745</w:t>
            </w:r>
            <w:r w:rsidRPr="000E3C66">
              <w:t xml:space="preserve"> to be reasonable for </w:t>
            </w:r>
            <w:r w:rsidRPr="000E3C66" w:rsidR="00506C4B">
              <w:t>Geesman</w:t>
            </w:r>
            <w:r w:rsidRPr="000E3C66">
              <w:t xml:space="preserve"> and we apply it here. </w:t>
            </w:r>
            <w:r w:rsidRPr="000E3C66" w:rsidR="00506C4B">
              <w:t>We apply one</w:t>
            </w:r>
            <w:r w:rsidRPr="000E3C66" w:rsidR="00F949CB">
              <w:noBreakHyphen/>
            </w:r>
            <w:r w:rsidRPr="000E3C66" w:rsidR="00506C4B">
              <w:t xml:space="preserve">half of Geesman’s 2023 hourly rate of $745.00 adopted above for a 2023 preparation rate of $372.50. </w:t>
            </w:r>
          </w:p>
          <w:p w:rsidRPr="000E3C66" w:rsidR="00FA3F0A" w:rsidP="00897C27" w:rsidRDefault="00FA3F0A" w14:paraId="2FEDB84A" w14:textId="4092258D">
            <w:pPr>
              <w:tabs>
                <w:tab w:val="left" w:pos="1440"/>
              </w:tabs>
              <w:spacing w:after="240"/>
            </w:pPr>
            <w:r w:rsidRPr="000E3C66">
              <w:t xml:space="preserve">Given the 2024 Attorney V rate range is $560.95 to $773.67 with a median of $680.95, we find the </w:t>
            </w:r>
            <w:r w:rsidR="000C0327">
              <w:t xml:space="preserve">requested </w:t>
            </w:r>
            <w:r w:rsidRPr="000E3C66">
              <w:t>2024 hourly rate of $7</w:t>
            </w:r>
            <w:r w:rsidR="000C0327">
              <w:t>45</w:t>
            </w:r>
            <w:r w:rsidRPr="000E3C66">
              <w:t xml:space="preserve"> to be reasonable for Geesman and we apply it here. We apply one</w:t>
            </w:r>
            <w:r w:rsidRPr="000E3C66" w:rsidR="00F949CB">
              <w:noBreakHyphen/>
            </w:r>
            <w:r w:rsidRPr="000E3C66">
              <w:t>half of Geesman’s 202</w:t>
            </w:r>
            <w:r w:rsidRPr="000E3C66" w:rsidR="0097155C">
              <w:t>4</w:t>
            </w:r>
            <w:r w:rsidRPr="000E3C66">
              <w:t xml:space="preserve"> hourly rate of $</w:t>
            </w:r>
            <w:r w:rsidRPr="000E3C66" w:rsidR="000C0327">
              <w:t>7</w:t>
            </w:r>
            <w:r w:rsidR="000C0327">
              <w:t>45</w:t>
            </w:r>
            <w:r w:rsidRPr="000E3C66">
              <w:t>.00 adopted above for a 202</w:t>
            </w:r>
            <w:r w:rsidRPr="000E3C66" w:rsidR="0097155C">
              <w:t>4</w:t>
            </w:r>
            <w:r w:rsidRPr="000E3C66">
              <w:t xml:space="preserve"> preparation rate of $</w:t>
            </w:r>
            <w:r w:rsidR="000C0327">
              <w:t>372.50</w:t>
            </w:r>
            <w:r w:rsidRPr="000E3C66">
              <w:t xml:space="preserve">. </w:t>
            </w:r>
          </w:p>
          <w:p w:rsidRPr="000E3C66" w:rsidR="00DA2576" w:rsidP="00897C27" w:rsidRDefault="00DA2576" w14:paraId="4E420BD0" w14:textId="41B759DB">
            <w:pPr>
              <w:tabs>
                <w:tab w:val="left" w:pos="1440"/>
              </w:tabs>
              <w:spacing w:after="240"/>
            </w:pPr>
            <w:r w:rsidRPr="000E3C66">
              <w:t>The award made herein for the consultant’s contribution shall be passed through in full to the consultant. Additionally, the rates approved here are specific to work in this proceeding, as they are established in accordance with the Commission’s policy on consultant compensation</w:t>
            </w:r>
            <w:r w:rsidR="006F5F49">
              <w:t xml:space="preserve"> and the contract terms between the consultant and intervenor</w:t>
            </w:r>
            <w:r w:rsidRPr="000E3C66">
              <w:t xml:space="preserve">, and the </w:t>
            </w:r>
            <w:r w:rsidRPr="000E3C66">
              <w:lastRenderedPageBreak/>
              <w:t xml:space="preserve">understanding that the consultant has not billed or collected compensation for the work performed until final award is given. </w:t>
            </w:r>
          </w:p>
          <w:p w:rsidRPr="000E3C66" w:rsidR="00697AA1" w:rsidP="00897C27" w:rsidRDefault="00DA2576" w14:paraId="45BFCB16" w14:textId="5149F36B">
            <w:pPr>
              <w:tabs>
                <w:tab w:val="left" w:pos="1440"/>
              </w:tabs>
              <w:spacing w:after="240"/>
            </w:pPr>
            <w:r w:rsidRPr="000E3C66">
              <w:t>We reiterate that it is the responsibility of the intervenor to be forthcoming about engaging consultants, to adhere to the Commission’s policy on compensation for consultant fees, and to provide the appropriate documentation with the initial claim to ensure efficient processing, and thus avoid the need for the Commission to request supplemental documentation.</w:t>
            </w:r>
            <w:r w:rsidR="00BA1F1C">
              <w:t xml:space="preserve"> </w:t>
            </w:r>
            <w:r w:rsidRPr="00BA1F1C" w:rsidR="00BA1F1C">
              <w:t xml:space="preserve">In this instance, </w:t>
            </w:r>
            <w:r w:rsidRPr="000E3C66" w:rsidR="00BA1F1C">
              <w:t>A4NR</w:t>
            </w:r>
            <w:r w:rsidRPr="00BA1F1C" w:rsidR="00BA1F1C">
              <w:t xml:space="preserve"> did not provide all the documentation pertaining to the contract terms between </w:t>
            </w:r>
            <w:r w:rsidRPr="000E3C66" w:rsidR="00BA1F1C">
              <w:t>A4NR</w:t>
            </w:r>
            <w:r w:rsidRPr="00BA1F1C" w:rsidR="00BA1F1C">
              <w:t xml:space="preserve"> and </w:t>
            </w:r>
            <w:r w:rsidR="00047D8D">
              <w:t>Geesman</w:t>
            </w:r>
            <w:r w:rsidRPr="00BA1F1C" w:rsidR="00BA1F1C">
              <w:t xml:space="preserve"> in the initial claim and waited until the Commission requested supplemental documentation which delays the processing of the claim</w:t>
            </w:r>
            <w:r w:rsidR="00047D8D">
              <w:t>.</w:t>
            </w:r>
          </w:p>
        </w:tc>
      </w:tr>
      <w:tr w:rsidRPr="000E3C66" w:rsidR="000E3C66" w:rsidTr="00897C27" w14:paraId="52155EFC" w14:textId="77777777">
        <w:tc>
          <w:tcPr>
            <w:tcW w:w="2155" w:type="dxa"/>
            <w:shd w:val="clear" w:color="auto" w:fill="auto"/>
          </w:tcPr>
          <w:p w:rsidR="00897C27" w:rsidP="002F3AB9" w:rsidRDefault="00C52C41" w14:paraId="46B659D3" w14:textId="77777777">
            <w:pPr>
              <w:tabs>
                <w:tab w:val="left" w:pos="1440"/>
              </w:tabs>
            </w:pPr>
            <w:r w:rsidRPr="000E3C66">
              <w:lastRenderedPageBreak/>
              <w:t xml:space="preserve">[2] Rochelle Becker </w:t>
            </w:r>
          </w:p>
          <w:p w:rsidR="00897C27" w:rsidP="002F3AB9" w:rsidRDefault="00C52C41" w14:paraId="14AD4151" w14:textId="55AF7207">
            <w:pPr>
              <w:tabs>
                <w:tab w:val="left" w:pos="1440"/>
              </w:tabs>
            </w:pPr>
            <w:r w:rsidRPr="000E3C66">
              <w:t xml:space="preserve">(Becker) </w:t>
            </w:r>
          </w:p>
          <w:p w:rsidRPr="000E3C66" w:rsidR="00A92D0B" w:rsidP="002F3AB9" w:rsidRDefault="00C52C41" w14:paraId="26487933" w14:textId="15F28A38">
            <w:pPr>
              <w:tabs>
                <w:tab w:val="left" w:pos="1440"/>
              </w:tabs>
            </w:pPr>
            <w:r w:rsidRPr="000E3C66">
              <w:t>2023 Hourly Rate</w:t>
            </w:r>
          </w:p>
        </w:tc>
        <w:tc>
          <w:tcPr>
            <w:tcW w:w="7205" w:type="dxa"/>
            <w:shd w:val="clear" w:color="auto" w:fill="auto"/>
          </w:tcPr>
          <w:p w:rsidRPr="000E3C66" w:rsidR="00A92D0B" w:rsidP="00897C27" w:rsidRDefault="00C52C41" w14:paraId="455E6A00" w14:textId="43E56146">
            <w:pPr>
              <w:tabs>
                <w:tab w:val="left" w:pos="1440"/>
              </w:tabs>
              <w:spacing w:after="240"/>
            </w:pPr>
            <w:r w:rsidRPr="000E3C66">
              <w:t>D.24</w:t>
            </w:r>
            <w:r w:rsidRPr="000E3C66" w:rsidR="00F949CB">
              <w:noBreakHyphen/>
            </w:r>
            <w:r w:rsidRPr="000E3C66">
              <w:t>04</w:t>
            </w:r>
            <w:r w:rsidRPr="000E3C66" w:rsidR="00F949CB">
              <w:noBreakHyphen/>
            </w:r>
            <w:r w:rsidRPr="000E3C66">
              <w:t>039 previously approved the 2023 rate of $320 for Becker.</w:t>
            </w:r>
          </w:p>
        </w:tc>
      </w:tr>
      <w:tr w:rsidRPr="000E3C66" w:rsidR="000E3C66" w:rsidTr="00897C27" w14:paraId="4FBD265B" w14:textId="77777777">
        <w:tc>
          <w:tcPr>
            <w:tcW w:w="2155" w:type="dxa"/>
            <w:shd w:val="clear" w:color="auto" w:fill="auto"/>
          </w:tcPr>
          <w:p w:rsidR="00897C27" w:rsidP="002F3AB9" w:rsidRDefault="00495F3D" w14:paraId="5926C234" w14:textId="77777777">
            <w:pPr>
              <w:tabs>
                <w:tab w:val="left" w:pos="1440"/>
              </w:tabs>
            </w:pPr>
            <w:r w:rsidRPr="000E3C66">
              <w:t xml:space="preserve">[3] David Weisman </w:t>
            </w:r>
          </w:p>
          <w:p w:rsidR="00897C27" w:rsidP="002F3AB9" w:rsidRDefault="00495F3D" w14:paraId="608870FD" w14:textId="77777777">
            <w:pPr>
              <w:tabs>
                <w:tab w:val="left" w:pos="1440"/>
              </w:tabs>
            </w:pPr>
            <w:r w:rsidRPr="000E3C66">
              <w:t xml:space="preserve">(Weisman) </w:t>
            </w:r>
          </w:p>
          <w:p w:rsidR="00897C27" w:rsidP="002F3AB9" w:rsidRDefault="00495F3D" w14:paraId="1AF20336" w14:textId="77777777">
            <w:pPr>
              <w:tabs>
                <w:tab w:val="left" w:pos="1440"/>
              </w:tabs>
            </w:pPr>
            <w:r w:rsidRPr="000E3C66">
              <w:t xml:space="preserve">2023 &amp; 2024 </w:t>
            </w:r>
          </w:p>
          <w:p w:rsidRPr="000E3C66" w:rsidR="00DF15D0" w:rsidP="002F3AB9" w:rsidRDefault="00495F3D" w14:paraId="67EAA6A8" w14:textId="6D6370F9">
            <w:pPr>
              <w:tabs>
                <w:tab w:val="left" w:pos="1440"/>
              </w:tabs>
            </w:pPr>
            <w:r w:rsidRPr="000E3C66">
              <w:t>Hourly Rates</w:t>
            </w:r>
          </w:p>
        </w:tc>
        <w:tc>
          <w:tcPr>
            <w:tcW w:w="7205" w:type="dxa"/>
            <w:shd w:val="clear" w:color="auto" w:fill="auto"/>
          </w:tcPr>
          <w:p w:rsidRPr="000E3C66" w:rsidR="00DF15D0" w:rsidP="00897C27" w:rsidRDefault="00881A44" w14:paraId="6570C1F7" w14:textId="2900112C">
            <w:pPr>
              <w:tabs>
                <w:tab w:val="left" w:pos="1440"/>
              </w:tabs>
              <w:spacing w:after="240"/>
            </w:pPr>
            <w:r w:rsidRPr="000E3C66">
              <w:t>D.24</w:t>
            </w:r>
            <w:r w:rsidRPr="000E3C66" w:rsidR="00F949CB">
              <w:noBreakHyphen/>
            </w:r>
            <w:r w:rsidRPr="000E3C66">
              <w:t>01</w:t>
            </w:r>
            <w:r w:rsidRPr="000E3C66" w:rsidR="00F949CB">
              <w:noBreakHyphen/>
            </w:r>
            <w:r w:rsidRPr="000E3C66">
              <w:t>044 previously approved the 2023 rate of $220 for Weisman.</w:t>
            </w:r>
          </w:p>
          <w:p w:rsidRPr="000E3C66" w:rsidR="00D104DD" w:rsidP="00897C27" w:rsidRDefault="00D104DD" w14:paraId="52AC4A19" w14:textId="6FA5F9C5">
            <w:pPr>
              <w:tabs>
                <w:tab w:val="left" w:pos="1440"/>
              </w:tabs>
              <w:spacing w:after="240"/>
            </w:pPr>
            <w:r w:rsidRPr="000E3C66">
              <w:t xml:space="preserve">In </w:t>
            </w:r>
            <w:r w:rsidRPr="000E3C66" w:rsidR="00471EE6">
              <w:t>Part I</w:t>
            </w:r>
            <w:r w:rsidRPr="000E3C66">
              <w:t xml:space="preserve">II.C, A4NR requests “if a COLA is adopted for 2024, A4NR requests that it be applied to its 2024 hours.” </w:t>
            </w:r>
          </w:p>
          <w:p w:rsidRPr="000E3C66" w:rsidR="00C33222" w:rsidP="00897C27" w:rsidRDefault="00C33222" w14:paraId="4521B025" w14:textId="3E890E40">
            <w:pPr>
              <w:tabs>
                <w:tab w:val="left" w:pos="1440"/>
              </w:tabs>
              <w:spacing w:after="240"/>
            </w:pPr>
            <w:r w:rsidRPr="000E3C66">
              <w:t>For Weisman’s 2024 hourly rate, the Commission applies the annual escalation methodology adopted in Resolution ALJ</w:t>
            </w:r>
            <w:r w:rsidRPr="000E3C66" w:rsidR="00F949CB">
              <w:noBreakHyphen/>
            </w:r>
            <w:r w:rsidRPr="000E3C66">
              <w:t>393, which is a percent change of 4.07%. With a 2023 rate of $220 previously established for Weisman, and based on the escalation factor of 4.07%, a 2024 rate of $230 is calculated, rounded to the nearest five dollars.</w:t>
            </w:r>
          </w:p>
          <w:p w:rsidRPr="000E3C66" w:rsidR="00D104DD" w:rsidP="00897C27" w:rsidRDefault="00C33222" w14:paraId="300876AA" w14:textId="3A3EC816">
            <w:pPr>
              <w:tabs>
                <w:tab w:val="left" w:pos="1440"/>
              </w:tabs>
              <w:spacing w:after="240"/>
            </w:pPr>
            <w:r w:rsidRPr="000E3C66">
              <w:t xml:space="preserve">A4NR is also requesting a 5% step increase added into the calculation of Weisman’s 2024 rate. This would be the second step increase for Weisman in the Expert – Communication Specialist </w:t>
            </w:r>
            <w:r w:rsidRPr="000E3C66" w:rsidR="00F949CB">
              <w:noBreakHyphen/>
            </w:r>
            <w:r w:rsidRPr="000E3C66">
              <w:t xml:space="preserve"> Level III role. Adding this 5% step increase to the $230 rate calculated above equals a 2024 rate of $240, rounded to the nearest five dollars, and is adopted.</w:t>
            </w:r>
          </w:p>
        </w:tc>
      </w:tr>
      <w:tr w:rsidRPr="000E3C66" w:rsidR="000E3C66" w:rsidTr="00897C27" w14:paraId="5202BD2C" w14:textId="77777777">
        <w:tc>
          <w:tcPr>
            <w:tcW w:w="2155" w:type="dxa"/>
            <w:shd w:val="clear" w:color="auto" w:fill="auto"/>
          </w:tcPr>
          <w:p w:rsidR="00897C27" w:rsidP="002F3AB9" w:rsidRDefault="0064102D" w14:paraId="213F0447" w14:textId="77777777">
            <w:pPr>
              <w:tabs>
                <w:tab w:val="left" w:pos="1440"/>
              </w:tabs>
            </w:pPr>
            <w:r w:rsidRPr="000E3C66">
              <w:t xml:space="preserve">[4] Geesman </w:t>
            </w:r>
          </w:p>
          <w:p w:rsidRPr="000E3C66" w:rsidR="00DF15D0" w:rsidP="002F3AB9" w:rsidRDefault="00356741" w14:paraId="26755FA8" w14:textId="158EC598">
            <w:pPr>
              <w:tabs>
                <w:tab w:val="left" w:pos="1440"/>
              </w:tabs>
            </w:pPr>
            <w:r w:rsidRPr="000E3C66">
              <w:t>2022</w:t>
            </w:r>
            <w:r w:rsidRPr="000E3C66" w:rsidR="00260159">
              <w:t xml:space="preserve"> &amp; 2023</w:t>
            </w:r>
            <w:r w:rsidRPr="000E3C66">
              <w:t xml:space="preserve"> </w:t>
            </w:r>
            <w:r w:rsidRPr="000E3C66" w:rsidR="0064102D">
              <w:t>Hours</w:t>
            </w:r>
          </w:p>
        </w:tc>
        <w:tc>
          <w:tcPr>
            <w:tcW w:w="7205" w:type="dxa"/>
            <w:shd w:val="clear" w:color="auto" w:fill="auto"/>
          </w:tcPr>
          <w:p w:rsidR="00981EB8" w:rsidP="00981EB8" w:rsidRDefault="004C4727" w14:paraId="4EEF42F9" w14:textId="5578E6FC">
            <w:pPr>
              <w:tabs>
                <w:tab w:val="left" w:pos="1440"/>
              </w:tabs>
              <w:spacing w:after="240"/>
            </w:pPr>
            <w:r w:rsidRPr="000E3C66">
              <w:t xml:space="preserve">The Commission compensates </w:t>
            </w:r>
            <w:r w:rsidR="001A7C39">
              <w:t xml:space="preserve">for </w:t>
            </w:r>
            <w:r w:rsidRPr="000E3C66">
              <w:t>efficient effort</w:t>
            </w:r>
            <w:r w:rsidR="009C31EB">
              <w:t>s</w:t>
            </w:r>
            <w:r w:rsidRPr="000E3C66">
              <w:t xml:space="preserve"> that contribute to the proceeding’s outcomes; however, the Commission also disallows inefficient participation that </w:t>
            </w:r>
            <w:r w:rsidR="001B33AC">
              <w:t>d</w:t>
            </w:r>
            <w:r w:rsidR="00074A70">
              <w:t>oes n</w:t>
            </w:r>
            <w:r w:rsidR="001B33AC">
              <w:t>ot</w:t>
            </w:r>
            <w:r w:rsidRPr="000E3C66" w:rsidR="00074A70">
              <w:t xml:space="preserve"> </w:t>
            </w:r>
            <w:r w:rsidRPr="000E3C66">
              <w:t>contribut</w:t>
            </w:r>
            <w:r w:rsidR="001B33AC">
              <w:t>e</w:t>
            </w:r>
            <w:r w:rsidRPr="000E3C66">
              <w:t xml:space="preserve"> to the underlying issues. </w:t>
            </w:r>
            <w:r w:rsidR="00981EB8">
              <w:t xml:space="preserve">We </w:t>
            </w:r>
            <w:r w:rsidR="00121521">
              <w:t xml:space="preserve">identify the following activities below where it </w:t>
            </w:r>
            <w:r w:rsidR="00A72A6F">
              <w:t>is unclear how the</w:t>
            </w:r>
            <w:r w:rsidR="00736D5D">
              <w:t xml:space="preserve"> </w:t>
            </w:r>
            <w:r w:rsidR="001B33AC">
              <w:t>efforts</w:t>
            </w:r>
            <w:r w:rsidRPr="000E3C66" w:rsidR="001B33AC">
              <w:t xml:space="preserve"> </w:t>
            </w:r>
            <w:r w:rsidRPr="000E3C66">
              <w:t>contribut</w:t>
            </w:r>
            <w:r w:rsidR="00E3475F">
              <w:t>e</w:t>
            </w:r>
            <w:r w:rsidR="000676D0">
              <w:t>d</w:t>
            </w:r>
            <w:r w:rsidR="00D234D5">
              <w:t xml:space="preserve"> to the decision-making process</w:t>
            </w:r>
            <w:r w:rsidR="00981EB8">
              <w:t>.</w:t>
            </w:r>
          </w:p>
          <w:p w:rsidRPr="000E3C66" w:rsidR="007B5193" w:rsidP="00897C27" w:rsidRDefault="00BE7B8B" w14:paraId="484022A6" w14:textId="0E2EA932">
            <w:pPr>
              <w:tabs>
                <w:tab w:val="left" w:pos="1440"/>
              </w:tabs>
              <w:spacing w:after="240"/>
            </w:pPr>
            <w:r w:rsidRPr="000E3C66">
              <w:t>Geesman’s claimed 2022</w:t>
            </w:r>
            <w:r w:rsidRPr="000E3C66" w:rsidR="007B5193">
              <w:t xml:space="preserve"> hours</w:t>
            </w:r>
            <w:r w:rsidR="00981EB8">
              <w:t>:</w:t>
            </w:r>
            <w:r w:rsidRPr="000E3C66" w:rsidR="007B5193">
              <w:t xml:space="preserve"> </w:t>
            </w:r>
          </w:p>
          <w:p w:rsidR="0048756D" w:rsidP="003D77D8" w:rsidRDefault="0048756D" w14:paraId="58671D31" w14:textId="77777777">
            <w:pPr>
              <w:tabs>
                <w:tab w:val="left" w:pos="1440"/>
              </w:tabs>
              <w:spacing w:after="240"/>
            </w:pPr>
            <w:r w:rsidRPr="0048756D">
              <w:rPr>
                <w:rFonts w:eastAsia="Calibri"/>
              </w:rPr>
              <w:t xml:space="preserve">Seismic Upgrade Cost Issues: </w:t>
            </w:r>
          </w:p>
          <w:p w:rsidR="0048756D" w:rsidP="003D77D8" w:rsidRDefault="0048756D" w14:paraId="06D7CFA0" w14:textId="77777777">
            <w:pPr>
              <w:numPr>
                <w:ilvl w:val="0"/>
                <w:numId w:val="14"/>
              </w:numPr>
              <w:tabs>
                <w:tab w:val="left" w:pos="1440"/>
              </w:tabs>
              <w:spacing w:after="240"/>
            </w:pPr>
            <w:r w:rsidRPr="0048756D">
              <w:lastRenderedPageBreak/>
              <w:t>9/5/22: “draft A4NR letter to President Reynolds re: PG&amp;E past shunning of IPRP” – 1.40 hours</w:t>
            </w:r>
          </w:p>
          <w:p w:rsidRPr="0048756D" w:rsidR="0048756D" w:rsidP="003D77D8" w:rsidRDefault="0048756D" w14:paraId="2044D30A" w14:textId="77777777">
            <w:pPr>
              <w:numPr>
                <w:ilvl w:val="0"/>
                <w:numId w:val="14"/>
              </w:numPr>
              <w:tabs>
                <w:tab w:val="left" w:pos="1440"/>
              </w:tabs>
              <w:spacing w:after="240"/>
            </w:pPr>
            <w:r w:rsidRPr="0048756D">
              <w:t>10/6/22: “Prep for, attend and participate in IPRP meeting” – 2.97 hours</w:t>
            </w:r>
          </w:p>
          <w:p w:rsidRPr="0048756D" w:rsidR="0048756D" w:rsidP="0048756D" w:rsidRDefault="0048756D" w14:paraId="0B99D593" w14:textId="77777777">
            <w:pPr>
              <w:tabs>
                <w:tab w:val="left" w:pos="1440"/>
              </w:tabs>
              <w:spacing w:after="240"/>
            </w:pPr>
            <w:bookmarkStart w:name="_Hlk195686804" w:id="2"/>
            <w:r w:rsidRPr="0048756D">
              <w:t>General Issues:</w:t>
            </w:r>
          </w:p>
          <w:bookmarkEnd w:id="2"/>
          <w:p w:rsidRPr="0048756D" w:rsidR="0048756D" w:rsidP="003D77D8" w:rsidRDefault="0048756D" w14:paraId="27A325B2" w14:textId="77777777">
            <w:pPr>
              <w:numPr>
                <w:ilvl w:val="0"/>
                <w:numId w:val="14"/>
              </w:numPr>
              <w:tabs>
                <w:tab w:val="left" w:pos="1440"/>
              </w:tabs>
              <w:spacing w:after="240"/>
            </w:pPr>
            <w:r w:rsidRPr="0048756D">
              <w:t>9/5/22: “review Japanese procedures for nuclear plant restarts” – 2.75 hours</w:t>
            </w:r>
          </w:p>
          <w:p w:rsidRPr="0048756D" w:rsidR="0048756D" w:rsidP="003D77D8" w:rsidRDefault="0048756D" w14:paraId="38E9E778" w14:textId="77777777">
            <w:pPr>
              <w:numPr>
                <w:ilvl w:val="0"/>
                <w:numId w:val="14"/>
              </w:numPr>
              <w:tabs>
                <w:tab w:val="left" w:pos="1440"/>
              </w:tabs>
              <w:spacing w:after="240"/>
            </w:pPr>
            <w:r w:rsidRPr="0048756D">
              <w:t>12/26/22: “review REACH assessment of Diablo Canyon site as offshore wind port” – 0.70 hours</w:t>
            </w:r>
          </w:p>
          <w:p w:rsidRPr="0048756D" w:rsidR="0048756D" w:rsidP="003D77D8" w:rsidRDefault="0048756D" w14:paraId="0061BD37" w14:textId="77777777">
            <w:pPr>
              <w:numPr>
                <w:ilvl w:val="0"/>
                <w:numId w:val="14"/>
              </w:numPr>
              <w:tabs>
                <w:tab w:val="left" w:pos="1440"/>
              </w:tabs>
              <w:spacing w:after="240"/>
            </w:pPr>
            <w:r w:rsidRPr="0048756D">
              <w:t>12/27/22: “review REACH report on Diablo Canyon suitability for offshore wind infrstructure” – 1.37 hours</w:t>
            </w:r>
          </w:p>
          <w:p w:rsidRPr="0048756D" w:rsidR="00621C73" w:rsidP="003D77D8" w:rsidRDefault="0048756D" w14:paraId="5524B89C" w14:textId="2E83DA1D">
            <w:pPr>
              <w:numPr>
                <w:ilvl w:val="0"/>
                <w:numId w:val="14"/>
              </w:numPr>
              <w:tabs>
                <w:tab w:val="left" w:pos="1440"/>
              </w:tabs>
              <w:spacing w:after="240"/>
            </w:pPr>
            <w:r w:rsidRPr="0048756D">
              <w:t>12/28/22: “research Diablo Canyon wind port development opportunities” – 0.25 hours</w:t>
            </w:r>
          </w:p>
          <w:p w:rsidRPr="0048756D" w:rsidR="0048756D" w:rsidP="0048756D" w:rsidRDefault="0048756D" w14:paraId="78184B6F" w14:textId="77777777">
            <w:pPr>
              <w:tabs>
                <w:tab w:val="left" w:pos="1440"/>
              </w:tabs>
              <w:spacing w:after="240"/>
            </w:pPr>
            <w:r w:rsidRPr="0048756D">
              <w:t>Seismic Upgrade Cost Issues/Deferred Maintenance Cost Issues:</w:t>
            </w:r>
          </w:p>
          <w:p w:rsidRPr="0048756D" w:rsidR="0048756D" w:rsidP="003D77D8" w:rsidRDefault="0048756D" w14:paraId="0740CDCD" w14:textId="13536726">
            <w:pPr>
              <w:numPr>
                <w:ilvl w:val="0"/>
                <w:numId w:val="14"/>
              </w:numPr>
              <w:tabs>
                <w:tab w:val="left" w:pos="1440"/>
              </w:tabs>
              <w:spacing w:after="240"/>
            </w:pPr>
            <w:r w:rsidRPr="0048756D">
              <w:t>9/10/22: “review A4NR testimony in A.12</w:t>
            </w:r>
            <w:r w:rsidRPr="0048756D">
              <w:noBreakHyphen/>
              <w:t>11</w:t>
            </w:r>
            <w:r w:rsidRPr="0048756D">
              <w:noBreakHyphen/>
              <w:t>009 and A.15</w:t>
            </w:r>
            <w:r w:rsidRPr="0048756D">
              <w:noBreakHyphen/>
              <w:t>02</w:t>
            </w:r>
            <w:r w:rsidRPr="0048756D">
              <w:noBreakHyphen/>
              <w:t>023” – 2.17 hours</w:t>
            </w:r>
          </w:p>
          <w:p w:rsidRPr="0048756D" w:rsidR="0048756D" w:rsidP="0048756D" w:rsidRDefault="0048756D" w14:paraId="5C23E360" w14:textId="77777777">
            <w:pPr>
              <w:tabs>
                <w:tab w:val="left" w:pos="1440"/>
              </w:tabs>
              <w:spacing w:after="240"/>
            </w:pPr>
            <w:r w:rsidRPr="0048756D">
              <w:t>Seismic Upgrade Cost Issues/PG&amp;E Estimated Costs Issues:</w:t>
            </w:r>
          </w:p>
          <w:p w:rsidRPr="0048756D" w:rsidR="0048756D" w:rsidP="003D77D8" w:rsidRDefault="0048756D" w14:paraId="329106F7" w14:textId="01A8E3C4">
            <w:pPr>
              <w:numPr>
                <w:ilvl w:val="0"/>
                <w:numId w:val="14"/>
              </w:numPr>
              <w:tabs>
                <w:tab w:val="left" w:pos="1440"/>
              </w:tabs>
              <w:spacing w:after="240"/>
            </w:pPr>
            <w:r w:rsidRPr="0048756D">
              <w:t>9/13/22: “email w. clients re: GTCC storage site, DWR seismic letter, increase in uranium prices, Bruce Gibson (IPRP member) inquiry, Newsom historical statements on Diablo Canyon at CSLC” – 0.36 hours</w:t>
            </w:r>
          </w:p>
          <w:p w:rsidRPr="0048756D" w:rsidR="0048756D" w:rsidP="0048756D" w:rsidRDefault="0048756D" w14:paraId="00C4F818" w14:textId="77777777">
            <w:pPr>
              <w:tabs>
                <w:tab w:val="left" w:pos="1440"/>
              </w:tabs>
              <w:spacing w:after="240"/>
            </w:pPr>
            <w:r w:rsidRPr="0048756D">
              <w:t>Seismic Upgrade Cost Issues/General Issues:</w:t>
            </w:r>
          </w:p>
          <w:p w:rsidRPr="0048756D" w:rsidR="0048756D" w:rsidP="003D77D8" w:rsidRDefault="0048756D" w14:paraId="52E51C3C" w14:textId="47368A34">
            <w:pPr>
              <w:numPr>
                <w:ilvl w:val="0"/>
                <w:numId w:val="14"/>
              </w:numPr>
              <w:tabs>
                <w:tab w:val="left" w:pos="1440"/>
              </w:tabs>
              <w:spacing w:after="240"/>
            </w:pPr>
            <w:r w:rsidRPr="0048756D">
              <w:t>9/20/22: “CSLC lease extention, BART vintage technology parallel” – 0.08 hours</w:t>
            </w:r>
          </w:p>
          <w:p w:rsidRPr="0048756D" w:rsidR="0048756D" w:rsidP="0048756D" w:rsidRDefault="0048756D" w14:paraId="3A78FF11" w14:textId="77777777">
            <w:pPr>
              <w:tabs>
                <w:tab w:val="left" w:pos="1440"/>
              </w:tabs>
              <w:spacing w:after="240"/>
            </w:pPr>
            <w:r w:rsidRPr="0048756D">
              <w:t>NRC Relicensing Costs Issues/PG&amp;E Estimated Costs Issues:</w:t>
            </w:r>
          </w:p>
          <w:p w:rsidRPr="0048756D" w:rsidR="0048756D" w:rsidP="003D77D8" w:rsidRDefault="0048756D" w14:paraId="5F8B896A" w14:textId="1260C8FB">
            <w:pPr>
              <w:numPr>
                <w:ilvl w:val="0"/>
                <w:numId w:val="14"/>
              </w:numPr>
              <w:tabs>
                <w:tab w:val="left" w:pos="1440"/>
              </w:tabs>
              <w:spacing w:after="240"/>
            </w:pPr>
            <w:r w:rsidRPr="0048756D">
              <w:t>10/20/22: “email w. clients re: SSC replacements, transcripts of Matosantos statements to legislature” – 0.09 hours</w:t>
            </w:r>
          </w:p>
          <w:p w:rsidRPr="0048756D" w:rsidR="0048756D" w:rsidP="0048756D" w:rsidRDefault="0048756D" w14:paraId="07238A44" w14:textId="77777777">
            <w:pPr>
              <w:tabs>
                <w:tab w:val="left" w:pos="1440"/>
              </w:tabs>
              <w:spacing w:after="240"/>
            </w:pPr>
            <w:r w:rsidRPr="0048756D">
              <w:lastRenderedPageBreak/>
              <w:t>Seismic Upgrade Cost Issues/Deferred Maintenance Costs Issues/NRC Relicensing Costs Issues/ PG&amp;E Estimated Costs Issues/Reliability Need and Benefits Issues:</w:t>
            </w:r>
          </w:p>
          <w:p w:rsidRPr="0048756D" w:rsidR="0048756D" w:rsidP="003D77D8" w:rsidRDefault="0048756D" w14:paraId="46A5505B" w14:textId="260B0D31">
            <w:pPr>
              <w:numPr>
                <w:ilvl w:val="0"/>
                <w:numId w:val="14"/>
              </w:numPr>
              <w:tabs>
                <w:tab w:val="left" w:pos="1440"/>
              </w:tabs>
              <w:spacing w:after="240"/>
            </w:pPr>
            <w:r w:rsidRPr="0048756D">
              <w:t>12/14/22: “attend DCDEP webinar on SB 846 implementation” – 1.70 hours</w:t>
            </w:r>
          </w:p>
          <w:p w:rsidR="008A456C" w:rsidP="00897C27" w:rsidRDefault="008A456C" w14:paraId="538953DF" w14:textId="7D5E525F">
            <w:pPr>
              <w:tabs>
                <w:tab w:val="left" w:pos="1440"/>
              </w:tabs>
              <w:spacing w:after="240"/>
            </w:pPr>
            <w:r w:rsidRPr="000E3C66">
              <w:t>Geesman’s claimed 2023 hours</w:t>
            </w:r>
            <w:r w:rsidRPr="000E3C66" w:rsidR="00694759">
              <w:t>:</w:t>
            </w:r>
            <w:r w:rsidRPr="000E3C66">
              <w:t xml:space="preserve"> </w:t>
            </w:r>
          </w:p>
          <w:p w:rsidRPr="0048756D" w:rsidR="0048756D" w:rsidP="0048756D" w:rsidRDefault="0048756D" w14:paraId="0647A051" w14:textId="77777777">
            <w:pPr>
              <w:tabs>
                <w:tab w:val="left" w:pos="1440"/>
              </w:tabs>
              <w:spacing w:after="240"/>
            </w:pPr>
            <w:r w:rsidRPr="0048756D">
              <w:t>Reliability Need and Benefits Issues:</w:t>
            </w:r>
          </w:p>
          <w:p w:rsidRPr="0048756D" w:rsidR="0048756D" w:rsidP="003D77D8" w:rsidRDefault="0048756D" w14:paraId="04DDF7E1" w14:textId="77777777">
            <w:pPr>
              <w:numPr>
                <w:ilvl w:val="0"/>
                <w:numId w:val="14"/>
              </w:numPr>
              <w:tabs>
                <w:tab w:val="left" w:pos="1440"/>
              </w:tabs>
              <w:spacing w:after="240"/>
            </w:pPr>
            <w:r w:rsidRPr="0048756D">
              <w:t>1/6/23: “review Diablo Canyon factual description filed by Pub. Adviser in CEC reliability docket” – 0.20 hours</w:t>
            </w:r>
          </w:p>
          <w:p w:rsidRPr="0048756D" w:rsidR="0048756D" w:rsidP="003D77D8" w:rsidRDefault="0048756D" w14:paraId="5A5053D2" w14:textId="52BE8A94">
            <w:pPr>
              <w:numPr>
                <w:ilvl w:val="0"/>
                <w:numId w:val="14"/>
              </w:numPr>
              <w:tabs>
                <w:tab w:val="left" w:pos="1440"/>
              </w:tabs>
              <w:spacing w:after="240"/>
            </w:pPr>
            <w:r w:rsidRPr="0048756D">
              <w:t>1/31/23</w:t>
            </w:r>
            <w:r w:rsidRPr="0048756D">
              <w:noBreakHyphen/>
              <w:t>2/1/23: “draft Comments on CEC reliability workshop” – 8.08 hours</w:t>
            </w:r>
          </w:p>
          <w:p w:rsidRPr="0048756D" w:rsidR="0048756D" w:rsidP="0048756D" w:rsidRDefault="0048756D" w14:paraId="56AC98BF" w14:textId="77777777">
            <w:pPr>
              <w:tabs>
                <w:tab w:val="left" w:pos="1440"/>
              </w:tabs>
              <w:spacing w:after="240"/>
            </w:pPr>
            <w:r w:rsidRPr="0048756D">
              <w:t>PG&amp;E Estimated Costs Issues:</w:t>
            </w:r>
          </w:p>
          <w:p w:rsidRPr="0048756D" w:rsidR="0048756D" w:rsidP="003D77D8" w:rsidRDefault="0048756D" w14:paraId="366CC216" w14:textId="77777777">
            <w:pPr>
              <w:numPr>
                <w:ilvl w:val="0"/>
                <w:numId w:val="14"/>
              </w:numPr>
              <w:tabs>
                <w:tab w:val="left" w:pos="1440"/>
              </w:tabs>
              <w:spacing w:after="240"/>
            </w:pPr>
            <w:r w:rsidRPr="0048756D">
              <w:t>2/6/23: “prepare for and participate in PG&amp;E accounting meet</w:t>
            </w:r>
            <w:r w:rsidRPr="0048756D">
              <w:noBreakHyphen/>
              <w:t>and</w:t>
            </w:r>
            <w:r w:rsidRPr="0048756D">
              <w:noBreakHyphen/>
              <w:t>confer” – 1.33 hours</w:t>
            </w:r>
          </w:p>
          <w:p w:rsidRPr="0048756D" w:rsidR="0048756D" w:rsidP="003D77D8" w:rsidRDefault="0048756D" w14:paraId="055E92A6" w14:textId="77777777">
            <w:pPr>
              <w:numPr>
                <w:ilvl w:val="0"/>
                <w:numId w:val="14"/>
              </w:numPr>
              <w:tabs>
                <w:tab w:val="left" w:pos="1440"/>
              </w:tabs>
              <w:spacing w:after="240"/>
            </w:pPr>
            <w:r w:rsidRPr="0048756D">
              <w:t>2/23/23: “review transcript of PG&amp;E quarterly earnings call” – 0.88 hours</w:t>
            </w:r>
          </w:p>
          <w:p w:rsidRPr="0048756D" w:rsidR="0048756D" w:rsidP="003D77D8" w:rsidRDefault="0048756D" w14:paraId="01A27F5C" w14:textId="208A1F66">
            <w:pPr>
              <w:numPr>
                <w:ilvl w:val="0"/>
                <w:numId w:val="14"/>
              </w:numPr>
              <w:tabs>
                <w:tab w:val="left" w:pos="1440"/>
              </w:tabs>
              <w:spacing w:after="240"/>
            </w:pPr>
            <w:r w:rsidRPr="0048756D">
              <w:t>3/19/23: “research statutory issues governing DCTRMA vs. DCEOBA for nuclear fuel financial commitments” – 4.43 hours</w:t>
            </w:r>
          </w:p>
          <w:p w:rsidRPr="0048756D" w:rsidR="0048756D" w:rsidP="003D77D8" w:rsidRDefault="0048756D" w14:paraId="51FC9F13" w14:textId="77777777">
            <w:pPr>
              <w:numPr>
                <w:ilvl w:val="0"/>
                <w:numId w:val="14"/>
              </w:numPr>
              <w:tabs>
                <w:tab w:val="left" w:pos="1440"/>
              </w:tabs>
              <w:spacing w:after="240"/>
            </w:pPr>
            <w:r w:rsidRPr="0048756D">
              <w:t>4/25/23: “review PD on rate design principles” – 0.65 hours</w:t>
            </w:r>
          </w:p>
          <w:p w:rsidRPr="0048756D" w:rsidR="0048756D" w:rsidP="003D77D8" w:rsidRDefault="0048756D" w14:paraId="636F6DA6" w14:textId="77777777">
            <w:pPr>
              <w:numPr>
                <w:ilvl w:val="0"/>
                <w:numId w:val="14"/>
              </w:numPr>
              <w:tabs>
                <w:tab w:val="left" w:pos="1440"/>
              </w:tabs>
              <w:spacing w:after="240"/>
            </w:pPr>
            <w:r w:rsidRPr="0048756D">
              <w:t>4/29/23: “research required extension of existing ISFSI permit from CCC” – 1.67 hours</w:t>
            </w:r>
          </w:p>
          <w:p w:rsidRPr="0048756D" w:rsidR="0048756D" w:rsidP="003D77D8" w:rsidRDefault="0048756D" w14:paraId="52D46BAF" w14:textId="72D72568">
            <w:pPr>
              <w:numPr>
                <w:ilvl w:val="0"/>
                <w:numId w:val="14"/>
              </w:numPr>
              <w:tabs>
                <w:tab w:val="left" w:pos="1440"/>
              </w:tabs>
              <w:spacing w:after="240"/>
            </w:pPr>
            <w:r w:rsidRPr="0048756D">
              <w:t>10/26/23: “draft public records request to DWR” – 0.45 hours</w:t>
            </w:r>
          </w:p>
          <w:p w:rsidRPr="0048756D" w:rsidR="0048756D" w:rsidP="0048756D" w:rsidRDefault="0048756D" w14:paraId="3A33F3FD" w14:textId="77777777">
            <w:pPr>
              <w:tabs>
                <w:tab w:val="left" w:pos="1440"/>
              </w:tabs>
              <w:spacing w:after="240"/>
            </w:pPr>
            <w:r w:rsidRPr="0048756D">
              <w:t>General Issues:</w:t>
            </w:r>
          </w:p>
          <w:p w:rsidRPr="0048756D" w:rsidR="0048756D" w:rsidP="003D77D8" w:rsidRDefault="0048756D" w14:paraId="7623FB76" w14:textId="77777777">
            <w:pPr>
              <w:numPr>
                <w:ilvl w:val="0"/>
                <w:numId w:val="14"/>
              </w:numPr>
              <w:tabs>
                <w:tab w:val="left" w:pos="1440"/>
              </w:tabs>
              <w:spacing w:after="240"/>
            </w:pPr>
            <w:r w:rsidRPr="0048756D">
              <w:t>3/6/23: “review video of Resources Agency public session” – 0.14 hours</w:t>
            </w:r>
          </w:p>
          <w:p w:rsidRPr="0048756D" w:rsidR="0048756D" w:rsidP="003D77D8" w:rsidRDefault="0048756D" w14:paraId="19345C15" w14:textId="5A7B2147">
            <w:pPr>
              <w:numPr>
                <w:ilvl w:val="0"/>
                <w:numId w:val="14"/>
              </w:numPr>
              <w:tabs>
                <w:tab w:val="left" w:pos="1440"/>
              </w:tabs>
              <w:spacing w:after="240"/>
            </w:pPr>
            <w:r w:rsidRPr="0048756D">
              <w:t>5/12/23: “review Resources Agency's report on Diablo Canyon land uses” – 0.83 hours</w:t>
            </w:r>
          </w:p>
          <w:p w:rsidRPr="0048756D" w:rsidR="0048756D" w:rsidP="003D77D8" w:rsidRDefault="0048756D" w14:paraId="607589F4" w14:textId="17BF9752">
            <w:pPr>
              <w:numPr>
                <w:ilvl w:val="0"/>
                <w:numId w:val="14"/>
              </w:numPr>
              <w:tabs>
                <w:tab w:val="left" w:pos="1440"/>
              </w:tabs>
              <w:spacing w:after="240"/>
            </w:pPr>
            <w:r w:rsidRPr="0048756D">
              <w:lastRenderedPageBreak/>
              <w:t>8/25/23</w:t>
            </w:r>
            <w:r w:rsidRPr="0048756D">
              <w:noBreakHyphen/>
              <w:t>8/26/23: “draft A4NR correspondence w. County” – 8.95 hours</w:t>
            </w:r>
          </w:p>
          <w:p w:rsidRPr="0048756D" w:rsidR="0048756D" w:rsidP="003D77D8" w:rsidRDefault="0048756D" w14:paraId="0C8CA43A" w14:textId="42C2F839">
            <w:pPr>
              <w:numPr>
                <w:ilvl w:val="0"/>
                <w:numId w:val="14"/>
              </w:numPr>
              <w:tabs>
                <w:tab w:val="left" w:pos="1440"/>
              </w:tabs>
              <w:spacing w:after="240"/>
            </w:pPr>
            <w:r w:rsidRPr="0048756D">
              <w:t>10/30/23: “email w. ALJ re: oral argument” – 0.02 hours</w:t>
            </w:r>
          </w:p>
          <w:p w:rsidRPr="0048756D" w:rsidR="0048756D" w:rsidP="003D77D8" w:rsidRDefault="0048756D" w14:paraId="025C63FB" w14:textId="4CB97CD8">
            <w:pPr>
              <w:numPr>
                <w:ilvl w:val="0"/>
                <w:numId w:val="14"/>
              </w:numPr>
              <w:tabs>
                <w:tab w:val="left" w:pos="1440"/>
              </w:tabs>
              <w:spacing w:after="240"/>
            </w:pPr>
            <w:r w:rsidRPr="0048756D">
              <w:t>11/2/23: “email w. ALJ re: remote viewing of oral argument” – 0.05 hours</w:t>
            </w:r>
          </w:p>
          <w:p w:rsidRPr="0048756D" w:rsidR="0048756D" w:rsidP="0048756D" w:rsidRDefault="0048756D" w14:paraId="1D6ED1EF" w14:textId="77777777">
            <w:pPr>
              <w:tabs>
                <w:tab w:val="left" w:pos="1440"/>
              </w:tabs>
              <w:spacing w:after="240"/>
            </w:pPr>
            <w:r w:rsidRPr="0048756D">
              <w:t>Seismic Upgrade Cost Issues:</w:t>
            </w:r>
          </w:p>
          <w:p w:rsidRPr="0048756D" w:rsidR="0048756D" w:rsidP="003D77D8" w:rsidRDefault="0048756D" w14:paraId="3F786D54" w14:textId="77777777">
            <w:pPr>
              <w:numPr>
                <w:ilvl w:val="0"/>
                <w:numId w:val="14"/>
              </w:numPr>
              <w:tabs>
                <w:tab w:val="left" w:pos="1440"/>
              </w:tabs>
              <w:spacing w:after="240"/>
            </w:pPr>
            <w:r w:rsidRPr="0048756D">
              <w:t>5/1/23: “email w. SLOMFP counsel re: request to IPRP” – 0.06 hours</w:t>
            </w:r>
          </w:p>
          <w:p w:rsidRPr="0048756D" w:rsidR="0048756D" w:rsidP="003D77D8" w:rsidRDefault="0048756D" w14:paraId="0A070F81" w14:textId="77777777">
            <w:pPr>
              <w:numPr>
                <w:ilvl w:val="0"/>
                <w:numId w:val="14"/>
              </w:numPr>
              <w:tabs>
                <w:tab w:val="left" w:pos="1440"/>
              </w:tabs>
              <w:spacing w:after="240"/>
            </w:pPr>
            <w:r w:rsidRPr="0048756D">
              <w:t>5/15/23: “draft letter to CSLC re: Diablo Canyon lease extension and scope of required seismic update for impacts on plant reliability” – 2.33 hours</w:t>
            </w:r>
          </w:p>
          <w:p w:rsidRPr="0048756D" w:rsidR="0048756D" w:rsidP="003D77D8" w:rsidRDefault="0048756D" w14:paraId="4BEA6F20" w14:textId="77777777">
            <w:pPr>
              <w:numPr>
                <w:ilvl w:val="0"/>
                <w:numId w:val="14"/>
              </w:numPr>
              <w:tabs>
                <w:tab w:val="left" w:pos="1440"/>
              </w:tabs>
              <w:spacing w:after="240"/>
            </w:pPr>
            <w:r w:rsidRPr="0048756D">
              <w:t>5/16/23: “email w. CSLC re: Diablo Canyon lease extension” – 0.05 hours</w:t>
            </w:r>
          </w:p>
          <w:p w:rsidRPr="0048756D" w:rsidR="0048756D" w:rsidP="003D77D8" w:rsidRDefault="0048756D" w14:paraId="7BB5FF5B" w14:textId="77777777">
            <w:pPr>
              <w:numPr>
                <w:ilvl w:val="0"/>
                <w:numId w:val="14"/>
              </w:numPr>
              <w:tabs>
                <w:tab w:val="left" w:pos="1440"/>
              </w:tabs>
              <w:spacing w:after="240"/>
            </w:pPr>
            <w:r w:rsidRPr="0048756D">
              <w:t>5/18/23: “email w. CSLC re: Diablo Canyon lease extension” – 0.04 hours</w:t>
            </w:r>
          </w:p>
          <w:p w:rsidRPr="0048756D" w:rsidR="0048756D" w:rsidP="003D77D8" w:rsidRDefault="0048756D" w14:paraId="10123302" w14:textId="77777777">
            <w:pPr>
              <w:numPr>
                <w:ilvl w:val="0"/>
                <w:numId w:val="14"/>
              </w:numPr>
              <w:tabs>
                <w:tab w:val="left" w:pos="1440"/>
              </w:tabs>
              <w:spacing w:after="240"/>
            </w:pPr>
            <w:r w:rsidRPr="0048756D">
              <w:t>5/31/23: “Zoom mtg. w. Lt. Gov. staff re: seismic conditions in CSLC lease” – 0.23 hours</w:t>
            </w:r>
          </w:p>
          <w:p w:rsidRPr="0048756D" w:rsidR="0048756D" w:rsidP="003D77D8" w:rsidRDefault="0048756D" w14:paraId="253B8B66" w14:textId="77777777">
            <w:pPr>
              <w:numPr>
                <w:ilvl w:val="0"/>
                <w:numId w:val="14"/>
              </w:numPr>
              <w:tabs>
                <w:tab w:val="left" w:pos="1440"/>
              </w:tabs>
              <w:spacing w:after="240"/>
            </w:pPr>
            <w:r w:rsidRPr="0048756D">
              <w:t>6/5/23: “attend CSLC mtg. on Diablo Canyon lease approval w. seismic update conditions” – 2.70 hours</w:t>
            </w:r>
          </w:p>
          <w:p w:rsidRPr="0048756D" w:rsidR="0048756D" w:rsidP="003D77D8" w:rsidRDefault="0048756D" w14:paraId="07964295" w14:textId="02F75805">
            <w:pPr>
              <w:numPr>
                <w:ilvl w:val="0"/>
                <w:numId w:val="14"/>
              </w:numPr>
              <w:tabs>
                <w:tab w:val="left" w:pos="1440"/>
              </w:tabs>
              <w:spacing w:after="240"/>
            </w:pPr>
            <w:r w:rsidRPr="0048756D">
              <w:t>11/9/23: “attend and participate in IPRP meeting” – 1.60 hours</w:t>
            </w:r>
          </w:p>
          <w:p w:rsidRPr="0048756D" w:rsidR="0048756D" w:rsidP="0048756D" w:rsidRDefault="0048756D" w14:paraId="2A850B0C" w14:textId="77777777">
            <w:pPr>
              <w:tabs>
                <w:tab w:val="left" w:pos="1440"/>
              </w:tabs>
              <w:spacing w:after="240"/>
            </w:pPr>
            <w:r w:rsidRPr="0048756D">
              <w:t>Seismic Upgrade Cost Issues/Deferred Maintenance Costs Issues/NRC Relicensing Costs Issues/ PG&amp;E Estimated Costs Issues/Reliability Need and Benefits Issues:</w:t>
            </w:r>
          </w:p>
          <w:p w:rsidRPr="0048756D" w:rsidR="0048756D" w:rsidP="003D77D8" w:rsidRDefault="0048756D" w14:paraId="4D0598AF" w14:textId="77777777">
            <w:pPr>
              <w:numPr>
                <w:ilvl w:val="0"/>
                <w:numId w:val="14"/>
              </w:numPr>
              <w:tabs>
                <w:tab w:val="left" w:pos="1440"/>
              </w:tabs>
              <w:spacing w:after="240"/>
            </w:pPr>
            <w:r w:rsidRPr="0048756D">
              <w:t>6/16/23: “review SLOMFP motion to compel discovery” – 0.40 hours</w:t>
            </w:r>
          </w:p>
          <w:p w:rsidRPr="0048756D" w:rsidR="0048756D" w:rsidP="003D77D8" w:rsidRDefault="0048756D" w14:paraId="2699FBBC" w14:textId="65F85A5B">
            <w:pPr>
              <w:numPr>
                <w:ilvl w:val="0"/>
                <w:numId w:val="14"/>
              </w:numPr>
              <w:tabs>
                <w:tab w:val="left" w:pos="1440"/>
              </w:tabs>
              <w:spacing w:after="240"/>
            </w:pPr>
            <w:r w:rsidRPr="0048756D">
              <w:t>8/17/23: “email w. SLOMFP counsel re: phone call” – 0.02 hours</w:t>
            </w:r>
          </w:p>
          <w:p w:rsidRPr="0048756D" w:rsidR="0048756D" w:rsidP="0048756D" w:rsidRDefault="0048756D" w14:paraId="7C5B33B5" w14:textId="77777777">
            <w:pPr>
              <w:tabs>
                <w:tab w:val="left" w:pos="1440"/>
              </w:tabs>
              <w:spacing w:after="240"/>
            </w:pPr>
            <w:r w:rsidRPr="0048756D">
              <w:t>NRC Relicensing Costs Issues:</w:t>
            </w:r>
          </w:p>
          <w:p w:rsidRPr="0048756D" w:rsidR="0048756D" w:rsidP="003D77D8" w:rsidRDefault="0048756D" w14:paraId="748F4081" w14:textId="03AF4B27">
            <w:pPr>
              <w:numPr>
                <w:ilvl w:val="0"/>
                <w:numId w:val="14"/>
              </w:numPr>
              <w:tabs>
                <w:tab w:val="left" w:pos="1440"/>
              </w:tabs>
              <w:spacing w:after="240"/>
            </w:pPr>
            <w:r w:rsidRPr="0048756D">
              <w:lastRenderedPageBreak/>
              <w:t>7/7/23: “review SLOMFP brief to 9th Circuit on timely</w:t>
            </w:r>
            <w:r w:rsidRPr="0048756D">
              <w:noBreakHyphen/>
              <w:t>application ruling” – 1.07 hours</w:t>
            </w:r>
          </w:p>
          <w:p w:rsidRPr="0048756D" w:rsidR="0048756D" w:rsidP="0048756D" w:rsidRDefault="0048756D" w14:paraId="36AA894E" w14:textId="77777777">
            <w:pPr>
              <w:tabs>
                <w:tab w:val="left" w:pos="1440"/>
              </w:tabs>
              <w:spacing w:after="240"/>
            </w:pPr>
            <w:r w:rsidRPr="0048756D">
              <w:t>Reliability Need and Benefits Issues:</w:t>
            </w:r>
          </w:p>
          <w:p w:rsidRPr="0048756D" w:rsidR="0048756D" w:rsidP="003D77D8" w:rsidRDefault="0048756D" w14:paraId="1D56F322" w14:textId="3C3F9A9C">
            <w:pPr>
              <w:numPr>
                <w:ilvl w:val="0"/>
                <w:numId w:val="14"/>
              </w:numPr>
              <w:tabs>
                <w:tab w:val="left" w:pos="1440"/>
              </w:tabs>
              <w:spacing w:after="240"/>
            </w:pPr>
            <w:r w:rsidRPr="0048756D">
              <w:t>7/31/23: “review CEC order initiating reliability proceeding and DWR Investment Plan for Extreme Events” – 0.67 hours</w:t>
            </w:r>
          </w:p>
          <w:p w:rsidRPr="0048756D" w:rsidR="0048756D" w:rsidP="003D77D8" w:rsidRDefault="0048756D" w14:paraId="1C26640D" w14:textId="76E2C578">
            <w:pPr>
              <w:numPr>
                <w:ilvl w:val="0"/>
                <w:numId w:val="14"/>
              </w:numPr>
              <w:tabs>
                <w:tab w:val="left" w:pos="1440"/>
              </w:tabs>
              <w:spacing w:after="240"/>
            </w:pPr>
            <w:r w:rsidRPr="0048756D">
              <w:t>9/7/23: “review video of Senate Energy hearing on reliability” – 1.17 hours</w:t>
            </w:r>
          </w:p>
          <w:p w:rsidRPr="0048756D" w:rsidR="0048756D" w:rsidP="0048756D" w:rsidRDefault="0048756D" w14:paraId="07D9182C" w14:textId="77777777">
            <w:pPr>
              <w:tabs>
                <w:tab w:val="left" w:pos="1440"/>
              </w:tabs>
              <w:spacing w:after="240"/>
            </w:pPr>
            <w:r w:rsidRPr="0048756D">
              <w:t>Seismic Upgrade Cost Issues/Deferred Maintenance Cost Issues:</w:t>
            </w:r>
          </w:p>
          <w:p w:rsidRPr="000E3C66" w:rsidR="0048756D" w:rsidP="003D77D8" w:rsidRDefault="0048756D" w14:paraId="62AE5E87" w14:textId="1D9E527F">
            <w:pPr>
              <w:numPr>
                <w:ilvl w:val="0"/>
                <w:numId w:val="14"/>
              </w:numPr>
              <w:tabs>
                <w:tab w:val="left" w:pos="1440"/>
              </w:tabs>
              <w:spacing w:after="240"/>
            </w:pPr>
            <w:r w:rsidRPr="0048756D">
              <w:t>10/14/23: “review video of PG&amp;E presentations to DCISC on seismic update and deferred maintenance reviews, draft A4NR memo to IPRP” – 2.03 hours</w:t>
            </w:r>
          </w:p>
          <w:p w:rsidRPr="000E3C66" w:rsidR="00D7424B" w:rsidP="00897C27" w:rsidRDefault="00121521" w14:paraId="7FE36766" w14:textId="0101DBB9">
            <w:pPr>
              <w:tabs>
                <w:tab w:val="left" w:pos="1440"/>
              </w:tabs>
              <w:spacing w:after="240"/>
            </w:pPr>
            <w:r>
              <w:t xml:space="preserve">We remind </w:t>
            </w:r>
            <w:r w:rsidRPr="000E3C66">
              <w:t>A4NR</w:t>
            </w:r>
            <w:r>
              <w:t xml:space="preserve"> that the </w:t>
            </w:r>
            <w:r w:rsidRPr="00E31D94">
              <w:t>burden of proof is on the intervenor to show that each of the hours claimed was spent productively to make a substantial contribution to the decision</w:t>
            </w:r>
            <w:r>
              <w:t>.</w:t>
            </w:r>
            <w:r w:rsidRPr="000E3C66" w:rsidDel="00D234D5">
              <w:t xml:space="preserve"> </w:t>
            </w:r>
            <w:r w:rsidRPr="00CB609A" w:rsidR="00CB609A">
              <w:rPr>
                <w:i/>
                <w:iCs/>
              </w:rPr>
              <w:t>See</w:t>
            </w:r>
            <w:r w:rsidRPr="00CB609A" w:rsidR="00CB609A">
              <w:t xml:space="preserve"> Part III.D CPUC Comments, Disallowances and Adjustments [7].</w:t>
            </w:r>
          </w:p>
        </w:tc>
      </w:tr>
      <w:tr w:rsidRPr="000E3C66" w:rsidR="000E3C66" w:rsidTr="00897C27" w14:paraId="71C37621" w14:textId="77777777">
        <w:tc>
          <w:tcPr>
            <w:tcW w:w="2155" w:type="dxa"/>
            <w:shd w:val="clear" w:color="auto" w:fill="auto"/>
          </w:tcPr>
          <w:p w:rsidR="003D77D8" w:rsidP="00D24586" w:rsidRDefault="00356741" w14:paraId="382043FE" w14:textId="77777777">
            <w:pPr>
              <w:tabs>
                <w:tab w:val="left" w:pos="1440"/>
              </w:tabs>
            </w:pPr>
            <w:r w:rsidRPr="000E3C66">
              <w:lastRenderedPageBreak/>
              <w:t>[</w:t>
            </w:r>
            <w:r w:rsidRPr="000E3C66" w:rsidR="0072587A">
              <w:t>5</w:t>
            </w:r>
            <w:r w:rsidRPr="000E3C66">
              <w:t xml:space="preserve">] </w:t>
            </w:r>
            <w:r w:rsidR="00D24586">
              <w:t>Becker</w:t>
            </w:r>
            <w:r w:rsidR="00462BCA">
              <w:t>’s</w:t>
            </w:r>
            <w:r w:rsidR="00D24586">
              <w:t xml:space="preserve"> and</w:t>
            </w:r>
            <w:r w:rsidR="00462BCA">
              <w:t xml:space="preserve"> </w:t>
            </w:r>
          </w:p>
          <w:p w:rsidR="00D24586" w:rsidP="00D24586" w:rsidRDefault="00D24586" w14:paraId="5281F38F" w14:textId="0EBB07A0">
            <w:pPr>
              <w:tabs>
                <w:tab w:val="left" w:pos="1440"/>
              </w:tabs>
            </w:pPr>
            <w:r>
              <w:t>We</w:t>
            </w:r>
            <w:r w:rsidR="00462BCA">
              <w:t>isman’s</w:t>
            </w:r>
            <w:r w:rsidRPr="000E3C66">
              <w:t xml:space="preserve"> </w:t>
            </w:r>
          </w:p>
          <w:p w:rsidRPr="000E3C66" w:rsidR="0064102D" w:rsidP="002F3AB9" w:rsidRDefault="00D24586" w14:paraId="01D48DE2" w14:textId="01C21C0E">
            <w:pPr>
              <w:tabs>
                <w:tab w:val="left" w:pos="1440"/>
              </w:tabs>
            </w:pPr>
            <w:r w:rsidRPr="000E3C66">
              <w:t>2022 &amp; 2023 Hours</w:t>
            </w:r>
          </w:p>
        </w:tc>
        <w:tc>
          <w:tcPr>
            <w:tcW w:w="7205" w:type="dxa"/>
            <w:shd w:val="clear" w:color="auto" w:fill="auto"/>
          </w:tcPr>
          <w:p w:rsidRPr="000E3C66" w:rsidR="00A91AFB" w:rsidP="00897C27" w:rsidRDefault="009C31EB" w14:paraId="592AFF6E" w14:textId="4C2DA88A">
            <w:pPr>
              <w:tabs>
                <w:tab w:val="left" w:pos="1440"/>
              </w:tabs>
              <w:spacing w:after="240"/>
            </w:pPr>
            <w:r w:rsidRPr="000E3C66">
              <w:t xml:space="preserve">The Commission compensates </w:t>
            </w:r>
            <w:r w:rsidR="001A7C39">
              <w:t xml:space="preserve">for </w:t>
            </w:r>
            <w:r w:rsidRPr="000E3C66">
              <w:t>efficient effort</w:t>
            </w:r>
            <w:r>
              <w:t>s</w:t>
            </w:r>
            <w:r w:rsidRPr="000E3C66">
              <w:t xml:space="preserve"> that contribute to the proceeding’s outcomes; however, the Commission also disallows inefficient participation that </w:t>
            </w:r>
            <w:r>
              <w:t>does not</w:t>
            </w:r>
            <w:r w:rsidRPr="000E3C66">
              <w:t xml:space="preserve"> contribut</w:t>
            </w:r>
            <w:r>
              <w:t>e</w:t>
            </w:r>
            <w:r w:rsidRPr="000E3C66">
              <w:t xml:space="preserve"> to the underlying issues. </w:t>
            </w:r>
            <w:r>
              <w:t>We identify the following activities below where it is unclear how the efforts</w:t>
            </w:r>
            <w:r w:rsidRPr="000E3C66">
              <w:t xml:space="preserve"> </w:t>
            </w:r>
            <w:r w:rsidRPr="002C2770" w:rsidR="002C2770">
              <w:t xml:space="preserve">attributed to </w:t>
            </w:r>
            <w:r>
              <w:t>the decision-making process</w:t>
            </w:r>
            <w:r w:rsidR="001A7C39">
              <w:t xml:space="preserve">: </w:t>
            </w:r>
          </w:p>
          <w:p w:rsidR="006E1A81" w:rsidP="00897C27" w:rsidRDefault="006E1A81" w14:paraId="200A7AC8" w14:textId="02877CE6">
            <w:pPr>
              <w:tabs>
                <w:tab w:val="left" w:pos="1440"/>
              </w:tabs>
              <w:spacing w:after="240"/>
              <w:rPr>
                <w:u w:val="single"/>
              </w:rPr>
            </w:pPr>
            <w:r>
              <w:rPr>
                <w:u w:val="single"/>
              </w:rPr>
              <w:t xml:space="preserve">Becker’s </w:t>
            </w:r>
            <w:r w:rsidR="00785A26">
              <w:rPr>
                <w:u w:val="single"/>
              </w:rPr>
              <w:t xml:space="preserve">claimed </w:t>
            </w:r>
            <w:r>
              <w:rPr>
                <w:u w:val="single"/>
              </w:rPr>
              <w:t xml:space="preserve">2022 hours included: </w:t>
            </w:r>
          </w:p>
          <w:p w:rsidRPr="000E3C66" w:rsidR="004C134D" w:rsidP="00897C27" w:rsidRDefault="004C134D" w14:paraId="6DDFCA44" w14:textId="0EA780FD">
            <w:pPr>
              <w:tabs>
                <w:tab w:val="left" w:pos="1440"/>
              </w:tabs>
              <w:spacing w:after="240"/>
              <w:rPr>
                <w:u w:val="single"/>
              </w:rPr>
            </w:pPr>
            <w:r w:rsidRPr="004C134D">
              <w:rPr>
                <w:u w:val="single"/>
              </w:rPr>
              <w:t>Seismic Upgrade Cost Issues/Deferred Maintenance Costs Issues/NRC Relicensing Costs Issues/ PG&amp;E Estimated Costs Issues/Reliability Need and Benefits Issues:</w:t>
            </w:r>
          </w:p>
          <w:p w:rsidRPr="000E3C66" w:rsidR="00533A5E" w:rsidP="00897C27" w:rsidRDefault="00533A5E" w14:paraId="5090BF70" w14:textId="255CD1FC">
            <w:pPr>
              <w:pStyle w:val="ListParagraph"/>
              <w:numPr>
                <w:ilvl w:val="0"/>
                <w:numId w:val="14"/>
              </w:numPr>
              <w:tabs>
                <w:tab w:val="left" w:pos="1440"/>
              </w:tabs>
              <w:spacing w:after="240"/>
            </w:pPr>
            <w:r w:rsidRPr="000E3C66">
              <w:t xml:space="preserve">12/14/22: </w:t>
            </w:r>
            <w:r w:rsidRPr="000E3C66" w:rsidR="00B86CC7">
              <w:t>“</w:t>
            </w:r>
            <w:r w:rsidRPr="000E3C66">
              <w:t xml:space="preserve">view remotely DCDEP meeting on </w:t>
            </w:r>
            <w:r w:rsidR="00813231">
              <w:t>SB </w:t>
            </w:r>
            <w:r w:rsidRPr="000E3C66">
              <w:t>846 implementation</w:t>
            </w:r>
            <w:r w:rsidRPr="000E3C66" w:rsidR="00B86CC7">
              <w:t xml:space="preserve">” </w:t>
            </w:r>
            <w:r w:rsidRPr="000E3C66">
              <w:t>— 1.70 hours</w:t>
            </w:r>
          </w:p>
          <w:p w:rsidR="00883D79" w:rsidP="00897C27" w:rsidRDefault="00883D79" w14:paraId="1A8CB59E" w14:textId="2D73B23F">
            <w:pPr>
              <w:tabs>
                <w:tab w:val="left" w:pos="1440"/>
              </w:tabs>
              <w:spacing w:after="240"/>
              <w:rPr>
                <w:u w:val="single"/>
              </w:rPr>
            </w:pPr>
            <w:r w:rsidRPr="000E3C66">
              <w:rPr>
                <w:u w:val="single"/>
              </w:rPr>
              <w:t>Weisman</w:t>
            </w:r>
            <w:r w:rsidR="006E1A81">
              <w:rPr>
                <w:u w:val="single"/>
              </w:rPr>
              <w:t>’s</w:t>
            </w:r>
            <w:r w:rsidR="00785A26">
              <w:rPr>
                <w:u w:val="single"/>
              </w:rPr>
              <w:t xml:space="preserve"> claimed</w:t>
            </w:r>
            <w:r w:rsidR="004C134D">
              <w:rPr>
                <w:u w:val="single"/>
              </w:rPr>
              <w:t xml:space="preserve"> 2022 </w:t>
            </w:r>
            <w:r w:rsidR="006E1A81">
              <w:rPr>
                <w:u w:val="single"/>
              </w:rPr>
              <w:t>h</w:t>
            </w:r>
            <w:r w:rsidR="004C134D">
              <w:rPr>
                <w:u w:val="single"/>
              </w:rPr>
              <w:t>ours</w:t>
            </w:r>
            <w:r w:rsidR="006E1A81">
              <w:rPr>
                <w:u w:val="single"/>
              </w:rPr>
              <w:t xml:space="preserve"> included:</w:t>
            </w:r>
          </w:p>
          <w:p w:rsidRPr="004C134D" w:rsidR="004C134D" w:rsidP="004C134D" w:rsidRDefault="004C134D" w14:paraId="79279C68" w14:textId="77777777">
            <w:pPr>
              <w:tabs>
                <w:tab w:val="left" w:pos="1440"/>
              </w:tabs>
              <w:spacing w:after="240"/>
              <w:rPr>
                <w:u w:val="single"/>
              </w:rPr>
            </w:pPr>
            <w:r w:rsidRPr="004C134D">
              <w:rPr>
                <w:u w:val="single"/>
              </w:rPr>
              <w:t>Seismic Upgrade Cost Issues:</w:t>
            </w:r>
          </w:p>
          <w:p w:rsidRPr="003D77D8" w:rsidR="004C134D" w:rsidP="003D77D8" w:rsidRDefault="004C134D" w14:paraId="7FA8335E" w14:textId="77777777">
            <w:pPr>
              <w:numPr>
                <w:ilvl w:val="0"/>
                <w:numId w:val="14"/>
              </w:numPr>
              <w:tabs>
                <w:tab w:val="left" w:pos="1440"/>
              </w:tabs>
              <w:spacing w:after="240"/>
              <w:rPr>
                <w:u w:val="single"/>
              </w:rPr>
            </w:pPr>
            <w:r w:rsidRPr="003D77D8">
              <w:rPr>
                <w:u w:val="single"/>
              </w:rPr>
              <w:t>9/13/22: “research and locate transcript of Newsom speech at June 2016 CSLC meeting re: Diablo seismic” — 0.25 hours</w:t>
            </w:r>
          </w:p>
          <w:p w:rsidRPr="003D77D8" w:rsidR="004C134D" w:rsidP="003D77D8" w:rsidRDefault="004C134D" w14:paraId="26DE709A" w14:textId="4A89EAE9">
            <w:pPr>
              <w:numPr>
                <w:ilvl w:val="0"/>
                <w:numId w:val="14"/>
              </w:numPr>
              <w:tabs>
                <w:tab w:val="left" w:pos="1440"/>
              </w:tabs>
              <w:spacing w:after="240"/>
              <w:rPr>
                <w:u w:val="single"/>
              </w:rPr>
            </w:pPr>
            <w:r w:rsidRPr="003D77D8">
              <w:rPr>
                <w:u w:val="single"/>
              </w:rPr>
              <w:lastRenderedPageBreak/>
              <w:t>12/1/22: “research and compile CVs and published papers of potential California seismic experts” — 0.80 hours</w:t>
            </w:r>
          </w:p>
          <w:p w:rsidRPr="004C134D" w:rsidR="004C134D" w:rsidP="004C134D" w:rsidRDefault="004C134D" w14:paraId="48865C68" w14:textId="77777777">
            <w:pPr>
              <w:tabs>
                <w:tab w:val="left" w:pos="1440"/>
              </w:tabs>
              <w:spacing w:after="240"/>
              <w:rPr>
                <w:u w:val="single"/>
              </w:rPr>
            </w:pPr>
            <w:r w:rsidRPr="004C134D">
              <w:rPr>
                <w:u w:val="single"/>
              </w:rPr>
              <w:t>Seismic Upgrade Cost Issues/Deferred Maintenance Costs Issues/NRC Relicensing Costs Issues/ PG&amp;E Estimated Costs Issues/Reliability Need and Benefits Issues:</w:t>
            </w:r>
          </w:p>
          <w:p w:rsidRPr="003D77D8" w:rsidR="004C134D" w:rsidP="003D77D8" w:rsidRDefault="004C134D" w14:paraId="31DCEF79" w14:textId="2805C630">
            <w:pPr>
              <w:numPr>
                <w:ilvl w:val="0"/>
                <w:numId w:val="14"/>
              </w:numPr>
              <w:tabs>
                <w:tab w:val="left" w:pos="1440"/>
              </w:tabs>
              <w:spacing w:after="240"/>
              <w:rPr>
                <w:u w:val="single"/>
              </w:rPr>
            </w:pPr>
            <w:r w:rsidRPr="003D77D8">
              <w:rPr>
                <w:u w:val="single"/>
              </w:rPr>
              <w:t>12/14/22: “view DCDEP webcast on SB 846 implementation” — 1.70 hours</w:t>
            </w:r>
          </w:p>
          <w:p w:rsidR="004C134D" w:rsidP="00897C27" w:rsidRDefault="004C134D" w14:paraId="42C51C5F" w14:textId="47EFAF2B">
            <w:pPr>
              <w:tabs>
                <w:tab w:val="left" w:pos="1440"/>
              </w:tabs>
              <w:spacing w:after="240"/>
              <w:rPr>
                <w:u w:val="single"/>
              </w:rPr>
            </w:pPr>
            <w:r w:rsidRPr="004C134D">
              <w:rPr>
                <w:u w:val="single"/>
              </w:rPr>
              <w:t>Weisman</w:t>
            </w:r>
            <w:r w:rsidR="006E1A81">
              <w:rPr>
                <w:u w:val="single"/>
              </w:rPr>
              <w:t>’s</w:t>
            </w:r>
            <w:r w:rsidRPr="004C134D">
              <w:rPr>
                <w:u w:val="single"/>
              </w:rPr>
              <w:t xml:space="preserve"> </w:t>
            </w:r>
            <w:r w:rsidR="00785A26">
              <w:rPr>
                <w:u w:val="single"/>
              </w:rPr>
              <w:t xml:space="preserve">claimed </w:t>
            </w:r>
            <w:r w:rsidRPr="004C134D">
              <w:rPr>
                <w:u w:val="single"/>
              </w:rPr>
              <w:t>202</w:t>
            </w:r>
            <w:r>
              <w:rPr>
                <w:u w:val="single"/>
              </w:rPr>
              <w:t>3</w:t>
            </w:r>
            <w:r w:rsidRPr="004C134D">
              <w:rPr>
                <w:u w:val="single"/>
              </w:rPr>
              <w:t xml:space="preserve"> </w:t>
            </w:r>
            <w:r w:rsidR="006E1A81">
              <w:rPr>
                <w:u w:val="single"/>
              </w:rPr>
              <w:t>h</w:t>
            </w:r>
            <w:r w:rsidRPr="004C134D">
              <w:rPr>
                <w:u w:val="single"/>
              </w:rPr>
              <w:t>ours</w:t>
            </w:r>
            <w:r w:rsidR="006E1A81">
              <w:rPr>
                <w:u w:val="single"/>
              </w:rPr>
              <w:t xml:space="preserve"> included:</w:t>
            </w:r>
          </w:p>
          <w:p w:rsidRPr="004C134D" w:rsidR="004C134D" w:rsidP="004C134D" w:rsidRDefault="004C134D" w14:paraId="1B34A212" w14:textId="77777777">
            <w:pPr>
              <w:tabs>
                <w:tab w:val="left" w:pos="1440"/>
              </w:tabs>
              <w:spacing w:after="240"/>
              <w:rPr>
                <w:u w:val="single"/>
              </w:rPr>
            </w:pPr>
            <w:r w:rsidRPr="004C134D">
              <w:rPr>
                <w:u w:val="single"/>
              </w:rPr>
              <w:t>PG&amp;E Estimated Costs Issues:</w:t>
            </w:r>
          </w:p>
          <w:p w:rsidRPr="003D77D8" w:rsidR="004C134D" w:rsidP="003D77D8" w:rsidRDefault="004C134D" w14:paraId="4D3A4E67" w14:textId="77777777">
            <w:pPr>
              <w:numPr>
                <w:ilvl w:val="0"/>
                <w:numId w:val="14"/>
              </w:numPr>
              <w:tabs>
                <w:tab w:val="left" w:pos="1440"/>
              </w:tabs>
              <w:spacing w:after="240"/>
              <w:rPr>
                <w:u w:val="single"/>
              </w:rPr>
            </w:pPr>
            <w:r w:rsidRPr="003D77D8">
              <w:rPr>
                <w:u w:val="single"/>
              </w:rPr>
              <w:t>2/3/23: “research and locate transcript of Newsom speech at June 2016 CSLC meeting re: Diablo seismic” — 0.10 hours</w:t>
            </w:r>
          </w:p>
          <w:p w:rsidRPr="003D77D8" w:rsidR="004C134D" w:rsidP="003D77D8" w:rsidRDefault="004C134D" w14:paraId="059F2F07" w14:textId="0090D53D">
            <w:pPr>
              <w:numPr>
                <w:ilvl w:val="0"/>
                <w:numId w:val="14"/>
              </w:numPr>
              <w:tabs>
                <w:tab w:val="left" w:pos="1440"/>
              </w:tabs>
              <w:spacing w:after="240"/>
              <w:rPr>
                <w:u w:val="single"/>
              </w:rPr>
            </w:pPr>
            <w:r w:rsidRPr="003D77D8">
              <w:rPr>
                <w:u w:val="single"/>
              </w:rPr>
              <w:t>5/12/23: “attend via Zoom Coastal Commission on ISFSI spent fuel permit extension” — 0.58 hours</w:t>
            </w:r>
          </w:p>
          <w:p w:rsidRPr="004C134D" w:rsidR="004C134D" w:rsidP="004C134D" w:rsidRDefault="004C134D" w14:paraId="46DBC29C" w14:textId="77777777">
            <w:pPr>
              <w:tabs>
                <w:tab w:val="left" w:pos="1440"/>
              </w:tabs>
              <w:spacing w:after="240"/>
              <w:rPr>
                <w:u w:val="single"/>
              </w:rPr>
            </w:pPr>
            <w:r w:rsidRPr="004C134D">
              <w:rPr>
                <w:u w:val="single"/>
              </w:rPr>
              <w:t>NRC Relicensing Costs Issues</w:t>
            </w:r>
          </w:p>
          <w:p w:rsidRPr="003D77D8" w:rsidR="004C134D" w:rsidP="003D77D8" w:rsidRDefault="004C134D" w14:paraId="76B656BE" w14:textId="4F5148AC">
            <w:pPr>
              <w:numPr>
                <w:ilvl w:val="0"/>
                <w:numId w:val="14"/>
              </w:numPr>
              <w:tabs>
                <w:tab w:val="left" w:pos="1440"/>
              </w:tabs>
              <w:spacing w:after="240"/>
              <w:rPr>
                <w:u w:val="single"/>
              </w:rPr>
            </w:pPr>
            <w:r w:rsidRPr="003D77D8">
              <w:rPr>
                <w:u w:val="single"/>
              </w:rPr>
              <w:t>5/3/23: “review Mothers for Peace petition to 9th circuit court to vacate NRC exemption” — 0.07 hours</w:t>
            </w:r>
          </w:p>
          <w:p w:rsidRPr="004C134D" w:rsidR="004C134D" w:rsidP="004C134D" w:rsidRDefault="004C134D" w14:paraId="4C2AA671" w14:textId="77777777">
            <w:pPr>
              <w:tabs>
                <w:tab w:val="left" w:pos="1440"/>
              </w:tabs>
              <w:spacing w:after="240"/>
              <w:rPr>
                <w:u w:val="single"/>
              </w:rPr>
            </w:pPr>
            <w:r w:rsidRPr="004C134D">
              <w:rPr>
                <w:u w:val="single"/>
              </w:rPr>
              <w:t>Seismic Upgrade Cost Issues:</w:t>
            </w:r>
          </w:p>
          <w:p w:rsidR="00A91AFB" w:rsidP="003D77D8" w:rsidRDefault="004C134D" w14:paraId="014C6CE5" w14:textId="79C144F7">
            <w:pPr>
              <w:numPr>
                <w:ilvl w:val="0"/>
                <w:numId w:val="14"/>
              </w:numPr>
              <w:tabs>
                <w:tab w:val="left" w:pos="1440"/>
              </w:tabs>
              <w:spacing w:after="240"/>
            </w:pPr>
            <w:r w:rsidRPr="003D77D8">
              <w:rPr>
                <w:u w:val="single"/>
              </w:rPr>
              <w:t>11/9/23: “attend IPRP meeting via Webex with CPUC, PGE and IPRP members/staff” — 1.60 hours</w:t>
            </w:r>
          </w:p>
          <w:p w:rsidRPr="000E3C66" w:rsidR="003662C6" w:rsidP="00897C27" w:rsidRDefault="003662C6" w14:paraId="5253BE97" w14:textId="6E1B881D">
            <w:pPr>
              <w:tabs>
                <w:tab w:val="left" w:pos="1440"/>
              </w:tabs>
              <w:spacing w:after="240"/>
            </w:pPr>
            <w:r>
              <w:t xml:space="preserve">We remind </w:t>
            </w:r>
            <w:r w:rsidRPr="000E3C66">
              <w:t>A4NR</w:t>
            </w:r>
            <w:r>
              <w:t xml:space="preserve"> that the </w:t>
            </w:r>
            <w:r w:rsidRPr="00E31D94">
              <w:t>burden of proof is on the intervenor to show that each of the hours claimed was spent productively to make a substantial contribution to the decision</w:t>
            </w:r>
            <w:r>
              <w:t>.</w:t>
            </w:r>
            <w:r w:rsidR="00CB609A">
              <w:t xml:space="preserve"> </w:t>
            </w:r>
            <w:r w:rsidRPr="00CB609A" w:rsidR="00CB609A">
              <w:rPr>
                <w:i/>
                <w:iCs/>
              </w:rPr>
              <w:t>See</w:t>
            </w:r>
            <w:r w:rsidRPr="00CB609A" w:rsidR="00CB609A">
              <w:t xml:space="preserve"> Part III.D CPUC Comments, Disallowances and Adjustments [7].</w:t>
            </w:r>
          </w:p>
        </w:tc>
      </w:tr>
      <w:tr w:rsidRPr="000E3C66" w:rsidR="000E3C66" w:rsidTr="00897C27" w14:paraId="3E0DD79E" w14:textId="77777777">
        <w:tc>
          <w:tcPr>
            <w:tcW w:w="2155" w:type="dxa"/>
            <w:shd w:val="clear" w:color="auto" w:fill="auto"/>
          </w:tcPr>
          <w:p w:rsidR="00813231" w:rsidP="002F3AB9" w:rsidRDefault="00735AB4" w14:paraId="10B76885" w14:textId="77777777">
            <w:pPr>
              <w:tabs>
                <w:tab w:val="left" w:pos="1440"/>
              </w:tabs>
            </w:pPr>
            <w:r w:rsidRPr="000E3C66">
              <w:lastRenderedPageBreak/>
              <w:t>[</w:t>
            </w:r>
            <w:r w:rsidRPr="000E3C66" w:rsidR="0072587A">
              <w:t>6</w:t>
            </w:r>
            <w:r w:rsidRPr="000E3C66">
              <w:t xml:space="preserve">] Disallowance of </w:t>
            </w:r>
          </w:p>
          <w:p w:rsidR="00813231" w:rsidP="002F3AB9" w:rsidRDefault="00735AB4" w14:paraId="6EF653EE" w14:textId="77777777">
            <w:pPr>
              <w:tabs>
                <w:tab w:val="left" w:pos="1440"/>
              </w:tabs>
            </w:pPr>
            <w:r w:rsidRPr="000E3C66">
              <w:t xml:space="preserve">Hours Prior to </w:t>
            </w:r>
          </w:p>
          <w:p w:rsidR="00813231" w:rsidP="002F3AB9" w:rsidRDefault="00735AB4" w14:paraId="1C7EFB5A" w14:textId="77777777">
            <w:pPr>
              <w:tabs>
                <w:tab w:val="left" w:pos="1440"/>
              </w:tabs>
            </w:pPr>
            <w:r w:rsidRPr="000E3C66">
              <w:t xml:space="preserve">Implementation of </w:t>
            </w:r>
          </w:p>
          <w:p w:rsidRPr="000E3C66" w:rsidR="0064102D" w:rsidP="002F3AB9" w:rsidRDefault="00813231" w14:paraId="092A94EF" w14:textId="6AB91876">
            <w:pPr>
              <w:tabs>
                <w:tab w:val="left" w:pos="1440"/>
              </w:tabs>
            </w:pPr>
            <w:r>
              <w:t>SB </w:t>
            </w:r>
            <w:r w:rsidRPr="000E3C66" w:rsidR="00735AB4">
              <w:t>846</w:t>
            </w:r>
          </w:p>
        </w:tc>
        <w:tc>
          <w:tcPr>
            <w:tcW w:w="7205" w:type="dxa"/>
            <w:shd w:val="clear" w:color="auto" w:fill="auto"/>
          </w:tcPr>
          <w:p w:rsidRPr="000E3C66" w:rsidR="00B032F5" w:rsidP="00813231" w:rsidRDefault="00B032F5" w14:paraId="7AE2B878" w14:textId="41566067">
            <w:pPr>
              <w:tabs>
                <w:tab w:val="left" w:pos="1440"/>
              </w:tabs>
              <w:spacing w:after="240"/>
            </w:pPr>
            <w:r w:rsidRPr="000E3C66">
              <w:t xml:space="preserve">In 2022, Geesman requested compensation for 177.68 hours. We disallow 32.92 hours that were recorded prior to the enactment of </w:t>
            </w:r>
            <w:r w:rsidR="00813231">
              <w:t>Senate Bill </w:t>
            </w:r>
            <w:r w:rsidRPr="000E3C66">
              <w:t>846 (i.e., prior to September 2, 2022). Since R.23</w:t>
            </w:r>
            <w:r w:rsidRPr="000E3C66" w:rsidR="00F949CB">
              <w:noBreakHyphen/>
            </w:r>
            <w:r w:rsidRPr="000E3C66">
              <w:t>01</w:t>
            </w:r>
            <w:r w:rsidRPr="000E3C66" w:rsidR="00F949CB">
              <w:noBreakHyphen/>
            </w:r>
            <w:r w:rsidRPr="000E3C66">
              <w:t xml:space="preserve">007 was opened to implement specific provisions of </w:t>
            </w:r>
            <w:r w:rsidR="00813231">
              <w:t>Senate Bill </w:t>
            </w:r>
            <w:r w:rsidRPr="000E3C66">
              <w:t xml:space="preserve">846, it is not reasonable to award intervenor compensation for time spent on issues that are not clearly tied to the underlying legislation. Further, prior to the enactment of </w:t>
            </w:r>
            <w:r w:rsidR="00813231">
              <w:t>Senate Bill </w:t>
            </w:r>
            <w:r w:rsidRPr="000E3C66">
              <w:t>846, A4NR would have no way of knowing what issues to address or how to focus its time and resources.</w:t>
            </w:r>
          </w:p>
          <w:p w:rsidRPr="000E3C66" w:rsidR="00B032F5" w:rsidP="00813231" w:rsidRDefault="00B032F5" w14:paraId="5BD9F635" w14:textId="5A5A49D6">
            <w:pPr>
              <w:tabs>
                <w:tab w:val="left" w:pos="1440"/>
              </w:tabs>
              <w:spacing w:after="240"/>
            </w:pPr>
            <w:r w:rsidRPr="000E3C66">
              <w:lastRenderedPageBreak/>
              <w:t xml:space="preserve">In 2022, Becker requested compensation for 38.71 hours. </w:t>
            </w:r>
            <w:r w:rsidRPr="000E3C66" w:rsidR="00CC6BD1">
              <w:t>As noted above, w</w:t>
            </w:r>
            <w:r w:rsidRPr="000E3C66">
              <w:t xml:space="preserve">e disallow 13.87 hours that were recorded prior to the enactment of </w:t>
            </w:r>
            <w:r w:rsidR="00813231">
              <w:t>Senate Bill </w:t>
            </w:r>
            <w:r w:rsidRPr="000E3C66">
              <w:t>846 (i.e., prior to September 2, 2022)</w:t>
            </w:r>
            <w:r w:rsidRPr="000E3C66" w:rsidR="00CC6BD1">
              <w:t>.</w:t>
            </w:r>
            <w:r w:rsidRPr="000E3C66" w:rsidR="00DB418F">
              <w:t xml:space="preserve"> </w:t>
            </w:r>
          </w:p>
          <w:p w:rsidRPr="000E3C66" w:rsidR="00CC6BD1" w:rsidP="00813231" w:rsidRDefault="00B032F5" w14:paraId="41A04F45" w14:textId="61CCC5B3">
            <w:pPr>
              <w:tabs>
                <w:tab w:val="left" w:pos="1440"/>
              </w:tabs>
              <w:spacing w:after="240"/>
            </w:pPr>
            <w:r w:rsidRPr="000E3C66">
              <w:t xml:space="preserve">In 2022, </w:t>
            </w:r>
            <w:r w:rsidRPr="000E3C66" w:rsidR="00ED2AE2">
              <w:t xml:space="preserve">Weisman </w:t>
            </w:r>
            <w:r w:rsidRPr="000E3C66">
              <w:t xml:space="preserve">requested compensation for 43.76 hours. </w:t>
            </w:r>
            <w:r w:rsidRPr="000E3C66" w:rsidR="00CC6BD1">
              <w:t>As noted above, w</w:t>
            </w:r>
            <w:r w:rsidRPr="000E3C66">
              <w:t xml:space="preserve">e disallow 16.97 hours that were recorded prior to the enactment of </w:t>
            </w:r>
            <w:r w:rsidR="00813231">
              <w:t>Senate Bill </w:t>
            </w:r>
            <w:r w:rsidRPr="000E3C66">
              <w:t>846 (i.e., prior to September 2, 2022)</w:t>
            </w:r>
            <w:r w:rsidRPr="000E3C66" w:rsidR="00CC6BD1">
              <w:t>.</w:t>
            </w:r>
            <w:r w:rsidRPr="000E3C66" w:rsidR="00DB418F">
              <w:t xml:space="preserve"> </w:t>
            </w:r>
          </w:p>
        </w:tc>
      </w:tr>
      <w:tr w:rsidRPr="000E3C66" w:rsidR="000E3C66" w:rsidTr="00897C27" w14:paraId="5C15FDB8" w14:textId="77777777">
        <w:tc>
          <w:tcPr>
            <w:tcW w:w="2155" w:type="dxa"/>
            <w:shd w:val="clear" w:color="auto" w:fill="auto"/>
          </w:tcPr>
          <w:p w:rsidR="00813231" w:rsidP="002F3AB9" w:rsidRDefault="00CA7A3F" w14:paraId="3CF97645" w14:textId="77777777">
            <w:pPr>
              <w:tabs>
                <w:tab w:val="left" w:pos="1440"/>
              </w:tabs>
            </w:pPr>
            <w:r w:rsidRPr="000E3C66">
              <w:lastRenderedPageBreak/>
              <w:t>[</w:t>
            </w:r>
            <w:r w:rsidRPr="000E3C66" w:rsidR="002E1F7C">
              <w:t>7</w:t>
            </w:r>
            <w:r w:rsidRPr="000E3C66">
              <w:t xml:space="preserve">] Disallowance of </w:t>
            </w:r>
          </w:p>
          <w:p w:rsidR="00184ABD" w:rsidP="002F3AB9" w:rsidRDefault="00CA7A3F" w14:paraId="55DCDF5A" w14:textId="77777777">
            <w:pPr>
              <w:tabs>
                <w:tab w:val="left" w:pos="1440"/>
              </w:tabs>
            </w:pPr>
            <w:r w:rsidRPr="000E3C66">
              <w:t xml:space="preserve">Hours – Internal </w:t>
            </w:r>
          </w:p>
          <w:p w:rsidRPr="000E3C66" w:rsidR="00DF15D0" w:rsidP="002F3AB9" w:rsidRDefault="00CA7A3F" w14:paraId="66481AE2" w14:textId="7395D36D">
            <w:pPr>
              <w:tabs>
                <w:tab w:val="left" w:pos="1440"/>
              </w:tabs>
            </w:pPr>
            <w:r w:rsidRPr="000E3C66">
              <w:t>Duplication</w:t>
            </w:r>
            <w:r w:rsidRPr="000E3C66" w:rsidR="00CD6C94">
              <w:t xml:space="preserve"> </w:t>
            </w:r>
          </w:p>
        </w:tc>
        <w:tc>
          <w:tcPr>
            <w:tcW w:w="7205" w:type="dxa"/>
            <w:shd w:val="clear" w:color="auto" w:fill="auto"/>
          </w:tcPr>
          <w:p w:rsidRPr="000E3C66" w:rsidR="00DF2576" w:rsidP="00813231" w:rsidRDefault="002B674E" w14:paraId="4171E6A4" w14:textId="4235A849">
            <w:pPr>
              <w:tabs>
                <w:tab w:val="left" w:pos="1440"/>
              </w:tabs>
              <w:spacing w:after="240"/>
            </w:pPr>
            <w:r w:rsidRPr="000E3C66">
              <w:t>A4NR’s claim totals nearly 1,058</w:t>
            </w:r>
            <w:r w:rsidRPr="000E3C66" w:rsidR="0033099B">
              <w:t>.00</w:t>
            </w:r>
            <w:r w:rsidRPr="000E3C66" w:rsidR="002D2173">
              <w:t xml:space="preserve"> (non</w:t>
            </w:r>
            <w:r w:rsidRPr="000E3C66" w:rsidR="00F949CB">
              <w:noBreakHyphen/>
            </w:r>
            <w:r w:rsidRPr="000E3C66" w:rsidR="002D2173">
              <w:t xml:space="preserve">Intervenor Compensation Claim Preparation and travel </w:t>
            </w:r>
            <w:r w:rsidRPr="000E3C66" w:rsidR="00486846">
              <w:t>fee/</w:t>
            </w:r>
            <w:r w:rsidRPr="000E3C66" w:rsidR="002D2173">
              <w:t xml:space="preserve">cost) </w:t>
            </w:r>
            <w:r w:rsidRPr="000E3C66">
              <w:t xml:space="preserve">hours, which is </w:t>
            </w:r>
            <w:r w:rsidRPr="000E3C66" w:rsidR="00D7424B">
              <w:t>far</w:t>
            </w:r>
            <w:r w:rsidRPr="000E3C66" w:rsidR="00433D7C">
              <w:t xml:space="preserve"> </w:t>
            </w:r>
            <w:r w:rsidRPr="000E3C66">
              <w:t>greater than the hours claimed by any other intervenor in this proceeding</w:t>
            </w:r>
            <w:r w:rsidRPr="000E3C66" w:rsidR="0033099B">
              <w:t xml:space="preserve"> who are claiming contribution to D.23</w:t>
            </w:r>
            <w:r w:rsidRPr="000E3C66" w:rsidR="00F949CB">
              <w:noBreakHyphen/>
            </w:r>
            <w:r w:rsidRPr="000E3C66" w:rsidR="0033099B">
              <w:t>12</w:t>
            </w:r>
            <w:r w:rsidRPr="000E3C66" w:rsidR="00F949CB">
              <w:noBreakHyphen/>
            </w:r>
            <w:r w:rsidRPr="000E3C66" w:rsidR="0033099B">
              <w:t>036</w:t>
            </w:r>
            <w:r w:rsidRPr="000E3C66">
              <w:t xml:space="preserve">.  </w:t>
            </w:r>
            <w:r w:rsidRPr="000E3C66" w:rsidR="00D7424B">
              <w:t xml:space="preserve">For reference, </w:t>
            </w:r>
            <w:r w:rsidRPr="000E3C66" w:rsidR="0033099B">
              <w:t>W</w:t>
            </w:r>
            <w:r w:rsidRPr="000E3C66" w:rsidR="00486846">
              <w:t>omen’s Energy Matters</w:t>
            </w:r>
            <w:r w:rsidRPr="000E3C66" w:rsidR="0033099B">
              <w:t xml:space="preserve"> claimed a total of 457.00 hours, </w:t>
            </w:r>
            <w:r w:rsidRPr="000E3C66" w:rsidR="00486846">
              <w:t>The Utility Reform Network</w:t>
            </w:r>
            <w:r w:rsidRPr="000E3C66" w:rsidR="00D7424B">
              <w:t xml:space="preserve"> claimed</w:t>
            </w:r>
            <w:r w:rsidRPr="000E3C66" w:rsidR="0033099B">
              <w:t xml:space="preserve"> 311.00</w:t>
            </w:r>
            <w:r w:rsidRPr="000E3C66" w:rsidR="00D7424B">
              <w:t xml:space="preserve"> hours</w:t>
            </w:r>
            <w:r w:rsidRPr="000E3C66" w:rsidR="0033099B">
              <w:t xml:space="preserve">, and </w:t>
            </w:r>
            <w:r w:rsidRPr="000E3C66" w:rsidR="00D7424B">
              <w:t>G</w:t>
            </w:r>
            <w:r w:rsidRPr="000E3C66" w:rsidR="00486846">
              <w:t>reen Power Institute</w:t>
            </w:r>
            <w:r w:rsidRPr="000E3C66" w:rsidR="00D7424B">
              <w:t xml:space="preserve"> claimed</w:t>
            </w:r>
            <w:r w:rsidRPr="000E3C66" w:rsidR="0033099B">
              <w:t xml:space="preserve"> 273.00 </w:t>
            </w:r>
            <w:r w:rsidRPr="000E3C66" w:rsidR="00D7424B">
              <w:t xml:space="preserve">hours. </w:t>
            </w:r>
            <w:r w:rsidRPr="000E3C66">
              <w:t xml:space="preserve">Additionally, </w:t>
            </w:r>
            <w:r w:rsidR="00001CAD">
              <w:t>almost 25% of the</w:t>
            </w:r>
            <w:r w:rsidRPr="000E3C66">
              <w:t xml:space="preserve"> hours claimed by </w:t>
            </w:r>
            <w:r w:rsidRPr="000E3C66" w:rsidR="00DB1315">
              <w:t>A4NR</w:t>
            </w:r>
            <w:r w:rsidRPr="000E3C66">
              <w:t xml:space="preserve">’s internal staff relate to reviewing internal documents, internal discussions/strategizing, and editing each other’s work, while </w:t>
            </w:r>
            <w:r w:rsidRPr="000E3C66" w:rsidR="000D52F1">
              <w:t>A4NR</w:t>
            </w:r>
            <w:r w:rsidRPr="000E3C66">
              <w:t xml:space="preserve"> often had more than one attorney reviewing the same issues in testimonies, comments, and briefs. </w:t>
            </w:r>
          </w:p>
          <w:p w:rsidRPr="000E3C66" w:rsidR="002B674E" w:rsidP="00184ABD" w:rsidRDefault="000D52F1" w14:paraId="23230926" w14:textId="7A1B09D3">
            <w:pPr>
              <w:tabs>
                <w:tab w:val="left" w:pos="1440"/>
              </w:tabs>
              <w:spacing w:after="240"/>
              <w:rPr>
                <w:vertAlign w:val="superscript"/>
              </w:rPr>
            </w:pPr>
            <w:r w:rsidRPr="000E3C66">
              <w:t>A4NR</w:t>
            </w:r>
            <w:r w:rsidRPr="000E3C66" w:rsidR="002B674E">
              <w:t xml:space="preserve"> is reminded that the Commission awards compensation for efficient efforts that contribute to proceeding outcomes, and that </w:t>
            </w:r>
            <w:r w:rsidRPr="000E3C66">
              <w:t>A4NR</w:t>
            </w:r>
            <w:r w:rsidRPr="000E3C66" w:rsidR="002B674E">
              <w:t>’s work should be sufficiently streamlined to prevent an excess of hours claimed. In the past, the Commission has disallowed inefficient activities and applied reductions to intervenor hours that reflect excessive internal duplicative efforts, such as “numerous internal communications, review of each other’s documents, working on the same materials, engaging in the same tasks and participating in the same events.” (</w:t>
            </w:r>
            <w:r w:rsidRPr="000E3C66" w:rsidR="00D7424B">
              <w:rPr>
                <w:i/>
                <w:iCs/>
              </w:rPr>
              <w:t>See</w:t>
            </w:r>
            <w:r w:rsidRPr="000E3C66" w:rsidR="00D7424B">
              <w:t xml:space="preserve"> </w:t>
            </w:r>
            <w:r w:rsidRPr="000E3C66" w:rsidR="002B674E">
              <w:rPr>
                <w:lang w:val="en-ZW"/>
              </w:rPr>
              <w:t>D.12</w:t>
            </w:r>
            <w:r w:rsidRPr="000E3C66" w:rsidR="00F949CB">
              <w:rPr>
                <w:lang w:val="en-ZW"/>
              </w:rPr>
              <w:noBreakHyphen/>
            </w:r>
            <w:r w:rsidRPr="000E3C66" w:rsidR="002B674E">
              <w:rPr>
                <w:lang w:val="en-ZW"/>
              </w:rPr>
              <w:t>03</w:t>
            </w:r>
            <w:r w:rsidRPr="000E3C66" w:rsidR="00F949CB">
              <w:rPr>
                <w:lang w:val="en-ZW"/>
              </w:rPr>
              <w:noBreakHyphen/>
            </w:r>
            <w:r w:rsidRPr="000E3C66" w:rsidR="002B674E">
              <w:rPr>
                <w:lang w:val="en-ZW"/>
              </w:rPr>
              <w:t>024 at 24</w:t>
            </w:r>
            <w:r w:rsidRPr="000E3C66" w:rsidR="00F949CB">
              <w:rPr>
                <w:lang w:val="en-ZW"/>
              </w:rPr>
              <w:noBreakHyphen/>
            </w:r>
            <w:r w:rsidRPr="000E3C66" w:rsidR="002B674E">
              <w:rPr>
                <w:lang w:val="en-ZW"/>
              </w:rPr>
              <w:t>25).</w:t>
            </w:r>
          </w:p>
          <w:p w:rsidRPr="000E3C66" w:rsidR="003F191F" w:rsidP="00184ABD" w:rsidRDefault="00AB3F55" w14:paraId="19F6025F" w14:textId="48E1304D">
            <w:pPr>
              <w:tabs>
                <w:tab w:val="left" w:pos="1440"/>
              </w:tabs>
              <w:spacing w:after="240"/>
            </w:pPr>
            <w:r>
              <w:t xml:space="preserve">We also note that there were </w:t>
            </w:r>
            <w:r w:rsidR="00F71113">
              <w:t>multiple</w:t>
            </w:r>
            <w:r w:rsidR="00AB0868">
              <w:t xml:space="preserve"> </w:t>
            </w:r>
            <w:r>
              <w:t>tasks listed in timesheets where it was unclear how the efforts</w:t>
            </w:r>
            <w:r w:rsidRPr="000E3C66">
              <w:t xml:space="preserve"> contribut</w:t>
            </w:r>
            <w:r>
              <w:t>ed to the decision-making process</w:t>
            </w:r>
            <w:r w:rsidR="003F5790">
              <w:t xml:space="preserve"> (</w:t>
            </w:r>
            <w:r w:rsidRPr="00D24586" w:rsidR="00D24586">
              <w:rPr>
                <w:i/>
                <w:iCs/>
              </w:rPr>
              <w:t>See</w:t>
            </w:r>
            <w:r w:rsidRPr="00D24586" w:rsidR="00D24586">
              <w:t xml:space="preserve"> CPUC Comments, Disallowances and Adjustments in Part III.D.</w:t>
            </w:r>
            <w:r w:rsidR="00D24586">
              <w:t>, items [4] and [5]</w:t>
            </w:r>
            <w:r>
              <w:t>.</w:t>
            </w:r>
            <w:r w:rsidR="00AB0868">
              <w:t>)</w:t>
            </w:r>
            <w:r>
              <w:t xml:space="preserve"> </w:t>
            </w:r>
            <w:r w:rsidRPr="000E3C66" w:rsidR="00886C70">
              <w:t xml:space="preserve">For the </w:t>
            </w:r>
            <w:r w:rsidRPr="000E3C66" w:rsidR="001500C2">
              <w:t xml:space="preserve">internal </w:t>
            </w:r>
            <w:r w:rsidRPr="000E3C66" w:rsidR="00886C70">
              <w:t>duplication</w:t>
            </w:r>
            <w:r w:rsidR="00001CAD">
              <w:t xml:space="preserve">, </w:t>
            </w:r>
            <w:r w:rsidRPr="000E3C66" w:rsidR="00886C70">
              <w:t>excessive</w:t>
            </w:r>
            <w:r w:rsidRPr="000E3C66" w:rsidR="001500C2">
              <w:t xml:space="preserve"> hours claimed</w:t>
            </w:r>
            <w:r w:rsidRPr="000E3C66" w:rsidR="00886C70">
              <w:t xml:space="preserve">, </w:t>
            </w:r>
            <w:r w:rsidR="00001CAD">
              <w:t xml:space="preserve">and </w:t>
            </w:r>
            <w:r w:rsidR="0075186B">
              <w:t>various tasks in timesheets</w:t>
            </w:r>
            <w:r>
              <w:t xml:space="preserve"> that </w:t>
            </w:r>
            <w:r w:rsidR="008A4BCF">
              <w:t xml:space="preserve">were deemed to have not significantly contributed to the decision making process, </w:t>
            </w:r>
            <w:r w:rsidRPr="000E3C66" w:rsidR="00886C70">
              <w:t xml:space="preserve">we disallow </w:t>
            </w:r>
            <w:r w:rsidR="004758D2">
              <w:t>50</w:t>
            </w:r>
            <w:r w:rsidRPr="000E3C66" w:rsidR="00886C70">
              <w:t>% of the total hours above for A4NR’s staff members</w:t>
            </w:r>
            <w:r w:rsidRPr="000E3C66" w:rsidR="00486846">
              <w:t xml:space="preserve"> </w:t>
            </w:r>
            <w:r w:rsidRPr="000E3C66" w:rsidR="00886C70">
              <w:t>Geesman, Becker, and Weisman for 2022 and 2023.</w:t>
            </w:r>
            <w:r w:rsidRPr="000E3C66" w:rsidR="003F191F">
              <w:t xml:space="preserve"> </w:t>
            </w:r>
          </w:p>
          <w:tbl>
            <w:tblPr>
              <w:tblStyle w:val="TableGrid"/>
              <w:tblW w:w="6912" w:type="dxa"/>
              <w:tblLook w:val="04A0" w:firstRow="1" w:lastRow="0" w:firstColumn="1" w:lastColumn="0" w:noHBand="0" w:noVBand="1"/>
            </w:tblPr>
            <w:tblGrid>
              <w:gridCol w:w="1506"/>
              <w:gridCol w:w="1080"/>
              <w:gridCol w:w="1530"/>
              <w:gridCol w:w="1440"/>
              <w:gridCol w:w="1356"/>
            </w:tblGrid>
            <w:tr w:rsidRPr="000E3C66" w:rsidR="000E3C66" w:rsidTr="00785A7D" w14:paraId="26A754F5" w14:textId="77777777">
              <w:tc>
                <w:tcPr>
                  <w:tcW w:w="1506" w:type="dxa"/>
                  <w:vAlign w:val="bottom"/>
                </w:tcPr>
                <w:p w:rsidRPr="000E3C66" w:rsidR="00D66B0C" w:rsidP="00184ABD" w:rsidRDefault="00886C70" w14:paraId="2DB7CEED" w14:textId="6A2250C7">
                  <w:pPr>
                    <w:keepNext/>
                    <w:tabs>
                      <w:tab w:val="left" w:pos="1440"/>
                    </w:tabs>
                    <w:jc w:val="center"/>
                    <w:rPr>
                      <w:b/>
                      <w:bCs/>
                    </w:rPr>
                  </w:pPr>
                  <w:r w:rsidRPr="000E3C66">
                    <w:rPr>
                      <w:b/>
                      <w:bCs/>
                    </w:rPr>
                    <w:t>Name</w:t>
                  </w:r>
                </w:p>
              </w:tc>
              <w:tc>
                <w:tcPr>
                  <w:tcW w:w="1080" w:type="dxa"/>
                  <w:vAlign w:val="bottom"/>
                </w:tcPr>
                <w:p w:rsidRPr="000E3C66" w:rsidR="00D66B0C" w:rsidP="00184ABD" w:rsidRDefault="00D66B0C" w14:paraId="7F8A1969" w14:textId="140528E1">
                  <w:pPr>
                    <w:keepNext/>
                    <w:tabs>
                      <w:tab w:val="left" w:pos="1440"/>
                    </w:tabs>
                    <w:jc w:val="center"/>
                    <w:rPr>
                      <w:b/>
                      <w:bCs/>
                    </w:rPr>
                  </w:pPr>
                  <w:r w:rsidRPr="000E3C66">
                    <w:rPr>
                      <w:b/>
                      <w:bCs/>
                    </w:rPr>
                    <w:t>Year</w:t>
                  </w:r>
                </w:p>
              </w:tc>
              <w:tc>
                <w:tcPr>
                  <w:tcW w:w="1530" w:type="dxa"/>
                  <w:vAlign w:val="bottom"/>
                </w:tcPr>
                <w:p w:rsidR="00785A7D" w:rsidP="00184ABD" w:rsidRDefault="00886C70" w14:paraId="6E57AD9D" w14:textId="77777777">
                  <w:pPr>
                    <w:keepNext/>
                    <w:tabs>
                      <w:tab w:val="left" w:pos="1440"/>
                    </w:tabs>
                    <w:jc w:val="center"/>
                    <w:rPr>
                      <w:b/>
                      <w:bCs/>
                    </w:rPr>
                  </w:pPr>
                  <w:r w:rsidRPr="000E3C66">
                    <w:rPr>
                      <w:b/>
                      <w:bCs/>
                    </w:rPr>
                    <w:t xml:space="preserve">Hours </w:t>
                  </w:r>
                </w:p>
                <w:p w:rsidRPr="000E3C66" w:rsidR="00D66B0C" w:rsidP="00184ABD" w:rsidRDefault="00886C70" w14:paraId="6FFDBDA3" w14:textId="12735A30">
                  <w:pPr>
                    <w:keepNext/>
                    <w:tabs>
                      <w:tab w:val="left" w:pos="1440"/>
                    </w:tabs>
                    <w:jc w:val="center"/>
                    <w:rPr>
                      <w:b/>
                      <w:bCs/>
                    </w:rPr>
                  </w:pPr>
                  <w:r w:rsidRPr="000E3C66">
                    <w:rPr>
                      <w:b/>
                      <w:bCs/>
                    </w:rPr>
                    <w:t>Requested</w:t>
                  </w:r>
                  <w:r w:rsidRPr="000E3C66" w:rsidR="00514386">
                    <w:rPr>
                      <w:rStyle w:val="FootnoteReference"/>
                    </w:rPr>
                    <w:footnoteReference w:id="6"/>
                  </w:r>
                </w:p>
              </w:tc>
              <w:tc>
                <w:tcPr>
                  <w:tcW w:w="1440" w:type="dxa"/>
                  <w:vAlign w:val="bottom"/>
                </w:tcPr>
                <w:p w:rsidR="00785A7D" w:rsidP="00184ABD" w:rsidRDefault="00D66B0C" w14:paraId="54DF77A8" w14:textId="77777777">
                  <w:pPr>
                    <w:keepNext/>
                    <w:tabs>
                      <w:tab w:val="left" w:pos="1440"/>
                    </w:tabs>
                    <w:jc w:val="center"/>
                    <w:rPr>
                      <w:b/>
                      <w:bCs/>
                    </w:rPr>
                  </w:pPr>
                  <w:r w:rsidRPr="000E3C66">
                    <w:rPr>
                      <w:b/>
                      <w:bCs/>
                    </w:rPr>
                    <w:t xml:space="preserve">Hours </w:t>
                  </w:r>
                </w:p>
                <w:p w:rsidRPr="000E3C66" w:rsidR="00D66B0C" w:rsidP="00184ABD" w:rsidRDefault="00D66B0C" w14:paraId="74611704" w14:textId="3F3AFBED">
                  <w:pPr>
                    <w:keepNext/>
                    <w:tabs>
                      <w:tab w:val="left" w:pos="1440"/>
                    </w:tabs>
                    <w:jc w:val="center"/>
                    <w:rPr>
                      <w:b/>
                      <w:bCs/>
                    </w:rPr>
                  </w:pPr>
                  <w:r w:rsidRPr="000E3C66">
                    <w:rPr>
                      <w:b/>
                      <w:bCs/>
                    </w:rPr>
                    <w:t>Disallowed</w:t>
                  </w:r>
                </w:p>
              </w:tc>
              <w:tc>
                <w:tcPr>
                  <w:tcW w:w="1356" w:type="dxa"/>
                  <w:vAlign w:val="bottom"/>
                </w:tcPr>
                <w:p w:rsidR="00785A7D" w:rsidP="00184ABD" w:rsidRDefault="00D66B0C" w14:paraId="27BC203A" w14:textId="77777777">
                  <w:pPr>
                    <w:keepNext/>
                    <w:tabs>
                      <w:tab w:val="left" w:pos="1440"/>
                    </w:tabs>
                    <w:jc w:val="center"/>
                    <w:rPr>
                      <w:b/>
                      <w:bCs/>
                    </w:rPr>
                  </w:pPr>
                  <w:r w:rsidRPr="000E3C66">
                    <w:rPr>
                      <w:b/>
                      <w:bCs/>
                    </w:rPr>
                    <w:t xml:space="preserve">Hours </w:t>
                  </w:r>
                </w:p>
                <w:p w:rsidRPr="000E3C66" w:rsidR="00D66B0C" w:rsidP="00184ABD" w:rsidRDefault="00D66B0C" w14:paraId="4BBCD795" w14:textId="43D399B2">
                  <w:pPr>
                    <w:keepNext/>
                    <w:tabs>
                      <w:tab w:val="left" w:pos="1440"/>
                    </w:tabs>
                    <w:jc w:val="center"/>
                    <w:rPr>
                      <w:b/>
                      <w:bCs/>
                    </w:rPr>
                  </w:pPr>
                  <w:r w:rsidRPr="000E3C66">
                    <w:rPr>
                      <w:b/>
                      <w:bCs/>
                    </w:rPr>
                    <w:t>Awarded</w:t>
                  </w:r>
                </w:p>
              </w:tc>
            </w:tr>
            <w:tr w:rsidRPr="000E3C66" w:rsidR="000E3C66" w:rsidTr="00785A7D" w14:paraId="568F1174" w14:textId="77777777">
              <w:tc>
                <w:tcPr>
                  <w:tcW w:w="1506" w:type="dxa"/>
                </w:tcPr>
                <w:p w:rsidRPr="000E3C66" w:rsidR="00D66B0C" w:rsidP="002F3AB9" w:rsidRDefault="00D66B0C" w14:paraId="7C730F12" w14:textId="4E24C40B">
                  <w:pPr>
                    <w:tabs>
                      <w:tab w:val="left" w:pos="1440"/>
                    </w:tabs>
                    <w:jc w:val="center"/>
                  </w:pPr>
                  <w:r w:rsidRPr="000E3C66">
                    <w:t>Geesman</w:t>
                  </w:r>
                </w:p>
              </w:tc>
              <w:tc>
                <w:tcPr>
                  <w:tcW w:w="1080" w:type="dxa"/>
                </w:tcPr>
                <w:p w:rsidRPr="000E3C66" w:rsidR="00D66B0C" w:rsidP="002F3AB9" w:rsidRDefault="00D66B0C" w14:paraId="65161E19" w14:textId="35312974">
                  <w:pPr>
                    <w:tabs>
                      <w:tab w:val="left" w:pos="1440"/>
                    </w:tabs>
                    <w:jc w:val="center"/>
                  </w:pPr>
                  <w:r w:rsidRPr="000E3C66">
                    <w:t>2022</w:t>
                  </w:r>
                </w:p>
              </w:tc>
              <w:tc>
                <w:tcPr>
                  <w:tcW w:w="1530" w:type="dxa"/>
                </w:tcPr>
                <w:p w:rsidRPr="000E3C66" w:rsidR="00D66B0C" w:rsidP="002F3AB9" w:rsidRDefault="00DE259C" w14:paraId="1C8D88F7" w14:textId="5E1AA027">
                  <w:pPr>
                    <w:tabs>
                      <w:tab w:val="left" w:pos="1440"/>
                    </w:tabs>
                    <w:jc w:val="center"/>
                  </w:pPr>
                  <w:r>
                    <w:t>144.76</w:t>
                  </w:r>
                </w:p>
              </w:tc>
              <w:tc>
                <w:tcPr>
                  <w:tcW w:w="1440" w:type="dxa"/>
                </w:tcPr>
                <w:p w:rsidRPr="000E3C66" w:rsidR="00D66B0C" w:rsidP="002F3AB9" w:rsidRDefault="00DE259C" w14:paraId="7CCC2413" w14:textId="3E7ED2AF">
                  <w:pPr>
                    <w:tabs>
                      <w:tab w:val="left" w:pos="1440"/>
                    </w:tabs>
                    <w:jc w:val="center"/>
                  </w:pPr>
                  <w:r>
                    <w:t>72.38</w:t>
                  </w:r>
                </w:p>
              </w:tc>
              <w:tc>
                <w:tcPr>
                  <w:tcW w:w="1356" w:type="dxa"/>
                </w:tcPr>
                <w:p w:rsidRPr="000E3C66" w:rsidR="00D66B0C" w:rsidP="002F3AB9" w:rsidRDefault="008A5335" w14:paraId="3E90DD85" w14:textId="22655E3D">
                  <w:pPr>
                    <w:tabs>
                      <w:tab w:val="left" w:pos="1440"/>
                    </w:tabs>
                    <w:jc w:val="center"/>
                  </w:pPr>
                  <w:r w:rsidRPr="000E3C66">
                    <w:t>72.</w:t>
                  </w:r>
                  <w:r w:rsidR="0087163C">
                    <w:t>38</w:t>
                  </w:r>
                </w:p>
              </w:tc>
            </w:tr>
            <w:tr w:rsidRPr="000E3C66" w:rsidR="000E3C66" w:rsidTr="00785A7D" w14:paraId="13D735EC" w14:textId="77777777">
              <w:tc>
                <w:tcPr>
                  <w:tcW w:w="1506" w:type="dxa"/>
                </w:tcPr>
                <w:p w:rsidRPr="000E3C66" w:rsidR="00D66B0C" w:rsidP="002F3AB9" w:rsidRDefault="00D66B0C" w14:paraId="499D7CAF" w14:textId="1115060C">
                  <w:pPr>
                    <w:tabs>
                      <w:tab w:val="left" w:pos="1440"/>
                    </w:tabs>
                    <w:jc w:val="center"/>
                  </w:pPr>
                  <w:r w:rsidRPr="000E3C66">
                    <w:lastRenderedPageBreak/>
                    <w:t>Geesman</w:t>
                  </w:r>
                </w:p>
              </w:tc>
              <w:tc>
                <w:tcPr>
                  <w:tcW w:w="1080" w:type="dxa"/>
                </w:tcPr>
                <w:p w:rsidRPr="000E3C66" w:rsidR="00D66B0C" w:rsidP="002F3AB9" w:rsidRDefault="00D66B0C" w14:paraId="39C534D8" w14:textId="257DE2A0">
                  <w:pPr>
                    <w:tabs>
                      <w:tab w:val="left" w:pos="1440"/>
                    </w:tabs>
                    <w:jc w:val="center"/>
                  </w:pPr>
                  <w:r w:rsidRPr="000E3C66">
                    <w:t>2023</w:t>
                  </w:r>
                </w:p>
              </w:tc>
              <w:tc>
                <w:tcPr>
                  <w:tcW w:w="1530" w:type="dxa"/>
                </w:tcPr>
                <w:p w:rsidRPr="000E3C66" w:rsidR="00D66B0C" w:rsidP="002F3AB9" w:rsidRDefault="00DE259C" w14:paraId="5D891231" w14:textId="25DD1BC2">
                  <w:pPr>
                    <w:tabs>
                      <w:tab w:val="left" w:pos="1440"/>
                    </w:tabs>
                    <w:jc w:val="center"/>
                  </w:pPr>
                  <w:r>
                    <w:t>610.66</w:t>
                  </w:r>
                </w:p>
              </w:tc>
              <w:tc>
                <w:tcPr>
                  <w:tcW w:w="1440" w:type="dxa"/>
                </w:tcPr>
                <w:p w:rsidRPr="000E3C66" w:rsidR="00D66B0C" w:rsidP="002F3AB9" w:rsidRDefault="00DE259C" w14:paraId="6E8BC5D4" w14:textId="2E7EB3E6">
                  <w:pPr>
                    <w:tabs>
                      <w:tab w:val="left" w:pos="1440"/>
                    </w:tabs>
                    <w:jc w:val="center"/>
                  </w:pPr>
                  <w:r>
                    <w:t>305.33</w:t>
                  </w:r>
                </w:p>
              </w:tc>
              <w:tc>
                <w:tcPr>
                  <w:tcW w:w="1356" w:type="dxa"/>
                </w:tcPr>
                <w:p w:rsidRPr="000E3C66" w:rsidR="00D66B0C" w:rsidP="002F3AB9" w:rsidRDefault="0087163C" w14:paraId="033142AA" w14:textId="4DC850E6">
                  <w:pPr>
                    <w:tabs>
                      <w:tab w:val="left" w:pos="1440"/>
                    </w:tabs>
                    <w:jc w:val="center"/>
                  </w:pPr>
                  <w:r>
                    <w:t>305.33</w:t>
                  </w:r>
                </w:p>
              </w:tc>
            </w:tr>
            <w:tr w:rsidRPr="000E3C66" w:rsidR="000E3C66" w:rsidTr="00785A7D" w14:paraId="4CA8100C" w14:textId="77777777">
              <w:tc>
                <w:tcPr>
                  <w:tcW w:w="1506" w:type="dxa"/>
                </w:tcPr>
                <w:p w:rsidRPr="000E3C66" w:rsidR="00D66B0C" w:rsidP="002F3AB9" w:rsidRDefault="00D66B0C" w14:paraId="423C6120" w14:textId="36D8AB04">
                  <w:pPr>
                    <w:tabs>
                      <w:tab w:val="left" w:pos="1440"/>
                    </w:tabs>
                    <w:jc w:val="center"/>
                  </w:pPr>
                  <w:r w:rsidRPr="000E3C66">
                    <w:t>Becker</w:t>
                  </w:r>
                </w:p>
              </w:tc>
              <w:tc>
                <w:tcPr>
                  <w:tcW w:w="1080" w:type="dxa"/>
                </w:tcPr>
                <w:p w:rsidRPr="000E3C66" w:rsidR="00D66B0C" w:rsidP="002F3AB9" w:rsidRDefault="00D66B0C" w14:paraId="2166D08F" w14:textId="4729C03A">
                  <w:pPr>
                    <w:tabs>
                      <w:tab w:val="left" w:pos="1440"/>
                    </w:tabs>
                    <w:jc w:val="center"/>
                  </w:pPr>
                  <w:r w:rsidRPr="000E3C66">
                    <w:t>2022</w:t>
                  </w:r>
                </w:p>
              </w:tc>
              <w:tc>
                <w:tcPr>
                  <w:tcW w:w="1530" w:type="dxa"/>
                </w:tcPr>
                <w:p w:rsidRPr="000E3C66" w:rsidR="00D66B0C" w:rsidP="002F3AB9" w:rsidRDefault="00DE259C" w14:paraId="005BBFD1" w14:textId="7273D3DD">
                  <w:pPr>
                    <w:tabs>
                      <w:tab w:val="left" w:pos="1440"/>
                    </w:tabs>
                    <w:jc w:val="center"/>
                  </w:pPr>
                  <w:r>
                    <w:t>24.84</w:t>
                  </w:r>
                </w:p>
              </w:tc>
              <w:tc>
                <w:tcPr>
                  <w:tcW w:w="1440" w:type="dxa"/>
                </w:tcPr>
                <w:p w:rsidRPr="000E3C66" w:rsidR="00D66B0C" w:rsidP="002F3AB9" w:rsidRDefault="00DE259C" w14:paraId="5ADA5B70" w14:textId="6093AAA9">
                  <w:pPr>
                    <w:tabs>
                      <w:tab w:val="left" w:pos="1440"/>
                    </w:tabs>
                    <w:jc w:val="center"/>
                  </w:pPr>
                  <w:r>
                    <w:t>12.42</w:t>
                  </w:r>
                </w:p>
              </w:tc>
              <w:tc>
                <w:tcPr>
                  <w:tcW w:w="1356" w:type="dxa"/>
                </w:tcPr>
                <w:p w:rsidRPr="000E3C66" w:rsidR="00D66B0C" w:rsidP="002F3AB9" w:rsidRDefault="008B70DC" w14:paraId="05F2BF78" w14:textId="1C070C75">
                  <w:pPr>
                    <w:tabs>
                      <w:tab w:val="left" w:pos="1440"/>
                    </w:tabs>
                    <w:jc w:val="center"/>
                  </w:pPr>
                  <w:r w:rsidRPr="000E3C66">
                    <w:t>12.</w:t>
                  </w:r>
                  <w:r w:rsidR="0087163C">
                    <w:t>42</w:t>
                  </w:r>
                </w:p>
              </w:tc>
            </w:tr>
            <w:tr w:rsidRPr="000E3C66" w:rsidR="000E3C66" w:rsidTr="00785A7D" w14:paraId="771527D4" w14:textId="77777777">
              <w:tc>
                <w:tcPr>
                  <w:tcW w:w="1506" w:type="dxa"/>
                </w:tcPr>
                <w:p w:rsidRPr="000E3C66" w:rsidR="00D66B0C" w:rsidP="002F3AB9" w:rsidRDefault="00D66B0C" w14:paraId="667C71B3" w14:textId="7A99FE5B">
                  <w:pPr>
                    <w:tabs>
                      <w:tab w:val="left" w:pos="1440"/>
                    </w:tabs>
                    <w:jc w:val="center"/>
                  </w:pPr>
                  <w:r w:rsidRPr="000E3C66">
                    <w:t>Becker</w:t>
                  </w:r>
                </w:p>
              </w:tc>
              <w:tc>
                <w:tcPr>
                  <w:tcW w:w="1080" w:type="dxa"/>
                </w:tcPr>
                <w:p w:rsidRPr="000E3C66" w:rsidR="00D66B0C" w:rsidP="002F3AB9" w:rsidRDefault="00D66B0C" w14:paraId="4F22DBF5" w14:textId="7F9F126C">
                  <w:pPr>
                    <w:tabs>
                      <w:tab w:val="left" w:pos="1440"/>
                    </w:tabs>
                    <w:jc w:val="center"/>
                  </w:pPr>
                  <w:r w:rsidRPr="000E3C66">
                    <w:t>2023</w:t>
                  </w:r>
                </w:p>
              </w:tc>
              <w:tc>
                <w:tcPr>
                  <w:tcW w:w="1530" w:type="dxa"/>
                </w:tcPr>
                <w:p w:rsidRPr="000E3C66" w:rsidR="00D66B0C" w:rsidP="002F3AB9" w:rsidRDefault="00CA4E8E" w14:paraId="075D307B" w14:textId="1036B84A">
                  <w:pPr>
                    <w:tabs>
                      <w:tab w:val="left" w:pos="1440"/>
                    </w:tabs>
                    <w:jc w:val="center"/>
                  </w:pPr>
                  <w:r w:rsidRPr="000E3C66">
                    <w:t>55.00</w:t>
                  </w:r>
                </w:p>
              </w:tc>
              <w:tc>
                <w:tcPr>
                  <w:tcW w:w="1440" w:type="dxa"/>
                </w:tcPr>
                <w:p w:rsidRPr="000E3C66" w:rsidR="00D66B0C" w:rsidP="002F3AB9" w:rsidRDefault="00DE259C" w14:paraId="1D19966F" w14:textId="5575B008">
                  <w:pPr>
                    <w:tabs>
                      <w:tab w:val="left" w:pos="1440"/>
                    </w:tabs>
                    <w:jc w:val="center"/>
                  </w:pPr>
                  <w:r>
                    <w:t>27.50</w:t>
                  </w:r>
                </w:p>
              </w:tc>
              <w:tc>
                <w:tcPr>
                  <w:tcW w:w="1356" w:type="dxa"/>
                </w:tcPr>
                <w:p w:rsidRPr="000E3C66" w:rsidR="00D66B0C" w:rsidP="002F3AB9" w:rsidRDefault="0087163C" w14:paraId="79ACD931" w14:textId="1EEF0058">
                  <w:pPr>
                    <w:tabs>
                      <w:tab w:val="left" w:pos="1440"/>
                    </w:tabs>
                    <w:jc w:val="center"/>
                  </w:pPr>
                  <w:r>
                    <w:t>27.50</w:t>
                  </w:r>
                </w:p>
              </w:tc>
            </w:tr>
            <w:tr w:rsidRPr="000E3C66" w:rsidR="000E3C66" w:rsidTr="00785A7D" w14:paraId="01E51925" w14:textId="77777777">
              <w:tc>
                <w:tcPr>
                  <w:tcW w:w="1506" w:type="dxa"/>
                </w:tcPr>
                <w:p w:rsidRPr="000E3C66" w:rsidR="00D66B0C" w:rsidP="002F3AB9" w:rsidRDefault="00D66B0C" w14:paraId="01A5FA1D" w14:textId="03656EBA">
                  <w:pPr>
                    <w:tabs>
                      <w:tab w:val="left" w:pos="1440"/>
                    </w:tabs>
                    <w:jc w:val="center"/>
                  </w:pPr>
                  <w:r w:rsidRPr="000E3C66">
                    <w:t>Weisman</w:t>
                  </w:r>
                </w:p>
              </w:tc>
              <w:tc>
                <w:tcPr>
                  <w:tcW w:w="1080" w:type="dxa"/>
                </w:tcPr>
                <w:p w:rsidRPr="000E3C66" w:rsidR="00D66B0C" w:rsidP="002F3AB9" w:rsidRDefault="00D66B0C" w14:paraId="5778D505" w14:textId="47B7054C">
                  <w:pPr>
                    <w:tabs>
                      <w:tab w:val="left" w:pos="1440"/>
                    </w:tabs>
                    <w:jc w:val="center"/>
                  </w:pPr>
                  <w:r w:rsidRPr="000E3C66">
                    <w:t>2022</w:t>
                  </w:r>
                </w:p>
              </w:tc>
              <w:tc>
                <w:tcPr>
                  <w:tcW w:w="1530" w:type="dxa"/>
                </w:tcPr>
                <w:p w:rsidRPr="000E3C66" w:rsidR="00D66B0C" w:rsidP="002F3AB9" w:rsidRDefault="00DE259C" w14:paraId="5190FA48" w14:textId="26A9E158">
                  <w:pPr>
                    <w:tabs>
                      <w:tab w:val="left" w:pos="1440"/>
                    </w:tabs>
                    <w:jc w:val="center"/>
                  </w:pPr>
                  <w:r>
                    <w:t>26.79</w:t>
                  </w:r>
                </w:p>
              </w:tc>
              <w:tc>
                <w:tcPr>
                  <w:tcW w:w="1440" w:type="dxa"/>
                </w:tcPr>
                <w:p w:rsidRPr="000E3C66" w:rsidR="00D66B0C" w:rsidP="002F3AB9" w:rsidRDefault="00DE259C" w14:paraId="41DE7CD0" w14:textId="5E36C156">
                  <w:pPr>
                    <w:tabs>
                      <w:tab w:val="left" w:pos="1440"/>
                    </w:tabs>
                    <w:jc w:val="center"/>
                  </w:pPr>
                  <w:r>
                    <w:t>13.39</w:t>
                  </w:r>
                </w:p>
              </w:tc>
              <w:tc>
                <w:tcPr>
                  <w:tcW w:w="1356" w:type="dxa"/>
                </w:tcPr>
                <w:p w:rsidRPr="000E3C66" w:rsidR="00D66B0C" w:rsidP="002F3AB9" w:rsidRDefault="00114848" w14:paraId="0F671D8B" w14:textId="75A3EE4F">
                  <w:pPr>
                    <w:tabs>
                      <w:tab w:val="left" w:pos="1440"/>
                    </w:tabs>
                    <w:jc w:val="center"/>
                  </w:pPr>
                  <w:r w:rsidRPr="000E3C66">
                    <w:t>13.</w:t>
                  </w:r>
                  <w:r w:rsidR="0087163C">
                    <w:t>39</w:t>
                  </w:r>
                </w:p>
              </w:tc>
            </w:tr>
            <w:tr w:rsidRPr="000E3C66" w:rsidR="000E3C66" w:rsidTr="00785A7D" w14:paraId="12B2FFA6" w14:textId="77777777">
              <w:tc>
                <w:tcPr>
                  <w:tcW w:w="1506" w:type="dxa"/>
                </w:tcPr>
                <w:p w:rsidRPr="000E3C66" w:rsidR="00D66B0C" w:rsidP="002F3AB9" w:rsidRDefault="00D66B0C" w14:paraId="4D024408" w14:textId="4F0EF2AE">
                  <w:pPr>
                    <w:tabs>
                      <w:tab w:val="left" w:pos="1440"/>
                    </w:tabs>
                    <w:jc w:val="center"/>
                  </w:pPr>
                  <w:r w:rsidRPr="000E3C66">
                    <w:t>Weisman</w:t>
                  </w:r>
                </w:p>
              </w:tc>
              <w:tc>
                <w:tcPr>
                  <w:tcW w:w="1080" w:type="dxa"/>
                </w:tcPr>
                <w:p w:rsidRPr="000E3C66" w:rsidR="00D66B0C" w:rsidP="002F3AB9" w:rsidRDefault="00D66B0C" w14:paraId="6AF8CB76" w14:textId="700E7836">
                  <w:pPr>
                    <w:tabs>
                      <w:tab w:val="left" w:pos="1440"/>
                    </w:tabs>
                    <w:jc w:val="center"/>
                  </w:pPr>
                  <w:r w:rsidRPr="000E3C66">
                    <w:t>2023</w:t>
                  </w:r>
                </w:p>
              </w:tc>
              <w:tc>
                <w:tcPr>
                  <w:tcW w:w="1530" w:type="dxa"/>
                </w:tcPr>
                <w:p w:rsidRPr="000E3C66" w:rsidR="00D66B0C" w:rsidP="002F3AB9" w:rsidRDefault="00DE259C" w14:paraId="65A25591" w14:textId="0554D730">
                  <w:pPr>
                    <w:tabs>
                      <w:tab w:val="left" w:pos="1440"/>
                    </w:tabs>
                    <w:jc w:val="center"/>
                  </w:pPr>
                  <w:r>
                    <w:t>132.76</w:t>
                  </w:r>
                </w:p>
              </w:tc>
              <w:tc>
                <w:tcPr>
                  <w:tcW w:w="1440" w:type="dxa"/>
                </w:tcPr>
                <w:p w:rsidRPr="000E3C66" w:rsidR="00D66B0C" w:rsidP="002F3AB9" w:rsidRDefault="00DE259C" w14:paraId="1FB98481" w14:textId="22B5ED5E">
                  <w:pPr>
                    <w:tabs>
                      <w:tab w:val="left" w:pos="1440"/>
                    </w:tabs>
                    <w:jc w:val="center"/>
                  </w:pPr>
                  <w:r>
                    <w:t>66.38</w:t>
                  </w:r>
                </w:p>
              </w:tc>
              <w:tc>
                <w:tcPr>
                  <w:tcW w:w="1356" w:type="dxa"/>
                </w:tcPr>
                <w:p w:rsidRPr="000E3C66" w:rsidR="00D66B0C" w:rsidP="002F3AB9" w:rsidRDefault="0087163C" w14:paraId="2B1D00C3" w14:textId="5614F14A">
                  <w:pPr>
                    <w:tabs>
                      <w:tab w:val="left" w:pos="1440"/>
                    </w:tabs>
                    <w:jc w:val="center"/>
                  </w:pPr>
                  <w:r>
                    <w:t>66.38</w:t>
                  </w:r>
                </w:p>
              </w:tc>
            </w:tr>
          </w:tbl>
          <w:p w:rsidRPr="000E3C66" w:rsidR="00CA7A3F" w:rsidP="002F3AB9" w:rsidRDefault="00CA7A3F" w14:paraId="773C36FA" w14:textId="4C404997">
            <w:pPr>
              <w:tabs>
                <w:tab w:val="left" w:pos="1440"/>
              </w:tabs>
            </w:pPr>
          </w:p>
        </w:tc>
      </w:tr>
      <w:tr w:rsidRPr="000E3C66" w:rsidR="000E3C66" w:rsidTr="00897C27" w14:paraId="7D44E5A7" w14:textId="77777777">
        <w:tc>
          <w:tcPr>
            <w:tcW w:w="2155" w:type="dxa"/>
            <w:shd w:val="clear" w:color="auto" w:fill="auto"/>
          </w:tcPr>
          <w:p w:rsidR="009C09FF" w:rsidP="002F3AB9" w:rsidRDefault="002A0AC6" w14:paraId="40406B0B" w14:textId="77777777">
            <w:pPr>
              <w:tabs>
                <w:tab w:val="left" w:pos="1440"/>
              </w:tabs>
            </w:pPr>
            <w:r w:rsidRPr="000E3C66">
              <w:lastRenderedPageBreak/>
              <w:t xml:space="preserve">[8] </w:t>
            </w:r>
            <w:r w:rsidRPr="000E3C66" w:rsidR="00CB2A17">
              <w:t xml:space="preserve">Disallowance of </w:t>
            </w:r>
          </w:p>
          <w:p w:rsidR="009C09FF" w:rsidP="002F3AB9" w:rsidRDefault="00CB2A17" w14:paraId="6E877645" w14:textId="77777777">
            <w:pPr>
              <w:tabs>
                <w:tab w:val="left" w:pos="1440"/>
              </w:tabs>
            </w:pPr>
            <w:r w:rsidRPr="000E3C66">
              <w:t xml:space="preserve">Claimed </w:t>
            </w:r>
            <w:r w:rsidRPr="000E3C66" w:rsidR="002A0AC6">
              <w:t xml:space="preserve">Travel </w:t>
            </w:r>
          </w:p>
          <w:p w:rsidRPr="000E3C66" w:rsidR="00DF15D0" w:rsidP="002F3AB9" w:rsidRDefault="004627AB" w14:paraId="52B36112" w14:textId="025769EE">
            <w:pPr>
              <w:tabs>
                <w:tab w:val="left" w:pos="1440"/>
              </w:tabs>
            </w:pPr>
            <w:r w:rsidRPr="000E3C66">
              <w:t>Fees</w:t>
            </w:r>
            <w:r w:rsidRPr="000E3C66" w:rsidR="00CB2A17">
              <w:t xml:space="preserve"> &amp; Costs</w:t>
            </w:r>
          </w:p>
        </w:tc>
        <w:tc>
          <w:tcPr>
            <w:tcW w:w="7205" w:type="dxa"/>
            <w:shd w:val="clear" w:color="auto" w:fill="auto"/>
          </w:tcPr>
          <w:p w:rsidRPr="000E3C66" w:rsidR="00DF15D0" w:rsidP="009C09FF" w:rsidRDefault="00461349" w14:paraId="3CBC1D0D" w14:textId="7D329770">
            <w:pPr>
              <w:tabs>
                <w:tab w:val="left" w:pos="1440"/>
              </w:tabs>
              <w:spacing w:after="240"/>
            </w:pPr>
            <w:r w:rsidRPr="000E3C66">
              <w:t xml:space="preserve">Per </w:t>
            </w:r>
            <w:r w:rsidRPr="000E3C66" w:rsidR="008F15BB">
              <w:t xml:space="preserve">the </w:t>
            </w:r>
            <w:r w:rsidRPr="000E3C66">
              <w:t xml:space="preserve">IComp program guide at 21, intervenors must demonstrate their participation was “productive, necessary, and needed for a fair determination of the proceeding.” </w:t>
            </w:r>
          </w:p>
          <w:p w:rsidRPr="000E3C66" w:rsidR="00300CC1" w:rsidP="009C09FF" w:rsidRDefault="00461349" w14:paraId="69A93C7F" w14:textId="7C798C1B">
            <w:pPr>
              <w:tabs>
                <w:tab w:val="left" w:pos="1440"/>
              </w:tabs>
              <w:spacing w:after="240"/>
            </w:pPr>
            <w:r w:rsidRPr="000E3C66">
              <w:t>Becker and Weisman’s participation and in</w:t>
            </w:r>
            <w:r w:rsidRPr="000E3C66" w:rsidR="00F949CB">
              <w:noBreakHyphen/>
            </w:r>
            <w:r w:rsidRPr="000E3C66">
              <w:t xml:space="preserve">person attendance at the 11/7/23 oral argument in San Francisco </w:t>
            </w:r>
            <w:r w:rsidR="00AB0868">
              <w:t>was</w:t>
            </w:r>
            <w:r w:rsidRPr="000E3C66">
              <w:t xml:space="preserve"> </w:t>
            </w:r>
            <w:r w:rsidR="00FD705D">
              <w:t>inefficient</w:t>
            </w:r>
            <w:r w:rsidRPr="000E3C66">
              <w:t>.</w:t>
            </w:r>
            <w:r w:rsidRPr="000E3C66" w:rsidR="00352D36">
              <w:t xml:space="preserve"> </w:t>
            </w:r>
            <w:r w:rsidRPr="000E3C66" w:rsidR="00300CC1">
              <w:t>As stated in the October 9, 2023 Ruling Setting Oral Argument, each party was limited to a single speaker.</w:t>
            </w:r>
          </w:p>
          <w:p w:rsidRPr="000E3C66" w:rsidR="00461349" w:rsidP="009C09FF" w:rsidRDefault="00352D36" w14:paraId="2F4BF10F" w14:textId="520804BC">
            <w:pPr>
              <w:tabs>
                <w:tab w:val="left" w:pos="1440"/>
              </w:tabs>
              <w:spacing w:after="240"/>
            </w:pPr>
            <w:r w:rsidRPr="000E3C66">
              <w:t>A4NR was represented by Geesman at this oral argument, and his in</w:t>
            </w:r>
            <w:r w:rsidRPr="000E3C66" w:rsidR="00F949CB">
              <w:noBreakHyphen/>
            </w:r>
            <w:r w:rsidRPr="000E3C66">
              <w:t>person attendance and participation was sufficient in terms of A4NR’s contribution. Additionally, a listen</w:t>
            </w:r>
            <w:r w:rsidRPr="000E3C66" w:rsidR="00F949CB">
              <w:noBreakHyphen/>
            </w:r>
            <w:r w:rsidRPr="000E3C66">
              <w:t>in telephone line for this oral argument was provided</w:t>
            </w:r>
            <w:r w:rsidRPr="000E3C66" w:rsidR="00136C52">
              <w:t>,</w:t>
            </w:r>
            <w:r w:rsidRPr="000E3C66">
              <w:t xml:space="preserve"> </w:t>
            </w:r>
            <w:r w:rsidRPr="000E3C66" w:rsidR="00136C52">
              <w:t>which</w:t>
            </w:r>
            <w:r w:rsidRPr="000E3C66">
              <w:t xml:space="preserve"> Becker and Weisman could have </w:t>
            </w:r>
            <w:r w:rsidRPr="000E3C66" w:rsidR="00F754AC">
              <w:t>utilized</w:t>
            </w:r>
            <w:r w:rsidRPr="000E3C66" w:rsidR="00136C52">
              <w:t xml:space="preserve"> instead of attending in</w:t>
            </w:r>
            <w:r w:rsidRPr="000E3C66" w:rsidR="00F949CB">
              <w:noBreakHyphen/>
            </w:r>
            <w:r w:rsidRPr="000E3C66" w:rsidR="00136C52">
              <w:t>person and claiming travel costs</w:t>
            </w:r>
            <w:r w:rsidRPr="000E3C66">
              <w:t xml:space="preserve">. </w:t>
            </w:r>
          </w:p>
          <w:p w:rsidRPr="000E3C66" w:rsidR="00461349" w:rsidP="009C09FF" w:rsidRDefault="00795A0F" w14:paraId="469FD897" w14:textId="4D377CBF">
            <w:pPr>
              <w:tabs>
                <w:tab w:val="left" w:pos="1440"/>
              </w:tabs>
              <w:spacing w:after="240"/>
            </w:pPr>
            <w:r w:rsidRPr="000E3C66">
              <w:t>Becker and Weisman both claimed 8.00 hours of travel time each to attend this oral argument</w:t>
            </w:r>
            <w:r w:rsidRPr="000E3C66" w:rsidR="00300CC1">
              <w:t>;</w:t>
            </w:r>
            <w:r w:rsidRPr="000E3C66">
              <w:t xml:space="preserve"> these hours are disallowed. Becker and Weisman also claimed $531.18</w:t>
            </w:r>
            <w:r w:rsidRPr="000E3C66" w:rsidR="00E23556">
              <w:t xml:space="preserve"> in</w:t>
            </w:r>
            <w:r w:rsidRPr="000E3C66" w:rsidR="00136C52">
              <w:t xml:space="preserve"> total for</w:t>
            </w:r>
            <w:r w:rsidRPr="000E3C66" w:rsidR="00E23556">
              <w:t xml:space="preserve"> hotel costs to attend this oral argument</w:t>
            </w:r>
            <w:r w:rsidRPr="000E3C66" w:rsidR="00300CC1">
              <w:t>;</w:t>
            </w:r>
            <w:r w:rsidRPr="000E3C66" w:rsidR="00E23556">
              <w:t xml:space="preserve"> this amount is </w:t>
            </w:r>
            <w:r w:rsidRPr="000E3C66" w:rsidR="00136C52">
              <w:t xml:space="preserve">also </w:t>
            </w:r>
            <w:r w:rsidRPr="000E3C66" w:rsidR="00E23556">
              <w:t>disallowed</w:t>
            </w:r>
            <w:r w:rsidRPr="000E3C66" w:rsidR="00136C52">
              <w:t>.</w:t>
            </w:r>
          </w:p>
        </w:tc>
      </w:tr>
    </w:tbl>
    <w:p w:rsidRPr="000E3C66" w:rsidR="00A92D0B" w:rsidP="002F3AB9" w:rsidRDefault="00A92D0B" w14:paraId="18E9D359" w14:textId="6CF07914">
      <w:pPr>
        <w:keepNext/>
        <w:tabs>
          <w:tab w:val="left" w:pos="1260"/>
        </w:tabs>
        <w:spacing w:before="480"/>
        <w:jc w:val="center"/>
        <w:rPr>
          <w:b/>
        </w:rPr>
      </w:pPr>
      <w:r w:rsidRPr="000E3C66">
        <w:rPr>
          <w:b/>
        </w:rPr>
        <w:t>PART IV:</w:t>
      </w:r>
      <w:r w:rsidRPr="000E3C66" w:rsidR="00D1778A">
        <w:rPr>
          <w:b/>
        </w:rPr>
        <w:t xml:space="preserve">  </w:t>
      </w:r>
      <w:r w:rsidRPr="000E3C66">
        <w:rPr>
          <w:b/>
        </w:rPr>
        <w:t>OPPOSITIONS AND COMMENTS</w:t>
      </w:r>
    </w:p>
    <w:p w:rsidRPr="000E3C66" w:rsidR="00D1778A" w:rsidP="002F3AB9" w:rsidRDefault="00A92D0B" w14:paraId="4E460EA0" w14:textId="77777777">
      <w:pPr>
        <w:keepNext/>
        <w:tabs>
          <w:tab w:val="left" w:pos="1260"/>
        </w:tabs>
        <w:ind w:left="1267" w:hanging="1267"/>
        <w:jc w:val="center"/>
        <w:rPr>
          <w:b/>
        </w:rPr>
      </w:pPr>
      <w:r w:rsidRPr="000E3C66">
        <w:rPr>
          <w:b/>
        </w:rPr>
        <w:t>Within 30 days after service of this Claim, Commission Staff</w:t>
      </w:r>
    </w:p>
    <w:p w:rsidRPr="000E3C66" w:rsidR="00A92D0B" w:rsidP="002F3AB9" w:rsidRDefault="00F20061" w14:paraId="5D5DC317" w14:textId="6F17F1B6">
      <w:pPr>
        <w:keepNext/>
        <w:tabs>
          <w:tab w:val="left" w:pos="1260"/>
        </w:tabs>
        <w:spacing w:after="240"/>
        <w:ind w:left="1267" w:hanging="1267"/>
        <w:jc w:val="center"/>
        <w:rPr>
          <w:b/>
        </w:rPr>
      </w:pPr>
      <w:r w:rsidRPr="000E3C66">
        <w:rPr>
          <w:b/>
        </w:rPr>
        <w:t xml:space="preserve"> </w:t>
      </w:r>
      <w:r w:rsidRPr="000E3C66" w:rsidR="00A92D0B">
        <w:rPr>
          <w:b/>
        </w:rPr>
        <w:t>or any other party may file a response to the Claim (</w:t>
      </w:r>
      <w:r w:rsidRPr="000E3C66" w:rsidR="00A92D0B">
        <w:rPr>
          <w:b/>
          <w:i/>
        </w:rPr>
        <w:t>see</w:t>
      </w:r>
      <w:r w:rsidRPr="000E3C66" w:rsidR="00A92D0B">
        <w:rPr>
          <w:b/>
        </w:rPr>
        <w:t xml:space="preserve"> </w:t>
      </w:r>
      <w:r w:rsidRPr="000E3C66" w:rsidR="00AE4FEE">
        <w:rPr>
          <w:b/>
        </w:rPr>
        <w:t>§ </w:t>
      </w:r>
      <w:r w:rsidRPr="000E3C66" w:rsidR="00A92D0B">
        <w:rPr>
          <w:b/>
        </w:rPr>
        <w:t>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333"/>
        <w:gridCol w:w="2027"/>
      </w:tblGrid>
      <w:tr w:rsidRPr="000E3C66" w:rsidR="000E3C66" w:rsidTr="00926603" w14:paraId="46A51699" w14:textId="77777777">
        <w:tc>
          <w:tcPr>
            <w:tcW w:w="7336" w:type="dxa"/>
            <w:shd w:val="clear" w:color="auto" w:fill="auto"/>
          </w:tcPr>
          <w:p w:rsidRPr="000E3C66" w:rsidR="00A92D0B" w:rsidP="004A228C" w:rsidRDefault="00A92D0B" w14:paraId="607B1FB9" w14:textId="639D7800">
            <w:pPr>
              <w:keepNext/>
              <w:ind w:left="360" w:hanging="360"/>
            </w:pPr>
            <w:r w:rsidRPr="000E3C66">
              <w:rPr>
                <w:b/>
              </w:rPr>
              <w:t>A.</w:t>
            </w:r>
            <w:r w:rsidRPr="000E3C66" w:rsidR="005A3018">
              <w:rPr>
                <w:b/>
              </w:rPr>
              <w:tab/>
            </w:r>
            <w:r w:rsidRPr="000E3C66">
              <w:rPr>
                <w:b/>
              </w:rPr>
              <w:t>Opposition:  Did any party oppose the Claim?</w:t>
            </w:r>
          </w:p>
        </w:tc>
        <w:tc>
          <w:tcPr>
            <w:tcW w:w="2024" w:type="dxa"/>
            <w:shd w:val="clear" w:color="auto" w:fill="auto"/>
          </w:tcPr>
          <w:p w:rsidRPr="000E3C66" w:rsidR="00A92D0B" w:rsidP="004A228C" w:rsidRDefault="00C327E8" w14:paraId="6E7CD931" w14:textId="4BCD09F2">
            <w:pPr>
              <w:keepNext/>
            </w:pPr>
            <w:r w:rsidRPr="000E3C66">
              <w:t>No</w:t>
            </w:r>
          </w:p>
        </w:tc>
      </w:tr>
      <w:tr w:rsidRPr="000E3C66" w:rsidR="000E3C66" w:rsidTr="00926603" w14:paraId="7A0D8740" w14:textId="77777777">
        <w:tc>
          <w:tcPr>
            <w:tcW w:w="7332" w:type="dxa"/>
            <w:shd w:val="clear" w:color="auto" w:fill="auto"/>
          </w:tcPr>
          <w:p w:rsidRPr="000E3C66" w:rsidR="00A92D0B" w:rsidP="002F3AB9" w:rsidRDefault="00A92D0B" w14:paraId="37D28D8D" w14:textId="5D8434C0">
            <w:pPr>
              <w:ind w:left="360" w:hanging="360"/>
            </w:pPr>
            <w:r w:rsidRPr="000E3C66">
              <w:rPr>
                <w:b/>
              </w:rPr>
              <w:t>B.</w:t>
            </w:r>
            <w:r w:rsidRPr="000E3C66" w:rsidR="005A3018">
              <w:rPr>
                <w:b/>
              </w:rPr>
              <w:tab/>
            </w:r>
            <w:r w:rsidRPr="000E3C66">
              <w:rPr>
                <w:b/>
              </w:rPr>
              <w:t>Comment Period:  Was the 30</w:t>
            </w:r>
            <w:r w:rsidRPr="000E3C66" w:rsidR="00F949CB">
              <w:rPr>
                <w:b/>
              </w:rPr>
              <w:noBreakHyphen/>
            </w:r>
            <w:r w:rsidRPr="000E3C66">
              <w:rPr>
                <w:b/>
              </w:rPr>
              <w:t>day comment period waived (</w:t>
            </w:r>
            <w:r w:rsidRPr="000E3C66">
              <w:rPr>
                <w:b/>
                <w:i/>
              </w:rPr>
              <w:t>see</w:t>
            </w:r>
            <w:r w:rsidRPr="000E3C66" w:rsidR="00A60203">
              <w:rPr>
                <w:b/>
              </w:rPr>
              <w:t> </w:t>
            </w:r>
            <w:r w:rsidRPr="000E3C66">
              <w:rPr>
                <w:b/>
              </w:rPr>
              <w:t>Rule 14.6(</w:t>
            </w:r>
            <w:r w:rsidRPr="000E3C66" w:rsidR="00963EEF">
              <w:rPr>
                <w:b/>
              </w:rPr>
              <w:t>c</w:t>
            </w:r>
            <w:r w:rsidRPr="000E3C66">
              <w:rPr>
                <w:b/>
              </w:rPr>
              <w:t>)(6))?</w:t>
            </w:r>
          </w:p>
        </w:tc>
        <w:tc>
          <w:tcPr>
            <w:tcW w:w="2028" w:type="dxa"/>
            <w:shd w:val="clear" w:color="auto" w:fill="auto"/>
          </w:tcPr>
          <w:p w:rsidRPr="000E3C66" w:rsidR="00A92D0B" w:rsidP="002F3AB9" w:rsidRDefault="00282A54" w14:paraId="238D2D3F" w14:textId="044A39B1">
            <w:pPr>
              <w:keepNext/>
              <w:spacing w:after="240"/>
            </w:pPr>
            <w:r w:rsidRPr="000E3C66">
              <w:t>No</w:t>
            </w:r>
          </w:p>
        </w:tc>
      </w:tr>
    </w:tbl>
    <w:p w:rsidRPr="000E3C66" w:rsidR="00A92D0B" w:rsidP="004A228C" w:rsidRDefault="00A92D0B" w14:paraId="740A9962" w14:textId="77777777">
      <w:pPr>
        <w:keepNext/>
        <w:spacing w:before="240" w:after="240"/>
        <w:ind w:firstLine="720"/>
      </w:pPr>
      <w:r w:rsidRPr="000E3C66">
        <w:t>If not: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895"/>
        <w:gridCol w:w="4590"/>
        <w:gridCol w:w="3875"/>
      </w:tblGrid>
      <w:tr w:rsidRPr="000E3C66" w:rsidR="000E3C66" w:rsidTr="00D22A81" w14:paraId="5FB8DA0C" w14:textId="77777777">
        <w:trPr>
          <w:tblHeader/>
        </w:trPr>
        <w:tc>
          <w:tcPr>
            <w:tcW w:w="895" w:type="dxa"/>
            <w:shd w:val="pct12" w:color="auto" w:fill="auto"/>
          </w:tcPr>
          <w:p w:rsidRPr="000E3C66" w:rsidR="00A92D0B" w:rsidP="002F3AB9" w:rsidRDefault="00A92D0B" w14:paraId="55AB3D9C" w14:textId="77777777">
            <w:pPr>
              <w:keepNext/>
              <w:jc w:val="center"/>
              <w:rPr>
                <w:b/>
              </w:rPr>
            </w:pPr>
            <w:r w:rsidRPr="000E3C66">
              <w:rPr>
                <w:b/>
              </w:rPr>
              <w:t>Party</w:t>
            </w:r>
          </w:p>
        </w:tc>
        <w:tc>
          <w:tcPr>
            <w:tcW w:w="4590" w:type="dxa"/>
            <w:shd w:val="pct12" w:color="auto" w:fill="auto"/>
          </w:tcPr>
          <w:p w:rsidRPr="000E3C66" w:rsidR="00A92D0B" w:rsidP="002F3AB9" w:rsidRDefault="00A92D0B" w14:paraId="25677100" w14:textId="77777777">
            <w:pPr>
              <w:keepNext/>
              <w:jc w:val="center"/>
            </w:pPr>
            <w:r w:rsidRPr="000E3C66">
              <w:rPr>
                <w:b/>
              </w:rPr>
              <w:t>Comment</w:t>
            </w:r>
          </w:p>
        </w:tc>
        <w:tc>
          <w:tcPr>
            <w:tcW w:w="3875" w:type="dxa"/>
            <w:shd w:val="pct12" w:color="auto" w:fill="auto"/>
          </w:tcPr>
          <w:p w:rsidRPr="000E3C66" w:rsidR="00A92D0B" w:rsidP="002F3AB9" w:rsidRDefault="00A92D0B" w14:paraId="0C66D2FD" w14:textId="77777777">
            <w:pPr>
              <w:keepNext/>
              <w:jc w:val="center"/>
            </w:pPr>
            <w:r w:rsidRPr="000E3C66">
              <w:rPr>
                <w:b/>
              </w:rPr>
              <w:t xml:space="preserve">CPUC </w:t>
            </w:r>
            <w:r w:rsidRPr="000E3C66" w:rsidR="00963EEF">
              <w:rPr>
                <w:b/>
              </w:rPr>
              <w:t>Discussion</w:t>
            </w:r>
          </w:p>
        </w:tc>
      </w:tr>
      <w:tr w:rsidRPr="000E3C66" w:rsidR="000E3C66" w:rsidTr="00D22A81" w14:paraId="756C4BD6" w14:textId="77777777">
        <w:tc>
          <w:tcPr>
            <w:tcW w:w="895" w:type="dxa"/>
            <w:shd w:val="clear" w:color="auto" w:fill="auto"/>
          </w:tcPr>
          <w:p w:rsidRPr="000E3C66" w:rsidR="00A92D0B" w:rsidP="002F3AB9" w:rsidRDefault="00480318" w14:paraId="5191E9A8" w14:textId="5775D7E2">
            <w:pPr>
              <w:spacing w:after="240"/>
            </w:pPr>
            <w:r w:rsidRPr="00480318">
              <w:t>A4NR</w:t>
            </w:r>
          </w:p>
        </w:tc>
        <w:tc>
          <w:tcPr>
            <w:tcW w:w="4590" w:type="dxa"/>
            <w:shd w:val="clear" w:color="auto" w:fill="auto"/>
          </w:tcPr>
          <w:p w:rsidR="00480318" w:rsidP="00480318" w:rsidRDefault="00480318" w14:paraId="39B3D796" w14:textId="138C9F5B">
            <w:pPr>
              <w:spacing w:after="240"/>
            </w:pPr>
            <w:r>
              <w:t>A4NR states t</w:t>
            </w:r>
            <w:r w:rsidRPr="00EC38AF">
              <w:t xml:space="preserve">he Revised </w:t>
            </w:r>
            <w:r>
              <w:t>PD (</w:t>
            </w:r>
            <w:r w:rsidRPr="00EC38AF">
              <w:t>P</w:t>
            </w:r>
            <w:r>
              <w:t xml:space="preserve">roposed </w:t>
            </w:r>
            <w:r w:rsidRPr="00EC38AF">
              <w:t>D</w:t>
            </w:r>
            <w:r>
              <w:t>ecision)</w:t>
            </w:r>
            <w:r w:rsidRPr="00EC38AF">
              <w:t xml:space="preserve"> miscalculates the 2024 hourly rate</w:t>
            </w:r>
            <w:r>
              <w:t xml:space="preserve"> awarded</w:t>
            </w:r>
            <w:r w:rsidRPr="00EC38AF">
              <w:t xml:space="preserve"> </w:t>
            </w:r>
            <w:r>
              <w:t>to</w:t>
            </w:r>
            <w:r w:rsidRPr="00EC38AF">
              <w:t xml:space="preserve"> John Geesman</w:t>
            </w:r>
            <w:r>
              <w:t xml:space="preserve"> </w:t>
            </w:r>
            <w:r w:rsidRPr="00EC38AF">
              <w:t xml:space="preserve">as determined under </w:t>
            </w:r>
            <w:r>
              <w:t>Resolution</w:t>
            </w:r>
            <w:r w:rsidR="00891943">
              <w:t> </w:t>
            </w:r>
            <w:r w:rsidRPr="00EC38AF">
              <w:t>ALJ</w:t>
            </w:r>
            <w:r w:rsidR="00891943">
              <w:noBreakHyphen/>
            </w:r>
            <w:r w:rsidRPr="00EC38AF">
              <w:t>393.</w:t>
            </w:r>
            <w:r>
              <w:t xml:space="preserve"> A4NR states</w:t>
            </w:r>
            <w:r w:rsidRPr="00EC38AF">
              <w:t xml:space="preserve"> the </w:t>
            </w:r>
            <w:r w:rsidRPr="00EC38AF">
              <w:lastRenderedPageBreak/>
              <w:t xml:space="preserve">Revised PD erroneously conflates </w:t>
            </w:r>
            <w:r>
              <w:t>Geesman’s</w:t>
            </w:r>
            <w:r w:rsidRPr="00EC38AF">
              <w:t xml:space="preserve"> 2024 rate with </w:t>
            </w:r>
            <w:r>
              <w:t>his</w:t>
            </w:r>
            <w:r w:rsidRPr="00EC38AF">
              <w:t xml:space="preserve"> 2023 rate, without applying the ALJ</w:t>
            </w:r>
            <w:r w:rsidR="00891943">
              <w:noBreakHyphen/>
            </w:r>
            <w:r w:rsidRPr="00EC38AF">
              <w:t xml:space="preserve">393 escalation of 4.07% to </w:t>
            </w:r>
            <w:r>
              <w:t xml:space="preserve">his </w:t>
            </w:r>
            <w:r w:rsidRPr="00EC38AF">
              <w:t xml:space="preserve">2024 rate. </w:t>
            </w:r>
            <w:r>
              <w:t>A4NR states that a</w:t>
            </w:r>
            <w:r w:rsidRPr="00EC38AF">
              <w:t xml:space="preserve">pplying this escalation to the $745 rate approved </w:t>
            </w:r>
            <w:r>
              <w:t xml:space="preserve">for Geesman </w:t>
            </w:r>
            <w:r w:rsidRPr="00EC38AF">
              <w:t>by the Revised PD for 2023 would produce a 2024 rate of $775.32.</w:t>
            </w:r>
          </w:p>
          <w:p w:rsidR="00480318" w:rsidP="00480318" w:rsidRDefault="00480318" w14:paraId="4362783F" w14:textId="7408F7F2">
            <w:pPr>
              <w:spacing w:after="240"/>
            </w:pPr>
            <w:r>
              <w:t xml:space="preserve">A4NR states that </w:t>
            </w:r>
            <w:r w:rsidRPr="00AB48FC">
              <w:t>the</w:t>
            </w:r>
            <w:r>
              <w:t xml:space="preserve"> rate of</w:t>
            </w:r>
            <w:r w:rsidRPr="00AB48FC">
              <w:t xml:space="preserve"> $699.03</w:t>
            </w:r>
            <w:r>
              <w:t xml:space="preserve">, </w:t>
            </w:r>
            <w:r w:rsidRPr="00AB48FC">
              <w:t xml:space="preserve">identified on the Commission website as the upper end of the 2021 Attorney V rate range – the base year for the </w:t>
            </w:r>
            <w:r>
              <w:t xml:space="preserve">(Resolution) </w:t>
            </w:r>
            <w:r w:rsidRPr="00AB48FC">
              <w:t>ALJ</w:t>
            </w:r>
            <w:r w:rsidR="00891943">
              <w:noBreakHyphen/>
            </w:r>
            <w:r w:rsidRPr="00AB48FC">
              <w:t>393 methodology – and applying the published escalation percentages for 2022, 2023, and 2024 produces an upper limit to the 2024 authorized Attorney V rate of $785.08.</w:t>
            </w:r>
            <w:r>
              <w:t xml:space="preserve"> A4NR also states t</w:t>
            </w:r>
            <w:r w:rsidRPr="00EF5399">
              <w:t xml:space="preserve">he Revised </w:t>
            </w:r>
            <w:r>
              <w:t>PD</w:t>
            </w:r>
            <w:r w:rsidRPr="00EF5399">
              <w:t xml:space="preserve"> makes no adjustment for the request in </w:t>
            </w:r>
            <w:r>
              <w:t>their</w:t>
            </w:r>
            <w:r w:rsidRPr="00EF5399">
              <w:t xml:space="preserve"> compensation claim that Geesman’s 2024 rate reflect </w:t>
            </w:r>
            <w:r>
              <w:t>a</w:t>
            </w:r>
            <w:r w:rsidRPr="00EF5399">
              <w:t xml:space="preserve"> second 5% step increase</w:t>
            </w:r>
            <w:r>
              <w:t>.</w:t>
            </w:r>
            <w:r w:rsidRPr="00EF5399">
              <w:t xml:space="preserve"> A4NR reiterates its request for </w:t>
            </w:r>
            <w:r>
              <w:t>a</w:t>
            </w:r>
            <w:r w:rsidRPr="00EF5399">
              <w:t xml:space="preserve"> second step increase</w:t>
            </w:r>
            <w:r>
              <w:t xml:space="preserve"> in the calculation of Geesman’s 2024 rate</w:t>
            </w:r>
            <w:r w:rsidRPr="00EF5399">
              <w:t>,</w:t>
            </w:r>
            <w:r>
              <w:t xml:space="preserve"> and notes that “</w:t>
            </w:r>
            <w:r w:rsidRPr="00EF5399">
              <w:t>recognizing that its size will be constrained by the $785.08 upper limit to the 2024 authorized Attorney V rate</w:t>
            </w:r>
            <w:r>
              <w:t>.”</w:t>
            </w:r>
          </w:p>
          <w:p w:rsidRPr="000E3C66" w:rsidR="00A92D0B" w:rsidP="00480318" w:rsidRDefault="00480318" w14:paraId="65BDB010" w14:textId="33ABF229">
            <w:pPr>
              <w:spacing w:after="240"/>
            </w:pPr>
            <w:r w:rsidRPr="00215CE9">
              <w:t xml:space="preserve">A4NR requests that the Revised </w:t>
            </w:r>
            <w:r>
              <w:t>PD</w:t>
            </w:r>
            <w:r w:rsidRPr="00215CE9">
              <w:t xml:space="preserve"> be modified to</w:t>
            </w:r>
            <w:r>
              <w:t xml:space="preserve"> ultimately</w:t>
            </w:r>
            <w:r w:rsidRPr="00215CE9">
              <w:t xml:space="preserve"> reflect a 2024 Rate for Geesman of $785</w:t>
            </w:r>
            <w:r>
              <w:t>, and that “</w:t>
            </w:r>
            <w:r w:rsidRPr="00215CE9">
              <w:t>calculating the correct 2024 hourly rate is important because of the role that past precedent often plays in future Commission compensation decisions</w:t>
            </w:r>
            <w:r>
              <w:t>.”</w:t>
            </w:r>
          </w:p>
        </w:tc>
        <w:tc>
          <w:tcPr>
            <w:tcW w:w="3875" w:type="dxa"/>
            <w:shd w:val="clear" w:color="auto" w:fill="auto"/>
          </w:tcPr>
          <w:p w:rsidR="00480318" w:rsidP="00480318" w:rsidRDefault="00480318" w14:paraId="0A795E31" w14:textId="45B79744">
            <w:pPr>
              <w:spacing w:after="240"/>
            </w:pPr>
            <w:r>
              <w:lastRenderedPageBreak/>
              <w:t>As outlined in Part</w:t>
            </w:r>
            <w:r w:rsidR="00891943">
              <w:t> </w:t>
            </w:r>
            <w:r>
              <w:t xml:space="preserve">III.D [1] of this Proposed Decision, supplemental documentation submitted to the Commission by A4NR </w:t>
            </w:r>
            <w:r w:rsidRPr="00EA6CE6">
              <w:t>confirm</w:t>
            </w:r>
            <w:r>
              <w:t xml:space="preserve">s </w:t>
            </w:r>
            <w:r w:rsidRPr="00EA6CE6">
              <w:t xml:space="preserve">that </w:t>
            </w:r>
            <w:r w:rsidRPr="00EA6CE6">
              <w:lastRenderedPageBreak/>
              <w:t xml:space="preserve">Geesman </w:t>
            </w:r>
            <w:r>
              <w:t>performed work for</w:t>
            </w:r>
            <w:r w:rsidRPr="00EA6CE6">
              <w:t xml:space="preserve"> A4NR </w:t>
            </w:r>
            <w:r>
              <w:t xml:space="preserve">as a consultant </w:t>
            </w:r>
            <w:r w:rsidRPr="00EA6CE6">
              <w:t>under contract on a contingency basis</w:t>
            </w:r>
            <w:r>
              <w:t>.</w:t>
            </w:r>
          </w:p>
          <w:p w:rsidR="00480318" w:rsidP="00480318" w:rsidRDefault="00480318" w14:paraId="34CB3D0E" w14:textId="5AA4A714">
            <w:pPr>
              <w:spacing w:after="240"/>
            </w:pPr>
            <w:r w:rsidRPr="00EA6CE6">
              <w:t>Pursuant to Commission policy, the rate requested by an intervenor must not exceed the rate billed to that intervenor by any outside consultant it hires, even if the</w:t>
            </w:r>
            <w:r>
              <w:t xml:space="preserve"> </w:t>
            </w:r>
            <w:r w:rsidRPr="00EA6CE6">
              <w:t>consultant’s billed rate is below the floor for a given experience level</w:t>
            </w:r>
            <w:r>
              <w:t xml:space="preserve"> (pursuant to </w:t>
            </w:r>
            <w:r w:rsidRPr="00EA6CE6">
              <w:t>D.07</w:t>
            </w:r>
            <w:r w:rsidR="00891943">
              <w:noBreakHyphen/>
            </w:r>
            <w:r w:rsidRPr="00EA6CE6">
              <w:t>01</w:t>
            </w:r>
            <w:r w:rsidR="00891943">
              <w:noBreakHyphen/>
            </w:r>
            <w:r w:rsidRPr="00EA6CE6">
              <w:t>009, D.08</w:t>
            </w:r>
            <w:r w:rsidR="00891943">
              <w:noBreakHyphen/>
            </w:r>
            <w:r w:rsidRPr="00EA6CE6">
              <w:t>04</w:t>
            </w:r>
            <w:r w:rsidR="00891943">
              <w:noBreakHyphen/>
            </w:r>
            <w:r w:rsidRPr="00EA6CE6">
              <w:t>010, and ALJ Resolution</w:t>
            </w:r>
            <w:r w:rsidR="00891943">
              <w:t> </w:t>
            </w:r>
            <w:r w:rsidRPr="00EA6CE6">
              <w:t>ALJ</w:t>
            </w:r>
            <w:r w:rsidR="00891943">
              <w:noBreakHyphen/>
            </w:r>
            <w:r w:rsidRPr="00EA6CE6">
              <w:t>235</w:t>
            </w:r>
            <w:r>
              <w:t xml:space="preserve">), and </w:t>
            </w:r>
            <w:r w:rsidR="000601F7">
              <w:t>we therefore</w:t>
            </w:r>
            <w:r w:rsidRPr="00EA6CE6">
              <w:t xml:space="preserve"> utilize the reasonable rates established by Resolution</w:t>
            </w:r>
            <w:r w:rsidR="00891943">
              <w:t> </w:t>
            </w:r>
            <w:r w:rsidRPr="00EA6CE6">
              <w:t>ALJ</w:t>
            </w:r>
            <w:r w:rsidR="00891943">
              <w:noBreakHyphen/>
            </w:r>
            <w:r w:rsidRPr="00EA6CE6">
              <w:t>393</w:t>
            </w:r>
            <w:r>
              <w:t xml:space="preserve">. The 2024 rate of $745 awarded to Geesman in this Proposed Decision is an appropriate reflection of his experience level as it pertains to the Attorney – V role, adheres to </w:t>
            </w:r>
            <w:r w:rsidRPr="00B37AEB">
              <w:t>the guidelines for awarding rates set forth by Resolution</w:t>
            </w:r>
            <w:r w:rsidR="00891943">
              <w:t> </w:t>
            </w:r>
            <w:r w:rsidRPr="00B37AEB">
              <w:t>ALJ</w:t>
            </w:r>
            <w:r w:rsidR="00891943">
              <w:noBreakHyphen/>
            </w:r>
            <w:r w:rsidRPr="00B37AEB">
              <w:t xml:space="preserve">393, and is </w:t>
            </w:r>
            <w:r w:rsidR="000601F7">
              <w:t xml:space="preserve">therefore </w:t>
            </w:r>
            <w:r w:rsidRPr="00B37AEB">
              <w:t xml:space="preserve">affirmed. </w:t>
            </w:r>
          </w:p>
          <w:p w:rsidRPr="000E3C66" w:rsidR="00A92D0B" w:rsidP="00926603" w:rsidRDefault="00480318" w14:paraId="39185471" w14:textId="22968873">
            <w:pPr>
              <w:spacing w:after="240"/>
            </w:pPr>
            <w:r>
              <w:t>Additionally, t</w:t>
            </w:r>
            <w:r w:rsidRPr="005D1152">
              <w:t>he Commission did not</w:t>
            </w:r>
            <w:r>
              <w:t xml:space="preserve"> </w:t>
            </w:r>
            <w:r w:rsidRPr="005D1152">
              <w:t xml:space="preserve">mathematically err in calculating the maximum compensation allowed for the role of Attorney </w:t>
            </w:r>
            <w:r w:rsidR="00891943">
              <w:noBreakHyphen/>
            </w:r>
            <w:r w:rsidRPr="005D1152">
              <w:t xml:space="preserve"> Level V in 2024</w:t>
            </w:r>
            <w:r>
              <w:t>.</w:t>
            </w:r>
            <w:r w:rsidRPr="005D1152">
              <w:t xml:space="preserve"> Resolution</w:t>
            </w:r>
            <w:r w:rsidR="00891943">
              <w:t> </w:t>
            </w:r>
            <w:r w:rsidRPr="005D1152">
              <w:t>ALJ</w:t>
            </w:r>
            <w:r w:rsidR="00891943">
              <w:noBreakHyphen/>
            </w:r>
            <w:r w:rsidRPr="005D1152">
              <w:t>393 verifies th</w:t>
            </w:r>
            <w:r>
              <w:t xml:space="preserve">e “high” (or “upper” end, as A4NR describes) end of the rate range for the role of Attorney – V in 2024 is $773.67, not $785.08, as A4NR contends. </w:t>
            </w:r>
          </w:p>
        </w:tc>
      </w:tr>
    </w:tbl>
    <w:p w:rsidRPr="000E3C66" w:rsidR="00A92D0B" w:rsidP="002F3AB9" w:rsidRDefault="00A92D0B" w14:paraId="186E115A" w14:textId="77777777">
      <w:pPr>
        <w:keepNext/>
        <w:spacing w:before="480" w:after="240"/>
        <w:jc w:val="center"/>
        <w:rPr>
          <w:b/>
          <w:u w:val="single"/>
        </w:rPr>
      </w:pPr>
      <w:r w:rsidRPr="000E3C66">
        <w:rPr>
          <w:b/>
          <w:u w:val="single"/>
        </w:rPr>
        <w:lastRenderedPageBreak/>
        <w:t>FINDINGS OF FACT</w:t>
      </w:r>
    </w:p>
    <w:p w:rsidRPr="000E3C66" w:rsidR="00A92D0B" w:rsidP="00A96CB3" w:rsidRDefault="0043735D" w14:paraId="7772A9DC" w14:textId="1E582EA2">
      <w:pPr>
        <w:keepNext/>
        <w:numPr>
          <w:ilvl w:val="0"/>
          <w:numId w:val="3"/>
        </w:numPr>
        <w:tabs>
          <w:tab w:val="num" w:pos="540"/>
        </w:tabs>
        <w:spacing w:after="240"/>
      </w:pPr>
      <w:r w:rsidRPr="000E3C66">
        <w:t>Alliance for Nuclear Responsibility</w:t>
      </w:r>
      <w:r w:rsidRPr="000E3C66" w:rsidR="00FE3BAE">
        <w:t xml:space="preserve"> </w:t>
      </w:r>
      <w:r w:rsidRPr="000E3C66" w:rsidR="00A92D0B">
        <w:t>has made a substantia</w:t>
      </w:r>
      <w:r w:rsidRPr="000E3C66" w:rsidR="00DE3A5D">
        <w:t>l contribution to D.</w:t>
      </w:r>
      <w:r w:rsidRPr="000E3C66" w:rsidR="00A40339">
        <w:t>23</w:t>
      </w:r>
      <w:r w:rsidRPr="000E3C66" w:rsidR="00F949CB">
        <w:noBreakHyphen/>
      </w:r>
      <w:r w:rsidRPr="000E3C66" w:rsidR="00A40339">
        <w:t>12</w:t>
      </w:r>
      <w:r w:rsidRPr="000E3C66" w:rsidR="00F949CB">
        <w:noBreakHyphen/>
      </w:r>
      <w:r w:rsidRPr="000E3C66" w:rsidR="00A40339">
        <w:t>036</w:t>
      </w:r>
      <w:r w:rsidRPr="000E3C66" w:rsidR="00A92D0B">
        <w:t>.</w:t>
      </w:r>
    </w:p>
    <w:p w:rsidRPr="000E3C66" w:rsidR="00A92D0B" w:rsidP="00161ECD" w:rsidRDefault="00A92D0B" w14:paraId="04EB50FD" w14:textId="433C153B">
      <w:pPr>
        <w:numPr>
          <w:ilvl w:val="0"/>
          <w:numId w:val="3"/>
        </w:numPr>
        <w:tabs>
          <w:tab w:val="num" w:pos="540"/>
        </w:tabs>
        <w:spacing w:after="240"/>
      </w:pPr>
      <w:r w:rsidRPr="000E3C66">
        <w:t>The requested hourly rates for</w:t>
      </w:r>
      <w:r w:rsidRPr="000E3C66" w:rsidR="003B6A1B">
        <w:t xml:space="preserve"> </w:t>
      </w:r>
      <w:r w:rsidRPr="000E3C66" w:rsidR="0043735D">
        <w:t>Alliance for Nuclear Responsibility</w:t>
      </w:r>
      <w:r w:rsidRPr="000E3C66" w:rsidR="005A63D4">
        <w:t xml:space="preserve">’s </w:t>
      </w:r>
      <w:r w:rsidRPr="000E3C66">
        <w:t>representatives,</w:t>
      </w:r>
      <w:r w:rsidRPr="000E3C66" w:rsidR="003B5EAC">
        <w:t xml:space="preserve"> </w:t>
      </w:r>
      <w:r w:rsidRPr="000E3C66">
        <w:t xml:space="preserve">as adjusted herein, are comparable to market rates paid to experts and advocates having </w:t>
      </w:r>
      <w:r w:rsidRPr="000E3C66">
        <w:lastRenderedPageBreak/>
        <w:t>comparable training and experience and offering similar services</w:t>
      </w:r>
      <w:r w:rsidRPr="000E3C66" w:rsidR="002375FD">
        <w:t>, and/or reflect the actual rates billed to, and paid by the intervenor, for consultant services rendered.</w:t>
      </w:r>
    </w:p>
    <w:p w:rsidRPr="000E3C66" w:rsidR="00A92D0B" w:rsidP="00A96CB3" w:rsidRDefault="00A92D0B" w14:paraId="528EBB52" w14:textId="4B35B422">
      <w:pPr>
        <w:keepNext/>
        <w:numPr>
          <w:ilvl w:val="0"/>
          <w:numId w:val="3"/>
        </w:numPr>
        <w:tabs>
          <w:tab w:val="num" w:pos="540"/>
        </w:tabs>
        <w:spacing w:after="240"/>
      </w:pPr>
      <w:r w:rsidRPr="000E3C66">
        <w:t>The claimed costs and expenses,</w:t>
      </w:r>
      <w:r w:rsidRPr="000E3C66" w:rsidR="003B5EAC">
        <w:t xml:space="preserve"> </w:t>
      </w:r>
      <w:r w:rsidRPr="000E3C66">
        <w:t xml:space="preserve">as adjusted herein, are reasonable and commensurate with the work performed. </w:t>
      </w:r>
    </w:p>
    <w:p w:rsidRPr="000E3C66" w:rsidR="00A92D0B" w:rsidP="00161ECD" w:rsidRDefault="00A92D0B" w14:paraId="48B52895" w14:textId="61E04348">
      <w:pPr>
        <w:numPr>
          <w:ilvl w:val="0"/>
          <w:numId w:val="3"/>
        </w:numPr>
        <w:tabs>
          <w:tab w:val="num" w:pos="540"/>
        </w:tabs>
        <w:spacing w:after="240"/>
      </w:pPr>
      <w:r w:rsidRPr="000E3C66">
        <w:t xml:space="preserve">The total of reasonable </w:t>
      </w:r>
      <w:r w:rsidRPr="000E3C66" w:rsidR="003C608A">
        <w:t xml:space="preserve">compensation </w:t>
      </w:r>
      <w:r w:rsidRPr="000E3C66">
        <w:t xml:space="preserve">is </w:t>
      </w:r>
      <w:r w:rsidRPr="000E3C66" w:rsidR="008818C1">
        <w:t>$</w:t>
      </w:r>
      <w:r w:rsidR="00785A26">
        <w:t>319,085.71</w:t>
      </w:r>
      <w:r w:rsidRPr="000E3C66">
        <w:t>.</w:t>
      </w:r>
    </w:p>
    <w:p w:rsidRPr="000E3C66" w:rsidR="00A92D0B" w:rsidP="002F3AB9" w:rsidRDefault="00A92D0B" w14:paraId="5C773C3F" w14:textId="77777777">
      <w:pPr>
        <w:keepNext/>
        <w:spacing w:before="480" w:after="240"/>
        <w:jc w:val="center"/>
        <w:rPr>
          <w:b/>
          <w:u w:val="single"/>
        </w:rPr>
      </w:pPr>
      <w:r w:rsidRPr="000E3C66">
        <w:rPr>
          <w:b/>
          <w:u w:val="single"/>
        </w:rPr>
        <w:t>CONCLUSION OF LAW</w:t>
      </w:r>
    </w:p>
    <w:p w:rsidRPr="000E3C66" w:rsidR="00A92D0B" w:rsidP="00161ECD" w:rsidRDefault="00A92D0B" w14:paraId="654F2C27" w14:textId="123922CD">
      <w:pPr>
        <w:numPr>
          <w:ilvl w:val="0"/>
          <w:numId w:val="16"/>
        </w:numPr>
        <w:spacing w:after="240"/>
      </w:pPr>
      <w:r w:rsidRPr="000E3C66">
        <w:t>The Claim, with any adjustment set forth above, satisfies</w:t>
      </w:r>
      <w:r w:rsidRPr="000E3C66" w:rsidR="00DE3A5D">
        <w:t xml:space="preserve"> all requirements of </w:t>
      </w:r>
      <w:r w:rsidRPr="000E3C66" w:rsidR="00AE4FEE">
        <w:t>Pub. Util.</w:t>
      </w:r>
      <w:r w:rsidRPr="000E3C66">
        <w:t xml:space="preserve"> Code </w:t>
      </w:r>
      <w:r w:rsidRPr="000E3C66" w:rsidR="00AE4FEE">
        <w:t>§§ </w:t>
      </w:r>
      <w:r w:rsidRPr="000E3C66">
        <w:t>1801</w:t>
      </w:r>
      <w:r w:rsidRPr="000E3C66" w:rsidR="00F949CB">
        <w:noBreakHyphen/>
      </w:r>
      <w:r w:rsidRPr="000E3C66">
        <w:t>1812.</w:t>
      </w:r>
    </w:p>
    <w:p w:rsidRPr="000E3C66" w:rsidR="00A92D0B" w:rsidP="002F3AB9" w:rsidRDefault="00A92D0B" w14:paraId="0E2503A5" w14:textId="77777777">
      <w:pPr>
        <w:keepNext/>
        <w:spacing w:before="480" w:after="240"/>
        <w:jc w:val="center"/>
        <w:rPr>
          <w:b/>
          <w:u w:val="single"/>
        </w:rPr>
      </w:pPr>
      <w:r w:rsidRPr="000E3C66">
        <w:rPr>
          <w:b/>
          <w:u w:val="single"/>
        </w:rPr>
        <w:t>ORDER</w:t>
      </w:r>
    </w:p>
    <w:p w:rsidRPr="000E3C66" w:rsidR="00A92D0B" w:rsidP="00A96CB3" w:rsidRDefault="0043735D" w14:paraId="33FB4E15" w14:textId="61E7BC5C">
      <w:pPr>
        <w:keepNext/>
        <w:numPr>
          <w:ilvl w:val="0"/>
          <w:numId w:val="17"/>
        </w:numPr>
        <w:spacing w:after="240"/>
      </w:pPr>
      <w:r w:rsidRPr="000E3C66">
        <w:t xml:space="preserve">Alliance for Nuclear Responsibility </w:t>
      </w:r>
      <w:r w:rsidRPr="000E3C66" w:rsidR="00831652">
        <w:t>is</w:t>
      </w:r>
      <w:r w:rsidRPr="000E3C66" w:rsidR="00FE3BAE">
        <w:t xml:space="preserve"> </w:t>
      </w:r>
      <w:r w:rsidRPr="000E3C66" w:rsidR="00A92D0B">
        <w:t xml:space="preserve">awarded </w:t>
      </w:r>
      <w:r w:rsidRPr="000E3C66" w:rsidR="008818C1">
        <w:t>$</w:t>
      </w:r>
      <w:r w:rsidR="00785A26">
        <w:t>319,085.71</w:t>
      </w:r>
      <w:r w:rsidRPr="000E3C66" w:rsidR="00A92D0B">
        <w:t>.</w:t>
      </w:r>
    </w:p>
    <w:p w:rsidRPr="000E3C66" w:rsidR="00A92D0B" w:rsidP="00161ECD" w:rsidRDefault="00A92D0B" w14:paraId="4AEF5671" w14:textId="2FC204F3">
      <w:pPr>
        <w:numPr>
          <w:ilvl w:val="0"/>
          <w:numId w:val="17"/>
        </w:numPr>
        <w:spacing w:after="240"/>
      </w:pPr>
      <w:r w:rsidRPr="000E3C66">
        <w:t xml:space="preserve">Within 30 days of the effective date of this decision, </w:t>
      </w:r>
      <w:r w:rsidRPr="000E3C66" w:rsidR="007D11D8">
        <w:t>Pacific Gas and Electric Company</w:t>
      </w:r>
      <w:r w:rsidRPr="000E3C66">
        <w:t xml:space="preserve"> shall pay </w:t>
      </w:r>
      <w:r w:rsidRPr="000E3C66" w:rsidR="0043735D">
        <w:t xml:space="preserve">Alliance for Nuclear Responsibility </w:t>
      </w:r>
      <w:r w:rsidRPr="000E3C66">
        <w:t>the total award. Payment of the award shall include</w:t>
      </w:r>
      <w:r w:rsidRPr="000E3C66" w:rsidR="004E3939">
        <w:t xml:space="preserve"> compound </w:t>
      </w:r>
      <w:r w:rsidRPr="000E3C66">
        <w:t>interest at the rate earned on prime, three</w:t>
      </w:r>
      <w:r w:rsidRPr="000E3C66" w:rsidR="00F949CB">
        <w:noBreakHyphen/>
      </w:r>
      <w:r w:rsidRPr="000E3C66">
        <w:t xml:space="preserve">month </w:t>
      </w:r>
      <w:r w:rsidRPr="000E3C66" w:rsidR="00214B22">
        <w:t>non</w:t>
      </w:r>
      <w:r w:rsidRPr="000E3C66" w:rsidR="00F949CB">
        <w:noBreakHyphen/>
      </w:r>
      <w:r w:rsidRPr="000E3C66" w:rsidR="00214B22">
        <w:t xml:space="preserve">financial </w:t>
      </w:r>
      <w:r w:rsidRPr="000E3C66">
        <w:t>commercial paper as reported in Federal Reserve Statistical Release H.15, beginning</w:t>
      </w:r>
      <w:r w:rsidRPr="000E3C66" w:rsidR="007D11D8">
        <w:t xml:space="preserve"> April</w:t>
      </w:r>
      <w:r w:rsidRPr="000E3C66" w:rsidR="009B5CB9">
        <w:t> </w:t>
      </w:r>
      <w:r w:rsidRPr="000E3C66" w:rsidR="007D11D8">
        <w:t>28, 2024</w:t>
      </w:r>
      <w:r w:rsidRPr="000E3C66" w:rsidR="00357F1A">
        <w:t xml:space="preserve">, </w:t>
      </w:r>
      <w:r w:rsidRPr="000E3C66">
        <w:t>the 75</w:t>
      </w:r>
      <w:r w:rsidRPr="000E3C66">
        <w:rPr>
          <w:vertAlign w:val="superscript"/>
        </w:rPr>
        <w:t>th</w:t>
      </w:r>
      <w:r w:rsidRPr="000E3C66">
        <w:t xml:space="preserve"> day after the filing of </w:t>
      </w:r>
      <w:r w:rsidRPr="000E3C66" w:rsidR="0043735D">
        <w:t>Alliance for Nuclear Responsibility</w:t>
      </w:r>
      <w:r w:rsidRPr="000E3C66" w:rsidR="00FE3BAE">
        <w:t>’s</w:t>
      </w:r>
      <w:r w:rsidRPr="000E3C66" w:rsidR="00FE3BAE">
        <w:rPr>
          <w:b/>
        </w:rPr>
        <w:t xml:space="preserve"> </w:t>
      </w:r>
      <w:r w:rsidRPr="000E3C66">
        <w:t>request, and continuing until full payment is made.</w:t>
      </w:r>
    </w:p>
    <w:p w:rsidR="00A92D0B" w:rsidP="00A96CB3" w:rsidRDefault="00A92D0B" w14:paraId="5AD40C95" w14:textId="488B2B5A">
      <w:pPr>
        <w:keepNext/>
        <w:numPr>
          <w:ilvl w:val="0"/>
          <w:numId w:val="17"/>
        </w:numPr>
        <w:spacing w:after="240"/>
      </w:pPr>
      <w:r w:rsidRPr="000E3C66">
        <w:t>The comment period for today’s decision is not waived.</w:t>
      </w:r>
    </w:p>
    <w:p w:rsidRPr="000E3C66" w:rsidR="00A92D0B" w:rsidP="00161ECD" w:rsidRDefault="00A92D0B" w14:paraId="13F3A0AD" w14:textId="77777777">
      <w:pPr>
        <w:keepNext/>
        <w:spacing w:after="240"/>
        <w:ind w:left="547"/>
      </w:pPr>
      <w:r w:rsidRPr="000E3C66">
        <w:t>This decision is effective today.</w:t>
      </w:r>
    </w:p>
    <w:p w:rsidRPr="000E3C66" w:rsidR="00A92D0B" w:rsidP="00161ECD" w:rsidRDefault="00A92D0B" w14:paraId="0467B995" w14:textId="26934728">
      <w:pPr>
        <w:keepNext/>
        <w:spacing w:after="240"/>
        <w:ind w:left="547"/>
      </w:pPr>
      <w:r w:rsidRPr="000E3C66">
        <w:t xml:space="preserve">Dated </w:t>
      </w:r>
      <w:r w:rsidR="00B93534">
        <w:t>June 26, 2025</w:t>
      </w:r>
      <w:r w:rsidRPr="000E3C66">
        <w:t xml:space="preserve">, at </w:t>
      </w:r>
      <w:r w:rsidRPr="000E3C66" w:rsidR="00161ECD">
        <w:t>Sacramento</w:t>
      </w:r>
      <w:r w:rsidRPr="000E3C66">
        <w:t>, California.</w:t>
      </w:r>
    </w:p>
    <w:p w:rsidRPr="001714D2" w:rsidR="00F807FE" w:rsidP="00F807FE" w:rsidRDefault="00F807FE" w14:paraId="27FE0147" w14:textId="77777777">
      <w:pPr>
        <w:pStyle w:val="SigSpaceTNR"/>
      </w:pPr>
    </w:p>
    <w:p w:rsidRPr="00132251" w:rsidR="00F807FE" w:rsidP="00F807FE" w:rsidRDefault="00F807FE" w14:paraId="5683C2A7" w14:textId="77777777">
      <w:pPr>
        <w:pStyle w:val="SigBlockTNR-Cmr"/>
      </w:pPr>
      <w:r w:rsidRPr="00132251">
        <w:t>ALICE REYNOLDS</w:t>
      </w:r>
    </w:p>
    <w:p w:rsidRPr="00132251" w:rsidR="00F807FE" w:rsidP="00F807FE" w:rsidRDefault="00F807FE" w14:paraId="17CF73E9" w14:textId="77777777">
      <w:pPr>
        <w:pStyle w:val="SigBlockTNR-Title"/>
      </w:pPr>
      <w:r w:rsidRPr="00132251">
        <w:t>President</w:t>
      </w:r>
    </w:p>
    <w:p w:rsidRPr="00132251" w:rsidR="00F807FE" w:rsidP="00F807FE" w:rsidRDefault="00F807FE" w14:paraId="0C9E730F" w14:textId="77777777">
      <w:pPr>
        <w:pStyle w:val="SigBlockTNR-Cmr"/>
      </w:pPr>
      <w:r w:rsidRPr="00132251">
        <w:t>DARCIE L. HOUCK</w:t>
      </w:r>
    </w:p>
    <w:p w:rsidR="00F807FE" w:rsidP="00F807FE" w:rsidRDefault="00F807FE" w14:paraId="35B0CFE1" w14:textId="77777777">
      <w:pPr>
        <w:pStyle w:val="SigBlockTNR-Cmr"/>
      </w:pPr>
      <w:r w:rsidRPr="00132251">
        <w:t>JOHN REYNOLDS</w:t>
      </w:r>
    </w:p>
    <w:p w:rsidRPr="00132251" w:rsidR="00F807FE" w:rsidP="00F807FE" w:rsidRDefault="00F807FE" w14:paraId="5B23C4E0" w14:textId="77777777">
      <w:pPr>
        <w:pStyle w:val="SigBlockTNR-Cmr"/>
      </w:pPr>
      <w:r w:rsidRPr="001A0FB9">
        <w:t>KAREN DOUGLAS</w:t>
      </w:r>
    </w:p>
    <w:p w:rsidRPr="00132251" w:rsidR="00F807FE" w:rsidP="00F807FE" w:rsidRDefault="00F807FE" w14:paraId="0644B2ED" w14:textId="77777777">
      <w:pPr>
        <w:pStyle w:val="SigBlockTNR-Title"/>
      </w:pPr>
      <w:r w:rsidRPr="00132251">
        <w:t>Commissioners</w:t>
      </w:r>
    </w:p>
    <w:p w:rsidRPr="008F5B2D" w:rsidR="00F807FE" w:rsidP="00F807FE" w:rsidRDefault="00F807FE" w14:paraId="1490D0A5" w14:textId="77777777">
      <w:pPr>
        <w:pStyle w:val="SigBlockTNR-Cmr"/>
      </w:pPr>
    </w:p>
    <w:p w:rsidRPr="000E3C66" w:rsidR="00161ECD" w:rsidP="00F774A5" w:rsidRDefault="00F807FE" w14:paraId="340FA651" w14:textId="512D1965">
      <w:pPr>
        <w:pStyle w:val="BakerIComp"/>
      </w:pPr>
      <w:r>
        <w:t>Commissioner Matthew Baker recused himself and did not participate in the vote of this item.</w:t>
      </w:r>
    </w:p>
    <w:p w:rsidRPr="000E3C66" w:rsidR="006B7228" w:rsidP="002F3AB9" w:rsidRDefault="006B7228" w14:paraId="37D74F32" w14:textId="77777777">
      <w:pPr>
        <w:sectPr w:rsidRPr="000E3C66" w:rsidR="006B7228" w:rsidSect="007258FD">
          <w:headerReference w:type="default" r:id="rId8"/>
          <w:footerReference w:type="default" r:id="rId9"/>
          <w:footerReference w:type="first" r:id="rId10"/>
          <w:pgSz w:w="12240" w:h="15840"/>
          <w:pgMar w:top="1728" w:right="1440" w:bottom="1440" w:left="1440" w:header="720" w:footer="720" w:gutter="0"/>
          <w:pgNumType w:start="1"/>
          <w:cols w:space="720"/>
          <w:titlePg/>
          <w:docGrid w:linePitch="360"/>
        </w:sectPr>
      </w:pPr>
    </w:p>
    <w:p w:rsidRPr="000E3C66" w:rsidR="00FE3BAE" w:rsidP="002F3AB9" w:rsidRDefault="00FE3BAE" w14:paraId="7A1C7043" w14:textId="77777777">
      <w:pPr>
        <w:pStyle w:val="standard"/>
        <w:keepNext/>
        <w:spacing w:after="240" w:line="240" w:lineRule="auto"/>
        <w:ind w:firstLine="0"/>
        <w:jc w:val="center"/>
        <w:rPr>
          <w:rFonts w:ascii="Times New Roman" w:hAnsi="Times New Roman"/>
          <w:b/>
          <w:szCs w:val="26"/>
        </w:rPr>
      </w:pPr>
      <w:r w:rsidRPr="000E3C66">
        <w:rPr>
          <w:rFonts w:ascii="Times New Roman" w:hAnsi="Times New Roman"/>
          <w:b/>
          <w:szCs w:val="26"/>
        </w:rPr>
        <w:lastRenderedPageBreak/>
        <w:t>APPENDIX</w:t>
      </w:r>
    </w:p>
    <w:p w:rsidRPr="000E3C66" w:rsidR="00FE3BAE" w:rsidP="002F3AB9" w:rsidRDefault="00FE3BAE" w14:paraId="300BB274" w14:textId="77777777">
      <w:pPr>
        <w:pStyle w:val="standard"/>
        <w:keepNext/>
        <w:spacing w:after="240" w:line="240" w:lineRule="auto"/>
        <w:ind w:firstLine="0"/>
        <w:jc w:val="center"/>
        <w:rPr>
          <w:rFonts w:ascii="Times New Roman" w:hAnsi="Times New Roman"/>
          <w:b/>
          <w:bCs/>
          <w:sz w:val="24"/>
        </w:rPr>
      </w:pPr>
      <w:r w:rsidRPr="000E3C66">
        <w:rPr>
          <w:rFonts w:ascii="Times New Roman" w:hAnsi="Times New Roman"/>
          <w:b/>
          <w:bCs/>
          <w:sz w:val="24"/>
          <w:szCs w:val="28"/>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05"/>
        <w:gridCol w:w="3767"/>
        <w:gridCol w:w="2497"/>
        <w:gridCol w:w="1271"/>
      </w:tblGrid>
      <w:tr w:rsidRPr="000E3C66" w:rsidR="000E3C66" w:rsidTr="002918E9" w14:paraId="062C592A" w14:textId="77777777">
        <w:trPr>
          <w:jc w:val="center"/>
        </w:trPr>
        <w:tc>
          <w:tcPr>
            <w:tcW w:w="2880" w:type="dxa"/>
            <w:tcBorders>
              <w:top w:val="single" w:color="auto" w:sz="4" w:space="0"/>
              <w:left w:val="single" w:color="auto" w:sz="4" w:space="0"/>
              <w:bottom w:val="single" w:color="auto" w:sz="4" w:space="0"/>
              <w:right w:val="single" w:color="auto" w:sz="4" w:space="0"/>
            </w:tcBorders>
            <w:hideMark/>
          </w:tcPr>
          <w:p w:rsidRPr="000E3C66" w:rsidR="00FE3BAE" w:rsidP="002F3AB9" w:rsidRDefault="00FE3BAE" w14:paraId="4BC9C636" w14:textId="77777777">
            <w:pPr>
              <w:rPr>
                <w:b/>
                <w:bCs/>
              </w:rPr>
            </w:pPr>
            <w:r w:rsidRPr="000E3C66">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0E3C66" w:rsidR="00FE3BAE" w:rsidP="002F3AB9" w:rsidRDefault="00783DB7" w14:paraId="16C5D6B1" w14:textId="53001026">
            <w:r w:rsidRPr="000924F9">
              <w:t>D2506062</w:t>
            </w:r>
          </w:p>
        </w:tc>
        <w:tc>
          <w:tcPr>
            <w:tcW w:w="2475" w:type="dxa"/>
            <w:tcBorders>
              <w:top w:val="single" w:color="auto" w:sz="4" w:space="0"/>
              <w:left w:val="single" w:color="auto" w:sz="4" w:space="0"/>
              <w:bottom w:val="single" w:color="auto" w:sz="4" w:space="0"/>
              <w:right w:val="single" w:color="auto" w:sz="4" w:space="0"/>
            </w:tcBorders>
            <w:hideMark/>
          </w:tcPr>
          <w:p w:rsidRPr="000E3C66" w:rsidR="00FE3BAE" w:rsidP="002F3AB9" w:rsidRDefault="00FE3BAE" w14:paraId="3ECA0C4F" w14:textId="77777777">
            <w:pPr>
              <w:rPr>
                <w:b/>
                <w:bCs/>
              </w:rPr>
            </w:pPr>
            <w:r w:rsidRPr="000E3C66">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0E3C66" w:rsidR="00FE3BAE" w:rsidP="002F3AB9" w:rsidRDefault="00C327E8" w14:paraId="6846FB87" w14:textId="409230B1">
            <w:pPr>
              <w:jc w:val="center"/>
            </w:pPr>
            <w:r w:rsidRPr="000E3C66">
              <w:t>No</w:t>
            </w:r>
          </w:p>
        </w:tc>
      </w:tr>
      <w:tr w:rsidRPr="000E3C66" w:rsidR="000E3C66" w:rsidTr="002918E9" w14:paraId="3E0218AD" w14:textId="77777777">
        <w:trPr>
          <w:jc w:val="center"/>
        </w:trPr>
        <w:tc>
          <w:tcPr>
            <w:tcW w:w="2880" w:type="dxa"/>
            <w:tcBorders>
              <w:top w:val="single" w:color="auto" w:sz="4" w:space="0"/>
              <w:left w:val="single" w:color="auto" w:sz="4" w:space="0"/>
              <w:bottom w:val="single" w:color="auto" w:sz="4" w:space="0"/>
              <w:right w:val="single" w:color="auto" w:sz="4" w:space="0"/>
            </w:tcBorders>
            <w:hideMark/>
          </w:tcPr>
          <w:p w:rsidRPr="000E3C66" w:rsidR="00FE3BAE" w:rsidP="002F3AB9" w:rsidRDefault="00FE3BAE" w14:paraId="6E65620B" w14:textId="77777777">
            <w:pPr>
              <w:rPr>
                <w:b/>
                <w:bCs/>
              </w:rPr>
            </w:pPr>
            <w:r w:rsidRPr="000E3C66">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0E3C66" w:rsidR="00FE3BAE" w:rsidP="002F3AB9" w:rsidRDefault="0049564F" w14:paraId="426F2C45" w14:textId="2D22C503">
            <w:pPr>
              <w:rPr>
                <w:rFonts w:asciiTheme="minorHAnsi" w:hAnsiTheme="minorHAnsi" w:cstheme="minorHAnsi"/>
              </w:rPr>
            </w:pPr>
            <w:r w:rsidRPr="000E3C66">
              <w:rPr>
                <w:rFonts w:cstheme="minorHAnsi"/>
              </w:rPr>
              <w:t>D2312036</w:t>
            </w:r>
          </w:p>
        </w:tc>
      </w:tr>
      <w:tr w:rsidRPr="000E3C66" w:rsidR="000E3C66" w:rsidTr="002918E9" w14:paraId="2808C576" w14:textId="77777777">
        <w:trPr>
          <w:jc w:val="center"/>
        </w:trPr>
        <w:tc>
          <w:tcPr>
            <w:tcW w:w="2880" w:type="dxa"/>
            <w:tcBorders>
              <w:top w:val="single" w:color="auto" w:sz="4" w:space="0"/>
              <w:left w:val="single" w:color="auto" w:sz="4" w:space="0"/>
              <w:bottom w:val="single" w:color="auto" w:sz="4" w:space="0"/>
              <w:right w:val="single" w:color="auto" w:sz="4" w:space="0"/>
            </w:tcBorders>
            <w:hideMark/>
          </w:tcPr>
          <w:p w:rsidRPr="000E3C66" w:rsidR="00FE3BAE" w:rsidP="002F3AB9" w:rsidRDefault="00FE3BAE" w14:paraId="717974DE" w14:textId="77777777">
            <w:pPr>
              <w:rPr>
                <w:b/>
                <w:bCs/>
              </w:rPr>
            </w:pPr>
            <w:r w:rsidRPr="000E3C66">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0E3C66" w:rsidR="00FE3BAE" w:rsidP="002F3AB9" w:rsidRDefault="0049564F" w14:paraId="5B85688D" w14:textId="3F6238F7">
            <w:pPr>
              <w:rPr>
                <w:rFonts w:asciiTheme="minorHAnsi" w:hAnsiTheme="minorHAnsi" w:cstheme="minorHAnsi"/>
              </w:rPr>
            </w:pPr>
            <w:r w:rsidRPr="000E3C66">
              <w:rPr>
                <w:rFonts w:cstheme="minorHAnsi"/>
              </w:rPr>
              <w:t>R23</w:t>
            </w:r>
            <w:r w:rsidRPr="000E3C66" w:rsidR="000076F7">
              <w:rPr>
                <w:rFonts w:cstheme="minorHAnsi"/>
              </w:rPr>
              <w:t>01007</w:t>
            </w:r>
          </w:p>
        </w:tc>
      </w:tr>
      <w:tr w:rsidRPr="000E3C66" w:rsidR="000E3C66" w:rsidTr="002918E9" w14:paraId="66779179" w14:textId="77777777">
        <w:trPr>
          <w:jc w:val="center"/>
        </w:trPr>
        <w:tc>
          <w:tcPr>
            <w:tcW w:w="2880" w:type="dxa"/>
            <w:tcBorders>
              <w:top w:val="single" w:color="auto" w:sz="4" w:space="0"/>
              <w:left w:val="single" w:color="auto" w:sz="4" w:space="0"/>
              <w:bottom w:val="single" w:color="auto" w:sz="4" w:space="0"/>
              <w:right w:val="single" w:color="auto" w:sz="4" w:space="0"/>
            </w:tcBorders>
            <w:hideMark/>
          </w:tcPr>
          <w:p w:rsidRPr="000E3C66" w:rsidR="00FE3BAE" w:rsidP="002F3AB9" w:rsidRDefault="00FE3BAE" w14:paraId="738C0A58" w14:textId="77777777">
            <w:pPr>
              <w:rPr>
                <w:b/>
                <w:bCs/>
              </w:rPr>
            </w:pPr>
            <w:r w:rsidRPr="000E3C66">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0E3C66" w:rsidR="00FE3BAE" w:rsidP="002F3AB9" w:rsidRDefault="00C327E8" w14:paraId="5E75C0F0" w14:textId="58B9235E">
            <w:r w:rsidRPr="000E3C66">
              <w:t>ALJ Atamturk</w:t>
            </w:r>
          </w:p>
        </w:tc>
      </w:tr>
      <w:tr w:rsidRPr="000E3C66" w:rsidR="000E3C66" w:rsidTr="002918E9" w14:paraId="305F69F4" w14:textId="77777777">
        <w:trPr>
          <w:jc w:val="center"/>
        </w:trPr>
        <w:tc>
          <w:tcPr>
            <w:tcW w:w="2880" w:type="dxa"/>
            <w:tcBorders>
              <w:top w:val="single" w:color="auto" w:sz="4" w:space="0"/>
              <w:left w:val="single" w:color="auto" w:sz="4" w:space="0"/>
              <w:bottom w:val="single" w:color="auto" w:sz="4" w:space="0"/>
              <w:right w:val="single" w:color="auto" w:sz="4" w:space="0"/>
            </w:tcBorders>
            <w:hideMark/>
          </w:tcPr>
          <w:p w:rsidRPr="000E3C66" w:rsidR="00FE3BAE" w:rsidP="002F3AB9" w:rsidRDefault="00FE3BAE" w14:paraId="1414CA71" w14:textId="77777777">
            <w:pPr>
              <w:rPr>
                <w:b/>
                <w:bCs/>
              </w:rPr>
            </w:pPr>
            <w:r w:rsidRPr="000E3C66">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0E3C66" w:rsidR="00FE3BAE" w:rsidP="002F3AB9" w:rsidRDefault="00C327E8" w14:paraId="7CA711B6" w14:textId="2C744571">
            <w:r w:rsidRPr="000E3C66">
              <w:t>Pacific Gas and Electric Company</w:t>
            </w:r>
          </w:p>
        </w:tc>
      </w:tr>
    </w:tbl>
    <w:p w:rsidRPr="000E3C66" w:rsidR="00FE3BAE" w:rsidP="002F3AB9" w:rsidRDefault="00FE3BAE" w14:paraId="7F0236A2" w14:textId="77777777">
      <w:pPr>
        <w:pStyle w:val="standard"/>
        <w:keepNext/>
        <w:spacing w:before="480" w:after="240" w:line="240" w:lineRule="auto"/>
        <w:ind w:firstLine="0"/>
        <w:jc w:val="center"/>
        <w:rPr>
          <w:rFonts w:ascii="Times New Roman" w:hAnsi="Times New Roman"/>
          <w:b/>
          <w:bCs/>
          <w:sz w:val="24"/>
          <w:szCs w:val="28"/>
        </w:rPr>
      </w:pPr>
      <w:r w:rsidRPr="000E3C66">
        <w:rPr>
          <w:rFonts w:ascii="Times New Roman" w:hAnsi="Times New Roman"/>
          <w:b/>
          <w:bCs/>
          <w:sz w:val="24"/>
          <w:szCs w:val="28"/>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15"/>
        <w:gridCol w:w="2160"/>
        <w:gridCol w:w="1530"/>
        <w:gridCol w:w="1530"/>
        <w:gridCol w:w="1440"/>
        <w:gridCol w:w="2165"/>
      </w:tblGrid>
      <w:tr w:rsidRPr="000E3C66" w:rsidR="000E3C66" w:rsidTr="002918E9" w14:paraId="6CDB318E" w14:textId="77777777">
        <w:trPr>
          <w:jc w:val="center"/>
        </w:trPr>
        <w:tc>
          <w:tcPr>
            <w:tcW w:w="1615" w:type="dxa"/>
            <w:tcBorders>
              <w:top w:val="single" w:color="auto" w:sz="4" w:space="0"/>
              <w:left w:val="single" w:color="auto" w:sz="4" w:space="0"/>
              <w:bottom w:val="single" w:color="auto" w:sz="4" w:space="0"/>
              <w:right w:val="single" w:color="auto" w:sz="4" w:space="0"/>
            </w:tcBorders>
            <w:vAlign w:val="bottom"/>
            <w:hideMark/>
          </w:tcPr>
          <w:p w:rsidRPr="000E3C66" w:rsidR="00FE3BAE" w:rsidP="002F3AB9" w:rsidRDefault="00FE3BAE" w14:paraId="2578F35B" w14:textId="77777777">
            <w:pPr>
              <w:jc w:val="center"/>
              <w:rPr>
                <w:b/>
                <w:bCs/>
              </w:rPr>
            </w:pPr>
            <w:r w:rsidRPr="000E3C66">
              <w:rPr>
                <w:b/>
                <w:bCs/>
              </w:rPr>
              <w:t>Intervenor</w:t>
            </w:r>
          </w:p>
        </w:tc>
        <w:tc>
          <w:tcPr>
            <w:tcW w:w="2160" w:type="dxa"/>
            <w:tcBorders>
              <w:top w:val="single" w:color="auto" w:sz="4" w:space="0"/>
              <w:left w:val="single" w:color="auto" w:sz="4" w:space="0"/>
              <w:bottom w:val="single" w:color="auto" w:sz="4" w:space="0"/>
              <w:right w:val="single" w:color="auto" w:sz="4" w:space="0"/>
            </w:tcBorders>
            <w:vAlign w:val="bottom"/>
            <w:hideMark/>
          </w:tcPr>
          <w:p w:rsidRPr="000E3C66" w:rsidR="00FE3BAE" w:rsidP="002F3AB9" w:rsidRDefault="0081626F" w14:paraId="2C1C9DC3" w14:textId="787940E0">
            <w:pPr>
              <w:jc w:val="center"/>
              <w:rPr>
                <w:b/>
                <w:bCs/>
              </w:rPr>
            </w:pPr>
            <w:r w:rsidRPr="000E3C66">
              <w:rPr>
                <w:b/>
                <w:bCs/>
              </w:rPr>
              <w:t>Date</w:t>
            </w:r>
            <w:r w:rsidRPr="000E3C66" w:rsidR="002918E9">
              <w:rPr>
                <w:b/>
                <w:bCs/>
              </w:rPr>
              <w:t xml:space="preserve"> </w:t>
            </w:r>
            <w:r w:rsidRPr="000E3C66">
              <w:rPr>
                <w:b/>
                <w:bCs/>
              </w:rPr>
              <w:t>Claim Filed</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0E3C66" w:rsidR="002918E9" w:rsidP="002F3AB9" w:rsidRDefault="00FE3BAE" w14:paraId="44B123F7" w14:textId="77777777">
            <w:pPr>
              <w:jc w:val="center"/>
              <w:rPr>
                <w:b/>
                <w:bCs/>
              </w:rPr>
            </w:pPr>
            <w:r w:rsidRPr="000E3C66">
              <w:rPr>
                <w:b/>
                <w:bCs/>
              </w:rPr>
              <w:t xml:space="preserve">Amount </w:t>
            </w:r>
          </w:p>
          <w:p w:rsidRPr="000E3C66" w:rsidR="00FE3BAE" w:rsidP="002F3AB9" w:rsidRDefault="00FE3BAE" w14:paraId="60DD020D" w14:textId="4824BE9B">
            <w:pPr>
              <w:jc w:val="center"/>
              <w:rPr>
                <w:b/>
                <w:bCs/>
              </w:rPr>
            </w:pPr>
            <w:r w:rsidRPr="000E3C66">
              <w:rPr>
                <w:b/>
                <w:bCs/>
              </w:rPr>
              <w:t>Requested</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0E3C66" w:rsidR="002918E9" w:rsidP="002F3AB9" w:rsidRDefault="00FE3BAE" w14:paraId="33925263" w14:textId="77777777">
            <w:pPr>
              <w:jc w:val="center"/>
              <w:rPr>
                <w:b/>
                <w:bCs/>
              </w:rPr>
            </w:pPr>
            <w:r w:rsidRPr="000E3C66">
              <w:rPr>
                <w:b/>
                <w:bCs/>
              </w:rPr>
              <w:t xml:space="preserve">Amount </w:t>
            </w:r>
          </w:p>
          <w:p w:rsidRPr="000E3C66" w:rsidR="00FE3BAE" w:rsidP="002F3AB9" w:rsidRDefault="00FE3BAE" w14:paraId="19A4A01D" w14:textId="483959DE">
            <w:pPr>
              <w:jc w:val="center"/>
              <w:rPr>
                <w:b/>
                <w:bCs/>
              </w:rPr>
            </w:pPr>
            <w:r w:rsidRPr="000E3C66">
              <w:rPr>
                <w:b/>
                <w:bCs/>
              </w:rPr>
              <w:t>Awarded</w:t>
            </w:r>
          </w:p>
        </w:tc>
        <w:tc>
          <w:tcPr>
            <w:tcW w:w="1440" w:type="dxa"/>
            <w:tcBorders>
              <w:top w:val="single" w:color="auto" w:sz="4" w:space="0"/>
              <w:left w:val="single" w:color="auto" w:sz="4" w:space="0"/>
              <w:bottom w:val="single" w:color="auto" w:sz="4" w:space="0"/>
              <w:right w:val="single" w:color="auto" w:sz="4" w:space="0"/>
            </w:tcBorders>
            <w:vAlign w:val="bottom"/>
            <w:hideMark/>
          </w:tcPr>
          <w:p w:rsidRPr="000E3C66" w:rsidR="00FE3BAE" w:rsidP="002F3AB9" w:rsidRDefault="00FE3BAE" w14:paraId="5B9F47E2" w14:textId="77777777">
            <w:pPr>
              <w:jc w:val="center"/>
              <w:rPr>
                <w:b/>
                <w:bCs/>
              </w:rPr>
            </w:pPr>
            <w:r w:rsidRPr="000E3C66">
              <w:rPr>
                <w:b/>
                <w:bCs/>
              </w:rPr>
              <w:t>Multiplier?</w:t>
            </w:r>
          </w:p>
        </w:tc>
        <w:tc>
          <w:tcPr>
            <w:tcW w:w="2165" w:type="dxa"/>
            <w:tcBorders>
              <w:top w:val="single" w:color="auto" w:sz="4" w:space="0"/>
              <w:left w:val="single" w:color="auto" w:sz="4" w:space="0"/>
              <w:bottom w:val="single" w:color="auto" w:sz="4" w:space="0"/>
              <w:right w:val="single" w:color="auto" w:sz="4" w:space="0"/>
            </w:tcBorders>
            <w:vAlign w:val="bottom"/>
            <w:hideMark/>
          </w:tcPr>
          <w:p w:rsidRPr="000E3C66" w:rsidR="002918E9" w:rsidP="002F3AB9" w:rsidRDefault="00FE3BAE" w14:paraId="7CAD4EED" w14:textId="77777777">
            <w:pPr>
              <w:jc w:val="center"/>
              <w:rPr>
                <w:b/>
                <w:bCs/>
              </w:rPr>
            </w:pPr>
            <w:r w:rsidRPr="000E3C66">
              <w:rPr>
                <w:b/>
                <w:bCs/>
              </w:rPr>
              <w:t>Reason Change/</w:t>
            </w:r>
          </w:p>
          <w:p w:rsidRPr="000E3C66" w:rsidR="00FE3BAE" w:rsidP="002F3AB9" w:rsidRDefault="00FE3BAE" w14:paraId="089590A8" w14:textId="427E270F">
            <w:pPr>
              <w:jc w:val="center"/>
              <w:rPr>
                <w:b/>
                <w:bCs/>
              </w:rPr>
            </w:pPr>
            <w:r w:rsidRPr="000E3C66">
              <w:rPr>
                <w:b/>
                <w:bCs/>
              </w:rPr>
              <w:t>Disallowance</w:t>
            </w:r>
          </w:p>
        </w:tc>
      </w:tr>
      <w:tr w:rsidRPr="000E3C66" w:rsidR="000E3C66" w:rsidTr="002918E9" w14:paraId="080524E3" w14:textId="77777777">
        <w:trPr>
          <w:trHeight w:val="872"/>
          <w:jc w:val="center"/>
        </w:trPr>
        <w:tc>
          <w:tcPr>
            <w:tcW w:w="1615" w:type="dxa"/>
            <w:tcBorders>
              <w:top w:val="single" w:color="auto" w:sz="4" w:space="0"/>
              <w:left w:val="single" w:color="auto" w:sz="4" w:space="0"/>
              <w:bottom w:val="single" w:color="auto" w:sz="4" w:space="0"/>
              <w:right w:val="single" w:color="auto" w:sz="4" w:space="0"/>
            </w:tcBorders>
            <w:shd w:val="clear" w:color="auto" w:fill="auto"/>
            <w:hideMark/>
          </w:tcPr>
          <w:p w:rsidRPr="000E3C66" w:rsidR="00FE3BAE" w:rsidP="002F3AB9" w:rsidRDefault="008067F7" w14:paraId="3008FB17" w14:textId="5094A3FD">
            <w:pPr>
              <w:jc w:val="center"/>
              <w:rPr>
                <w:rFonts w:asciiTheme="minorHAnsi" w:hAnsiTheme="minorHAnsi" w:cstheme="minorHAnsi"/>
                <w:bCs/>
              </w:rPr>
            </w:pPr>
            <w:r w:rsidRPr="000E3C66">
              <w:rPr>
                <w:rFonts w:cstheme="minorHAnsi"/>
                <w:bCs/>
              </w:rPr>
              <w:t>Alliance for Nuclear Responsibility</w:t>
            </w:r>
          </w:p>
        </w:tc>
        <w:tc>
          <w:tcPr>
            <w:tcW w:w="2160" w:type="dxa"/>
            <w:tcBorders>
              <w:top w:val="single" w:color="auto" w:sz="4" w:space="0"/>
              <w:left w:val="single" w:color="auto" w:sz="4" w:space="0"/>
              <w:bottom w:val="single" w:color="auto" w:sz="4" w:space="0"/>
              <w:right w:val="single" w:color="auto" w:sz="4" w:space="0"/>
            </w:tcBorders>
            <w:shd w:val="clear" w:color="auto" w:fill="auto"/>
            <w:hideMark/>
          </w:tcPr>
          <w:p w:rsidRPr="000E3C66" w:rsidR="00FE3BAE" w:rsidP="002F3AB9" w:rsidRDefault="0055571B" w14:paraId="63956769" w14:textId="5483D3B0">
            <w:pPr>
              <w:jc w:val="center"/>
              <w:rPr>
                <w:rFonts w:asciiTheme="minorHAnsi" w:hAnsiTheme="minorHAnsi" w:cstheme="minorHAnsi"/>
                <w:bCs/>
              </w:rPr>
            </w:pPr>
            <w:r w:rsidRPr="000E3C66">
              <w:rPr>
                <w:rFonts w:cstheme="minorHAnsi"/>
                <w:bCs/>
              </w:rPr>
              <w:t>2</w:t>
            </w:r>
            <w:r w:rsidRPr="000E3C66" w:rsidR="00137FBC">
              <w:rPr>
                <w:rFonts w:cstheme="minorHAnsi"/>
                <w:bCs/>
              </w:rPr>
              <w:t>/</w:t>
            </w:r>
            <w:r w:rsidRPr="000E3C66">
              <w:rPr>
                <w:rFonts w:cstheme="minorHAnsi"/>
                <w:bCs/>
              </w:rPr>
              <w:t>13</w:t>
            </w:r>
            <w:r w:rsidRPr="000E3C66" w:rsidR="00137FBC">
              <w:rPr>
                <w:rFonts w:cstheme="minorHAnsi"/>
                <w:bCs/>
              </w:rPr>
              <w:t>/</w:t>
            </w:r>
            <w:r w:rsidRPr="000E3C66">
              <w:rPr>
                <w:rFonts w:cstheme="minorHAnsi"/>
                <w:bCs/>
              </w:rPr>
              <w:t>2024</w:t>
            </w:r>
          </w:p>
        </w:tc>
        <w:tc>
          <w:tcPr>
            <w:tcW w:w="1530" w:type="dxa"/>
            <w:tcBorders>
              <w:top w:val="single" w:color="auto" w:sz="4" w:space="0"/>
              <w:left w:val="single" w:color="auto" w:sz="4" w:space="0"/>
              <w:bottom w:val="single" w:color="auto" w:sz="4" w:space="0"/>
              <w:right w:val="single" w:color="auto" w:sz="4" w:space="0"/>
            </w:tcBorders>
            <w:shd w:val="clear" w:color="auto" w:fill="auto"/>
            <w:hideMark/>
          </w:tcPr>
          <w:p w:rsidRPr="000E3C66" w:rsidR="00FE3BAE" w:rsidP="002F3AB9" w:rsidRDefault="00EA7E85" w14:paraId="75AD20FA" w14:textId="39C03941">
            <w:pPr>
              <w:jc w:val="center"/>
              <w:rPr>
                <w:rFonts w:asciiTheme="minorHAnsi" w:hAnsiTheme="minorHAnsi" w:cstheme="minorHAnsi"/>
                <w:bCs/>
              </w:rPr>
            </w:pPr>
            <w:r w:rsidRPr="000E3C66">
              <w:rPr>
                <w:rFonts w:cstheme="minorHAnsi"/>
                <w:bCs/>
              </w:rPr>
              <w:t>$662,294.49</w:t>
            </w:r>
          </w:p>
        </w:tc>
        <w:tc>
          <w:tcPr>
            <w:tcW w:w="1530" w:type="dxa"/>
            <w:tcBorders>
              <w:top w:val="single" w:color="auto" w:sz="4" w:space="0"/>
              <w:left w:val="single" w:color="auto" w:sz="4" w:space="0"/>
              <w:bottom w:val="single" w:color="auto" w:sz="4" w:space="0"/>
              <w:right w:val="single" w:color="auto" w:sz="4" w:space="0"/>
            </w:tcBorders>
            <w:hideMark/>
          </w:tcPr>
          <w:p w:rsidRPr="000E3C66" w:rsidR="00FE3BAE" w:rsidP="002F3AB9" w:rsidRDefault="008818C1" w14:paraId="0DD6FE00" w14:textId="23C84B94">
            <w:pPr>
              <w:jc w:val="center"/>
              <w:rPr>
                <w:bCs/>
              </w:rPr>
            </w:pPr>
            <w:r w:rsidRPr="000E3C66">
              <w:rPr>
                <w:bCs/>
              </w:rPr>
              <w:t>$</w:t>
            </w:r>
            <w:r w:rsidR="00785A26">
              <w:rPr>
                <w:bCs/>
              </w:rPr>
              <w:t>319,085.71</w:t>
            </w:r>
          </w:p>
        </w:tc>
        <w:tc>
          <w:tcPr>
            <w:tcW w:w="1440" w:type="dxa"/>
            <w:tcBorders>
              <w:top w:val="single" w:color="auto" w:sz="4" w:space="0"/>
              <w:left w:val="single" w:color="auto" w:sz="4" w:space="0"/>
              <w:bottom w:val="single" w:color="auto" w:sz="4" w:space="0"/>
              <w:right w:val="single" w:color="auto" w:sz="4" w:space="0"/>
            </w:tcBorders>
            <w:hideMark/>
          </w:tcPr>
          <w:p w:rsidRPr="000E3C66" w:rsidR="00FE3BAE" w:rsidP="002F3AB9" w:rsidRDefault="00FE3BAE" w14:paraId="0BDAFE20" w14:textId="77777777">
            <w:pPr>
              <w:jc w:val="center"/>
              <w:rPr>
                <w:bCs/>
              </w:rPr>
            </w:pPr>
            <w:r w:rsidRPr="000E3C66">
              <w:rPr>
                <w:bCs/>
              </w:rPr>
              <w:t>N/A</w:t>
            </w:r>
          </w:p>
        </w:tc>
        <w:tc>
          <w:tcPr>
            <w:tcW w:w="2165" w:type="dxa"/>
            <w:tcBorders>
              <w:top w:val="single" w:color="auto" w:sz="4" w:space="0"/>
              <w:left w:val="single" w:color="auto" w:sz="4" w:space="0"/>
              <w:bottom w:val="single" w:color="auto" w:sz="4" w:space="0"/>
              <w:right w:val="single" w:color="auto" w:sz="4" w:space="0"/>
            </w:tcBorders>
            <w:hideMark/>
          </w:tcPr>
          <w:p w:rsidRPr="000E3C66" w:rsidR="00FE3BAE" w:rsidP="002F3AB9" w:rsidRDefault="00287928" w14:paraId="6B53C6F9" w14:textId="72F0A75D">
            <w:pPr>
              <w:jc w:val="center"/>
              <w:rPr>
                <w:bCs/>
              </w:rPr>
            </w:pPr>
            <w:r w:rsidRPr="000E3C66">
              <w:rPr>
                <w:bCs/>
                <w:i/>
                <w:iCs/>
              </w:rPr>
              <w:t>See</w:t>
            </w:r>
            <w:r w:rsidRPr="000E3C66">
              <w:rPr>
                <w:bCs/>
              </w:rPr>
              <w:t xml:space="preserve"> </w:t>
            </w:r>
            <w:r w:rsidRPr="000E3C66" w:rsidR="00471EE6">
              <w:rPr>
                <w:bCs/>
              </w:rPr>
              <w:t>Part I</w:t>
            </w:r>
            <w:r w:rsidRPr="000E3C66">
              <w:rPr>
                <w:bCs/>
              </w:rPr>
              <w:t>II.D, CPUC Comments, Disallowances and Adjustments.</w:t>
            </w:r>
          </w:p>
        </w:tc>
      </w:tr>
    </w:tbl>
    <w:p w:rsidRPr="000E3C66" w:rsidR="00FE3BAE" w:rsidP="002F3AB9" w:rsidRDefault="0022302F" w14:paraId="2841210B" w14:textId="77777777">
      <w:pPr>
        <w:pStyle w:val="standard"/>
        <w:keepNext/>
        <w:spacing w:before="480" w:after="240" w:line="240" w:lineRule="auto"/>
        <w:ind w:firstLine="0"/>
        <w:jc w:val="center"/>
        <w:rPr>
          <w:rFonts w:ascii="Times New Roman" w:hAnsi="Times New Roman"/>
          <w:b/>
          <w:bCs/>
          <w:sz w:val="24"/>
          <w:szCs w:val="28"/>
        </w:rPr>
      </w:pPr>
      <w:r w:rsidRPr="000E3C66">
        <w:rPr>
          <w:rFonts w:ascii="Times New Roman" w:hAnsi="Times New Roman"/>
          <w:b/>
          <w:bCs/>
          <w:sz w:val="24"/>
          <w:szCs w:val="28"/>
        </w:rPr>
        <w:t>Hourly Fee</w:t>
      </w:r>
      <w:r w:rsidRPr="000E3C66" w:rsidR="00FE3BAE">
        <w:rPr>
          <w:rFonts w:ascii="Times New Roman" w:hAnsi="Times New Roman"/>
          <w:b/>
          <w:bCs/>
          <w:sz w:val="24"/>
          <w:szCs w:val="28"/>
        </w:rPr>
        <w:t xml:space="preserv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350"/>
        <w:gridCol w:w="2070"/>
        <w:gridCol w:w="2226"/>
        <w:gridCol w:w="1725"/>
        <w:gridCol w:w="1634"/>
      </w:tblGrid>
      <w:tr w:rsidRPr="000E3C66" w:rsidR="000E3C66" w:rsidTr="002918E9" w14:paraId="7CF2F0CA" w14:textId="77777777">
        <w:trPr>
          <w:trHeight w:val="288"/>
          <w:jc w:val="center"/>
        </w:trPr>
        <w:tc>
          <w:tcPr>
            <w:tcW w:w="1435" w:type="dxa"/>
            <w:tcBorders>
              <w:top w:val="single" w:color="auto" w:sz="4" w:space="0"/>
              <w:left w:val="single" w:color="auto" w:sz="4" w:space="0"/>
              <w:bottom w:val="single" w:color="auto" w:sz="4" w:space="0"/>
              <w:right w:val="single" w:color="auto" w:sz="4" w:space="0"/>
            </w:tcBorders>
            <w:vAlign w:val="bottom"/>
            <w:hideMark/>
          </w:tcPr>
          <w:p w:rsidRPr="000E3C66" w:rsidR="003B6A1B" w:rsidP="002F3AB9" w:rsidRDefault="003B6A1B" w14:paraId="61500303" w14:textId="77777777">
            <w:pPr>
              <w:jc w:val="center"/>
              <w:rPr>
                <w:b/>
                <w:bCs/>
              </w:rPr>
            </w:pPr>
            <w:r w:rsidRPr="000E3C66">
              <w:rPr>
                <w:b/>
                <w:bCs/>
              </w:rPr>
              <w:t>First Name</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0E3C66" w:rsidR="003B6A1B" w:rsidP="002F3AB9" w:rsidRDefault="003B6A1B" w14:paraId="55908486" w14:textId="77777777">
            <w:pPr>
              <w:jc w:val="center"/>
              <w:rPr>
                <w:b/>
                <w:bCs/>
              </w:rPr>
            </w:pPr>
            <w:r w:rsidRPr="000E3C66">
              <w:rPr>
                <w:b/>
                <w:bCs/>
              </w:rPr>
              <w:t>Last Name</w:t>
            </w:r>
          </w:p>
        </w:tc>
        <w:tc>
          <w:tcPr>
            <w:tcW w:w="2070" w:type="dxa"/>
            <w:tcBorders>
              <w:top w:val="single" w:color="auto" w:sz="4" w:space="0"/>
              <w:left w:val="single" w:color="auto" w:sz="4" w:space="0"/>
              <w:bottom w:val="single" w:color="auto" w:sz="4" w:space="0"/>
              <w:right w:val="single" w:color="auto" w:sz="4" w:space="0"/>
            </w:tcBorders>
            <w:vAlign w:val="bottom"/>
            <w:hideMark/>
          </w:tcPr>
          <w:p w:rsidRPr="000E3C66" w:rsidR="002918E9" w:rsidP="002F3AB9" w:rsidRDefault="00171EBF" w14:paraId="2553530B" w14:textId="77777777">
            <w:pPr>
              <w:ind w:left="12" w:firstLine="12"/>
              <w:jc w:val="center"/>
              <w:rPr>
                <w:b/>
                <w:bCs/>
              </w:rPr>
            </w:pPr>
            <w:r w:rsidRPr="000E3C66">
              <w:rPr>
                <w:b/>
                <w:bCs/>
              </w:rPr>
              <w:t xml:space="preserve">Attorney, Expert, </w:t>
            </w:r>
          </w:p>
          <w:p w:rsidRPr="000E3C66" w:rsidR="003B6A1B" w:rsidP="002F3AB9" w:rsidRDefault="00171EBF" w14:paraId="2438DAE1" w14:textId="6660A97F">
            <w:pPr>
              <w:ind w:left="12" w:firstLine="12"/>
              <w:jc w:val="center"/>
              <w:rPr>
                <w:b/>
                <w:bCs/>
              </w:rPr>
            </w:pPr>
            <w:r w:rsidRPr="000E3C66">
              <w:rPr>
                <w:b/>
                <w:bCs/>
              </w:rPr>
              <w:t>or Advocate</w:t>
            </w:r>
          </w:p>
        </w:tc>
        <w:tc>
          <w:tcPr>
            <w:tcW w:w="2226" w:type="dxa"/>
            <w:tcBorders>
              <w:top w:val="single" w:color="auto" w:sz="4" w:space="0"/>
              <w:left w:val="single" w:color="auto" w:sz="4" w:space="0"/>
              <w:bottom w:val="single" w:color="auto" w:sz="4" w:space="0"/>
              <w:right w:val="single" w:color="auto" w:sz="4" w:space="0"/>
            </w:tcBorders>
            <w:vAlign w:val="bottom"/>
            <w:hideMark/>
          </w:tcPr>
          <w:p w:rsidRPr="000E3C66" w:rsidR="00B803D5" w:rsidP="002F3AB9" w:rsidRDefault="003B6A1B" w14:paraId="30FCBD16" w14:textId="77777777">
            <w:pPr>
              <w:jc w:val="center"/>
              <w:rPr>
                <w:b/>
                <w:bCs/>
              </w:rPr>
            </w:pPr>
            <w:r w:rsidRPr="000E3C66">
              <w:rPr>
                <w:b/>
                <w:bCs/>
              </w:rPr>
              <w:t>Hourly</w:t>
            </w:r>
          </w:p>
          <w:p w:rsidRPr="000E3C66" w:rsidR="003B6A1B" w:rsidP="002F3AB9" w:rsidRDefault="003B6A1B" w14:paraId="3431A72E" w14:textId="15E5EE89">
            <w:pPr>
              <w:jc w:val="center"/>
              <w:rPr>
                <w:b/>
                <w:bCs/>
              </w:rPr>
            </w:pPr>
            <w:r w:rsidRPr="000E3C66">
              <w:rPr>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0E3C66" w:rsidR="00B803D5" w:rsidP="002F3AB9" w:rsidRDefault="003B6A1B" w14:paraId="27A4F1D1" w14:textId="77777777">
            <w:pPr>
              <w:jc w:val="center"/>
              <w:rPr>
                <w:b/>
                <w:bCs/>
              </w:rPr>
            </w:pPr>
            <w:r w:rsidRPr="000E3C66">
              <w:rPr>
                <w:b/>
                <w:bCs/>
              </w:rPr>
              <w:t>Year Hourly</w:t>
            </w:r>
          </w:p>
          <w:p w:rsidRPr="000E3C66" w:rsidR="003B6A1B" w:rsidP="002F3AB9" w:rsidRDefault="003B6A1B" w14:paraId="6FE76773" w14:textId="7DDDAF05">
            <w:pPr>
              <w:jc w:val="center"/>
              <w:rPr>
                <w:b/>
                <w:bCs/>
              </w:rPr>
            </w:pPr>
            <w:r w:rsidRPr="000E3C66">
              <w:rPr>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Pr="000E3C66" w:rsidR="00B803D5" w:rsidP="002F3AB9" w:rsidRDefault="003B6A1B" w14:paraId="08CD8CFB" w14:textId="50A63D11">
            <w:pPr>
              <w:jc w:val="center"/>
              <w:rPr>
                <w:b/>
                <w:bCs/>
              </w:rPr>
            </w:pPr>
            <w:r w:rsidRPr="000E3C66">
              <w:rPr>
                <w:b/>
                <w:bCs/>
              </w:rPr>
              <w:t>Hourly</w:t>
            </w:r>
          </w:p>
          <w:p w:rsidRPr="000E3C66" w:rsidR="003B6A1B" w:rsidP="002F3AB9" w:rsidRDefault="003B6A1B" w14:paraId="1B789B85" w14:textId="3C9059B0">
            <w:pPr>
              <w:jc w:val="center"/>
              <w:rPr>
                <w:b/>
                <w:bCs/>
              </w:rPr>
            </w:pPr>
            <w:r w:rsidRPr="000E3C66">
              <w:rPr>
                <w:b/>
                <w:bCs/>
              </w:rPr>
              <w:t>Fee Adopted</w:t>
            </w:r>
          </w:p>
        </w:tc>
      </w:tr>
      <w:tr w:rsidRPr="000E3C66" w:rsidR="000E3C66" w:rsidTr="002918E9" w14:paraId="1211B948" w14:textId="77777777">
        <w:trPr>
          <w:trHeight w:val="288"/>
          <w:jc w:val="center"/>
        </w:trPr>
        <w:tc>
          <w:tcPr>
            <w:tcW w:w="1435" w:type="dxa"/>
            <w:tcBorders>
              <w:top w:val="single" w:color="auto" w:sz="4" w:space="0"/>
              <w:left w:val="single" w:color="auto" w:sz="4" w:space="0"/>
              <w:bottom w:val="single" w:color="auto" w:sz="4" w:space="0"/>
              <w:right w:val="single" w:color="auto" w:sz="4" w:space="0"/>
            </w:tcBorders>
            <w:shd w:val="clear" w:color="auto" w:fill="auto"/>
          </w:tcPr>
          <w:p w:rsidRPr="000E3C66" w:rsidR="003B6A1B" w:rsidP="002F3AB9" w:rsidRDefault="0055571B" w14:paraId="0F0C6D6C" w14:textId="6B623C0C">
            <w:pPr>
              <w:jc w:val="center"/>
              <w:rPr>
                <w:rFonts w:asciiTheme="minorHAnsi" w:hAnsiTheme="minorHAnsi" w:cstheme="minorHAnsi"/>
              </w:rPr>
            </w:pPr>
            <w:r w:rsidRPr="000E3C66">
              <w:rPr>
                <w:rFonts w:cstheme="minorHAnsi"/>
              </w:rPr>
              <w:t>John</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0E3C66" w:rsidR="003B6A1B" w:rsidP="002F3AB9" w:rsidRDefault="00931247" w14:paraId="6ACE7B68" w14:textId="647AF75E">
            <w:pPr>
              <w:jc w:val="center"/>
              <w:rPr>
                <w:rFonts w:asciiTheme="minorHAnsi" w:hAnsiTheme="minorHAnsi" w:cstheme="minorHAnsi"/>
              </w:rPr>
            </w:pPr>
            <w:r w:rsidRPr="000E3C66">
              <w:rPr>
                <w:rFonts w:cstheme="minorHAnsi"/>
              </w:rPr>
              <w:t>Geesman</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0E3C66" w:rsidR="003B6A1B" w:rsidP="002F3AB9" w:rsidRDefault="00931247" w14:paraId="0E61474F" w14:textId="25D30921">
            <w:pPr>
              <w:jc w:val="center"/>
              <w:rPr>
                <w:rFonts w:asciiTheme="minorHAnsi" w:hAnsiTheme="minorHAnsi" w:cstheme="minorHAnsi"/>
              </w:rPr>
            </w:pPr>
            <w:r w:rsidRPr="000E3C66">
              <w:rPr>
                <w:rFonts w:cstheme="minorHAnsi"/>
              </w:rPr>
              <w:t>Attorney</w:t>
            </w:r>
            <w:bookmarkStart w:name="_Ref189550379" w:id="3"/>
            <w:r w:rsidRPr="000E3C66" w:rsidR="00806892">
              <w:rPr>
                <w:rStyle w:val="FootnoteReference"/>
                <w:rFonts w:cstheme="minorHAnsi"/>
              </w:rPr>
              <w:footnoteReference w:id="7"/>
            </w:r>
            <w:bookmarkEnd w:id="3"/>
          </w:p>
        </w:tc>
        <w:tc>
          <w:tcPr>
            <w:tcW w:w="2226" w:type="dxa"/>
            <w:tcBorders>
              <w:top w:val="single" w:color="auto" w:sz="4" w:space="0"/>
              <w:left w:val="single" w:color="auto" w:sz="4" w:space="0"/>
              <w:bottom w:val="single" w:color="auto" w:sz="4" w:space="0"/>
              <w:right w:val="single" w:color="auto" w:sz="4" w:space="0"/>
            </w:tcBorders>
            <w:shd w:val="clear" w:color="auto" w:fill="auto"/>
          </w:tcPr>
          <w:p w:rsidRPr="000E3C66" w:rsidR="003B6A1B" w:rsidP="002F3AB9" w:rsidRDefault="004272A8" w14:paraId="44F9655C" w14:textId="435EA42F">
            <w:pPr>
              <w:jc w:val="center"/>
              <w:rPr>
                <w:rFonts w:asciiTheme="minorHAnsi" w:hAnsiTheme="minorHAnsi" w:cstheme="minorHAnsi"/>
              </w:rPr>
            </w:pPr>
            <w:r w:rsidRPr="000E3C66">
              <w:rPr>
                <w:rFonts w:cstheme="minorHAnsi"/>
              </w:rPr>
              <w:t>745 plus any COLA</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0E3C66" w:rsidR="003B6A1B" w:rsidP="002F3AB9" w:rsidRDefault="004272A8" w14:paraId="2EB25516" w14:textId="4C82437A">
            <w:pPr>
              <w:jc w:val="center"/>
              <w:rPr>
                <w:rFonts w:asciiTheme="minorHAnsi" w:hAnsiTheme="minorHAnsi" w:cstheme="minorHAnsi"/>
              </w:rPr>
            </w:pPr>
            <w:r w:rsidRPr="000E3C66">
              <w:rPr>
                <w:rFonts w:cstheme="minorHAnsi"/>
              </w:rPr>
              <w:t>2024</w:t>
            </w:r>
          </w:p>
        </w:tc>
        <w:tc>
          <w:tcPr>
            <w:tcW w:w="1634" w:type="dxa"/>
            <w:tcBorders>
              <w:top w:val="single" w:color="auto" w:sz="4" w:space="0"/>
              <w:left w:val="single" w:color="auto" w:sz="4" w:space="0"/>
              <w:bottom w:val="single" w:color="auto" w:sz="4" w:space="0"/>
              <w:right w:val="single" w:color="auto" w:sz="4" w:space="0"/>
            </w:tcBorders>
          </w:tcPr>
          <w:p w:rsidRPr="000E3C66" w:rsidR="003B6A1B" w:rsidP="002F3AB9" w:rsidRDefault="00185780" w14:paraId="0A76FE98" w14:textId="56083585">
            <w:pPr>
              <w:jc w:val="center"/>
            </w:pPr>
            <w:r w:rsidRPr="000E3C66">
              <w:t>$</w:t>
            </w:r>
            <w:r w:rsidRPr="000E3C66" w:rsidR="00076B5D">
              <w:t>7</w:t>
            </w:r>
            <w:r w:rsidR="00076B5D">
              <w:t>45</w:t>
            </w:r>
            <w:r w:rsidRPr="000E3C66">
              <w:t>.00</w:t>
            </w:r>
          </w:p>
        </w:tc>
      </w:tr>
      <w:tr w:rsidRPr="000E3C66" w:rsidR="000E3C66" w:rsidTr="002918E9" w14:paraId="23CC0A9F" w14:textId="77777777">
        <w:trPr>
          <w:trHeight w:val="288"/>
          <w:jc w:val="center"/>
        </w:trPr>
        <w:tc>
          <w:tcPr>
            <w:tcW w:w="1435" w:type="dxa"/>
            <w:tcBorders>
              <w:top w:val="single" w:color="auto" w:sz="4" w:space="0"/>
              <w:left w:val="single" w:color="auto" w:sz="4" w:space="0"/>
              <w:bottom w:val="single" w:color="auto" w:sz="4" w:space="0"/>
              <w:right w:val="single" w:color="auto" w:sz="4" w:space="0"/>
            </w:tcBorders>
            <w:shd w:val="clear" w:color="auto" w:fill="auto"/>
          </w:tcPr>
          <w:p w:rsidRPr="000E3C66" w:rsidR="003B6A1B" w:rsidP="002F3AB9" w:rsidRDefault="00931247" w14:paraId="4CFDAB24" w14:textId="0439ACDF">
            <w:pPr>
              <w:jc w:val="center"/>
              <w:rPr>
                <w:rFonts w:asciiTheme="minorHAnsi" w:hAnsiTheme="minorHAnsi" w:cstheme="minorHAnsi"/>
              </w:rPr>
            </w:pPr>
            <w:r w:rsidRPr="000E3C66">
              <w:rPr>
                <w:rFonts w:cstheme="minorHAnsi"/>
              </w:rPr>
              <w:t>John</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0E3C66" w:rsidR="003B6A1B" w:rsidP="002F3AB9" w:rsidRDefault="00931247" w14:paraId="3A9B4F75" w14:textId="5F4136BF">
            <w:pPr>
              <w:jc w:val="center"/>
              <w:rPr>
                <w:rFonts w:asciiTheme="minorHAnsi" w:hAnsiTheme="minorHAnsi" w:cstheme="minorHAnsi"/>
              </w:rPr>
            </w:pPr>
            <w:r w:rsidRPr="000E3C66">
              <w:rPr>
                <w:rFonts w:cstheme="minorHAnsi"/>
              </w:rPr>
              <w:t>Geesman</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0E3C66" w:rsidR="003B6A1B" w:rsidP="002F3AB9" w:rsidRDefault="00931247" w14:paraId="73440B00" w14:textId="0EDD981E">
            <w:pPr>
              <w:jc w:val="center"/>
              <w:rPr>
                <w:rFonts w:asciiTheme="minorHAnsi" w:hAnsiTheme="minorHAnsi" w:cstheme="minorHAnsi"/>
              </w:rPr>
            </w:pPr>
            <w:r w:rsidRPr="000E3C66">
              <w:rPr>
                <w:rFonts w:cstheme="minorHAnsi"/>
              </w:rPr>
              <w:t>Attorney</w:t>
            </w:r>
            <w:r w:rsidRPr="000E3C66" w:rsidR="006A7E1B">
              <w:rPr>
                <w:rFonts w:cstheme="minorHAnsi"/>
              </w:rPr>
              <w:fldChar w:fldCharType="begin"/>
            </w:r>
            <w:r w:rsidRPr="000E3C66" w:rsidR="006A7E1B">
              <w:rPr>
                <w:rFonts w:cstheme="minorHAnsi"/>
              </w:rPr>
              <w:instrText xml:space="preserve"> NOTEREF _Ref189550379 \f \h </w:instrText>
            </w:r>
            <w:r w:rsidRPr="000E3C66" w:rsidR="002918E9">
              <w:rPr>
                <w:rFonts w:cstheme="minorHAnsi"/>
              </w:rPr>
              <w:instrText xml:space="preserve"> \* MERGEFORMAT </w:instrText>
            </w:r>
            <w:r w:rsidRPr="000E3C66" w:rsidR="006A7E1B">
              <w:rPr>
                <w:rFonts w:cstheme="minorHAnsi"/>
              </w:rPr>
            </w:r>
            <w:r w:rsidRPr="000E3C66" w:rsidR="006A7E1B">
              <w:rPr>
                <w:rFonts w:cstheme="minorHAnsi"/>
              </w:rPr>
              <w:fldChar w:fldCharType="separate"/>
            </w:r>
            <w:r w:rsidRPr="001E5AF2" w:rsidR="001E5AF2">
              <w:rPr>
                <w:rStyle w:val="FootnoteReference"/>
              </w:rPr>
              <w:t>6</w:t>
            </w:r>
            <w:r w:rsidRPr="000E3C66" w:rsidR="006A7E1B">
              <w:rPr>
                <w:rFonts w:cstheme="minorHAnsi"/>
              </w:rPr>
              <w:fldChar w:fldCharType="end"/>
            </w:r>
          </w:p>
        </w:tc>
        <w:tc>
          <w:tcPr>
            <w:tcW w:w="2226" w:type="dxa"/>
            <w:tcBorders>
              <w:top w:val="single" w:color="auto" w:sz="4" w:space="0"/>
              <w:left w:val="single" w:color="auto" w:sz="4" w:space="0"/>
              <w:bottom w:val="single" w:color="auto" w:sz="4" w:space="0"/>
              <w:right w:val="single" w:color="auto" w:sz="4" w:space="0"/>
            </w:tcBorders>
            <w:shd w:val="clear" w:color="auto" w:fill="auto"/>
          </w:tcPr>
          <w:p w:rsidRPr="000E3C66" w:rsidR="003B6A1B" w:rsidP="002F3AB9" w:rsidRDefault="00BF0564" w14:paraId="1466F47E" w14:textId="42334158">
            <w:pPr>
              <w:jc w:val="center"/>
              <w:rPr>
                <w:rFonts w:asciiTheme="minorHAnsi" w:hAnsiTheme="minorHAnsi" w:cstheme="minorHAnsi"/>
              </w:rPr>
            </w:pPr>
            <w:r w:rsidRPr="000E3C66">
              <w:rPr>
                <w:rFonts w:cstheme="minorHAnsi"/>
              </w:rPr>
              <w:t>745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0E3C66" w:rsidR="003B6A1B" w:rsidP="002F3AB9" w:rsidRDefault="0034570F" w14:paraId="4CBE320E" w14:textId="24804590">
            <w:pPr>
              <w:jc w:val="center"/>
              <w:rPr>
                <w:rFonts w:asciiTheme="minorHAnsi" w:hAnsiTheme="minorHAnsi" w:cstheme="minorHAnsi"/>
              </w:rPr>
            </w:pPr>
            <w:r w:rsidRPr="000E3C66">
              <w:rPr>
                <w:rFonts w:cstheme="minorHAnsi"/>
              </w:rPr>
              <w:t>2023</w:t>
            </w:r>
          </w:p>
        </w:tc>
        <w:tc>
          <w:tcPr>
            <w:tcW w:w="1634" w:type="dxa"/>
            <w:tcBorders>
              <w:top w:val="single" w:color="auto" w:sz="4" w:space="0"/>
              <w:left w:val="single" w:color="auto" w:sz="4" w:space="0"/>
              <w:bottom w:val="single" w:color="auto" w:sz="4" w:space="0"/>
              <w:right w:val="single" w:color="auto" w:sz="4" w:space="0"/>
            </w:tcBorders>
          </w:tcPr>
          <w:p w:rsidRPr="000E3C66" w:rsidR="003B6A1B" w:rsidP="002F3AB9" w:rsidRDefault="00185780" w14:paraId="37932A57" w14:textId="5240E409">
            <w:pPr>
              <w:jc w:val="center"/>
            </w:pPr>
            <w:r w:rsidRPr="000E3C66">
              <w:t>$745.00</w:t>
            </w:r>
          </w:p>
        </w:tc>
      </w:tr>
      <w:tr w:rsidRPr="000E3C66" w:rsidR="000E3C66" w:rsidTr="002918E9" w14:paraId="4C519B49" w14:textId="77777777">
        <w:trPr>
          <w:trHeight w:val="288"/>
          <w:jc w:val="center"/>
        </w:trPr>
        <w:tc>
          <w:tcPr>
            <w:tcW w:w="1435" w:type="dxa"/>
            <w:tcBorders>
              <w:top w:val="single" w:color="auto" w:sz="4" w:space="0"/>
              <w:left w:val="single" w:color="auto" w:sz="4" w:space="0"/>
              <w:bottom w:val="single" w:color="auto" w:sz="4" w:space="0"/>
              <w:right w:val="single" w:color="auto" w:sz="4" w:space="0"/>
            </w:tcBorders>
            <w:shd w:val="clear" w:color="auto" w:fill="auto"/>
          </w:tcPr>
          <w:p w:rsidRPr="000E3C66" w:rsidR="0034570F" w:rsidP="002F3AB9" w:rsidRDefault="0034570F" w14:paraId="65C04662" w14:textId="0A21F4AE">
            <w:pPr>
              <w:jc w:val="center"/>
              <w:rPr>
                <w:rFonts w:asciiTheme="minorHAnsi" w:hAnsiTheme="minorHAnsi" w:cstheme="minorHAnsi"/>
              </w:rPr>
            </w:pPr>
            <w:r w:rsidRPr="000E3C66">
              <w:rPr>
                <w:rFonts w:cstheme="minorHAnsi"/>
              </w:rPr>
              <w:t>John</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0E3C66" w:rsidR="0034570F" w:rsidP="002F3AB9" w:rsidRDefault="0034570F" w14:paraId="1C590887" w14:textId="53B46E95">
            <w:pPr>
              <w:jc w:val="center"/>
              <w:rPr>
                <w:rFonts w:asciiTheme="minorHAnsi" w:hAnsiTheme="minorHAnsi" w:cstheme="minorHAnsi"/>
              </w:rPr>
            </w:pPr>
            <w:r w:rsidRPr="000E3C66">
              <w:rPr>
                <w:rFonts w:cstheme="minorHAnsi"/>
              </w:rPr>
              <w:t>Geesman</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0E3C66" w:rsidR="0034570F" w:rsidP="002F3AB9" w:rsidRDefault="0034570F" w14:paraId="1EA8DE3D" w14:textId="2A094169">
            <w:pPr>
              <w:jc w:val="center"/>
              <w:rPr>
                <w:rFonts w:asciiTheme="minorHAnsi" w:hAnsiTheme="minorHAnsi" w:cstheme="minorHAnsi"/>
              </w:rPr>
            </w:pPr>
            <w:r w:rsidRPr="000E3C66">
              <w:rPr>
                <w:rFonts w:cstheme="minorHAnsi"/>
              </w:rPr>
              <w:t>Attorney</w:t>
            </w:r>
            <w:r w:rsidRPr="000E3C66" w:rsidR="006A7E1B">
              <w:rPr>
                <w:rFonts w:cstheme="minorHAnsi"/>
              </w:rPr>
              <w:fldChar w:fldCharType="begin"/>
            </w:r>
            <w:r w:rsidRPr="000E3C66" w:rsidR="006A7E1B">
              <w:rPr>
                <w:rFonts w:cstheme="minorHAnsi"/>
              </w:rPr>
              <w:instrText xml:space="preserve"> NOTEREF _Ref189550379 \f \h </w:instrText>
            </w:r>
            <w:r w:rsidRPr="000E3C66" w:rsidR="002918E9">
              <w:rPr>
                <w:rFonts w:cstheme="minorHAnsi"/>
              </w:rPr>
              <w:instrText xml:space="preserve"> \* MERGEFORMAT </w:instrText>
            </w:r>
            <w:r w:rsidRPr="000E3C66" w:rsidR="006A7E1B">
              <w:rPr>
                <w:rFonts w:cstheme="minorHAnsi"/>
              </w:rPr>
            </w:r>
            <w:r w:rsidRPr="000E3C66" w:rsidR="006A7E1B">
              <w:rPr>
                <w:rFonts w:cstheme="minorHAnsi"/>
              </w:rPr>
              <w:fldChar w:fldCharType="separate"/>
            </w:r>
            <w:r w:rsidRPr="001E5AF2" w:rsidR="001E5AF2">
              <w:rPr>
                <w:rStyle w:val="FootnoteReference"/>
              </w:rPr>
              <w:t>6</w:t>
            </w:r>
            <w:r w:rsidRPr="000E3C66" w:rsidR="006A7E1B">
              <w:rPr>
                <w:rFonts w:cstheme="minorHAnsi"/>
              </w:rPr>
              <w:fldChar w:fldCharType="end"/>
            </w:r>
          </w:p>
        </w:tc>
        <w:tc>
          <w:tcPr>
            <w:tcW w:w="2226" w:type="dxa"/>
            <w:tcBorders>
              <w:top w:val="single" w:color="auto" w:sz="4" w:space="0"/>
              <w:left w:val="single" w:color="auto" w:sz="4" w:space="0"/>
              <w:bottom w:val="single" w:color="auto" w:sz="4" w:space="0"/>
              <w:right w:val="single" w:color="auto" w:sz="4" w:space="0"/>
            </w:tcBorders>
            <w:shd w:val="clear" w:color="auto" w:fill="auto"/>
          </w:tcPr>
          <w:p w:rsidRPr="000E3C66" w:rsidR="0034570F" w:rsidP="002F3AB9" w:rsidRDefault="0034570F" w14:paraId="4F6290AB" w14:textId="704588E4">
            <w:pPr>
              <w:jc w:val="center"/>
            </w:pPr>
            <w:r w:rsidRPr="000E3C66">
              <w:rPr>
                <w:rFonts w:cstheme="minorHAnsi"/>
              </w:rPr>
              <w:t>715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0E3C66" w:rsidR="0034570F" w:rsidP="002F3AB9" w:rsidRDefault="0034570F" w14:paraId="1354C70A" w14:textId="3D089C9B">
            <w:pPr>
              <w:jc w:val="center"/>
            </w:pPr>
            <w:r w:rsidRPr="000E3C66">
              <w:rPr>
                <w:rFonts w:cstheme="minorHAnsi"/>
              </w:rPr>
              <w:t>202</w:t>
            </w:r>
            <w:r w:rsidRPr="000E3C66" w:rsidR="008E55A6">
              <w:rPr>
                <w:rFonts w:cstheme="minorHAnsi"/>
              </w:rPr>
              <w:t>2</w:t>
            </w:r>
          </w:p>
        </w:tc>
        <w:tc>
          <w:tcPr>
            <w:tcW w:w="1634" w:type="dxa"/>
            <w:tcBorders>
              <w:top w:val="single" w:color="auto" w:sz="4" w:space="0"/>
              <w:left w:val="single" w:color="auto" w:sz="4" w:space="0"/>
              <w:bottom w:val="single" w:color="auto" w:sz="4" w:space="0"/>
              <w:right w:val="single" w:color="auto" w:sz="4" w:space="0"/>
            </w:tcBorders>
          </w:tcPr>
          <w:p w:rsidRPr="000E3C66" w:rsidR="0034570F" w:rsidP="002F3AB9" w:rsidRDefault="00185780" w14:paraId="36649915" w14:textId="24BF88CF">
            <w:pPr>
              <w:jc w:val="center"/>
            </w:pPr>
            <w:r w:rsidRPr="000E3C66">
              <w:t>$715.00</w:t>
            </w:r>
          </w:p>
        </w:tc>
      </w:tr>
      <w:tr w:rsidRPr="000E3C66" w:rsidR="000E3C66" w:rsidTr="002918E9" w14:paraId="6C04DB40" w14:textId="77777777">
        <w:trPr>
          <w:trHeight w:val="288"/>
          <w:jc w:val="center"/>
        </w:trPr>
        <w:tc>
          <w:tcPr>
            <w:tcW w:w="1435" w:type="dxa"/>
            <w:tcBorders>
              <w:top w:val="single" w:color="auto" w:sz="4" w:space="0"/>
              <w:left w:val="single" w:color="auto" w:sz="4" w:space="0"/>
              <w:bottom w:val="single" w:color="auto" w:sz="4" w:space="0"/>
              <w:right w:val="single" w:color="auto" w:sz="4" w:space="0"/>
            </w:tcBorders>
            <w:shd w:val="clear" w:color="auto" w:fill="auto"/>
          </w:tcPr>
          <w:p w:rsidRPr="000E3C66" w:rsidR="0034570F" w:rsidP="002F3AB9" w:rsidRDefault="008E55A6" w14:paraId="71BF257F" w14:textId="591A6A1F">
            <w:pPr>
              <w:jc w:val="center"/>
              <w:rPr>
                <w:rFonts w:asciiTheme="minorHAnsi" w:hAnsiTheme="minorHAnsi" w:cstheme="minorHAnsi"/>
              </w:rPr>
            </w:pPr>
            <w:r w:rsidRPr="000E3C66">
              <w:rPr>
                <w:rFonts w:cstheme="minorHAnsi"/>
              </w:rPr>
              <w:t>Rochelle</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0E3C66" w:rsidR="0034570F" w:rsidP="002F3AB9" w:rsidRDefault="008E55A6" w14:paraId="4D0E5B24" w14:textId="134B8F3A">
            <w:pPr>
              <w:jc w:val="center"/>
              <w:rPr>
                <w:rFonts w:asciiTheme="minorHAnsi" w:hAnsiTheme="minorHAnsi" w:cstheme="minorHAnsi"/>
              </w:rPr>
            </w:pPr>
            <w:r w:rsidRPr="000E3C66">
              <w:rPr>
                <w:rFonts w:cstheme="minorHAnsi"/>
              </w:rPr>
              <w:t>Becker</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0E3C66" w:rsidR="0034570F" w:rsidP="002F3AB9" w:rsidRDefault="008E55A6" w14:paraId="3ACB6465" w14:textId="481E7A17">
            <w:pPr>
              <w:jc w:val="center"/>
              <w:rPr>
                <w:rFonts w:asciiTheme="minorHAnsi" w:hAnsiTheme="minorHAnsi" w:cstheme="minorHAnsi"/>
              </w:rPr>
            </w:pPr>
            <w:r w:rsidRPr="000E3C66">
              <w:rPr>
                <w:rFonts w:cstheme="minorHAnsi"/>
              </w:rPr>
              <w:t>Advocate</w:t>
            </w:r>
          </w:p>
        </w:tc>
        <w:tc>
          <w:tcPr>
            <w:tcW w:w="2226" w:type="dxa"/>
            <w:tcBorders>
              <w:top w:val="single" w:color="auto" w:sz="4" w:space="0"/>
              <w:left w:val="single" w:color="auto" w:sz="4" w:space="0"/>
              <w:bottom w:val="single" w:color="auto" w:sz="4" w:space="0"/>
              <w:right w:val="single" w:color="auto" w:sz="4" w:space="0"/>
            </w:tcBorders>
            <w:shd w:val="clear" w:color="auto" w:fill="auto"/>
          </w:tcPr>
          <w:p w:rsidRPr="000E3C66" w:rsidR="0034570F" w:rsidP="002F3AB9" w:rsidRDefault="003823EC" w14:paraId="27D75B3F" w14:textId="5703B3DF">
            <w:pPr>
              <w:jc w:val="center"/>
              <w:rPr>
                <w:rFonts w:asciiTheme="minorHAnsi" w:hAnsiTheme="minorHAnsi" w:cstheme="minorHAnsi"/>
              </w:rPr>
            </w:pPr>
            <w:r w:rsidRPr="000E3C66">
              <w:rPr>
                <w:rFonts w:cstheme="minorHAnsi"/>
              </w:rPr>
              <w:t>320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0E3C66" w:rsidR="0034570F" w:rsidP="002F3AB9" w:rsidRDefault="008E55A6" w14:paraId="0BD45097" w14:textId="6AEFCF9E">
            <w:pPr>
              <w:jc w:val="center"/>
            </w:pPr>
            <w:r w:rsidRPr="000E3C66">
              <w:rPr>
                <w:rFonts w:cstheme="minorHAnsi"/>
              </w:rPr>
              <w:t>2023</w:t>
            </w:r>
          </w:p>
        </w:tc>
        <w:tc>
          <w:tcPr>
            <w:tcW w:w="1634" w:type="dxa"/>
            <w:tcBorders>
              <w:top w:val="single" w:color="auto" w:sz="4" w:space="0"/>
              <w:left w:val="single" w:color="auto" w:sz="4" w:space="0"/>
              <w:bottom w:val="single" w:color="auto" w:sz="4" w:space="0"/>
              <w:right w:val="single" w:color="auto" w:sz="4" w:space="0"/>
            </w:tcBorders>
          </w:tcPr>
          <w:p w:rsidRPr="000E3C66" w:rsidR="0034570F" w:rsidP="002F3AB9" w:rsidRDefault="00EF51FC" w14:paraId="6B245605" w14:textId="7222E69E">
            <w:pPr>
              <w:jc w:val="center"/>
            </w:pPr>
            <w:r w:rsidRPr="000E3C66">
              <w:t>$320.00</w:t>
            </w:r>
          </w:p>
        </w:tc>
      </w:tr>
      <w:tr w:rsidRPr="000E3C66" w:rsidR="000E3C66" w:rsidTr="002918E9" w14:paraId="474E258F" w14:textId="77777777">
        <w:trPr>
          <w:trHeight w:val="288"/>
          <w:jc w:val="center"/>
        </w:trPr>
        <w:tc>
          <w:tcPr>
            <w:tcW w:w="1435" w:type="dxa"/>
            <w:tcBorders>
              <w:top w:val="single" w:color="auto" w:sz="4" w:space="0"/>
              <w:left w:val="single" w:color="auto" w:sz="4" w:space="0"/>
              <w:bottom w:val="single" w:color="auto" w:sz="4" w:space="0"/>
              <w:right w:val="single" w:color="auto" w:sz="4" w:space="0"/>
            </w:tcBorders>
            <w:shd w:val="clear" w:color="auto" w:fill="auto"/>
          </w:tcPr>
          <w:p w:rsidRPr="000E3C66" w:rsidR="003823EC" w:rsidP="002F3AB9" w:rsidRDefault="003823EC" w14:paraId="115C1393" w14:textId="6DA5E964">
            <w:pPr>
              <w:jc w:val="center"/>
              <w:rPr>
                <w:rFonts w:asciiTheme="minorHAnsi" w:hAnsiTheme="minorHAnsi" w:cstheme="minorHAnsi"/>
              </w:rPr>
            </w:pPr>
            <w:r w:rsidRPr="000E3C66">
              <w:rPr>
                <w:rFonts w:cstheme="minorHAnsi"/>
              </w:rPr>
              <w:t>Rochelle</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0E3C66" w:rsidR="003823EC" w:rsidP="002F3AB9" w:rsidRDefault="003823EC" w14:paraId="1467A27B" w14:textId="10F7867C">
            <w:pPr>
              <w:jc w:val="center"/>
              <w:rPr>
                <w:rFonts w:asciiTheme="minorHAnsi" w:hAnsiTheme="minorHAnsi" w:cstheme="minorHAnsi"/>
              </w:rPr>
            </w:pPr>
            <w:r w:rsidRPr="000E3C66">
              <w:rPr>
                <w:rFonts w:cstheme="minorHAnsi"/>
              </w:rPr>
              <w:t>Becker</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0E3C66" w:rsidR="003823EC" w:rsidP="002F3AB9" w:rsidRDefault="003823EC" w14:paraId="66D10560" w14:textId="02EEFEEB">
            <w:pPr>
              <w:jc w:val="center"/>
              <w:rPr>
                <w:rFonts w:asciiTheme="minorHAnsi" w:hAnsiTheme="minorHAnsi" w:cstheme="minorHAnsi"/>
              </w:rPr>
            </w:pPr>
            <w:r w:rsidRPr="000E3C66">
              <w:rPr>
                <w:rFonts w:cstheme="minorHAnsi"/>
              </w:rPr>
              <w:t>Advocate</w:t>
            </w:r>
          </w:p>
        </w:tc>
        <w:tc>
          <w:tcPr>
            <w:tcW w:w="2226" w:type="dxa"/>
            <w:tcBorders>
              <w:top w:val="single" w:color="auto" w:sz="4" w:space="0"/>
              <w:left w:val="single" w:color="auto" w:sz="4" w:space="0"/>
              <w:bottom w:val="single" w:color="auto" w:sz="4" w:space="0"/>
              <w:right w:val="single" w:color="auto" w:sz="4" w:space="0"/>
            </w:tcBorders>
            <w:shd w:val="clear" w:color="auto" w:fill="auto"/>
          </w:tcPr>
          <w:p w:rsidRPr="000E3C66" w:rsidR="003823EC" w:rsidP="002F3AB9" w:rsidRDefault="003823EC" w14:paraId="7BC812A8" w14:textId="0FD292E2">
            <w:pPr>
              <w:jc w:val="center"/>
            </w:pPr>
            <w:r w:rsidRPr="000E3C66">
              <w:rPr>
                <w:rFonts w:cstheme="minorHAnsi"/>
              </w:rPr>
              <w:t>3</w:t>
            </w:r>
            <w:r w:rsidRPr="000E3C66" w:rsidR="00810C40">
              <w:rPr>
                <w:rFonts w:cstheme="minorHAnsi"/>
              </w:rPr>
              <w:t>05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0E3C66" w:rsidR="003823EC" w:rsidP="002F3AB9" w:rsidRDefault="003823EC" w14:paraId="4580AE9E" w14:textId="28BF4D59">
            <w:pPr>
              <w:jc w:val="center"/>
            </w:pPr>
            <w:r w:rsidRPr="000E3C66">
              <w:rPr>
                <w:rFonts w:cstheme="minorHAnsi"/>
              </w:rPr>
              <w:t>2022</w:t>
            </w:r>
          </w:p>
        </w:tc>
        <w:tc>
          <w:tcPr>
            <w:tcW w:w="1634" w:type="dxa"/>
            <w:tcBorders>
              <w:top w:val="single" w:color="auto" w:sz="4" w:space="0"/>
              <w:left w:val="single" w:color="auto" w:sz="4" w:space="0"/>
              <w:bottom w:val="single" w:color="auto" w:sz="4" w:space="0"/>
              <w:right w:val="single" w:color="auto" w:sz="4" w:space="0"/>
            </w:tcBorders>
          </w:tcPr>
          <w:p w:rsidRPr="000E3C66" w:rsidR="003823EC" w:rsidP="002F3AB9" w:rsidRDefault="00EF51FC" w14:paraId="74B7B957" w14:textId="4D2AC944">
            <w:pPr>
              <w:jc w:val="center"/>
            </w:pPr>
            <w:r w:rsidRPr="000E3C66">
              <w:t>$305.00</w:t>
            </w:r>
          </w:p>
        </w:tc>
      </w:tr>
      <w:tr w:rsidRPr="000E3C66" w:rsidR="000E3C66" w:rsidTr="002918E9" w14:paraId="0DC4129D" w14:textId="77777777">
        <w:trPr>
          <w:trHeight w:val="288"/>
          <w:jc w:val="center"/>
        </w:trPr>
        <w:tc>
          <w:tcPr>
            <w:tcW w:w="1435" w:type="dxa"/>
            <w:tcBorders>
              <w:top w:val="single" w:color="auto" w:sz="4" w:space="0"/>
              <w:left w:val="single" w:color="auto" w:sz="4" w:space="0"/>
              <w:bottom w:val="single" w:color="auto" w:sz="4" w:space="0"/>
              <w:right w:val="single" w:color="auto" w:sz="4" w:space="0"/>
            </w:tcBorders>
            <w:shd w:val="clear" w:color="auto" w:fill="auto"/>
          </w:tcPr>
          <w:p w:rsidRPr="000E3C66" w:rsidR="003823EC" w:rsidP="002F3AB9" w:rsidRDefault="00810C40" w14:paraId="1C03A89B" w14:textId="5FBCC7D8">
            <w:pPr>
              <w:jc w:val="center"/>
              <w:rPr>
                <w:rFonts w:asciiTheme="minorHAnsi" w:hAnsiTheme="minorHAnsi" w:cstheme="minorHAnsi"/>
              </w:rPr>
            </w:pPr>
            <w:r w:rsidRPr="000E3C66">
              <w:rPr>
                <w:rFonts w:cstheme="minorHAnsi"/>
              </w:rPr>
              <w:t>David</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0E3C66" w:rsidR="003823EC" w:rsidP="002F3AB9" w:rsidRDefault="00810C40" w14:paraId="53680AFD" w14:textId="3D658A0B">
            <w:pPr>
              <w:jc w:val="center"/>
              <w:rPr>
                <w:rFonts w:asciiTheme="minorHAnsi" w:hAnsiTheme="minorHAnsi" w:cstheme="minorHAnsi"/>
              </w:rPr>
            </w:pPr>
            <w:r w:rsidRPr="000E3C66">
              <w:rPr>
                <w:rFonts w:cstheme="minorHAnsi"/>
              </w:rPr>
              <w:t>Weisman</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0E3C66" w:rsidR="003823EC" w:rsidP="002F3AB9" w:rsidRDefault="00810C40" w14:paraId="597A6D17" w14:textId="7E146B94">
            <w:pPr>
              <w:jc w:val="center"/>
              <w:rPr>
                <w:rFonts w:asciiTheme="minorHAnsi" w:hAnsiTheme="minorHAnsi" w:cstheme="minorHAnsi"/>
              </w:rPr>
            </w:pPr>
            <w:r w:rsidRPr="000E3C66">
              <w:rPr>
                <w:rFonts w:cstheme="minorHAnsi"/>
              </w:rPr>
              <w:t>Advocate</w:t>
            </w:r>
            <w:bookmarkStart w:name="_Ref178064557" w:id="4"/>
            <w:r w:rsidRPr="000E3C66" w:rsidR="00E160DE">
              <w:rPr>
                <w:rStyle w:val="FootnoteReference"/>
              </w:rPr>
              <w:footnoteReference w:id="8"/>
            </w:r>
            <w:bookmarkEnd w:id="4"/>
          </w:p>
        </w:tc>
        <w:tc>
          <w:tcPr>
            <w:tcW w:w="2226" w:type="dxa"/>
            <w:tcBorders>
              <w:top w:val="single" w:color="auto" w:sz="4" w:space="0"/>
              <w:left w:val="single" w:color="auto" w:sz="4" w:space="0"/>
              <w:bottom w:val="single" w:color="auto" w:sz="4" w:space="0"/>
              <w:right w:val="single" w:color="auto" w:sz="4" w:space="0"/>
            </w:tcBorders>
            <w:shd w:val="clear" w:color="auto" w:fill="auto"/>
          </w:tcPr>
          <w:p w:rsidRPr="000E3C66" w:rsidR="003823EC" w:rsidP="002F3AB9" w:rsidRDefault="000F30B4" w14:paraId="48B7FBBF" w14:textId="374D98FA">
            <w:pPr>
              <w:jc w:val="center"/>
              <w:rPr>
                <w:rFonts w:asciiTheme="minorHAnsi" w:hAnsiTheme="minorHAnsi" w:cstheme="minorHAnsi"/>
              </w:rPr>
            </w:pPr>
            <w:r w:rsidRPr="000E3C66">
              <w:rPr>
                <w:rFonts w:cstheme="minorHAnsi"/>
              </w:rPr>
              <w:t>220 plus any COLA</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0E3C66" w:rsidR="003823EC" w:rsidP="002F3AB9" w:rsidRDefault="00810C40" w14:paraId="5541B9E8" w14:textId="1D347A28">
            <w:pPr>
              <w:jc w:val="center"/>
            </w:pPr>
            <w:r w:rsidRPr="000E3C66">
              <w:rPr>
                <w:rFonts w:cstheme="minorHAnsi"/>
              </w:rPr>
              <w:t>2024</w:t>
            </w:r>
          </w:p>
        </w:tc>
        <w:tc>
          <w:tcPr>
            <w:tcW w:w="1634" w:type="dxa"/>
            <w:tcBorders>
              <w:top w:val="single" w:color="auto" w:sz="4" w:space="0"/>
              <w:left w:val="single" w:color="auto" w:sz="4" w:space="0"/>
              <w:bottom w:val="single" w:color="auto" w:sz="4" w:space="0"/>
              <w:right w:val="single" w:color="auto" w:sz="4" w:space="0"/>
            </w:tcBorders>
          </w:tcPr>
          <w:p w:rsidRPr="000E3C66" w:rsidR="003823EC" w:rsidP="002F3AB9" w:rsidRDefault="00EF51FC" w14:paraId="5585EC38" w14:textId="01E34510">
            <w:pPr>
              <w:jc w:val="center"/>
            </w:pPr>
            <w:r w:rsidRPr="000E3C66">
              <w:t>$240.00</w:t>
            </w:r>
          </w:p>
        </w:tc>
      </w:tr>
      <w:tr w:rsidRPr="000E3C66" w:rsidR="000E3C66" w:rsidTr="002918E9" w14:paraId="29AE6932" w14:textId="77777777">
        <w:trPr>
          <w:trHeight w:val="288"/>
          <w:jc w:val="center"/>
        </w:trPr>
        <w:tc>
          <w:tcPr>
            <w:tcW w:w="1435" w:type="dxa"/>
            <w:tcBorders>
              <w:top w:val="single" w:color="auto" w:sz="4" w:space="0"/>
              <w:left w:val="single" w:color="auto" w:sz="4" w:space="0"/>
              <w:bottom w:val="single" w:color="auto" w:sz="4" w:space="0"/>
              <w:right w:val="single" w:color="auto" w:sz="4" w:space="0"/>
            </w:tcBorders>
            <w:shd w:val="clear" w:color="auto" w:fill="auto"/>
          </w:tcPr>
          <w:p w:rsidRPr="000E3C66" w:rsidR="000F30B4" w:rsidP="002F3AB9" w:rsidRDefault="000F30B4" w14:paraId="360AC496" w14:textId="2523AA19">
            <w:pPr>
              <w:jc w:val="center"/>
              <w:rPr>
                <w:rFonts w:asciiTheme="minorHAnsi" w:hAnsiTheme="minorHAnsi" w:cstheme="minorHAnsi"/>
              </w:rPr>
            </w:pPr>
            <w:r w:rsidRPr="000E3C66">
              <w:rPr>
                <w:rFonts w:cstheme="minorHAnsi"/>
              </w:rPr>
              <w:t>David</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0E3C66" w:rsidR="000F30B4" w:rsidP="002F3AB9" w:rsidRDefault="000F30B4" w14:paraId="56248722" w14:textId="644150CE">
            <w:pPr>
              <w:jc w:val="center"/>
              <w:rPr>
                <w:rFonts w:asciiTheme="minorHAnsi" w:hAnsiTheme="minorHAnsi" w:cstheme="minorHAnsi"/>
              </w:rPr>
            </w:pPr>
            <w:r w:rsidRPr="000E3C66">
              <w:rPr>
                <w:rFonts w:cstheme="minorHAnsi"/>
              </w:rPr>
              <w:t>Weisman</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0E3C66" w:rsidR="000F30B4" w:rsidP="002F3AB9" w:rsidRDefault="000F30B4" w14:paraId="5260F89F" w14:textId="0804FE72">
            <w:pPr>
              <w:jc w:val="center"/>
              <w:rPr>
                <w:rFonts w:asciiTheme="minorHAnsi" w:hAnsiTheme="minorHAnsi" w:cstheme="minorHAnsi"/>
              </w:rPr>
            </w:pPr>
            <w:r w:rsidRPr="000E3C66">
              <w:rPr>
                <w:rFonts w:cstheme="minorHAnsi"/>
              </w:rPr>
              <w:t>Advocate</w:t>
            </w:r>
            <w:r w:rsidRPr="000E3C66" w:rsidR="00806892">
              <w:rPr>
                <w:rFonts w:cstheme="minorHAnsi"/>
              </w:rPr>
              <w:fldChar w:fldCharType="begin"/>
            </w:r>
            <w:r w:rsidRPr="000E3C66" w:rsidR="00806892">
              <w:rPr>
                <w:rFonts w:cstheme="minorHAnsi"/>
              </w:rPr>
              <w:instrText xml:space="preserve"> NOTEREF _Ref178064557 \f \h </w:instrText>
            </w:r>
            <w:r w:rsidRPr="000E3C66" w:rsidR="002918E9">
              <w:rPr>
                <w:rFonts w:cstheme="minorHAnsi"/>
              </w:rPr>
              <w:instrText xml:space="preserve"> \* MERGEFORMAT </w:instrText>
            </w:r>
            <w:r w:rsidRPr="000E3C66" w:rsidR="00806892">
              <w:rPr>
                <w:rFonts w:cstheme="minorHAnsi"/>
              </w:rPr>
            </w:r>
            <w:r w:rsidRPr="000E3C66" w:rsidR="00806892">
              <w:rPr>
                <w:rFonts w:cstheme="minorHAnsi"/>
              </w:rPr>
              <w:fldChar w:fldCharType="separate"/>
            </w:r>
            <w:r w:rsidRPr="001E5AF2" w:rsidR="001E5AF2">
              <w:rPr>
                <w:rStyle w:val="FootnoteReference"/>
              </w:rPr>
              <w:t>7</w:t>
            </w:r>
            <w:r w:rsidRPr="000E3C66" w:rsidR="00806892">
              <w:rPr>
                <w:rFonts w:cstheme="minorHAnsi"/>
              </w:rPr>
              <w:fldChar w:fldCharType="end"/>
            </w:r>
          </w:p>
        </w:tc>
        <w:tc>
          <w:tcPr>
            <w:tcW w:w="2226" w:type="dxa"/>
            <w:tcBorders>
              <w:top w:val="single" w:color="auto" w:sz="4" w:space="0"/>
              <w:left w:val="single" w:color="auto" w:sz="4" w:space="0"/>
              <w:bottom w:val="single" w:color="auto" w:sz="4" w:space="0"/>
              <w:right w:val="single" w:color="auto" w:sz="4" w:space="0"/>
            </w:tcBorders>
            <w:shd w:val="clear" w:color="auto" w:fill="auto"/>
          </w:tcPr>
          <w:p w:rsidRPr="000E3C66" w:rsidR="000F30B4" w:rsidP="002F3AB9" w:rsidRDefault="000F30B4" w14:paraId="6D2EBA5C" w14:textId="360E56FD">
            <w:pPr>
              <w:jc w:val="center"/>
              <w:rPr>
                <w:rFonts w:asciiTheme="minorHAnsi" w:hAnsiTheme="minorHAnsi" w:cstheme="minorHAnsi"/>
              </w:rPr>
            </w:pPr>
            <w:r w:rsidRPr="000E3C66">
              <w:rPr>
                <w:rFonts w:cstheme="minorHAnsi"/>
              </w:rPr>
              <w:t>220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0E3C66" w:rsidR="000F30B4" w:rsidP="002F3AB9" w:rsidRDefault="000F30B4" w14:paraId="34B04A04" w14:textId="37238AB9">
            <w:pPr>
              <w:jc w:val="center"/>
            </w:pPr>
            <w:r w:rsidRPr="000E3C66">
              <w:rPr>
                <w:rFonts w:cstheme="minorHAnsi"/>
              </w:rPr>
              <w:t>2023</w:t>
            </w:r>
          </w:p>
        </w:tc>
        <w:tc>
          <w:tcPr>
            <w:tcW w:w="1634" w:type="dxa"/>
            <w:tcBorders>
              <w:top w:val="single" w:color="auto" w:sz="4" w:space="0"/>
              <w:left w:val="single" w:color="auto" w:sz="4" w:space="0"/>
              <w:bottom w:val="single" w:color="auto" w:sz="4" w:space="0"/>
              <w:right w:val="single" w:color="auto" w:sz="4" w:space="0"/>
            </w:tcBorders>
          </w:tcPr>
          <w:p w:rsidRPr="000E3C66" w:rsidR="000F30B4" w:rsidP="002F3AB9" w:rsidRDefault="00EF51FC" w14:paraId="6A145930" w14:textId="083CE516">
            <w:pPr>
              <w:jc w:val="center"/>
            </w:pPr>
            <w:r w:rsidRPr="000E3C66">
              <w:t>$220.00</w:t>
            </w:r>
          </w:p>
        </w:tc>
      </w:tr>
      <w:tr w:rsidRPr="000E3C66" w:rsidR="000F30B4" w:rsidTr="002918E9" w14:paraId="7BBD5E13" w14:textId="77777777">
        <w:trPr>
          <w:trHeight w:val="288"/>
          <w:jc w:val="center"/>
        </w:trPr>
        <w:tc>
          <w:tcPr>
            <w:tcW w:w="1435" w:type="dxa"/>
            <w:tcBorders>
              <w:top w:val="single" w:color="auto" w:sz="4" w:space="0"/>
              <w:left w:val="single" w:color="auto" w:sz="4" w:space="0"/>
              <w:bottom w:val="single" w:color="auto" w:sz="4" w:space="0"/>
              <w:right w:val="single" w:color="auto" w:sz="4" w:space="0"/>
            </w:tcBorders>
            <w:shd w:val="clear" w:color="auto" w:fill="auto"/>
          </w:tcPr>
          <w:p w:rsidRPr="000E3C66" w:rsidR="000F30B4" w:rsidP="002F3AB9" w:rsidRDefault="000F30B4" w14:paraId="23066614" w14:textId="048818E2">
            <w:pPr>
              <w:jc w:val="center"/>
              <w:rPr>
                <w:rFonts w:asciiTheme="minorHAnsi" w:hAnsiTheme="minorHAnsi" w:cstheme="minorHAnsi"/>
              </w:rPr>
            </w:pPr>
            <w:r w:rsidRPr="000E3C66">
              <w:rPr>
                <w:rFonts w:cstheme="minorHAnsi"/>
              </w:rPr>
              <w:t>David</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0E3C66" w:rsidR="000F30B4" w:rsidP="002F3AB9" w:rsidRDefault="000F30B4" w14:paraId="4786C89C" w14:textId="742F4395">
            <w:pPr>
              <w:jc w:val="center"/>
              <w:rPr>
                <w:rFonts w:asciiTheme="minorHAnsi" w:hAnsiTheme="minorHAnsi" w:cstheme="minorHAnsi"/>
              </w:rPr>
            </w:pPr>
            <w:r w:rsidRPr="000E3C66">
              <w:rPr>
                <w:rFonts w:cstheme="minorHAnsi"/>
              </w:rPr>
              <w:t>Weisman</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0E3C66" w:rsidR="000F30B4" w:rsidP="002F3AB9" w:rsidRDefault="000F30B4" w14:paraId="18CADD1E" w14:textId="601BFBBD">
            <w:pPr>
              <w:jc w:val="center"/>
              <w:rPr>
                <w:rFonts w:asciiTheme="minorHAnsi" w:hAnsiTheme="minorHAnsi" w:cstheme="minorHAnsi"/>
              </w:rPr>
            </w:pPr>
            <w:r w:rsidRPr="000E3C66">
              <w:rPr>
                <w:rFonts w:cstheme="minorHAnsi"/>
              </w:rPr>
              <w:t>Advocate</w:t>
            </w:r>
            <w:r w:rsidRPr="000E3C66" w:rsidR="00806892">
              <w:rPr>
                <w:rFonts w:cstheme="minorHAnsi"/>
              </w:rPr>
              <w:fldChar w:fldCharType="begin"/>
            </w:r>
            <w:r w:rsidRPr="000E3C66" w:rsidR="00806892">
              <w:rPr>
                <w:rFonts w:cstheme="minorHAnsi"/>
              </w:rPr>
              <w:instrText xml:space="preserve"> NOTEREF _Ref178064557 \f \h </w:instrText>
            </w:r>
            <w:r w:rsidRPr="000E3C66" w:rsidR="002918E9">
              <w:rPr>
                <w:rFonts w:cstheme="minorHAnsi"/>
              </w:rPr>
              <w:instrText xml:space="preserve"> \* MERGEFORMAT </w:instrText>
            </w:r>
            <w:r w:rsidRPr="000E3C66" w:rsidR="00806892">
              <w:rPr>
                <w:rFonts w:cstheme="minorHAnsi"/>
              </w:rPr>
            </w:r>
            <w:r w:rsidRPr="000E3C66" w:rsidR="00806892">
              <w:rPr>
                <w:rFonts w:cstheme="minorHAnsi"/>
              </w:rPr>
              <w:fldChar w:fldCharType="separate"/>
            </w:r>
            <w:r w:rsidRPr="001E5AF2" w:rsidR="001E5AF2">
              <w:rPr>
                <w:rStyle w:val="FootnoteReference"/>
              </w:rPr>
              <w:t>7</w:t>
            </w:r>
            <w:r w:rsidRPr="000E3C66" w:rsidR="00806892">
              <w:rPr>
                <w:rFonts w:cstheme="minorHAnsi"/>
              </w:rPr>
              <w:fldChar w:fldCharType="end"/>
            </w:r>
          </w:p>
        </w:tc>
        <w:tc>
          <w:tcPr>
            <w:tcW w:w="2226" w:type="dxa"/>
            <w:tcBorders>
              <w:top w:val="single" w:color="auto" w:sz="4" w:space="0"/>
              <w:left w:val="single" w:color="auto" w:sz="4" w:space="0"/>
              <w:bottom w:val="single" w:color="auto" w:sz="4" w:space="0"/>
              <w:right w:val="single" w:color="auto" w:sz="4" w:space="0"/>
            </w:tcBorders>
            <w:shd w:val="clear" w:color="auto" w:fill="auto"/>
          </w:tcPr>
          <w:p w:rsidRPr="000E3C66" w:rsidR="000F30B4" w:rsidP="002F3AB9" w:rsidRDefault="000F30B4" w14:paraId="39919693" w14:textId="0139FBEA">
            <w:pPr>
              <w:jc w:val="center"/>
            </w:pPr>
            <w:r w:rsidRPr="000E3C66">
              <w:rPr>
                <w:rFonts w:cstheme="minorHAnsi"/>
              </w:rPr>
              <w:t>210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0E3C66" w:rsidR="000F30B4" w:rsidP="002F3AB9" w:rsidRDefault="000F30B4" w14:paraId="214A549B" w14:textId="4BD906AA">
            <w:pPr>
              <w:jc w:val="center"/>
            </w:pPr>
            <w:r w:rsidRPr="000E3C66">
              <w:rPr>
                <w:rFonts w:cstheme="minorHAnsi"/>
              </w:rPr>
              <w:t>2023</w:t>
            </w:r>
            <w:r w:rsidRPr="000E3C66" w:rsidR="002E5133">
              <w:rPr>
                <w:rStyle w:val="FootnoteReference"/>
                <w:rFonts w:cstheme="minorHAnsi"/>
              </w:rPr>
              <w:footnoteReference w:id="9"/>
            </w:r>
          </w:p>
        </w:tc>
        <w:tc>
          <w:tcPr>
            <w:tcW w:w="1634" w:type="dxa"/>
            <w:tcBorders>
              <w:top w:val="single" w:color="auto" w:sz="4" w:space="0"/>
              <w:left w:val="single" w:color="auto" w:sz="4" w:space="0"/>
              <w:bottom w:val="single" w:color="auto" w:sz="4" w:space="0"/>
              <w:right w:val="single" w:color="auto" w:sz="4" w:space="0"/>
            </w:tcBorders>
          </w:tcPr>
          <w:p w:rsidRPr="000E3C66" w:rsidR="000F30B4" w:rsidP="002F3AB9" w:rsidRDefault="00EF51FC" w14:paraId="3B9C718F" w14:textId="58252A6C">
            <w:pPr>
              <w:jc w:val="center"/>
            </w:pPr>
            <w:r w:rsidRPr="000E3C66">
              <w:t>$210.00</w:t>
            </w:r>
          </w:p>
        </w:tc>
      </w:tr>
    </w:tbl>
    <w:p w:rsidRPr="000E3C66" w:rsidR="0022302F" w:rsidP="002F3AB9" w:rsidRDefault="0022302F" w14:paraId="1CF37A00" w14:textId="77777777">
      <w:pPr>
        <w:spacing w:line="360" w:lineRule="auto"/>
        <w:rPr>
          <w:b/>
        </w:rPr>
      </w:pPr>
    </w:p>
    <w:p w:rsidRPr="000E3C66" w:rsidR="002918E9" w:rsidP="002F3AB9" w:rsidRDefault="002918E9" w14:paraId="23BD8374" w14:textId="77777777">
      <w:pPr>
        <w:spacing w:line="360" w:lineRule="auto"/>
        <w:rPr>
          <w:b/>
        </w:rPr>
      </w:pPr>
    </w:p>
    <w:p w:rsidRPr="000E3C66" w:rsidR="00FE3BAE" w:rsidP="002F3AB9" w:rsidRDefault="00FE3BAE" w14:paraId="53F54635" w14:textId="77777777">
      <w:pPr>
        <w:jc w:val="center"/>
      </w:pPr>
      <w:r w:rsidRPr="000E3C66">
        <w:rPr>
          <w:b/>
        </w:rPr>
        <w:t xml:space="preserve">(END OF </w:t>
      </w:r>
      <w:r w:rsidRPr="000E3C66">
        <w:rPr>
          <w:b/>
          <w:szCs w:val="26"/>
        </w:rPr>
        <w:t>APPENDIX</w:t>
      </w:r>
      <w:r w:rsidRPr="000E3C66">
        <w:rPr>
          <w:b/>
        </w:rPr>
        <w:t>)</w:t>
      </w:r>
    </w:p>
    <w:sectPr w:rsidRPr="000E3C66" w:rsidR="00FE3BAE" w:rsidSect="007258FD">
      <w:footerReference w:type="default" r:id="rId11"/>
      <w:pgSz w:w="12240" w:h="15840"/>
      <w:pgMar w:top="1728"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D6A7A" w14:textId="77777777" w:rsidR="00D40882" w:rsidRDefault="00D40882" w:rsidP="00885956">
      <w:r>
        <w:separator/>
      </w:r>
    </w:p>
  </w:endnote>
  <w:endnote w:type="continuationSeparator" w:id="0">
    <w:p w14:paraId="72EE18B8" w14:textId="77777777" w:rsidR="00D40882" w:rsidRDefault="00D40882" w:rsidP="00885956">
      <w:r>
        <w:continuationSeparator/>
      </w:r>
    </w:p>
  </w:endnote>
  <w:endnote w:type="continuationNotice" w:id="1">
    <w:p w14:paraId="6994D08F" w14:textId="77777777" w:rsidR="00D40882" w:rsidRDefault="00D40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70652"/>
      <w:docPartObj>
        <w:docPartGallery w:val="Page Numbers (Bottom of Page)"/>
        <w:docPartUnique/>
      </w:docPartObj>
    </w:sdtPr>
    <w:sdtEndPr>
      <w:rPr>
        <w:noProof/>
      </w:rPr>
    </w:sdtEndPr>
    <w:sdtContent>
      <w:p w14:paraId="28A020F4" w14:textId="786961EE" w:rsidR="003B6A1B" w:rsidRDefault="00F949CB" w:rsidP="00880855">
        <w:pPr>
          <w:pStyle w:val="Footer"/>
          <w:jc w:val="center"/>
        </w:pPr>
        <w:r>
          <w:noBreakHyphen/>
        </w:r>
        <w:r w:rsidR="002918E9">
          <w:t xml:space="preserve"> </w:t>
        </w:r>
        <w:r w:rsidR="003B6A1B">
          <w:fldChar w:fldCharType="begin"/>
        </w:r>
        <w:r w:rsidR="003B6A1B">
          <w:instrText xml:space="preserve"> PAGE   \* MERGEFORMAT </w:instrText>
        </w:r>
        <w:r w:rsidR="003B6A1B">
          <w:fldChar w:fldCharType="separate"/>
        </w:r>
        <w:r w:rsidR="0055228B">
          <w:rPr>
            <w:noProof/>
          </w:rPr>
          <w:t xml:space="preserve">- 1 </w:t>
        </w:r>
        <w:r>
          <w:rPr>
            <w:noProof/>
          </w:rPr>
          <w:noBreakHyphen/>
        </w:r>
        <w:r w:rsidR="003B6A1B">
          <w:rPr>
            <w:noProof/>
          </w:rPr>
          <w:fldChar w:fldCharType="end"/>
        </w:r>
        <w:r w:rsidR="002918E9">
          <w:rPr>
            <w:noProof/>
          </w:rPr>
          <w:t xml:space="preserve"> </w:t>
        </w:r>
        <w:r>
          <w:rPr>
            <w:noProof/>
          </w:rPr>
          <w:noBreakHyphen/>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4C2D" w14:textId="639D56D5" w:rsidR="00CF1129" w:rsidRDefault="00C5238E" w:rsidP="002918E9">
    <w:pPr>
      <w:pStyle w:val="Footer"/>
    </w:pPr>
    <w:r w:rsidRPr="00C5238E">
      <w:rPr>
        <w:sz w:val="16"/>
      </w:rPr>
      <w:t>571987676</w:t>
    </w:r>
    <w:r w:rsidR="002918E9">
      <w:tab/>
    </w:r>
    <w:r w:rsidR="00F949CB">
      <w:noBreakHyphen/>
    </w:r>
    <w:r w:rsidR="002918E9">
      <w:t xml:space="preserve"> </w:t>
    </w:r>
    <w:sdt>
      <w:sdtPr>
        <w:id w:val="66549329"/>
        <w:docPartObj>
          <w:docPartGallery w:val="Page Numbers (Bottom of Page)"/>
          <w:docPartUnique/>
        </w:docPartObj>
      </w:sdtPr>
      <w:sdtEndPr>
        <w:rPr>
          <w:noProof/>
        </w:rPr>
      </w:sdtEndPr>
      <w:sdtContent>
        <w:r w:rsidR="00CF1129">
          <w:fldChar w:fldCharType="begin"/>
        </w:r>
        <w:r w:rsidR="00CF1129">
          <w:instrText xml:space="preserve"> PAGE   \* MERGEFORMAT </w:instrText>
        </w:r>
        <w:r w:rsidR="00CF1129">
          <w:fldChar w:fldCharType="separate"/>
        </w:r>
        <w:r w:rsidR="002A6C07">
          <w:rPr>
            <w:noProof/>
          </w:rPr>
          <w:t xml:space="preserve">- 1 </w:t>
        </w:r>
        <w:r w:rsidR="00F949CB">
          <w:rPr>
            <w:noProof/>
          </w:rPr>
          <w:noBreakHyphen/>
        </w:r>
        <w:r w:rsidR="00CF1129">
          <w:rPr>
            <w:noProof/>
          </w:rPr>
          <w:fldChar w:fldCharType="end"/>
        </w:r>
        <w:r w:rsidR="002918E9">
          <w:rPr>
            <w:noProof/>
          </w:rPr>
          <w:t xml:space="preserve"> </w:t>
        </w:r>
        <w:r w:rsidR="00F949CB">
          <w:rPr>
            <w:noProof/>
          </w:rPr>
          <w:noBreakHyphen/>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49C03" w14:textId="77777777" w:rsidR="00D40882" w:rsidRDefault="00D40882" w:rsidP="00885956">
      <w:r>
        <w:separator/>
      </w:r>
    </w:p>
  </w:footnote>
  <w:footnote w:type="continuationSeparator" w:id="0">
    <w:p w14:paraId="7700FCBD" w14:textId="77777777" w:rsidR="00D40882" w:rsidRDefault="00D40882" w:rsidP="00885956">
      <w:r>
        <w:continuationSeparator/>
      </w:r>
    </w:p>
  </w:footnote>
  <w:footnote w:type="continuationNotice" w:id="1">
    <w:p w14:paraId="4790A8A8" w14:textId="77777777" w:rsidR="00D40882" w:rsidRDefault="00D40882"/>
  </w:footnote>
  <w:footnote w:id="2">
    <w:p w14:paraId="24A0E961" w14:textId="22F19EC5" w:rsidR="00280DC8" w:rsidRPr="00FB48D6" w:rsidRDefault="00280DC8" w:rsidP="00280DC8">
      <w:pPr>
        <w:pStyle w:val="FootnoteText"/>
        <w:rPr>
          <w:lang w:val="en-ZW"/>
        </w:rPr>
      </w:pPr>
      <w:r>
        <w:rPr>
          <w:rStyle w:val="FootnoteReference"/>
        </w:rPr>
        <w:footnoteRef/>
      </w:r>
      <w:r>
        <w:t xml:space="preserve"> </w:t>
      </w:r>
      <w:r w:rsidRPr="00FB48D6">
        <w:t>R.23</w:t>
      </w:r>
      <w:r w:rsidR="00F949CB">
        <w:noBreakHyphen/>
      </w:r>
      <w:r w:rsidRPr="00FB48D6">
        <w:t>01</w:t>
      </w:r>
      <w:r w:rsidR="00F949CB">
        <w:noBreakHyphen/>
      </w:r>
      <w:r w:rsidRPr="00FB48D6">
        <w:t xml:space="preserve">007 was reassigned from ALJ Ehren Seybert to </w:t>
      </w:r>
      <w:r w:rsidRPr="00FB48D6">
        <w:rPr>
          <w:lang w:val="en-ZW"/>
        </w:rPr>
        <w:t>ALJ Nilgun Atamturk on January 9, 2024.</w:t>
      </w:r>
    </w:p>
  </w:footnote>
  <w:footnote w:id="3">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4">
    <w:p w14:paraId="2A44723A" w14:textId="5665C806" w:rsidR="007941BE" w:rsidRPr="00DE3A5D" w:rsidRDefault="007941BE"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 w:id="5">
    <w:p w14:paraId="3C3B7265" w14:textId="63B6CD53" w:rsidR="00BD1A74" w:rsidRPr="00596510" w:rsidRDefault="00BD1A74" w:rsidP="00BD1A74">
      <w:pPr>
        <w:pStyle w:val="FootnoteText"/>
        <w:rPr>
          <w:lang w:val="en-ZW"/>
        </w:rPr>
      </w:pPr>
      <w:r>
        <w:rPr>
          <w:rStyle w:val="FootnoteReference"/>
        </w:rPr>
        <w:footnoteRef/>
      </w:r>
      <w:r>
        <w:t xml:space="preserve"> </w:t>
      </w:r>
      <w:r w:rsidRPr="000B2002">
        <w:t>D.07</w:t>
      </w:r>
      <w:r w:rsidR="00F949CB">
        <w:noBreakHyphen/>
      </w:r>
      <w:r w:rsidRPr="000B2002">
        <w:t>01</w:t>
      </w:r>
      <w:r w:rsidR="00F949CB">
        <w:noBreakHyphen/>
      </w:r>
      <w:r w:rsidRPr="000B2002">
        <w:t>009, D.08</w:t>
      </w:r>
      <w:r w:rsidR="00F949CB">
        <w:noBreakHyphen/>
      </w:r>
      <w:r w:rsidRPr="000B2002">
        <w:t>04</w:t>
      </w:r>
      <w:r w:rsidR="00F949CB">
        <w:noBreakHyphen/>
      </w:r>
      <w:r w:rsidRPr="000B2002">
        <w:t>010, and ALJ Resolution ALJ</w:t>
      </w:r>
      <w:r w:rsidR="00F949CB">
        <w:noBreakHyphen/>
      </w:r>
      <w:r w:rsidRPr="000B2002">
        <w:t>235.</w:t>
      </w:r>
    </w:p>
  </w:footnote>
  <w:footnote w:id="6">
    <w:p w14:paraId="3A49CD2B" w14:textId="01494667" w:rsidR="00514386" w:rsidRPr="00514386" w:rsidRDefault="00514386">
      <w:pPr>
        <w:pStyle w:val="FootnoteText"/>
        <w:rPr>
          <w:lang w:val="en-ZW"/>
        </w:rPr>
      </w:pPr>
      <w:r>
        <w:rPr>
          <w:rStyle w:val="FootnoteReference"/>
        </w:rPr>
        <w:footnoteRef/>
      </w:r>
      <w:r>
        <w:t xml:space="preserve"> </w:t>
      </w:r>
      <w:r>
        <w:rPr>
          <w:sz w:val="20"/>
        </w:rPr>
        <w:t xml:space="preserve">The hours </w:t>
      </w:r>
      <w:r w:rsidR="00C86B6A">
        <w:rPr>
          <w:sz w:val="20"/>
        </w:rPr>
        <w:t xml:space="preserve">requested here </w:t>
      </w:r>
      <w:r>
        <w:rPr>
          <w:sz w:val="20"/>
        </w:rPr>
        <w:t>apply, as relevant, prior disallowances made above in item [6].</w:t>
      </w:r>
    </w:p>
  </w:footnote>
  <w:footnote w:id="7">
    <w:p w14:paraId="2C11F5C8" w14:textId="72B73B7D" w:rsidR="00806892" w:rsidRPr="00697AA1" w:rsidRDefault="00806892">
      <w:pPr>
        <w:pStyle w:val="FootnoteText"/>
        <w:rPr>
          <w:lang w:val="en-ZW"/>
        </w:rPr>
      </w:pPr>
      <w:r>
        <w:rPr>
          <w:rStyle w:val="FootnoteReference"/>
        </w:rPr>
        <w:footnoteRef/>
      </w:r>
      <w:r>
        <w:t xml:space="preserve"> A4NR has identified </w:t>
      </w:r>
      <w:r>
        <w:rPr>
          <w:lang w:val="en-ZW"/>
        </w:rPr>
        <w:t xml:space="preserve">Geesman as a consultant. </w:t>
      </w:r>
      <w:r w:rsidRPr="00697AA1">
        <w:rPr>
          <w:i/>
          <w:iCs/>
          <w:lang w:val="en-ZW"/>
        </w:rPr>
        <w:t>See</w:t>
      </w:r>
      <w:r>
        <w:rPr>
          <w:lang w:val="en-ZW"/>
        </w:rPr>
        <w:t xml:space="preserve"> item [1] in </w:t>
      </w:r>
      <w:r w:rsidR="00471EE6">
        <w:rPr>
          <w:lang w:val="en-ZW"/>
        </w:rPr>
        <w:t>Part I</w:t>
      </w:r>
      <w:r>
        <w:rPr>
          <w:lang w:val="en-ZW"/>
        </w:rPr>
        <w:t xml:space="preserve">II.D. </w:t>
      </w:r>
    </w:p>
  </w:footnote>
  <w:footnote w:id="8">
    <w:p w14:paraId="706FF7E9" w14:textId="39F990A1" w:rsidR="00E160DE" w:rsidRPr="00E160DE" w:rsidRDefault="00E160DE">
      <w:pPr>
        <w:pStyle w:val="FootnoteText"/>
        <w:rPr>
          <w:lang w:val="en-ZW"/>
        </w:rPr>
      </w:pPr>
      <w:r>
        <w:rPr>
          <w:rStyle w:val="FootnoteReference"/>
        </w:rPr>
        <w:footnoteRef/>
      </w:r>
      <w:r>
        <w:t xml:space="preserve"> </w:t>
      </w:r>
      <w:r w:rsidR="00182C86">
        <w:t>The</w:t>
      </w:r>
      <w:r w:rsidR="00AC51E4">
        <w:t xml:space="preserve"> </w:t>
      </w:r>
      <w:r>
        <w:rPr>
          <w:lang w:val="en-ZW"/>
        </w:rPr>
        <w:t xml:space="preserve">hourly rates adopted </w:t>
      </w:r>
      <w:r w:rsidR="00A45FA1">
        <w:rPr>
          <w:lang w:val="en-ZW"/>
        </w:rPr>
        <w:t xml:space="preserve">here </w:t>
      </w:r>
      <w:r>
        <w:rPr>
          <w:lang w:val="en-ZW"/>
        </w:rPr>
        <w:t xml:space="preserve">for Weisman are in the role of </w:t>
      </w:r>
      <w:r w:rsidRPr="00E160DE">
        <w:rPr>
          <w:lang w:val="en-ZW"/>
        </w:rPr>
        <w:t>Expert</w:t>
      </w:r>
      <w:r w:rsidR="009D4181">
        <w:rPr>
          <w:lang w:val="en-ZW"/>
        </w:rPr>
        <w:t xml:space="preserve"> — </w:t>
      </w:r>
      <w:r w:rsidRPr="00E160DE">
        <w:rPr>
          <w:lang w:val="en-ZW"/>
        </w:rPr>
        <w:t>Communications Specialist</w:t>
      </w:r>
      <w:r w:rsidR="009D4181">
        <w:rPr>
          <w:lang w:val="en-ZW"/>
        </w:rPr>
        <w:t xml:space="preserve"> — </w:t>
      </w:r>
      <w:r w:rsidRPr="00E160DE">
        <w:rPr>
          <w:lang w:val="en-ZW"/>
        </w:rPr>
        <w:t>III</w:t>
      </w:r>
      <w:r>
        <w:rPr>
          <w:lang w:val="en-ZW"/>
        </w:rPr>
        <w:t>.</w:t>
      </w:r>
    </w:p>
  </w:footnote>
  <w:footnote w:id="9">
    <w:p w14:paraId="5FE179BA" w14:textId="098EB2B7" w:rsidR="002E5133" w:rsidRPr="002E5133" w:rsidRDefault="002E5133">
      <w:pPr>
        <w:pStyle w:val="FootnoteText"/>
        <w:rPr>
          <w:lang w:val="en-ZW"/>
        </w:rPr>
      </w:pPr>
      <w:r>
        <w:rPr>
          <w:rStyle w:val="FootnoteReference"/>
        </w:rPr>
        <w:footnoteRef/>
      </w:r>
      <w:r>
        <w:t xml:space="preserve"> </w:t>
      </w:r>
      <w:r>
        <w:rPr>
          <w:lang w:val="en-ZW"/>
        </w:rPr>
        <w:t>A4NR lists th</w:t>
      </w:r>
      <w:r w:rsidR="004A2995">
        <w:rPr>
          <w:lang w:val="en-ZW"/>
        </w:rPr>
        <w:t>e</w:t>
      </w:r>
      <w:r>
        <w:rPr>
          <w:lang w:val="en-ZW"/>
        </w:rPr>
        <w:t xml:space="preserve"> year as 2023</w:t>
      </w:r>
      <w:r w:rsidR="004A2995">
        <w:rPr>
          <w:lang w:val="en-ZW"/>
        </w:rPr>
        <w:t xml:space="preserve"> here</w:t>
      </w:r>
      <w:r>
        <w:rPr>
          <w:lang w:val="en-ZW"/>
        </w:rPr>
        <w:t xml:space="preserve">, however, per the hourly rate requested for Weisman above in </w:t>
      </w:r>
      <w:r w:rsidR="00471EE6">
        <w:rPr>
          <w:lang w:val="en-ZW"/>
        </w:rPr>
        <w:t>Part I</w:t>
      </w:r>
      <w:r>
        <w:rPr>
          <w:lang w:val="en-ZW"/>
        </w:rPr>
        <w:t xml:space="preserve">II.B, this rate is requested for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BAAA" w14:textId="5A2D1060" w:rsidR="004B6694" w:rsidRDefault="00B62699" w:rsidP="00B62699">
    <w:pPr>
      <w:pStyle w:val="Header"/>
      <w:tabs>
        <w:tab w:val="clear" w:pos="4680"/>
      </w:tabs>
    </w:pPr>
    <w:r w:rsidRPr="00B62699">
      <w:t>R</w:t>
    </w:r>
    <w:r>
      <w:t>.</w:t>
    </w:r>
    <w:r w:rsidRPr="00B62699">
      <w:t>23</w:t>
    </w:r>
    <w:r>
      <w:t>-</w:t>
    </w:r>
    <w:r w:rsidRPr="00B62699">
      <w:t>01</w:t>
    </w:r>
    <w:r>
      <w:t>-</w:t>
    </w:r>
    <w:r w:rsidRPr="00B62699">
      <w:t>007</w:t>
    </w:r>
    <w:r>
      <w:t xml:space="preserve">  ALJ/NIL/nd3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6CD"/>
    <w:multiLevelType w:val="hybridMultilevel"/>
    <w:tmpl w:val="A5FC35B8"/>
    <w:lvl w:ilvl="0" w:tplc="FFFFFFFF">
      <w:start w:val="2"/>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3272B9"/>
    <w:multiLevelType w:val="hybridMultilevel"/>
    <w:tmpl w:val="30FC9C02"/>
    <w:lvl w:ilvl="0" w:tplc="FFFFFFFF">
      <w:start w:val="1"/>
      <w:numFmt w:val="decimal"/>
      <w:lvlText w:val="%1."/>
      <w:lvlJc w:val="left"/>
      <w:pPr>
        <w:ind w:left="547" w:hanging="54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655F86"/>
    <w:multiLevelType w:val="hybridMultilevel"/>
    <w:tmpl w:val="E81AB534"/>
    <w:lvl w:ilvl="0" w:tplc="7500095C">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D1571"/>
    <w:multiLevelType w:val="hybridMultilevel"/>
    <w:tmpl w:val="65D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B3ABE"/>
    <w:multiLevelType w:val="hybridMultilevel"/>
    <w:tmpl w:val="9E36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17709"/>
    <w:multiLevelType w:val="hybridMultilevel"/>
    <w:tmpl w:val="30FC9C02"/>
    <w:lvl w:ilvl="0" w:tplc="FFFFFFFF">
      <w:start w:val="1"/>
      <w:numFmt w:val="decimal"/>
      <w:lvlText w:val="%1."/>
      <w:lvlJc w:val="left"/>
      <w:pPr>
        <w:ind w:left="547" w:hanging="54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2D2042C"/>
    <w:multiLevelType w:val="hybridMultilevel"/>
    <w:tmpl w:val="7DFA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270B6B"/>
    <w:multiLevelType w:val="hybridMultilevel"/>
    <w:tmpl w:val="6910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E74003"/>
    <w:multiLevelType w:val="hybridMultilevel"/>
    <w:tmpl w:val="1DB4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6FD62F7E"/>
    <w:multiLevelType w:val="hybridMultilevel"/>
    <w:tmpl w:val="E81AB534"/>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6431786">
    <w:abstractNumId w:val="18"/>
  </w:num>
  <w:num w:numId="2" w16cid:durableId="296566636">
    <w:abstractNumId w:val="1"/>
  </w:num>
  <w:num w:numId="3" w16cid:durableId="2098595014">
    <w:abstractNumId w:val="19"/>
  </w:num>
  <w:num w:numId="4" w16cid:durableId="1312905431">
    <w:abstractNumId w:val="14"/>
  </w:num>
  <w:num w:numId="5" w16cid:durableId="417093550">
    <w:abstractNumId w:val="11"/>
  </w:num>
  <w:num w:numId="6" w16cid:durableId="1486429129">
    <w:abstractNumId w:val="16"/>
  </w:num>
  <w:num w:numId="7" w16cid:durableId="258221757">
    <w:abstractNumId w:val="12"/>
  </w:num>
  <w:num w:numId="8" w16cid:durableId="842936081">
    <w:abstractNumId w:val="15"/>
  </w:num>
  <w:num w:numId="9" w16cid:durableId="1685205339">
    <w:abstractNumId w:val="4"/>
  </w:num>
  <w:num w:numId="10" w16cid:durableId="789317941">
    <w:abstractNumId w:val="9"/>
  </w:num>
  <w:num w:numId="11" w16cid:durableId="795294196">
    <w:abstractNumId w:val="6"/>
  </w:num>
  <w:num w:numId="12" w16cid:durableId="297494933">
    <w:abstractNumId w:val="13"/>
  </w:num>
  <w:num w:numId="13" w16cid:durableId="387608220">
    <w:abstractNumId w:val="5"/>
  </w:num>
  <w:num w:numId="14" w16cid:durableId="1301183283">
    <w:abstractNumId w:val="8"/>
  </w:num>
  <w:num w:numId="15" w16cid:durableId="1548488385">
    <w:abstractNumId w:val="10"/>
  </w:num>
  <w:num w:numId="16" w16cid:durableId="1404185404">
    <w:abstractNumId w:val="7"/>
  </w:num>
  <w:num w:numId="17" w16cid:durableId="1943489094">
    <w:abstractNumId w:val="2"/>
  </w:num>
  <w:num w:numId="18" w16cid:durableId="1496606459">
    <w:abstractNumId w:val="0"/>
  </w:num>
  <w:num w:numId="19" w16cid:durableId="976303617">
    <w:abstractNumId w:val="3"/>
  </w:num>
  <w:num w:numId="20" w16cid:durableId="5943595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1205"/>
    <w:rsid w:val="00001CAD"/>
    <w:rsid w:val="00003A49"/>
    <w:rsid w:val="00003B4E"/>
    <w:rsid w:val="00003C0C"/>
    <w:rsid w:val="00003D20"/>
    <w:rsid w:val="00007086"/>
    <w:rsid w:val="000076F7"/>
    <w:rsid w:val="00011734"/>
    <w:rsid w:val="00015858"/>
    <w:rsid w:val="00020094"/>
    <w:rsid w:val="00021A1F"/>
    <w:rsid w:val="00021BFF"/>
    <w:rsid w:val="00024C1B"/>
    <w:rsid w:val="0002595B"/>
    <w:rsid w:val="00026A15"/>
    <w:rsid w:val="00026D6A"/>
    <w:rsid w:val="00030B9F"/>
    <w:rsid w:val="00031215"/>
    <w:rsid w:val="00034492"/>
    <w:rsid w:val="00036F54"/>
    <w:rsid w:val="00041665"/>
    <w:rsid w:val="00045A2F"/>
    <w:rsid w:val="00047BBF"/>
    <w:rsid w:val="00047D8D"/>
    <w:rsid w:val="0005103A"/>
    <w:rsid w:val="00051845"/>
    <w:rsid w:val="00053283"/>
    <w:rsid w:val="00053F20"/>
    <w:rsid w:val="00054E55"/>
    <w:rsid w:val="0005538D"/>
    <w:rsid w:val="00055843"/>
    <w:rsid w:val="00056973"/>
    <w:rsid w:val="000575F0"/>
    <w:rsid w:val="00057714"/>
    <w:rsid w:val="000601F7"/>
    <w:rsid w:val="000617D9"/>
    <w:rsid w:val="00062578"/>
    <w:rsid w:val="000676D0"/>
    <w:rsid w:val="00071AD2"/>
    <w:rsid w:val="0007280C"/>
    <w:rsid w:val="00072C81"/>
    <w:rsid w:val="00073262"/>
    <w:rsid w:val="000749C7"/>
    <w:rsid w:val="00074A70"/>
    <w:rsid w:val="00074DC8"/>
    <w:rsid w:val="0007617D"/>
    <w:rsid w:val="00076735"/>
    <w:rsid w:val="00076B5D"/>
    <w:rsid w:val="000810F3"/>
    <w:rsid w:val="00090B94"/>
    <w:rsid w:val="000927F3"/>
    <w:rsid w:val="00092CCA"/>
    <w:rsid w:val="000959ED"/>
    <w:rsid w:val="00095CF9"/>
    <w:rsid w:val="00095E3E"/>
    <w:rsid w:val="00096D72"/>
    <w:rsid w:val="000971C0"/>
    <w:rsid w:val="00097D12"/>
    <w:rsid w:val="000A2B48"/>
    <w:rsid w:val="000A3CFC"/>
    <w:rsid w:val="000A4688"/>
    <w:rsid w:val="000A469B"/>
    <w:rsid w:val="000A4ABE"/>
    <w:rsid w:val="000A4FC9"/>
    <w:rsid w:val="000A500F"/>
    <w:rsid w:val="000A6B5A"/>
    <w:rsid w:val="000A7CBB"/>
    <w:rsid w:val="000A7E82"/>
    <w:rsid w:val="000B0145"/>
    <w:rsid w:val="000B0305"/>
    <w:rsid w:val="000B038B"/>
    <w:rsid w:val="000B3D0B"/>
    <w:rsid w:val="000B5937"/>
    <w:rsid w:val="000B7364"/>
    <w:rsid w:val="000B73ED"/>
    <w:rsid w:val="000C0327"/>
    <w:rsid w:val="000C03D0"/>
    <w:rsid w:val="000C07C9"/>
    <w:rsid w:val="000C79AB"/>
    <w:rsid w:val="000D1C97"/>
    <w:rsid w:val="000D52F1"/>
    <w:rsid w:val="000D5F1E"/>
    <w:rsid w:val="000D6CA0"/>
    <w:rsid w:val="000D6DF8"/>
    <w:rsid w:val="000D7CE9"/>
    <w:rsid w:val="000E1E88"/>
    <w:rsid w:val="000E2FEB"/>
    <w:rsid w:val="000E3540"/>
    <w:rsid w:val="000E3B25"/>
    <w:rsid w:val="000E3C66"/>
    <w:rsid w:val="000E41D9"/>
    <w:rsid w:val="000E456C"/>
    <w:rsid w:val="000E587C"/>
    <w:rsid w:val="000E6ABD"/>
    <w:rsid w:val="000F0F62"/>
    <w:rsid w:val="000F30B4"/>
    <w:rsid w:val="000F595C"/>
    <w:rsid w:val="000F744D"/>
    <w:rsid w:val="000F7670"/>
    <w:rsid w:val="00101FAE"/>
    <w:rsid w:val="0010234D"/>
    <w:rsid w:val="00103EBC"/>
    <w:rsid w:val="0010480F"/>
    <w:rsid w:val="00104B61"/>
    <w:rsid w:val="00110BAB"/>
    <w:rsid w:val="00110D89"/>
    <w:rsid w:val="00112C10"/>
    <w:rsid w:val="00114848"/>
    <w:rsid w:val="0011498E"/>
    <w:rsid w:val="001200F4"/>
    <w:rsid w:val="00121521"/>
    <w:rsid w:val="00123103"/>
    <w:rsid w:val="00123907"/>
    <w:rsid w:val="00125492"/>
    <w:rsid w:val="001262C7"/>
    <w:rsid w:val="001302F2"/>
    <w:rsid w:val="001312F4"/>
    <w:rsid w:val="00131C60"/>
    <w:rsid w:val="001346EB"/>
    <w:rsid w:val="00135F5D"/>
    <w:rsid w:val="00136C52"/>
    <w:rsid w:val="00137FBC"/>
    <w:rsid w:val="00141A4E"/>
    <w:rsid w:val="00141AC5"/>
    <w:rsid w:val="001422EB"/>
    <w:rsid w:val="0014312A"/>
    <w:rsid w:val="001431D1"/>
    <w:rsid w:val="001456EB"/>
    <w:rsid w:val="001500C2"/>
    <w:rsid w:val="00151AA8"/>
    <w:rsid w:val="001521D1"/>
    <w:rsid w:val="0015263D"/>
    <w:rsid w:val="00152EB0"/>
    <w:rsid w:val="00152F94"/>
    <w:rsid w:val="00153ED6"/>
    <w:rsid w:val="001542BB"/>
    <w:rsid w:val="00160603"/>
    <w:rsid w:val="00161ECD"/>
    <w:rsid w:val="00164134"/>
    <w:rsid w:val="00164C61"/>
    <w:rsid w:val="001658B2"/>
    <w:rsid w:val="00165F99"/>
    <w:rsid w:val="00170D5C"/>
    <w:rsid w:val="00171EBF"/>
    <w:rsid w:val="00172CEC"/>
    <w:rsid w:val="00173CA3"/>
    <w:rsid w:val="00175865"/>
    <w:rsid w:val="001768E4"/>
    <w:rsid w:val="00180E8C"/>
    <w:rsid w:val="00181E42"/>
    <w:rsid w:val="00182C86"/>
    <w:rsid w:val="00183505"/>
    <w:rsid w:val="00184ABD"/>
    <w:rsid w:val="00185780"/>
    <w:rsid w:val="00186917"/>
    <w:rsid w:val="00187432"/>
    <w:rsid w:val="00187C2D"/>
    <w:rsid w:val="00193953"/>
    <w:rsid w:val="00195224"/>
    <w:rsid w:val="001953D3"/>
    <w:rsid w:val="0019584F"/>
    <w:rsid w:val="001962EB"/>
    <w:rsid w:val="001A0B1F"/>
    <w:rsid w:val="001A1C66"/>
    <w:rsid w:val="001A1F6A"/>
    <w:rsid w:val="001A2693"/>
    <w:rsid w:val="001A3653"/>
    <w:rsid w:val="001A3AE9"/>
    <w:rsid w:val="001A3CF3"/>
    <w:rsid w:val="001A44CB"/>
    <w:rsid w:val="001A6CF7"/>
    <w:rsid w:val="001A7183"/>
    <w:rsid w:val="001A7C39"/>
    <w:rsid w:val="001B117B"/>
    <w:rsid w:val="001B1714"/>
    <w:rsid w:val="001B33AC"/>
    <w:rsid w:val="001B4565"/>
    <w:rsid w:val="001B4D46"/>
    <w:rsid w:val="001B4E10"/>
    <w:rsid w:val="001B5132"/>
    <w:rsid w:val="001B71D5"/>
    <w:rsid w:val="001B776C"/>
    <w:rsid w:val="001C0DD1"/>
    <w:rsid w:val="001C12D8"/>
    <w:rsid w:val="001C1497"/>
    <w:rsid w:val="001C21AE"/>
    <w:rsid w:val="001C45B4"/>
    <w:rsid w:val="001C4DAC"/>
    <w:rsid w:val="001C5357"/>
    <w:rsid w:val="001C54E3"/>
    <w:rsid w:val="001C5C35"/>
    <w:rsid w:val="001D1BE3"/>
    <w:rsid w:val="001D2832"/>
    <w:rsid w:val="001D2AF7"/>
    <w:rsid w:val="001D3ED2"/>
    <w:rsid w:val="001D4C39"/>
    <w:rsid w:val="001D5DAB"/>
    <w:rsid w:val="001D78A3"/>
    <w:rsid w:val="001E3B3A"/>
    <w:rsid w:val="001E51DE"/>
    <w:rsid w:val="001E5AF2"/>
    <w:rsid w:val="001E6560"/>
    <w:rsid w:val="001E77CF"/>
    <w:rsid w:val="001E7EE2"/>
    <w:rsid w:val="001F1C12"/>
    <w:rsid w:val="001F238E"/>
    <w:rsid w:val="001F3148"/>
    <w:rsid w:val="001F79FA"/>
    <w:rsid w:val="002018E9"/>
    <w:rsid w:val="00204E3A"/>
    <w:rsid w:val="002058B9"/>
    <w:rsid w:val="00205FE1"/>
    <w:rsid w:val="00212E10"/>
    <w:rsid w:val="002130F0"/>
    <w:rsid w:val="00214B22"/>
    <w:rsid w:val="0021505A"/>
    <w:rsid w:val="002169D5"/>
    <w:rsid w:val="00216C75"/>
    <w:rsid w:val="00217224"/>
    <w:rsid w:val="002208B2"/>
    <w:rsid w:val="002219F1"/>
    <w:rsid w:val="0022302F"/>
    <w:rsid w:val="00225AE3"/>
    <w:rsid w:val="00225EC5"/>
    <w:rsid w:val="00230276"/>
    <w:rsid w:val="00230392"/>
    <w:rsid w:val="00231343"/>
    <w:rsid w:val="00236D5C"/>
    <w:rsid w:val="002375D0"/>
    <w:rsid w:val="002375FD"/>
    <w:rsid w:val="00237F9B"/>
    <w:rsid w:val="00240162"/>
    <w:rsid w:val="002415DC"/>
    <w:rsid w:val="002441E6"/>
    <w:rsid w:val="00245FD5"/>
    <w:rsid w:val="002466F8"/>
    <w:rsid w:val="00246D40"/>
    <w:rsid w:val="00247902"/>
    <w:rsid w:val="00247BDF"/>
    <w:rsid w:val="0025132A"/>
    <w:rsid w:val="00253340"/>
    <w:rsid w:val="00253870"/>
    <w:rsid w:val="00256F00"/>
    <w:rsid w:val="0025785A"/>
    <w:rsid w:val="00257BBB"/>
    <w:rsid w:val="00260159"/>
    <w:rsid w:val="0026049F"/>
    <w:rsid w:val="00260518"/>
    <w:rsid w:val="00260C36"/>
    <w:rsid w:val="00261262"/>
    <w:rsid w:val="00264333"/>
    <w:rsid w:val="00267D32"/>
    <w:rsid w:val="0027021F"/>
    <w:rsid w:val="00270E2E"/>
    <w:rsid w:val="00271D9D"/>
    <w:rsid w:val="00273208"/>
    <w:rsid w:val="00273A0A"/>
    <w:rsid w:val="00274FD1"/>
    <w:rsid w:val="00275F2B"/>
    <w:rsid w:val="00277FC0"/>
    <w:rsid w:val="00280DC8"/>
    <w:rsid w:val="00282A54"/>
    <w:rsid w:val="00283290"/>
    <w:rsid w:val="00283ACD"/>
    <w:rsid w:val="00285122"/>
    <w:rsid w:val="0028665A"/>
    <w:rsid w:val="00287928"/>
    <w:rsid w:val="002918E9"/>
    <w:rsid w:val="002950FC"/>
    <w:rsid w:val="00295231"/>
    <w:rsid w:val="002A0AC6"/>
    <w:rsid w:val="002A400B"/>
    <w:rsid w:val="002A4227"/>
    <w:rsid w:val="002A4A68"/>
    <w:rsid w:val="002A53A8"/>
    <w:rsid w:val="002A6BAC"/>
    <w:rsid w:val="002A6C07"/>
    <w:rsid w:val="002B450A"/>
    <w:rsid w:val="002B661A"/>
    <w:rsid w:val="002B674E"/>
    <w:rsid w:val="002C0C9E"/>
    <w:rsid w:val="002C2770"/>
    <w:rsid w:val="002C40B7"/>
    <w:rsid w:val="002C49CD"/>
    <w:rsid w:val="002C5370"/>
    <w:rsid w:val="002C5E75"/>
    <w:rsid w:val="002C6798"/>
    <w:rsid w:val="002D2173"/>
    <w:rsid w:val="002D21CA"/>
    <w:rsid w:val="002D34A1"/>
    <w:rsid w:val="002D53AA"/>
    <w:rsid w:val="002D5893"/>
    <w:rsid w:val="002E1F7C"/>
    <w:rsid w:val="002E33B1"/>
    <w:rsid w:val="002E3C7F"/>
    <w:rsid w:val="002E448A"/>
    <w:rsid w:val="002E5133"/>
    <w:rsid w:val="002E58AC"/>
    <w:rsid w:val="002E5CC1"/>
    <w:rsid w:val="002E5F83"/>
    <w:rsid w:val="002E77D8"/>
    <w:rsid w:val="002F3AB9"/>
    <w:rsid w:val="002F63B9"/>
    <w:rsid w:val="002F75A5"/>
    <w:rsid w:val="002F77A5"/>
    <w:rsid w:val="00300CC1"/>
    <w:rsid w:val="00301081"/>
    <w:rsid w:val="003032C9"/>
    <w:rsid w:val="00303C2B"/>
    <w:rsid w:val="0030589E"/>
    <w:rsid w:val="0030618B"/>
    <w:rsid w:val="00314034"/>
    <w:rsid w:val="003141EE"/>
    <w:rsid w:val="003149E4"/>
    <w:rsid w:val="00316244"/>
    <w:rsid w:val="0031778F"/>
    <w:rsid w:val="00317C04"/>
    <w:rsid w:val="00320990"/>
    <w:rsid w:val="00321AC4"/>
    <w:rsid w:val="003275BA"/>
    <w:rsid w:val="0033099B"/>
    <w:rsid w:val="00330C5E"/>
    <w:rsid w:val="00332E47"/>
    <w:rsid w:val="00332F0A"/>
    <w:rsid w:val="00334522"/>
    <w:rsid w:val="003349B6"/>
    <w:rsid w:val="003352A3"/>
    <w:rsid w:val="0033789A"/>
    <w:rsid w:val="003404C5"/>
    <w:rsid w:val="00342441"/>
    <w:rsid w:val="003431A1"/>
    <w:rsid w:val="0034570F"/>
    <w:rsid w:val="00345AEE"/>
    <w:rsid w:val="00346B85"/>
    <w:rsid w:val="00347C7E"/>
    <w:rsid w:val="003501DD"/>
    <w:rsid w:val="003526A6"/>
    <w:rsid w:val="00352D36"/>
    <w:rsid w:val="00354A27"/>
    <w:rsid w:val="003553EC"/>
    <w:rsid w:val="00356741"/>
    <w:rsid w:val="00357623"/>
    <w:rsid w:val="00357F1A"/>
    <w:rsid w:val="00363EF8"/>
    <w:rsid w:val="003641F0"/>
    <w:rsid w:val="00365BC3"/>
    <w:rsid w:val="003662C6"/>
    <w:rsid w:val="0037001F"/>
    <w:rsid w:val="00371336"/>
    <w:rsid w:val="003714EB"/>
    <w:rsid w:val="003726B4"/>
    <w:rsid w:val="00372F4A"/>
    <w:rsid w:val="00374FD1"/>
    <w:rsid w:val="00377884"/>
    <w:rsid w:val="0037790F"/>
    <w:rsid w:val="00380703"/>
    <w:rsid w:val="003823EC"/>
    <w:rsid w:val="003874BB"/>
    <w:rsid w:val="0039004D"/>
    <w:rsid w:val="00390FE9"/>
    <w:rsid w:val="003949B3"/>
    <w:rsid w:val="00396CA4"/>
    <w:rsid w:val="00397860"/>
    <w:rsid w:val="003A3B25"/>
    <w:rsid w:val="003A6E5B"/>
    <w:rsid w:val="003A6F09"/>
    <w:rsid w:val="003A7DBF"/>
    <w:rsid w:val="003B1782"/>
    <w:rsid w:val="003B5EAC"/>
    <w:rsid w:val="003B6A1B"/>
    <w:rsid w:val="003C1828"/>
    <w:rsid w:val="003C19DE"/>
    <w:rsid w:val="003C2650"/>
    <w:rsid w:val="003C3D03"/>
    <w:rsid w:val="003C5457"/>
    <w:rsid w:val="003C608A"/>
    <w:rsid w:val="003C6200"/>
    <w:rsid w:val="003C68B1"/>
    <w:rsid w:val="003D0B34"/>
    <w:rsid w:val="003D3187"/>
    <w:rsid w:val="003D359B"/>
    <w:rsid w:val="003D4257"/>
    <w:rsid w:val="003D4455"/>
    <w:rsid w:val="003D592A"/>
    <w:rsid w:val="003D6BE0"/>
    <w:rsid w:val="003D7407"/>
    <w:rsid w:val="003D77D8"/>
    <w:rsid w:val="003E15D6"/>
    <w:rsid w:val="003E34CA"/>
    <w:rsid w:val="003E34FD"/>
    <w:rsid w:val="003E3B55"/>
    <w:rsid w:val="003F0FC5"/>
    <w:rsid w:val="003F191F"/>
    <w:rsid w:val="003F19C0"/>
    <w:rsid w:val="003F19FB"/>
    <w:rsid w:val="003F3449"/>
    <w:rsid w:val="003F480E"/>
    <w:rsid w:val="003F5790"/>
    <w:rsid w:val="003F6BC1"/>
    <w:rsid w:val="003F7E9D"/>
    <w:rsid w:val="00402DA6"/>
    <w:rsid w:val="00403098"/>
    <w:rsid w:val="00403A7C"/>
    <w:rsid w:val="004045E1"/>
    <w:rsid w:val="004100E0"/>
    <w:rsid w:val="004105D3"/>
    <w:rsid w:val="00410B8B"/>
    <w:rsid w:val="00411890"/>
    <w:rsid w:val="004119B6"/>
    <w:rsid w:val="00412F55"/>
    <w:rsid w:val="00421BBB"/>
    <w:rsid w:val="00421EC0"/>
    <w:rsid w:val="0042277D"/>
    <w:rsid w:val="004248EE"/>
    <w:rsid w:val="004257AF"/>
    <w:rsid w:val="00425A0F"/>
    <w:rsid w:val="0042654A"/>
    <w:rsid w:val="004272A8"/>
    <w:rsid w:val="00431B04"/>
    <w:rsid w:val="00432301"/>
    <w:rsid w:val="00433D7C"/>
    <w:rsid w:val="00434397"/>
    <w:rsid w:val="00435C30"/>
    <w:rsid w:val="0043735D"/>
    <w:rsid w:val="00437DA9"/>
    <w:rsid w:val="00443424"/>
    <w:rsid w:val="00445080"/>
    <w:rsid w:val="00445F9D"/>
    <w:rsid w:val="00447DB9"/>
    <w:rsid w:val="00451F46"/>
    <w:rsid w:val="00452442"/>
    <w:rsid w:val="004534E7"/>
    <w:rsid w:val="00460D7B"/>
    <w:rsid w:val="00461349"/>
    <w:rsid w:val="0046194D"/>
    <w:rsid w:val="00461D09"/>
    <w:rsid w:val="0046248A"/>
    <w:rsid w:val="004627AB"/>
    <w:rsid w:val="00462BCA"/>
    <w:rsid w:val="00462DCE"/>
    <w:rsid w:val="00465C04"/>
    <w:rsid w:val="00467570"/>
    <w:rsid w:val="00467B4A"/>
    <w:rsid w:val="00467E65"/>
    <w:rsid w:val="00471EE6"/>
    <w:rsid w:val="00474CDA"/>
    <w:rsid w:val="004758D2"/>
    <w:rsid w:val="00477325"/>
    <w:rsid w:val="00477593"/>
    <w:rsid w:val="00477602"/>
    <w:rsid w:val="00480318"/>
    <w:rsid w:val="00480BF6"/>
    <w:rsid w:val="00481180"/>
    <w:rsid w:val="00482F7E"/>
    <w:rsid w:val="004840D2"/>
    <w:rsid w:val="00485A0A"/>
    <w:rsid w:val="00486846"/>
    <w:rsid w:val="0048756D"/>
    <w:rsid w:val="004907FA"/>
    <w:rsid w:val="00493E9D"/>
    <w:rsid w:val="00494FD6"/>
    <w:rsid w:val="0049564F"/>
    <w:rsid w:val="00495F3D"/>
    <w:rsid w:val="00497692"/>
    <w:rsid w:val="004A1372"/>
    <w:rsid w:val="004A228C"/>
    <w:rsid w:val="004A2995"/>
    <w:rsid w:val="004A29A5"/>
    <w:rsid w:val="004A45D9"/>
    <w:rsid w:val="004A58CD"/>
    <w:rsid w:val="004A6FD4"/>
    <w:rsid w:val="004A79CF"/>
    <w:rsid w:val="004B1960"/>
    <w:rsid w:val="004B24C1"/>
    <w:rsid w:val="004B6694"/>
    <w:rsid w:val="004C0961"/>
    <w:rsid w:val="004C134D"/>
    <w:rsid w:val="004C39A1"/>
    <w:rsid w:val="004C3BCA"/>
    <w:rsid w:val="004C4070"/>
    <w:rsid w:val="004C4727"/>
    <w:rsid w:val="004C5CCB"/>
    <w:rsid w:val="004C720D"/>
    <w:rsid w:val="004C79A8"/>
    <w:rsid w:val="004D0193"/>
    <w:rsid w:val="004D0EE4"/>
    <w:rsid w:val="004D3107"/>
    <w:rsid w:val="004D6B69"/>
    <w:rsid w:val="004D6B6D"/>
    <w:rsid w:val="004D779D"/>
    <w:rsid w:val="004D7C4B"/>
    <w:rsid w:val="004E0395"/>
    <w:rsid w:val="004E20B2"/>
    <w:rsid w:val="004E301F"/>
    <w:rsid w:val="004E3939"/>
    <w:rsid w:val="004E3C40"/>
    <w:rsid w:val="004E3D93"/>
    <w:rsid w:val="004F1B04"/>
    <w:rsid w:val="004F361D"/>
    <w:rsid w:val="004F6738"/>
    <w:rsid w:val="004F6A63"/>
    <w:rsid w:val="004F7DF8"/>
    <w:rsid w:val="00500063"/>
    <w:rsid w:val="0050376D"/>
    <w:rsid w:val="00505505"/>
    <w:rsid w:val="00506966"/>
    <w:rsid w:val="00506A62"/>
    <w:rsid w:val="00506C4B"/>
    <w:rsid w:val="0051047E"/>
    <w:rsid w:val="005126DC"/>
    <w:rsid w:val="00512D17"/>
    <w:rsid w:val="00514386"/>
    <w:rsid w:val="00515286"/>
    <w:rsid w:val="00516CE7"/>
    <w:rsid w:val="005215EF"/>
    <w:rsid w:val="00521B86"/>
    <w:rsid w:val="00522E5D"/>
    <w:rsid w:val="005247D8"/>
    <w:rsid w:val="00526623"/>
    <w:rsid w:val="005266D4"/>
    <w:rsid w:val="00527FDB"/>
    <w:rsid w:val="005319A4"/>
    <w:rsid w:val="00533373"/>
    <w:rsid w:val="00533A5E"/>
    <w:rsid w:val="00536494"/>
    <w:rsid w:val="005425EB"/>
    <w:rsid w:val="00542AD5"/>
    <w:rsid w:val="00542FF0"/>
    <w:rsid w:val="00543BCD"/>
    <w:rsid w:val="00547145"/>
    <w:rsid w:val="00551967"/>
    <w:rsid w:val="0055228B"/>
    <w:rsid w:val="005533F9"/>
    <w:rsid w:val="005535B2"/>
    <w:rsid w:val="0055571B"/>
    <w:rsid w:val="00557700"/>
    <w:rsid w:val="00561BF2"/>
    <w:rsid w:val="0056280F"/>
    <w:rsid w:val="00563E44"/>
    <w:rsid w:val="0056510A"/>
    <w:rsid w:val="0056578C"/>
    <w:rsid w:val="0056665E"/>
    <w:rsid w:val="00570792"/>
    <w:rsid w:val="0057088A"/>
    <w:rsid w:val="005710F9"/>
    <w:rsid w:val="005711D9"/>
    <w:rsid w:val="00571F46"/>
    <w:rsid w:val="005724BD"/>
    <w:rsid w:val="005752FE"/>
    <w:rsid w:val="00575494"/>
    <w:rsid w:val="00575E7F"/>
    <w:rsid w:val="00581AF4"/>
    <w:rsid w:val="00584C12"/>
    <w:rsid w:val="00585CE5"/>
    <w:rsid w:val="00587110"/>
    <w:rsid w:val="00587370"/>
    <w:rsid w:val="00590C94"/>
    <w:rsid w:val="00590D9D"/>
    <w:rsid w:val="005912FA"/>
    <w:rsid w:val="0059289A"/>
    <w:rsid w:val="00596380"/>
    <w:rsid w:val="005A036E"/>
    <w:rsid w:val="005A03FB"/>
    <w:rsid w:val="005A1C2F"/>
    <w:rsid w:val="005A24E9"/>
    <w:rsid w:val="005A3018"/>
    <w:rsid w:val="005A4149"/>
    <w:rsid w:val="005A53F1"/>
    <w:rsid w:val="005A54E4"/>
    <w:rsid w:val="005A5A2A"/>
    <w:rsid w:val="005A63D4"/>
    <w:rsid w:val="005A65C2"/>
    <w:rsid w:val="005B10E1"/>
    <w:rsid w:val="005B17F7"/>
    <w:rsid w:val="005B1CC3"/>
    <w:rsid w:val="005B52C0"/>
    <w:rsid w:val="005B5B44"/>
    <w:rsid w:val="005B7181"/>
    <w:rsid w:val="005C22EF"/>
    <w:rsid w:val="005C327F"/>
    <w:rsid w:val="005C708B"/>
    <w:rsid w:val="005C7818"/>
    <w:rsid w:val="005D0321"/>
    <w:rsid w:val="005D0DFB"/>
    <w:rsid w:val="005D1969"/>
    <w:rsid w:val="005D25FC"/>
    <w:rsid w:val="005D3073"/>
    <w:rsid w:val="005D48AD"/>
    <w:rsid w:val="005D5DC7"/>
    <w:rsid w:val="005D63BF"/>
    <w:rsid w:val="005D6C3A"/>
    <w:rsid w:val="005E170E"/>
    <w:rsid w:val="005E58C4"/>
    <w:rsid w:val="005E5AD3"/>
    <w:rsid w:val="005E6771"/>
    <w:rsid w:val="005E7DB0"/>
    <w:rsid w:val="005F1250"/>
    <w:rsid w:val="005F1C85"/>
    <w:rsid w:val="005F1FA1"/>
    <w:rsid w:val="005F21CD"/>
    <w:rsid w:val="005F23E4"/>
    <w:rsid w:val="005F2A41"/>
    <w:rsid w:val="005F4D82"/>
    <w:rsid w:val="005F5430"/>
    <w:rsid w:val="005F68C1"/>
    <w:rsid w:val="00600C61"/>
    <w:rsid w:val="00600CC3"/>
    <w:rsid w:val="006024D1"/>
    <w:rsid w:val="006037E6"/>
    <w:rsid w:val="00604C63"/>
    <w:rsid w:val="00604D0B"/>
    <w:rsid w:val="006066CA"/>
    <w:rsid w:val="00613C87"/>
    <w:rsid w:val="00615CBB"/>
    <w:rsid w:val="006214CB"/>
    <w:rsid w:val="0062182F"/>
    <w:rsid w:val="00621A7C"/>
    <w:rsid w:val="00621C73"/>
    <w:rsid w:val="00623336"/>
    <w:rsid w:val="00624E50"/>
    <w:rsid w:val="006266A0"/>
    <w:rsid w:val="006306AF"/>
    <w:rsid w:val="0063076A"/>
    <w:rsid w:val="00633EDD"/>
    <w:rsid w:val="00640FCE"/>
    <w:rsid w:val="0064102D"/>
    <w:rsid w:val="0064110E"/>
    <w:rsid w:val="00643406"/>
    <w:rsid w:val="00643A13"/>
    <w:rsid w:val="006444CC"/>
    <w:rsid w:val="006456C2"/>
    <w:rsid w:val="00650196"/>
    <w:rsid w:val="0065087E"/>
    <w:rsid w:val="00651123"/>
    <w:rsid w:val="00652DEA"/>
    <w:rsid w:val="00653CB2"/>
    <w:rsid w:val="0066064D"/>
    <w:rsid w:val="00660D56"/>
    <w:rsid w:val="00660D7E"/>
    <w:rsid w:val="006637D2"/>
    <w:rsid w:val="00663DBE"/>
    <w:rsid w:val="006671C7"/>
    <w:rsid w:val="00667E08"/>
    <w:rsid w:val="0067001B"/>
    <w:rsid w:val="00670ACE"/>
    <w:rsid w:val="00671C19"/>
    <w:rsid w:val="00673595"/>
    <w:rsid w:val="00673EB1"/>
    <w:rsid w:val="006761C2"/>
    <w:rsid w:val="00677C9E"/>
    <w:rsid w:val="00690FC6"/>
    <w:rsid w:val="00691528"/>
    <w:rsid w:val="00691BB5"/>
    <w:rsid w:val="00692738"/>
    <w:rsid w:val="00692D16"/>
    <w:rsid w:val="00692E82"/>
    <w:rsid w:val="00694759"/>
    <w:rsid w:val="006949BA"/>
    <w:rsid w:val="0069650D"/>
    <w:rsid w:val="00697AA1"/>
    <w:rsid w:val="00697FEF"/>
    <w:rsid w:val="006A2F1D"/>
    <w:rsid w:val="006A55F4"/>
    <w:rsid w:val="006A6D49"/>
    <w:rsid w:val="006A7272"/>
    <w:rsid w:val="006A7527"/>
    <w:rsid w:val="006A75D2"/>
    <w:rsid w:val="006A7E1B"/>
    <w:rsid w:val="006B0BC7"/>
    <w:rsid w:val="006B17D8"/>
    <w:rsid w:val="006B1C00"/>
    <w:rsid w:val="006B4339"/>
    <w:rsid w:val="006B4E6C"/>
    <w:rsid w:val="006B6841"/>
    <w:rsid w:val="006B7011"/>
    <w:rsid w:val="006B7228"/>
    <w:rsid w:val="006B7375"/>
    <w:rsid w:val="006C28CF"/>
    <w:rsid w:val="006C3EE9"/>
    <w:rsid w:val="006C462D"/>
    <w:rsid w:val="006C64F4"/>
    <w:rsid w:val="006D09B3"/>
    <w:rsid w:val="006D1BE0"/>
    <w:rsid w:val="006D3363"/>
    <w:rsid w:val="006D38A2"/>
    <w:rsid w:val="006D4B0E"/>
    <w:rsid w:val="006D6024"/>
    <w:rsid w:val="006D6457"/>
    <w:rsid w:val="006D67C9"/>
    <w:rsid w:val="006E0C0A"/>
    <w:rsid w:val="006E1A81"/>
    <w:rsid w:val="006E1CB8"/>
    <w:rsid w:val="006E263A"/>
    <w:rsid w:val="006E2B93"/>
    <w:rsid w:val="006E3AE2"/>
    <w:rsid w:val="006E4A9C"/>
    <w:rsid w:val="006E656D"/>
    <w:rsid w:val="006E7F43"/>
    <w:rsid w:val="006F0026"/>
    <w:rsid w:val="006F1CF7"/>
    <w:rsid w:val="006F304C"/>
    <w:rsid w:val="006F32B2"/>
    <w:rsid w:val="006F5F49"/>
    <w:rsid w:val="007003F5"/>
    <w:rsid w:val="00701261"/>
    <w:rsid w:val="00703160"/>
    <w:rsid w:val="00703D5A"/>
    <w:rsid w:val="00705323"/>
    <w:rsid w:val="007053D2"/>
    <w:rsid w:val="007056FC"/>
    <w:rsid w:val="00705894"/>
    <w:rsid w:val="0070644C"/>
    <w:rsid w:val="00711489"/>
    <w:rsid w:val="007127FE"/>
    <w:rsid w:val="00712E3A"/>
    <w:rsid w:val="00713DB8"/>
    <w:rsid w:val="00716014"/>
    <w:rsid w:val="00720281"/>
    <w:rsid w:val="0072067D"/>
    <w:rsid w:val="00720B7A"/>
    <w:rsid w:val="007213C1"/>
    <w:rsid w:val="0072423F"/>
    <w:rsid w:val="00725521"/>
    <w:rsid w:val="0072587A"/>
    <w:rsid w:val="007258FD"/>
    <w:rsid w:val="00726EE5"/>
    <w:rsid w:val="00730514"/>
    <w:rsid w:val="00734248"/>
    <w:rsid w:val="0073528D"/>
    <w:rsid w:val="00735AB4"/>
    <w:rsid w:val="00736D5D"/>
    <w:rsid w:val="00741DB8"/>
    <w:rsid w:val="007423F4"/>
    <w:rsid w:val="00743104"/>
    <w:rsid w:val="007439C1"/>
    <w:rsid w:val="007461C3"/>
    <w:rsid w:val="0074620B"/>
    <w:rsid w:val="00751104"/>
    <w:rsid w:val="0075186B"/>
    <w:rsid w:val="0075199D"/>
    <w:rsid w:val="00753E82"/>
    <w:rsid w:val="0075401E"/>
    <w:rsid w:val="00757016"/>
    <w:rsid w:val="00757B44"/>
    <w:rsid w:val="00760810"/>
    <w:rsid w:val="00761F32"/>
    <w:rsid w:val="00763204"/>
    <w:rsid w:val="0076356C"/>
    <w:rsid w:val="00763797"/>
    <w:rsid w:val="007661EB"/>
    <w:rsid w:val="007714E1"/>
    <w:rsid w:val="0077347D"/>
    <w:rsid w:val="007749CF"/>
    <w:rsid w:val="00774B36"/>
    <w:rsid w:val="00775129"/>
    <w:rsid w:val="0077576A"/>
    <w:rsid w:val="00775C30"/>
    <w:rsid w:val="00780C7B"/>
    <w:rsid w:val="007815B0"/>
    <w:rsid w:val="00781E0E"/>
    <w:rsid w:val="00783DB7"/>
    <w:rsid w:val="00784359"/>
    <w:rsid w:val="00784CF1"/>
    <w:rsid w:val="00785A26"/>
    <w:rsid w:val="00785A7D"/>
    <w:rsid w:val="00786A23"/>
    <w:rsid w:val="00786BBB"/>
    <w:rsid w:val="00786CAD"/>
    <w:rsid w:val="00790B2E"/>
    <w:rsid w:val="00790B9C"/>
    <w:rsid w:val="007915F3"/>
    <w:rsid w:val="00792E5A"/>
    <w:rsid w:val="007941BE"/>
    <w:rsid w:val="00795985"/>
    <w:rsid w:val="00795A0F"/>
    <w:rsid w:val="007A017C"/>
    <w:rsid w:val="007A0291"/>
    <w:rsid w:val="007A0350"/>
    <w:rsid w:val="007A2148"/>
    <w:rsid w:val="007A3FCC"/>
    <w:rsid w:val="007A5D7E"/>
    <w:rsid w:val="007A6F4B"/>
    <w:rsid w:val="007A784D"/>
    <w:rsid w:val="007B03C9"/>
    <w:rsid w:val="007B177E"/>
    <w:rsid w:val="007B292F"/>
    <w:rsid w:val="007B2A3D"/>
    <w:rsid w:val="007B3E18"/>
    <w:rsid w:val="007B5193"/>
    <w:rsid w:val="007B595E"/>
    <w:rsid w:val="007B65C3"/>
    <w:rsid w:val="007C1B69"/>
    <w:rsid w:val="007C1DAC"/>
    <w:rsid w:val="007C2EB9"/>
    <w:rsid w:val="007C31A8"/>
    <w:rsid w:val="007C3561"/>
    <w:rsid w:val="007C4A4E"/>
    <w:rsid w:val="007C7513"/>
    <w:rsid w:val="007D11D8"/>
    <w:rsid w:val="007E05B7"/>
    <w:rsid w:val="007E1A75"/>
    <w:rsid w:val="007E66C9"/>
    <w:rsid w:val="007E71C3"/>
    <w:rsid w:val="007E761A"/>
    <w:rsid w:val="007F2E86"/>
    <w:rsid w:val="007F35A9"/>
    <w:rsid w:val="007F4B87"/>
    <w:rsid w:val="007F52FE"/>
    <w:rsid w:val="007F620E"/>
    <w:rsid w:val="007F6387"/>
    <w:rsid w:val="007F674E"/>
    <w:rsid w:val="007F6CF5"/>
    <w:rsid w:val="00800B79"/>
    <w:rsid w:val="00801D61"/>
    <w:rsid w:val="00802101"/>
    <w:rsid w:val="00802701"/>
    <w:rsid w:val="0080391D"/>
    <w:rsid w:val="00803A2E"/>
    <w:rsid w:val="008067F7"/>
    <w:rsid w:val="00806892"/>
    <w:rsid w:val="0080733C"/>
    <w:rsid w:val="00810C40"/>
    <w:rsid w:val="00811DB1"/>
    <w:rsid w:val="00813231"/>
    <w:rsid w:val="008143C2"/>
    <w:rsid w:val="008155D0"/>
    <w:rsid w:val="00815F1F"/>
    <w:rsid w:val="0081626F"/>
    <w:rsid w:val="0081666F"/>
    <w:rsid w:val="00822942"/>
    <w:rsid w:val="00823F91"/>
    <w:rsid w:val="0082615D"/>
    <w:rsid w:val="00827080"/>
    <w:rsid w:val="0082727E"/>
    <w:rsid w:val="00827C28"/>
    <w:rsid w:val="00830566"/>
    <w:rsid w:val="00831652"/>
    <w:rsid w:val="0083350A"/>
    <w:rsid w:val="00833555"/>
    <w:rsid w:val="0083442F"/>
    <w:rsid w:val="008347A4"/>
    <w:rsid w:val="00837805"/>
    <w:rsid w:val="00841C6F"/>
    <w:rsid w:val="008454CB"/>
    <w:rsid w:val="00845E19"/>
    <w:rsid w:val="00851EBF"/>
    <w:rsid w:val="008538AA"/>
    <w:rsid w:val="00855378"/>
    <w:rsid w:val="00855FD7"/>
    <w:rsid w:val="00856292"/>
    <w:rsid w:val="00863ACC"/>
    <w:rsid w:val="0087163C"/>
    <w:rsid w:val="00873118"/>
    <w:rsid w:val="00876A14"/>
    <w:rsid w:val="00880855"/>
    <w:rsid w:val="00881420"/>
    <w:rsid w:val="008818C1"/>
    <w:rsid w:val="008819C9"/>
    <w:rsid w:val="00881A44"/>
    <w:rsid w:val="00881FAD"/>
    <w:rsid w:val="008825A8"/>
    <w:rsid w:val="008834FC"/>
    <w:rsid w:val="00883D79"/>
    <w:rsid w:val="008844B6"/>
    <w:rsid w:val="00885956"/>
    <w:rsid w:val="00885CF8"/>
    <w:rsid w:val="00886840"/>
    <w:rsid w:val="00886869"/>
    <w:rsid w:val="00886C70"/>
    <w:rsid w:val="008906E3"/>
    <w:rsid w:val="0089163C"/>
    <w:rsid w:val="00891943"/>
    <w:rsid w:val="00892116"/>
    <w:rsid w:val="0089217C"/>
    <w:rsid w:val="00892656"/>
    <w:rsid w:val="00893F80"/>
    <w:rsid w:val="00894E5B"/>
    <w:rsid w:val="0089618A"/>
    <w:rsid w:val="00897C27"/>
    <w:rsid w:val="00897E83"/>
    <w:rsid w:val="008A14DA"/>
    <w:rsid w:val="008A230F"/>
    <w:rsid w:val="008A397D"/>
    <w:rsid w:val="008A3E65"/>
    <w:rsid w:val="008A456C"/>
    <w:rsid w:val="008A4BCF"/>
    <w:rsid w:val="008A5335"/>
    <w:rsid w:val="008A79CD"/>
    <w:rsid w:val="008B4485"/>
    <w:rsid w:val="008B4F17"/>
    <w:rsid w:val="008B64B1"/>
    <w:rsid w:val="008B67E2"/>
    <w:rsid w:val="008B70DC"/>
    <w:rsid w:val="008C09F7"/>
    <w:rsid w:val="008C12BA"/>
    <w:rsid w:val="008C1413"/>
    <w:rsid w:val="008C2208"/>
    <w:rsid w:val="008C528C"/>
    <w:rsid w:val="008D2592"/>
    <w:rsid w:val="008D513E"/>
    <w:rsid w:val="008D5339"/>
    <w:rsid w:val="008E182E"/>
    <w:rsid w:val="008E3450"/>
    <w:rsid w:val="008E37DD"/>
    <w:rsid w:val="008E4336"/>
    <w:rsid w:val="008E55A6"/>
    <w:rsid w:val="008E6352"/>
    <w:rsid w:val="008E6654"/>
    <w:rsid w:val="008E677B"/>
    <w:rsid w:val="008F079F"/>
    <w:rsid w:val="008F15BB"/>
    <w:rsid w:val="008F4F18"/>
    <w:rsid w:val="008F6A88"/>
    <w:rsid w:val="008F6D72"/>
    <w:rsid w:val="008F7F4A"/>
    <w:rsid w:val="00902501"/>
    <w:rsid w:val="0090435C"/>
    <w:rsid w:val="00905171"/>
    <w:rsid w:val="00911526"/>
    <w:rsid w:val="00912DAF"/>
    <w:rsid w:val="00913CC8"/>
    <w:rsid w:val="0091434C"/>
    <w:rsid w:val="00915118"/>
    <w:rsid w:val="00915878"/>
    <w:rsid w:val="00915B08"/>
    <w:rsid w:val="00921E28"/>
    <w:rsid w:val="00923AD6"/>
    <w:rsid w:val="009250A7"/>
    <w:rsid w:val="00925FAB"/>
    <w:rsid w:val="00926603"/>
    <w:rsid w:val="00931247"/>
    <w:rsid w:val="00933613"/>
    <w:rsid w:val="00933D29"/>
    <w:rsid w:val="00936135"/>
    <w:rsid w:val="009401D9"/>
    <w:rsid w:val="00941F61"/>
    <w:rsid w:val="00942076"/>
    <w:rsid w:val="0094244C"/>
    <w:rsid w:val="00947701"/>
    <w:rsid w:val="009500FB"/>
    <w:rsid w:val="009527FD"/>
    <w:rsid w:val="00955E7F"/>
    <w:rsid w:val="00962AC0"/>
    <w:rsid w:val="009639A1"/>
    <w:rsid w:val="00963EEF"/>
    <w:rsid w:val="00964A94"/>
    <w:rsid w:val="00964D3B"/>
    <w:rsid w:val="009652C9"/>
    <w:rsid w:val="00970594"/>
    <w:rsid w:val="0097155C"/>
    <w:rsid w:val="00974108"/>
    <w:rsid w:val="00974924"/>
    <w:rsid w:val="00976A18"/>
    <w:rsid w:val="00976B48"/>
    <w:rsid w:val="009801E7"/>
    <w:rsid w:val="00980314"/>
    <w:rsid w:val="009815F3"/>
    <w:rsid w:val="00981EB8"/>
    <w:rsid w:val="009822AD"/>
    <w:rsid w:val="0098318B"/>
    <w:rsid w:val="00983E2C"/>
    <w:rsid w:val="009848C3"/>
    <w:rsid w:val="00985057"/>
    <w:rsid w:val="0098632F"/>
    <w:rsid w:val="009873CD"/>
    <w:rsid w:val="00991521"/>
    <w:rsid w:val="00992EE1"/>
    <w:rsid w:val="00993D18"/>
    <w:rsid w:val="009A00A6"/>
    <w:rsid w:val="009A2C57"/>
    <w:rsid w:val="009A483E"/>
    <w:rsid w:val="009A4AFB"/>
    <w:rsid w:val="009A62F6"/>
    <w:rsid w:val="009A71C4"/>
    <w:rsid w:val="009B43D6"/>
    <w:rsid w:val="009B471B"/>
    <w:rsid w:val="009B571A"/>
    <w:rsid w:val="009B5CB9"/>
    <w:rsid w:val="009B6249"/>
    <w:rsid w:val="009B68F2"/>
    <w:rsid w:val="009B7FBF"/>
    <w:rsid w:val="009C015A"/>
    <w:rsid w:val="009C09FF"/>
    <w:rsid w:val="009C1F92"/>
    <w:rsid w:val="009C211F"/>
    <w:rsid w:val="009C31EB"/>
    <w:rsid w:val="009D318F"/>
    <w:rsid w:val="009D4181"/>
    <w:rsid w:val="009D7145"/>
    <w:rsid w:val="009E48E4"/>
    <w:rsid w:val="009E6F39"/>
    <w:rsid w:val="00A03F9A"/>
    <w:rsid w:val="00A04651"/>
    <w:rsid w:val="00A0467A"/>
    <w:rsid w:val="00A07954"/>
    <w:rsid w:val="00A07A96"/>
    <w:rsid w:val="00A14FDD"/>
    <w:rsid w:val="00A1711C"/>
    <w:rsid w:val="00A23292"/>
    <w:rsid w:val="00A23930"/>
    <w:rsid w:val="00A24E91"/>
    <w:rsid w:val="00A2534F"/>
    <w:rsid w:val="00A30D69"/>
    <w:rsid w:val="00A311D3"/>
    <w:rsid w:val="00A3147D"/>
    <w:rsid w:val="00A319DE"/>
    <w:rsid w:val="00A3423F"/>
    <w:rsid w:val="00A373F1"/>
    <w:rsid w:val="00A40339"/>
    <w:rsid w:val="00A411C0"/>
    <w:rsid w:val="00A41234"/>
    <w:rsid w:val="00A41443"/>
    <w:rsid w:val="00A44B50"/>
    <w:rsid w:val="00A45FA1"/>
    <w:rsid w:val="00A50DB6"/>
    <w:rsid w:val="00A522A3"/>
    <w:rsid w:val="00A55FE3"/>
    <w:rsid w:val="00A60203"/>
    <w:rsid w:val="00A61EEC"/>
    <w:rsid w:val="00A620E9"/>
    <w:rsid w:val="00A64EDE"/>
    <w:rsid w:val="00A65891"/>
    <w:rsid w:val="00A6784D"/>
    <w:rsid w:val="00A67E89"/>
    <w:rsid w:val="00A71C43"/>
    <w:rsid w:val="00A72A6F"/>
    <w:rsid w:val="00A73A49"/>
    <w:rsid w:val="00A73E7F"/>
    <w:rsid w:val="00A75CDB"/>
    <w:rsid w:val="00A75D2D"/>
    <w:rsid w:val="00A810F2"/>
    <w:rsid w:val="00A81222"/>
    <w:rsid w:val="00A81549"/>
    <w:rsid w:val="00A81E1A"/>
    <w:rsid w:val="00A83E75"/>
    <w:rsid w:val="00A842C7"/>
    <w:rsid w:val="00A86489"/>
    <w:rsid w:val="00A86988"/>
    <w:rsid w:val="00A87497"/>
    <w:rsid w:val="00A87985"/>
    <w:rsid w:val="00A90481"/>
    <w:rsid w:val="00A910F1"/>
    <w:rsid w:val="00A91AFB"/>
    <w:rsid w:val="00A923DF"/>
    <w:rsid w:val="00A92D0B"/>
    <w:rsid w:val="00A96C42"/>
    <w:rsid w:val="00A96CB3"/>
    <w:rsid w:val="00A97406"/>
    <w:rsid w:val="00AA0B5A"/>
    <w:rsid w:val="00AA1740"/>
    <w:rsid w:val="00AA20DD"/>
    <w:rsid w:val="00AA26BF"/>
    <w:rsid w:val="00AA585D"/>
    <w:rsid w:val="00AA6981"/>
    <w:rsid w:val="00AB0868"/>
    <w:rsid w:val="00AB1384"/>
    <w:rsid w:val="00AB1A8F"/>
    <w:rsid w:val="00AB2F7F"/>
    <w:rsid w:val="00AB3510"/>
    <w:rsid w:val="00AB3F55"/>
    <w:rsid w:val="00AB5CB2"/>
    <w:rsid w:val="00AC0C8D"/>
    <w:rsid w:val="00AC0F58"/>
    <w:rsid w:val="00AC176E"/>
    <w:rsid w:val="00AC2911"/>
    <w:rsid w:val="00AC51E4"/>
    <w:rsid w:val="00AC5A4B"/>
    <w:rsid w:val="00AC6212"/>
    <w:rsid w:val="00AD04AE"/>
    <w:rsid w:val="00AD5797"/>
    <w:rsid w:val="00AD742A"/>
    <w:rsid w:val="00AE13D3"/>
    <w:rsid w:val="00AE429F"/>
    <w:rsid w:val="00AE4FEE"/>
    <w:rsid w:val="00AE6488"/>
    <w:rsid w:val="00AF243B"/>
    <w:rsid w:val="00AF2722"/>
    <w:rsid w:val="00AF2768"/>
    <w:rsid w:val="00AF2BF9"/>
    <w:rsid w:val="00AF2E4E"/>
    <w:rsid w:val="00AF3879"/>
    <w:rsid w:val="00AF4A25"/>
    <w:rsid w:val="00AF61A9"/>
    <w:rsid w:val="00AF7D4F"/>
    <w:rsid w:val="00B00BCD"/>
    <w:rsid w:val="00B03003"/>
    <w:rsid w:val="00B032F5"/>
    <w:rsid w:val="00B04160"/>
    <w:rsid w:val="00B06756"/>
    <w:rsid w:val="00B0704A"/>
    <w:rsid w:val="00B108B8"/>
    <w:rsid w:val="00B11770"/>
    <w:rsid w:val="00B11BA7"/>
    <w:rsid w:val="00B1348B"/>
    <w:rsid w:val="00B13AB1"/>
    <w:rsid w:val="00B13AC3"/>
    <w:rsid w:val="00B1593B"/>
    <w:rsid w:val="00B163C1"/>
    <w:rsid w:val="00B17005"/>
    <w:rsid w:val="00B17C2B"/>
    <w:rsid w:val="00B21D18"/>
    <w:rsid w:val="00B30F84"/>
    <w:rsid w:val="00B312DA"/>
    <w:rsid w:val="00B31565"/>
    <w:rsid w:val="00B34967"/>
    <w:rsid w:val="00B354E4"/>
    <w:rsid w:val="00B37CF9"/>
    <w:rsid w:val="00B41E47"/>
    <w:rsid w:val="00B42ACA"/>
    <w:rsid w:val="00B43849"/>
    <w:rsid w:val="00B50915"/>
    <w:rsid w:val="00B51C2B"/>
    <w:rsid w:val="00B51F03"/>
    <w:rsid w:val="00B51F2C"/>
    <w:rsid w:val="00B5294A"/>
    <w:rsid w:val="00B54991"/>
    <w:rsid w:val="00B55433"/>
    <w:rsid w:val="00B55463"/>
    <w:rsid w:val="00B557DE"/>
    <w:rsid w:val="00B55CCD"/>
    <w:rsid w:val="00B55D78"/>
    <w:rsid w:val="00B62699"/>
    <w:rsid w:val="00B62AC0"/>
    <w:rsid w:val="00B66CF5"/>
    <w:rsid w:val="00B71BA3"/>
    <w:rsid w:val="00B80002"/>
    <w:rsid w:val="00B803D5"/>
    <w:rsid w:val="00B82BDE"/>
    <w:rsid w:val="00B83DEC"/>
    <w:rsid w:val="00B841A2"/>
    <w:rsid w:val="00B86CC7"/>
    <w:rsid w:val="00B93534"/>
    <w:rsid w:val="00B946BF"/>
    <w:rsid w:val="00B94BD3"/>
    <w:rsid w:val="00B95833"/>
    <w:rsid w:val="00BA00C3"/>
    <w:rsid w:val="00BA1F1C"/>
    <w:rsid w:val="00BA4E85"/>
    <w:rsid w:val="00BA548C"/>
    <w:rsid w:val="00BA7231"/>
    <w:rsid w:val="00BA7FC4"/>
    <w:rsid w:val="00BB04F3"/>
    <w:rsid w:val="00BB49BB"/>
    <w:rsid w:val="00BB7A81"/>
    <w:rsid w:val="00BC3B81"/>
    <w:rsid w:val="00BC524D"/>
    <w:rsid w:val="00BC758B"/>
    <w:rsid w:val="00BD17BA"/>
    <w:rsid w:val="00BD1A74"/>
    <w:rsid w:val="00BD3E13"/>
    <w:rsid w:val="00BD5393"/>
    <w:rsid w:val="00BE07B6"/>
    <w:rsid w:val="00BE09DE"/>
    <w:rsid w:val="00BE11B3"/>
    <w:rsid w:val="00BE1521"/>
    <w:rsid w:val="00BE1D73"/>
    <w:rsid w:val="00BE2E90"/>
    <w:rsid w:val="00BE45D0"/>
    <w:rsid w:val="00BE63C5"/>
    <w:rsid w:val="00BE76B6"/>
    <w:rsid w:val="00BE7B8B"/>
    <w:rsid w:val="00BE7DB9"/>
    <w:rsid w:val="00BF0564"/>
    <w:rsid w:val="00BF18A1"/>
    <w:rsid w:val="00BF2F45"/>
    <w:rsid w:val="00BF3412"/>
    <w:rsid w:val="00BF3BAF"/>
    <w:rsid w:val="00BF5076"/>
    <w:rsid w:val="00BF5336"/>
    <w:rsid w:val="00BF6C5D"/>
    <w:rsid w:val="00C00384"/>
    <w:rsid w:val="00C00868"/>
    <w:rsid w:val="00C0232B"/>
    <w:rsid w:val="00C02649"/>
    <w:rsid w:val="00C0471D"/>
    <w:rsid w:val="00C05710"/>
    <w:rsid w:val="00C06797"/>
    <w:rsid w:val="00C07B9B"/>
    <w:rsid w:val="00C10D30"/>
    <w:rsid w:val="00C133E0"/>
    <w:rsid w:val="00C13B3F"/>
    <w:rsid w:val="00C16981"/>
    <w:rsid w:val="00C20110"/>
    <w:rsid w:val="00C2062D"/>
    <w:rsid w:val="00C2089A"/>
    <w:rsid w:val="00C21A10"/>
    <w:rsid w:val="00C25B27"/>
    <w:rsid w:val="00C25FD9"/>
    <w:rsid w:val="00C268D5"/>
    <w:rsid w:val="00C26B63"/>
    <w:rsid w:val="00C326F1"/>
    <w:rsid w:val="00C327E8"/>
    <w:rsid w:val="00C33222"/>
    <w:rsid w:val="00C36BA5"/>
    <w:rsid w:val="00C372E0"/>
    <w:rsid w:val="00C40B23"/>
    <w:rsid w:val="00C41161"/>
    <w:rsid w:val="00C41981"/>
    <w:rsid w:val="00C42201"/>
    <w:rsid w:val="00C42751"/>
    <w:rsid w:val="00C433D9"/>
    <w:rsid w:val="00C43FAE"/>
    <w:rsid w:val="00C47A2B"/>
    <w:rsid w:val="00C5238E"/>
    <w:rsid w:val="00C52C41"/>
    <w:rsid w:val="00C53F4F"/>
    <w:rsid w:val="00C56B44"/>
    <w:rsid w:val="00C6056E"/>
    <w:rsid w:val="00C60E80"/>
    <w:rsid w:val="00C6156B"/>
    <w:rsid w:val="00C64C34"/>
    <w:rsid w:val="00C64EFF"/>
    <w:rsid w:val="00C712F5"/>
    <w:rsid w:val="00C71F43"/>
    <w:rsid w:val="00C742D7"/>
    <w:rsid w:val="00C75C3E"/>
    <w:rsid w:val="00C765A2"/>
    <w:rsid w:val="00C80771"/>
    <w:rsid w:val="00C8369E"/>
    <w:rsid w:val="00C83807"/>
    <w:rsid w:val="00C85BBD"/>
    <w:rsid w:val="00C86B6A"/>
    <w:rsid w:val="00C87886"/>
    <w:rsid w:val="00C87F75"/>
    <w:rsid w:val="00C9112F"/>
    <w:rsid w:val="00C932BB"/>
    <w:rsid w:val="00C96625"/>
    <w:rsid w:val="00C967C0"/>
    <w:rsid w:val="00C975F9"/>
    <w:rsid w:val="00CA08ED"/>
    <w:rsid w:val="00CA0D4B"/>
    <w:rsid w:val="00CA2D15"/>
    <w:rsid w:val="00CA494B"/>
    <w:rsid w:val="00CA4E8E"/>
    <w:rsid w:val="00CA69C0"/>
    <w:rsid w:val="00CA7A3F"/>
    <w:rsid w:val="00CB04D8"/>
    <w:rsid w:val="00CB21F9"/>
    <w:rsid w:val="00CB2A17"/>
    <w:rsid w:val="00CB609A"/>
    <w:rsid w:val="00CC10AF"/>
    <w:rsid w:val="00CC14F5"/>
    <w:rsid w:val="00CC1FFD"/>
    <w:rsid w:val="00CC4B40"/>
    <w:rsid w:val="00CC5637"/>
    <w:rsid w:val="00CC6BD1"/>
    <w:rsid w:val="00CC72E2"/>
    <w:rsid w:val="00CC7873"/>
    <w:rsid w:val="00CC7C03"/>
    <w:rsid w:val="00CD399A"/>
    <w:rsid w:val="00CD6886"/>
    <w:rsid w:val="00CD6C94"/>
    <w:rsid w:val="00CD76D0"/>
    <w:rsid w:val="00CD7D17"/>
    <w:rsid w:val="00CE057B"/>
    <w:rsid w:val="00CE126A"/>
    <w:rsid w:val="00CE152F"/>
    <w:rsid w:val="00CE392A"/>
    <w:rsid w:val="00CE5044"/>
    <w:rsid w:val="00CE58BE"/>
    <w:rsid w:val="00CF1129"/>
    <w:rsid w:val="00CF15DC"/>
    <w:rsid w:val="00CF1632"/>
    <w:rsid w:val="00CF3EB6"/>
    <w:rsid w:val="00CF4901"/>
    <w:rsid w:val="00CF4B53"/>
    <w:rsid w:val="00CF4E63"/>
    <w:rsid w:val="00CF5549"/>
    <w:rsid w:val="00CF64BC"/>
    <w:rsid w:val="00D009E7"/>
    <w:rsid w:val="00D01A89"/>
    <w:rsid w:val="00D04B60"/>
    <w:rsid w:val="00D0625A"/>
    <w:rsid w:val="00D075B1"/>
    <w:rsid w:val="00D10372"/>
    <w:rsid w:val="00D104DD"/>
    <w:rsid w:val="00D105B6"/>
    <w:rsid w:val="00D10917"/>
    <w:rsid w:val="00D15155"/>
    <w:rsid w:val="00D1778A"/>
    <w:rsid w:val="00D179FA"/>
    <w:rsid w:val="00D22A81"/>
    <w:rsid w:val="00D234D5"/>
    <w:rsid w:val="00D24078"/>
    <w:rsid w:val="00D24586"/>
    <w:rsid w:val="00D2478B"/>
    <w:rsid w:val="00D2507E"/>
    <w:rsid w:val="00D25933"/>
    <w:rsid w:val="00D25993"/>
    <w:rsid w:val="00D26206"/>
    <w:rsid w:val="00D2645D"/>
    <w:rsid w:val="00D2653B"/>
    <w:rsid w:val="00D27D5F"/>
    <w:rsid w:val="00D30039"/>
    <w:rsid w:val="00D30C4F"/>
    <w:rsid w:val="00D33887"/>
    <w:rsid w:val="00D36571"/>
    <w:rsid w:val="00D36884"/>
    <w:rsid w:val="00D36927"/>
    <w:rsid w:val="00D404D6"/>
    <w:rsid w:val="00D40882"/>
    <w:rsid w:val="00D4191A"/>
    <w:rsid w:val="00D41DCA"/>
    <w:rsid w:val="00D42D9D"/>
    <w:rsid w:val="00D50275"/>
    <w:rsid w:val="00D5380A"/>
    <w:rsid w:val="00D56BCA"/>
    <w:rsid w:val="00D61D39"/>
    <w:rsid w:val="00D636F8"/>
    <w:rsid w:val="00D63B0A"/>
    <w:rsid w:val="00D65277"/>
    <w:rsid w:val="00D66B0C"/>
    <w:rsid w:val="00D6754E"/>
    <w:rsid w:val="00D73979"/>
    <w:rsid w:val="00D7424B"/>
    <w:rsid w:val="00D74F4E"/>
    <w:rsid w:val="00D75107"/>
    <w:rsid w:val="00D75D3D"/>
    <w:rsid w:val="00D806D6"/>
    <w:rsid w:val="00D82DBE"/>
    <w:rsid w:val="00D84F94"/>
    <w:rsid w:val="00D860ED"/>
    <w:rsid w:val="00D8769E"/>
    <w:rsid w:val="00D90C56"/>
    <w:rsid w:val="00D90FDE"/>
    <w:rsid w:val="00D912B8"/>
    <w:rsid w:val="00D92BF3"/>
    <w:rsid w:val="00D94054"/>
    <w:rsid w:val="00D94CBF"/>
    <w:rsid w:val="00DA0FE0"/>
    <w:rsid w:val="00DA2576"/>
    <w:rsid w:val="00DA31E3"/>
    <w:rsid w:val="00DA3720"/>
    <w:rsid w:val="00DA3AEE"/>
    <w:rsid w:val="00DA696A"/>
    <w:rsid w:val="00DA6D1B"/>
    <w:rsid w:val="00DA75B3"/>
    <w:rsid w:val="00DB0372"/>
    <w:rsid w:val="00DB1315"/>
    <w:rsid w:val="00DB418F"/>
    <w:rsid w:val="00DB63D5"/>
    <w:rsid w:val="00DB7DF4"/>
    <w:rsid w:val="00DC21A6"/>
    <w:rsid w:val="00DC45C3"/>
    <w:rsid w:val="00DC54CC"/>
    <w:rsid w:val="00DC64BB"/>
    <w:rsid w:val="00DD27E7"/>
    <w:rsid w:val="00DD38E7"/>
    <w:rsid w:val="00DD48B4"/>
    <w:rsid w:val="00DD52BB"/>
    <w:rsid w:val="00DD6DB4"/>
    <w:rsid w:val="00DD70D3"/>
    <w:rsid w:val="00DE10D8"/>
    <w:rsid w:val="00DE1E24"/>
    <w:rsid w:val="00DE2163"/>
    <w:rsid w:val="00DE259C"/>
    <w:rsid w:val="00DE2EBF"/>
    <w:rsid w:val="00DE3A5D"/>
    <w:rsid w:val="00DE7A4B"/>
    <w:rsid w:val="00DF15D0"/>
    <w:rsid w:val="00DF16AA"/>
    <w:rsid w:val="00DF2576"/>
    <w:rsid w:val="00DF3FD4"/>
    <w:rsid w:val="00DF47D7"/>
    <w:rsid w:val="00DF5739"/>
    <w:rsid w:val="00E00990"/>
    <w:rsid w:val="00E00E85"/>
    <w:rsid w:val="00E00FCE"/>
    <w:rsid w:val="00E01BB2"/>
    <w:rsid w:val="00E03776"/>
    <w:rsid w:val="00E06C93"/>
    <w:rsid w:val="00E106E3"/>
    <w:rsid w:val="00E15DC3"/>
    <w:rsid w:val="00E160DE"/>
    <w:rsid w:val="00E16C93"/>
    <w:rsid w:val="00E17B34"/>
    <w:rsid w:val="00E20B20"/>
    <w:rsid w:val="00E21EA5"/>
    <w:rsid w:val="00E23556"/>
    <w:rsid w:val="00E2410F"/>
    <w:rsid w:val="00E25078"/>
    <w:rsid w:val="00E25173"/>
    <w:rsid w:val="00E25E11"/>
    <w:rsid w:val="00E25F1C"/>
    <w:rsid w:val="00E25F5D"/>
    <w:rsid w:val="00E26613"/>
    <w:rsid w:val="00E26AF7"/>
    <w:rsid w:val="00E308A7"/>
    <w:rsid w:val="00E31A43"/>
    <w:rsid w:val="00E31D94"/>
    <w:rsid w:val="00E32F40"/>
    <w:rsid w:val="00E3475F"/>
    <w:rsid w:val="00E35DF1"/>
    <w:rsid w:val="00E369A0"/>
    <w:rsid w:val="00E37328"/>
    <w:rsid w:val="00E3786F"/>
    <w:rsid w:val="00E40140"/>
    <w:rsid w:val="00E45B28"/>
    <w:rsid w:val="00E5153C"/>
    <w:rsid w:val="00E52992"/>
    <w:rsid w:val="00E55F79"/>
    <w:rsid w:val="00E57249"/>
    <w:rsid w:val="00E57309"/>
    <w:rsid w:val="00E57A24"/>
    <w:rsid w:val="00E60942"/>
    <w:rsid w:val="00E61082"/>
    <w:rsid w:val="00E63EE6"/>
    <w:rsid w:val="00E6406C"/>
    <w:rsid w:val="00E6560B"/>
    <w:rsid w:val="00E666BF"/>
    <w:rsid w:val="00E66B46"/>
    <w:rsid w:val="00E66FE7"/>
    <w:rsid w:val="00E75E09"/>
    <w:rsid w:val="00E775D0"/>
    <w:rsid w:val="00E81881"/>
    <w:rsid w:val="00E82ACB"/>
    <w:rsid w:val="00E82EB0"/>
    <w:rsid w:val="00E84145"/>
    <w:rsid w:val="00E8656E"/>
    <w:rsid w:val="00E93364"/>
    <w:rsid w:val="00E9366A"/>
    <w:rsid w:val="00E959A0"/>
    <w:rsid w:val="00EA04CC"/>
    <w:rsid w:val="00EA188F"/>
    <w:rsid w:val="00EA23EC"/>
    <w:rsid w:val="00EA4CEB"/>
    <w:rsid w:val="00EA5E81"/>
    <w:rsid w:val="00EA5F38"/>
    <w:rsid w:val="00EA7E85"/>
    <w:rsid w:val="00EB093F"/>
    <w:rsid w:val="00EB0DBA"/>
    <w:rsid w:val="00EB173D"/>
    <w:rsid w:val="00EB1E56"/>
    <w:rsid w:val="00EB27BE"/>
    <w:rsid w:val="00EB5A0D"/>
    <w:rsid w:val="00EB64CF"/>
    <w:rsid w:val="00EC19C0"/>
    <w:rsid w:val="00EC33DF"/>
    <w:rsid w:val="00EC59C7"/>
    <w:rsid w:val="00EC6387"/>
    <w:rsid w:val="00EC7154"/>
    <w:rsid w:val="00ED2AE2"/>
    <w:rsid w:val="00ED33CD"/>
    <w:rsid w:val="00ED4EFE"/>
    <w:rsid w:val="00ED6B6B"/>
    <w:rsid w:val="00EE1643"/>
    <w:rsid w:val="00EE3904"/>
    <w:rsid w:val="00EE5278"/>
    <w:rsid w:val="00EE6FF6"/>
    <w:rsid w:val="00EE7560"/>
    <w:rsid w:val="00EE75B2"/>
    <w:rsid w:val="00EF0C18"/>
    <w:rsid w:val="00EF18C0"/>
    <w:rsid w:val="00EF1FFE"/>
    <w:rsid w:val="00EF389C"/>
    <w:rsid w:val="00EF4756"/>
    <w:rsid w:val="00EF4A1E"/>
    <w:rsid w:val="00EF51FC"/>
    <w:rsid w:val="00EF540C"/>
    <w:rsid w:val="00F004B5"/>
    <w:rsid w:val="00F028C8"/>
    <w:rsid w:val="00F02A68"/>
    <w:rsid w:val="00F03B03"/>
    <w:rsid w:val="00F04904"/>
    <w:rsid w:val="00F060C4"/>
    <w:rsid w:val="00F06A45"/>
    <w:rsid w:val="00F11C4B"/>
    <w:rsid w:val="00F139BE"/>
    <w:rsid w:val="00F13F86"/>
    <w:rsid w:val="00F147B1"/>
    <w:rsid w:val="00F14AA0"/>
    <w:rsid w:val="00F20061"/>
    <w:rsid w:val="00F20F16"/>
    <w:rsid w:val="00F23CDC"/>
    <w:rsid w:val="00F26371"/>
    <w:rsid w:val="00F2682B"/>
    <w:rsid w:val="00F30B16"/>
    <w:rsid w:val="00F30DA8"/>
    <w:rsid w:val="00F31A31"/>
    <w:rsid w:val="00F31C13"/>
    <w:rsid w:val="00F31CBF"/>
    <w:rsid w:val="00F348E1"/>
    <w:rsid w:val="00F34C1F"/>
    <w:rsid w:val="00F3772B"/>
    <w:rsid w:val="00F37E88"/>
    <w:rsid w:val="00F400AA"/>
    <w:rsid w:val="00F4281B"/>
    <w:rsid w:val="00F455F9"/>
    <w:rsid w:val="00F47E87"/>
    <w:rsid w:val="00F50171"/>
    <w:rsid w:val="00F52B5E"/>
    <w:rsid w:val="00F53997"/>
    <w:rsid w:val="00F5450E"/>
    <w:rsid w:val="00F56886"/>
    <w:rsid w:val="00F6135A"/>
    <w:rsid w:val="00F61F98"/>
    <w:rsid w:val="00F633B9"/>
    <w:rsid w:val="00F63C29"/>
    <w:rsid w:val="00F650AE"/>
    <w:rsid w:val="00F6547E"/>
    <w:rsid w:val="00F65F3F"/>
    <w:rsid w:val="00F6704A"/>
    <w:rsid w:val="00F70CA9"/>
    <w:rsid w:val="00F71113"/>
    <w:rsid w:val="00F711E1"/>
    <w:rsid w:val="00F730FD"/>
    <w:rsid w:val="00F73560"/>
    <w:rsid w:val="00F754AC"/>
    <w:rsid w:val="00F7579D"/>
    <w:rsid w:val="00F774A5"/>
    <w:rsid w:val="00F776DB"/>
    <w:rsid w:val="00F8067A"/>
    <w:rsid w:val="00F807FE"/>
    <w:rsid w:val="00F81778"/>
    <w:rsid w:val="00F82F6A"/>
    <w:rsid w:val="00F83269"/>
    <w:rsid w:val="00F8339E"/>
    <w:rsid w:val="00F84354"/>
    <w:rsid w:val="00F85720"/>
    <w:rsid w:val="00F862A9"/>
    <w:rsid w:val="00F86EF1"/>
    <w:rsid w:val="00F872D8"/>
    <w:rsid w:val="00F905D9"/>
    <w:rsid w:val="00F949CB"/>
    <w:rsid w:val="00F95662"/>
    <w:rsid w:val="00F969D0"/>
    <w:rsid w:val="00F969D2"/>
    <w:rsid w:val="00F973E9"/>
    <w:rsid w:val="00FA00B1"/>
    <w:rsid w:val="00FA0B1F"/>
    <w:rsid w:val="00FA1D34"/>
    <w:rsid w:val="00FA3F0A"/>
    <w:rsid w:val="00FA4732"/>
    <w:rsid w:val="00FA4E7E"/>
    <w:rsid w:val="00FA77F9"/>
    <w:rsid w:val="00FB1D2D"/>
    <w:rsid w:val="00FB2AAA"/>
    <w:rsid w:val="00FB31D7"/>
    <w:rsid w:val="00FB37BB"/>
    <w:rsid w:val="00FB4C25"/>
    <w:rsid w:val="00FB5541"/>
    <w:rsid w:val="00FB6648"/>
    <w:rsid w:val="00FC00D1"/>
    <w:rsid w:val="00FC39F0"/>
    <w:rsid w:val="00FC3AF0"/>
    <w:rsid w:val="00FC72B7"/>
    <w:rsid w:val="00FD07B9"/>
    <w:rsid w:val="00FD5047"/>
    <w:rsid w:val="00FD688E"/>
    <w:rsid w:val="00FD705D"/>
    <w:rsid w:val="00FE2E3E"/>
    <w:rsid w:val="00FE3BAE"/>
    <w:rsid w:val="00FE5667"/>
    <w:rsid w:val="00FE6107"/>
    <w:rsid w:val="00FF48DC"/>
    <w:rsid w:val="00FF4DD6"/>
    <w:rsid w:val="00FF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15:docId w15:val="{F2DA707F-BF00-4D8B-B978-CE96F248C09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5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aliases w:val="Footnote Text Char Char,Footnote Text Char1 Char,Footnote Text Char Char Char,Char Char,Footnote Text Char2 Char,Footnote Text Char2 Char Char Char Char,Footnote Text Char1 Char1 Char1 Char Char Char,Char"/>
    <w:basedOn w:val="Normal"/>
    <w:link w:val="FootnoteTextChar"/>
    <w:uiPriority w:val="99"/>
    <w:qFormat/>
    <w:rsid w:val="00A86489"/>
    <w:pPr>
      <w:spacing w:after="120"/>
    </w:pPr>
    <w:rPr>
      <w:sz w:val="22"/>
      <w:szCs w:val="20"/>
    </w:rPr>
  </w:style>
  <w:style w:type="character" w:customStyle="1" w:styleId="FootnoteTextChar">
    <w:name w:val="Footnote Text Char"/>
    <w:aliases w:val="Footnote Text Char Char Char1,Footnote Text Char1 Char Char,Footnote Text Char Char Char Char,Char Char Char,Footnote Text Char2 Char Char,Footnote Text Char2 Char Char Char Char Char,Char Char1"/>
    <w:basedOn w:val="DefaultParagraphFont"/>
    <w:link w:val="FootnoteText"/>
    <w:uiPriority w:val="40"/>
    <w:rsid w:val="00A86489"/>
    <w:rPr>
      <w:sz w:val="22"/>
    </w:rPr>
  </w:style>
  <w:style w:type="character" w:styleId="FootnoteReference">
    <w:name w:val="footnote reference"/>
    <w:aliases w:val="o,fr,Style 3,o1,o2,o3,o4,o5,o6,o11,o21,o7,o + Times New Roman"/>
    <w:uiPriority w:val="99"/>
    <w:qFormat/>
    <w:rsid w:val="00885956"/>
    <w:rPr>
      <w:vertAlign w:val="superscript"/>
    </w:rPr>
  </w:style>
  <w:style w:type="paragraph" w:styleId="ListParagraph">
    <w:name w:val="List Paragraph"/>
    <w:basedOn w:val="Normal"/>
    <w:uiPriority w:val="34"/>
    <w:qFormat/>
    <w:rsid w:val="00897C27"/>
    <w:pPr>
      <w:ind w:left="720"/>
    </w:pPr>
    <w:rPr>
      <w:rFonts w:eastAsia="Calibri"/>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Default">
    <w:name w:val="Default"/>
    <w:rsid w:val="00A40339"/>
    <w:pPr>
      <w:autoSpaceDE w:val="0"/>
      <w:autoSpaceDN w:val="0"/>
      <w:adjustRightInd w:val="0"/>
    </w:pPr>
    <w:rPr>
      <w:rFonts w:ascii="Book Antiqua" w:hAnsi="Book Antiqua" w:cs="Book Antiqua"/>
      <w:color w:val="000000"/>
      <w:sz w:val="24"/>
      <w:szCs w:val="24"/>
    </w:rPr>
  </w:style>
  <w:style w:type="paragraph" w:customStyle="1" w:styleId="Section24before">
    <w:name w:val="Section24before"/>
    <w:basedOn w:val="Normal"/>
    <w:qFormat/>
    <w:rsid w:val="004B6694"/>
    <w:pPr>
      <w:keepNext/>
      <w:spacing w:before="240" w:line="240" w:lineRule="exact"/>
    </w:pPr>
    <w:rPr>
      <w:rFonts w:eastAsiaTheme="minorHAnsi" w:cstheme="minorBidi"/>
      <w:b/>
      <w:bCs/>
      <w:szCs w:val="22"/>
    </w:rPr>
  </w:style>
  <w:style w:type="paragraph" w:customStyle="1" w:styleId="BoxCheck1">
    <w:name w:val="Box&amp;Check1"/>
    <w:basedOn w:val="Normal"/>
    <w:qFormat/>
    <w:rsid w:val="004B6694"/>
    <w:pPr>
      <w:spacing w:line="240" w:lineRule="exact"/>
      <w:ind w:left="288" w:hanging="288"/>
    </w:pPr>
    <w:rPr>
      <w:rFonts w:eastAsiaTheme="minorHAnsi" w:cstheme="minorBidi"/>
      <w:szCs w:val="22"/>
    </w:rPr>
  </w:style>
  <w:style w:type="paragraph" w:styleId="BodyText">
    <w:name w:val="Body Text"/>
    <w:basedOn w:val="Normal"/>
    <w:link w:val="BodyTextChar"/>
    <w:unhideWhenUsed/>
    <w:rsid w:val="001E5AF2"/>
    <w:pPr>
      <w:tabs>
        <w:tab w:val="left" w:pos="2160"/>
        <w:tab w:val="left" w:pos="3600"/>
      </w:tabs>
    </w:pPr>
    <w:rPr>
      <w:szCs w:val="20"/>
    </w:rPr>
  </w:style>
  <w:style w:type="character" w:customStyle="1" w:styleId="BodyTextChar">
    <w:name w:val="Body Text Char"/>
    <w:basedOn w:val="DefaultParagraphFont"/>
    <w:link w:val="BodyText"/>
    <w:rsid w:val="001E5AF2"/>
    <w:rPr>
      <w:sz w:val="24"/>
    </w:rPr>
  </w:style>
  <w:style w:type="paragraph" w:customStyle="1" w:styleId="Note1">
    <w:name w:val="Note1"/>
    <w:basedOn w:val="Normal"/>
    <w:qFormat/>
    <w:rsid w:val="001E5AF2"/>
    <w:pPr>
      <w:ind w:left="533" w:hanging="533"/>
    </w:pPr>
    <w:rPr>
      <w:rFonts w:eastAsiaTheme="minorHAnsi" w:cstheme="minorBidi"/>
      <w:iCs/>
      <w:sz w:val="20"/>
      <w:szCs w:val="22"/>
    </w:rPr>
  </w:style>
  <w:style w:type="paragraph" w:customStyle="1" w:styleId="SigBlockTNR-Cmr">
    <w:name w:val="SigBlockTNR-Cmr"/>
    <w:basedOn w:val="Normal"/>
    <w:qFormat/>
    <w:rsid w:val="00F807FE"/>
    <w:pPr>
      <w:keepNext/>
      <w:autoSpaceDE w:val="0"/>
      <w:autoSpaceDN w:val="0"/>
      <w:adjustRightInd w:val="0"/>
      <w:ind w:left="4320"/>
    </w:pPr>
    <w:rPr>
      <w:szCs w:val="20"/>
    </w:rPr>
  </w:style>
  <w:style w:type="paragraph" w:customStyle="1" w:styleId="SigBlockTNR-Title">
    <w:name w:val="SigBlockTNR-Title"/>
    <w:basedOn w:val="Normal"/>
    <w:qFormat/>
    <w:rsid w:val="00F807FE"/>
    <w:pPr>
      <w:keepNext/>
      <w:autoSpaceDE w:val="0"/>
      <w:autoSpaceDN w:val="0"/>
      <w:adjustRightInd w:val="0"/>
      <w:ind w:left="5400"/>
    </w:pPr>
    <w:rPr>
      <w:szCs w:val="20"/>
    </w:rPr>
  </w:style>
  <w:style w:type="paragraph" w:customStyle="1" w:styleId="SigSpaceTNR">
    <w:name w:val="SigSpaceTNR"/>
    <w:basedOn w:val="Normal"/>
    <w:qFormat/>
    <w:rsid w:val="00F807FE"/>
    <w:pPr>
      <w:keepNext/>
      <w:autoSpaceDE w:val="0"/>
      <w:autoSpaceDN w:val="0"/>
      <w:adjustRightInd w:val="0"/>
      <w:spacing w:line="360" w:lineRule="auto"/>
      <w:ind w:left="4320"/>
    </w:pPr>
    <w:rPr>
      <w:szCs w:val="20"/>
    </w:rPr>
  </w:style>
  <w:style w:type="paragraph" w:customStyle="1" w:styleId="BakerIComp">
    <w:name w:val="BakerIComp"/>
    <w:basedOn w:val="SigBlockTNR-Cmr"/>
    <w:qFormat/>
    <w:rsid w:val="00F807FE"/>
    <w:pPr>
      <w:ind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3770">
      <w:bodyDiv w:val="1"/>
      <w:marLeft w:val="0"/>
      <w:marRight w:val="0"/>
      <w:marTop w:val="0"/>
      <w:marBottom w:val="0"/>
      <w:divBdr>
        <w:top w:val="none" w:sz="0" w:space="0" w:color="auto"/>
        <w:left w:val="none" w:sz="0" w:space="0" w:color="auto"/>
        <w:bottom w:val="none" w:sz="0" w:space="0" w:color="auto"/>
        <w:right w:val="none" w:sz="0" w:space="0" w:color="auto"/>
      </w:divBdr>
    </w:div>
    <w:div w:id="143938207">
      <w:bodyDiv w:val="1"/>
      <w:marLeft w:val="0"/>
      <w:marRight w:val="0"/>
      <w:marTop w:val="0"/>
      <w:marBottom w:val="0"/>
      <w:divBdr>
        <w:top w:val="none" w:sz="0" w:space="0" w:color="auto"/>
        <w:left w:val="none" w:sz="0" w:space="0" w:color="auto"/>
        <w:bottom w:val="none" w:sz="0" w:space="0" w:color="auto"/>
        <w:right w:val="none" w:sz="0" w:space="0" w:color="auto"/>
      </w:divBdr>
    </w:div>
    <w:div w:id="148450205">
      <w:bodyDiv w:val="1"/>
      <w:marLeft w:val="0"/>
      <w:marRight w:val="0"/>
      <w:marTop w:val="0"/>
      <w:marBottom w:val="0"/>
      <w:divBdr>
        <w:top w:val="none" w:sz="0" w:space="0" w:color="auto"/>
        <w:left w:val="none" w:sz="0" w:space="0" w:color="auto"/>
        <w:bottom w:val="none" w:sz="0" w:space="0" w:color="auto"/>
        <w:right w:val="none" w:sz="0" w:space="0" w:color="auto"/>
      </w:divBdr>
    </w:div>
    <w:div w:id="275068965">
      <w:bodyDiv w:val="1"/>
      <w:marLeft w:val="0"/>
      <w:marRight w:val="0"/>
      <w:marTop w:val="0"/>
      <w:marBottom w:val="0"/>
      <w:divBdr>
        <w:top w:val="none" w:sz="0" w:space="0" w:color="auto"/>
        <w:left w:val="none" w:sz="0" w:space="0" w:color="auto"/>
        <w:bottom w:val="none" w:sz="0" w:space="0" w:color="auto"/>
        <w:right w:val="none" w:sz="0" w:space="0" w:color="auto"/>
      </w:divBdr>
    </w:div>
    <w:div w:id="520245509">
      <w:bodyDiv w:val="1"/>
      <w:marLeft w:val="0"/>
      <w:marRight w:val="0"/>
      <w:marTop w:val="0"/>
      <w:marBottom w:val="0"/>
      <w:divBdr>
        <w:top w:val="none" w:sz="0" w:space="0" w:color="auto"/>
        <w:left w:val="none" w:sz="0" w:space="0" w:color="auto"/>
        <w:bottom w:val="none" w:sz="0" w:space="0" w:color="auto"/>
        <w:right w:val="none" w:sz="0" w:space="0" w:color="auto"/>
      </w:divBdr>
    </w:div>
    <w:div w:id="585268861">
      <w:bodyDiv w:val="1"/>
      <w:marLeft w:val="0"/>
      <w:marRight w:val="0"/>
      <w:marTop w:val="0"/>
      <w:marBottom w:val="0"/>
      <w:divBdr>
        <w:top w:val="none" w:sz="0" w:space="0" w:color="auto"/>
        <w:left w:val="none" w:sz="0" w:space="0" w:color="auto"/>
        <w:bottom w:val="none" w:sz="0" w:space="0" w:color="auto"/>
        <w:right w:val="none" w:sz="0" w:space="0" w:color="auto"/>
      </w:divBdr>
    </w:div>
    <w:div w:id="615143656">
      <w:bodyDiv w:val="1"/>
      <w:marLeft w:val="0"/>
      <w:marRight w:val="0"/>
      <w:marTop w:val="0"/>
      <w:marBottom w:val="0"/>
      <w:divBdr>
        <w:top w:val="none" w:sz="0" w:space="0" w:color="auto"/>
        <w:left w:val="none" w:sz="0" w:space="0" w:color="auto"/>
        <w:bottom w:val="none" w:sz="0" w:space="0" w:color="auto"/>
        <w:right w:val="none" w:sz="0" w:space="0" w:color="auto"/>
      </w:divBdr>
    </w:div>
    <w:div w:id="645548387">
      <w:bodyDiv w:val="1"/>
      <w:marLeft w:val="0"/>
      <w:marRight w:val="0"/>
      <w:marTop w:val="0"/>
      <w:marBottom w:val="0"/>
      <w:divBdr>
        <w:top w:val="none" w:sz="0" w:space="0" w:color="auto"/>
        <w:left w:val="none" w:sz="0" w:space="0" w:color="auto"/>
        <w:bottom w:val="none" w:sz="0" w:space="0" w:color="auto"/>
        <w:right w:val="none" w:sz="0" w:space="0" w:color="auto"/>
      </w:divBdr>
    </w:div>
    <w:div w:id="817383222">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35</ap:Pages>
  <ap:Words>8851</ap:Words>
  <ap:Characters>50453</ap:Characters>
  <ap:Application>Microsoft Office Word</ap:Application>
  <ap:DocSecurity>0</ap:DocSecurity>
  <ap:Lines>420</ap:Lines>
  <ap:Paragraphs>118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59186</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2024-07-18T18:15:00Z</cp:lastPrinted>
  <dcterms:created xsi:type="dcterms:W3CDTF">2025-07-03T09:49:06Z</dcterms:created>
  <dcterms:modified xsi:type="dcterms:W3CDTF">2025-07-03T09:49:06Z</dcterms:modified>
</cp:coreProperties>
</file>