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4A38" w:rsidR="00A76F4A" w:rsidP="00A76F4A" w:rsidRDefault="00A76F4A" w14:paraId="47E18673" w14:textId="673C88EE">
      <w:pPr>
        <w:tabs>
          <w:tab w:val="left" w:pos="6840"/>
        </w:tabs>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7547F6">
        <w:rPr>
          <w:rFonts w:ascii="Palatino Linotype" w:hAnsi="Palatino Linotype" w:eastAsia="Times New Roman" w:cs="Times New Roman"/>
          <w:kern w:val="0"/>
          <w14:ligatures w14:val="none"/>
        </w:rPr>
        <w:fldChar w:fldCharType="begin"/>
      </w:r>
      <w:r w:rsidRPr="007547F6">
        <w:rPr>
          <w:rFonts w:ascii="Palatino Linotype" w:hAnsi="Palatino Linotype" w:eastAsia="Times New Roman" w:cs="Times New Roman"/>
          <w:kern w:val="0"/>
          <w14:ligatures w14:val="none"/>
        </w:rPr>
        <w:instrText xml:space="preserve"> DATE \@ "MMMM d, yyyy" </w:instrText>
      </w:r>
      <w:r w:rsidRPr="007547F6">
        <w:rPr>
          <w:rFonts w:ascii="Palatino Linotype" w:hAnsi="Palatino Linotype" w:eastAsia="Times New Roman" w:cs="Times New Roman"/>
          <w:kern w:val="0"/>
          <w14:ligatures w14:val="none"/>
        </w:rPr>
        <w:fldChar w:fldCharType="separate"/>
      </w:r>
      <w:r w:rsidR="00E950BA">
        <w:rPr>
          <w:rFonts w:ascii="Palatino Linotype" w:hAnsi="Palatino Linotype" w:eastAsia="Times New Roman" w:cs="Times New Roman"/>
          <w:noProof/>
          <w:kern w:val="0"/>
          <w14:ligatures w14:val="none"/>
        </w:rPr>
        <w:t>July 3, 2025</w:t>
      </w:r>
      <w:r w:rsidRPr="007547F6">
        <w:rPr>
          <w:rFonts w:ascii="Palatino Linotype" w:hAnsi="Palatino Linotype" w:eastAsia="Times New Roman" w:cs="Times New Roman"/>
          <w:kern w:val="0"/>
          <w14:ligatures w14:val="none"/>
        </w:rPr>
        <w:fldChar w:fldCharType="end"/>
      </w:r>
      <w:r w:rsidRPr="00824A38">
        <w:rPr>
          <w:rFonts w:ascii="Palatino Linotype" w:hAnsi="Palatino Linotype" w:eastAsia="Times New Roman" w:cs="Times New Roman"/>
          <w:kern w:val="0"/>
          <w14:ligatures w14:val="none"/>
        </w:rPr>
        <w:tab/>
      </w:r>
      <w:r w:rsidRPr="00824A38">
        <w:rPr>
          <w:rFonts w:ascii="Palatino Linotype" w:hAnsi="Palatino Linotype" w:eastAsia="Times New Roman" w:cs="Times New Roman"/>
          <w:b/>
          <w:kern w:val="0"/>
          <w14:ligatures w14:val="none"/>
        </w:rPr>
        <w:t xml:space="preserve">Agenda ID: </w:t>
      </w:r>
      <w:r w:rsidRPr="00FC5D12" w:rsidR="00FC5D12">
        <w:rPr>
          <w:rFonts w:ascii="Palatino Linotype" w:hAnsi="Palatino Linotype" w:eastAsia="Times New Roman" w:cs="Times New Roman"/>
          <w:b/>
          <w:kern w:val="0"/>
          <w14:ligatures w14:val="none"/>
        </w:rPr>
        <w:t>23604</w:t>
      </w:r>
    </w:p>
    <w:p w:rsidRPr="00824A38" w:rsidR="00A76F4A" w:rsidP="00674344" w:rsidRDefault="00A76F4A" w14:paraId="31EFBAB3" w14:textId="66897696">
      <w:pPr>
        <w:tabs>
          <w:tab w:val="left" w:pos="6840"/>
        </w:tabs>
        <w:overflowPunct w:val="0"/>
        <w:autoSpaceDE w:val="0"/>
        <w:autoSpaceDN w:val="0"/>
        <w:adjustRightInd w:val="0"/>
        <w:spacing w:after="0" w:line="240" w:lineRule="auto"/>
        <w:jc w:val="right"/>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b/>
          <w:kern w:val="0"/>
          <w14:ligatures w14:val="none"/>
        </w:rPr>
        <w:t xml:space="preserve">RESOLUTION </w:t>
      </w:r>
      <w:r w:rsidRPr="007547F6" w:rsidR="00D35E23">
        <w:rPr>
          <w:rFonts w:ascii="Palatino Linotype" w:hAnsi="Palatino Linotype" w:eastAsia="Times New Roman" w:cs="Times New Roman"/>
          <w:b/>
          <w:kern w:val="0"/>
          <w14:ligatures w14:val="none"/>
        </w:rPr>
        <w:t>T</w:t>
      </w:r>
      <w:r w:rsidRPr="007547F6" w:rsidR="00BA6221">
        <w:rPr>
          <w:rFonts w:ascii="Palatino Linotype" w:hAnsi="Palatino Linotype" w:eastAsia="Times New Roman" w:cs="Times New Roman"/>
          <w:b/>
          <w:kern w:val="0"/>
          <w14:ligatures w14:val="none"/>
        </w:rPr>
        <w:t>-</w:t>
      </w:r>
      <w:r w:rsidRPr="00824A38" w:rsidR="009A6D66">
        <w:rPr>
          <w:rFonts w:ascii="Palatino Linotype" w:hAnsi="Palatino Linotype" w:eastAsia="Times New Roman" w:cs="Times New Roman"/>
          <w:b/>
          <w:kern w:val="0"/>
          <w14:ligatures w14:val="none"/>
        </w:rPr>
        <w:t>17740</w:t>
      </w:r>
    </w:p>
    <w:p w:rsidR="001627A7" w:rsidP="00A76F4A" w:rsidRDefault="001627A7" w14:paraId="0D6B86F5"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sectPr w:rsidR="001627A7" w:rsidSect="001627A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Pr="00824A38" w:rsidR="00A76F4A" w:rsidP="00A76F4A" w:rsidRDefault="00A76F4A" w14:paraId="54DA4576"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p>
    <w:p w:rsidRPr="00824A38" w:rsidR="00A76F4A" w:rsidP="00A76F4A" w:rsidRDefault="00A76F4A" w14:paraId="54A790F0" w14:textId="69E60D3F">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TO</w:t>
      </w:r>
      <w:proofErr w:type="gramStart"/>
      <w:r w:rsidRPr="00824A38">
        <w:rPr>
          <w:rFonts w:ascii="Palatino Linotype" w:hAnsi="Palatino Linotype" w:eastAsia="Times New Roman" w:cs="Times New Roman"/>
          <w:kern w:val="0"/>
          <w14:ligatures w14:val="none"/>
        </w:rPr>
        <w:t xml:space="preserve">:  </w:t>
      </w:r>
      <w:r w:rsidR="005D24BE">
        <w:rPr>
          <w:rFonts w:ascii="Palatino Linotype" w:hAnsi="Palatino Linotype" w:eastAsia="Times New Roman" w:cs="Times New Roman"/>
          <w:kern w:val="0"/>
          <w14:ligatures w14:val="none"/>
        </w:rPr>
        <w:t>Parties</w:t>
      </w:r>
      <w:proofErr w:type="gramEnd"/>
      <w:r w:rsidR="005D24BE">
        <w:rPr>
          <w:rFonts w:ascii="Palatino Linotype" w:hAnsi="Palatino Linotype" w:eastAsia="Times New Roman" w:cs="Times New Roman"/>
          <w:kern w:val="0"/>
          <w14:ligatures w14:val="none"/>
        </w:rPr>
        <w:t xml:space="preserve"> on </w:t>
      </w:r>
      <w:r w:rsidR="00EA62E4">
        <w:rPr>
          <w:rFonts w:ascii="Palatino Linotype" w:hAnsi="Palatino Linotype" w:eastAsia="Times New Roman" w:cs="Times New Roman"/>
          <w:kern w:val="0"/>
          <w14:ligatures w14:val="none"/>
        </w:rPr>
        <w:t xml:space="preserve">the </w:t>
      </w:r>
      <w:r w:rsidRPr="00824A38" w:rsidR="00824A38">
        <w:rPr>
          <w:rFonts w:ascii="Palatino Linotype" w:hAnsi="Palatino Linotype" w:eastAsia="Times New Roman" w:cs="Times New Roman"/>
          <w:kern w:val="0"/>
          <w14:ligatures w14:val="none"/>
        </w:rPr>
        <w:t>Res T-17740</w:t>
      </w:r>
      <w:r w:rsidRPr="00824A38">
        <w:rPr>
          <w:rFonts w:ascii="Palatino Linotype" w:hAnsi="Palatino Linotype" w:eastAsia="Times New Roman" w:cs="Times New Roman"/>
          <w:kern w:val="0"/>
          <w14:ligatures w14:val="none"/>
        </w:rPr>
        <w:t xml:space="preserve"> </w:t>
      </w:r>
      <w:r w:rsidR="00EA62E4">
        <w:rPr>
          <w:rFonts w:ascii="Palatino Linotype" w:hAnsi="Palatino Linotype" w:eastAsia="Times New Roman" w:cs="Times New Roman"/>
          <w:kern w:val="0"/>
          <w14:ligatures w14:val="none"/>
        </w:rPr>
        <w:t>Service List</w:t>
      </w:r>
    </w:p>
    <w:p w:rsidRPr="00824A38" w:rsidR="00A76F4A" w:rsidP="00A76F4A" w:rsidRDefault="00A76F4A" w14:paraId="3B70358F"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p>
    <w:p w:rsidRPr="00824A38" w:rsidR="00A76F4A" w:rsidP="00A76F4A" w:rsidRDefault="00A76F4A" w14:paraId="5AC377C7" w14:textId="612F999E">
      <w:pPr>
        <w:overflowPunct w:val="0"/>
        <w:autoSpaceDE w:val="0"/>
        <w:autoSpaceDN w:val="0"/>
        <w:adjustRightInd w:val="0"/>
        <w:spacing w:after="0" w:line="240" w:lineRule="auto"/>
        <w:textAlignment w:val="baseline"/>
        <w:rPr>
          <w:rFonts w:ascii="Palatino Linotype" w:hAnsi="Palatino Linotype" w:eastAsia="Times New Roman" w:cs="Times New Roman"/>
          <w:iCs/>
          <w:kern w:val="0"/>
          <w14:ligatures w14:val="none"/>
        </w:rPr>
      </w:pPr>
      <w:r w:rsidRPr="00824A38">
        <w:rPr>
          <w:rFonts w:ascii="Palatino Linotype" w:hAnsi="Palatino Linotype" w:eastAsia="Times New Roman" w:cs="Times New Roman"/>
          <w:iCs/>
          <w:kern w:val="0"/>
          <w14:ligatures w14:val="none"/>
        </w:rPr>
        <w:t>Service List(s):</w:t>
      </w:r>
      <w:r w:rsidR="00581D2B">
        <w:rPr>
          <w:rFonts w:ascii="Palatino Linotype" w:hAnsi="Palatino Linotype" w:eastAsia="Times New Roman" w:cs="Times New Roman"/>
          <w:iCs/>
          <w:kern w:val="0"/>
          <w14:ligatures w14:val="none"/>
        </w:rPr>
        <w:t xml:space="preserve"> </w:t>
      </w:r>
      <w:r w:rsidRPr="00824A38" w:rsidR="00BA58BC">
        <w:rPr>
          <w:rFonts w:ascii="Palatino Linotype" w:hAnsi="Palatino Linotype" w:eastAsia="Times New Roman" w:cs="Times New Roman"/>
          <w:iCs/>
          <w:kern w:val="0"/>
          <w14:ligatures w14:val="none"/>
        </w:rPr>
        <w:t xml:space="preserve">thirteen Small ILECs, CHCF-A Administrative Committee, </w:t>
      </w:r>
      <w:r w:rsidRPr="00824A38" w:rsidR="00D72FBC">
        <w:rPr>
          <w:rFonts w:ascii="Palatino Linotype" w:hAnsi="Palatino Linotype" w:eastAsia="Times New Roman" w:cs="Times New Roman"/>
          <w:iCs/>
          <w:kern w:val="0"/>
          <w14:ligatures w14:val="none"/>
        </w:rPr>
        <w:t>and parties of record in R.11-11-007</w:t>
      </w:r>
      <w:r w:rsidRPr="00824A38">
        <w:rPr>
          <w:rFonts w:ascii="Palatino Linotype" w:hAnsi="Palatino Linotype" w:eastAsia="Times New Roman" w:cs="Times New Roman"/>
          <w:iCs/>
          <w:kern w:val="0"/>
          <w14:ligatures w14:val="none"/>
        </w:rPr>
        <w:t>.</w:t>
      </w:r>
    </w:p>
    <w:p w:rsidRPr="00824A38" w:rsidR="00A76F4A" w:rsidP="00A76F4A" w:rsidRDefault="00A76F4A" w14:paraId="17D6FC6A"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p>
    <w:p w:rsidRPr="00824A38" w:rsidR="00A76F4A" w:rsidP="00A76F4A" w:rsidRDefault="00A76F4A" w14:paraId="2D9E304C" w14:textId="7A25B03B">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 xml:space="preserve">This is Draft Resolution </w:t>
      </w:r>
      <w:r w:rsidRPr="007547F6" w:rsidR="00D35E23">
        <w:rPr>
          <w:rFonts w:ascii="Palatino Linotype" w:hAnsi="Palatino Linotype" w:eastAsia="Times New Roman" w:cs="Times New Roman"/>
          <w:kern w:val="0"/>
          <w14:ligatures w14:val="none"/>
        </w:rPr>
        <w:t>T-17</w:t>
      </w:r>
      <w:r w:rsidRPr="007547F6" w:rsidR="00785E85">
        <w:rPr>
          <w:rFonts w:ascii="Palatino Linotype" w:hAnsi="Palatino Linotype" w:eastAsia="Times New Roman" w:cs="Times New Roman"/>
          <w:kern w:val="0"/>
          <w14:ligatures w14:val="none"/>
        </w:rPr>
        <w:t>740</w:t>
      </w:r>
      <w:r w:rsidRPr="00824A38">
        <w:rPr>
          <w:rFonts w:ascii="Palatino Linotype" w:hAnsi="Palatino Linotype" w:eastAsia="Times New Roman" w:cs="Times New Roman"/>
          <w:kern w:val="0"/>
          <w14:ligatures w14:val="none"/>
        </w:rPr>
        <w:t xml:space="preserve"> of the </w:t>
      </w:r>
      <w:sdt>
        <w:sdtPr>
          <w:rPr>
            <w:rFonts w:ascii="Palatino Linotype" w:hAnsi="Palatino Linotype" w:eastAsia="Times New Roman" w:cs="Times New Roman"/>
            <w:kern w:val="0"/>
            <w14:ligatures w14:val="none"/>
          </w:rPr>
          <w:id w:val="1211074061"/>
          <w:placeholder>
            <w:docPart w:val="C7D2E2ADAC5C43CD9F20C14D06F82720"/>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EndPr/>
        <w:sdtContent>
          <w:r w:rsidRPr="007547F6">
            <w:rPr>
              <w:rFonts w:ascii="Palatino Linotype" w:hAnsi="Palatino Linotype" w:eastAsia="Times New Roman" w:cs="Times New Roman"/>
              <w:kern w:val="0"/>
              <w14:ligatures w14:val="none"/>
            </w:rPr>
            <w:t>Communications</w:t>
          </w:r>
        </w:sdtContent>
      </w:sdt>
      <w:r w:rsidRPr="00824A38">
        <w:rPr>
          <w:rFonts w:ascii="Palatino Linotype" w:hAnsi="Palatino Linotype" w:eastAsia="Times New Roman" w:cs="Times New Roman"/>
          <w:kern w:val="0"/>
          <w14:ligatures w14:val="none"/>
        </w:rPr>
        <w:t xml:space="preserve"> Division</w:t>
      </w:r>
      <w:r w:rsidRPr="00824A38">
        <w:rPr>
          <w:rFonts w:ascii="Palatino Linotype" w:hAnsi="Palatino Linotype" w:eastAsia="Times New Roman" w:cs="Times New Roman"/>
          <w:strike/>
          <w:kern w:val="0"/>
          <w14:ligatures w14:val="none"/>
        </w:rPr>
        <w:t>.</w:t>
      </w:r>
      <w:r w:rsidRPr="00824A38">
        <w:rPr>
          <w:rFonts w:ascii="Palatino Linotype" w:hAnsi="Palatino Linotype" w:eastAsia="Times New Roman" w:cs="Times New Roman"/>
          <w:kern w:val="0"/>
          <w14:ligatures w14:val="none"/>
        </w:rPr>
        <w:t xml:space="preserve"> This Draft Resolution will appear on the agenda at the next Commission meeting to be held</w:t>
      </w:r>
      <w:r w:rsidRPr="00824A38" w:rsidR="008E417C">
        <w:rPr>
          <w:rFonts w:ascii="Palatino Linotype" w:hAnsi="Palatino Linotype" w:eastAsia="Times New Roman" w:cs="Times New Roman"/>
          <w:kern w:val="0"/>
          <w14:ligatures w14:val="none"/>
        </w:rPr>
        <w:t xml:space="preserve"> </w:t>
      </w:r>
      <w:r w:rsidRPr="00824A38" w:rsidR="003C30CC">
        <w:rPr>
          <w:rFonts w:ascii="Palatino Linotype" w:hAnsi="Palatino Linotype" w:eastAsia="Times New Roman" w:cs="Times New Roman"/>
          <w:kern w:val="0"/>
          <w14:ligatures w14:val="none"/>
        </w:rPr>
        <w:t>August 14, 2025</w:t>
      </w:r>
      <w:proofErr w:type="gramStart"/>
      <w:r w:rsidRPr="00824A38">
        <w:rPr>
          <w:rFonts w:ascii="Palatino Linotype" w:hAnsi="Palatino Linotype" w:eastAsia="Times New Roman" w:cs="Times New Roman"/>
          <w:kern w:val="0"/>
          <w14:ligatures w14:val="none"/>
        </w:rPr>
        <w:t>, which is</w:t>
      </w:r>
      <w:proofErr w:type="gramEnd"/>
      <w:r w:rsidRPr="00824A38">
        <w:rPr>
          <w:rFonts w:ascii="Palatino Linotype" w:hAnsi="Palatino Linotype" w:eastAsia="Times New Roman" w:cs="Times New Roman"/>
          <w:kern w:val="0"/>
          <w14:ligatures w14:val="none"/>
        </w:rPr>
        <w:t xml:space="preserve"> at least 30 days after the date of this letter. The Commission may vote on this Resolution at that time, or it may postpone a vote until a later meeting. To confirm when the item will be heard, please see the Business Meeting agenda, which is posted on the Commission’s website 10 days before each Business Meeting. When the Commission votes on a Draft Resolution, it may adopt all or part of it as written, amend, modify, or set it aside and prepare a different Resolution. Only when the Commission acts </w:t>
      </w:r>
      <w:proofErr w:type="gramStart"/>
      <w:r w:rsidRPr="00824A38">
        <w:rPr>
          <w:rFonts w:ascii="Palatino Linotype" w:hAnsi="Palatino Linotype" w:eastAsia="Times New Roman" w:cs="Times New Roman"/>
          <w:kern w:val="0"/>
          <w14:ligatures w14:val="none"/>
        </w:rPr>
        <w:t>does</w:t>
      </w:r>
      <w:proofErr w:type="gramEnd"/>
      <w:r w:rsidRPr="00824A38">
        <w:rPr>
          <w:rFonts w:ascii="Palatino Linotype" w:hAnsi="Palatino Linotype" w:eastAsia="Times New Roman" w:cs="Times New Roman"/>
          <w:kern w:val="0"/>
          <w14:ligatures w14:val="none"/>
        </w:rPr>
        <w:t xml:space="preserve"> the Resolution become binding on the parties.</w:t>
      </w:r>
    </w:p>
    <w:p w:rsidRPr="00824A38" w:rsidR="00A76F4A" w:rsidP="00A76F4A" w:rsidRDefault="00A76F4A" w14:paraId="0D749C41"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p>
    <w:p w:rsidRPr="00824A38" w:rsidR="00A76F4A" w:rsidP="00A76F4A" w:rsidRDefault="00A76F4A" w14:paraId="4D9B20FC"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 xml:space="preserve">Any member of the public may serve comments on the Draft Resolution as provided in Public Utilities Code § 311(g) and Rule 14.5 of the Commission’s Rules of Practice and Procedure (Rules). </w:t>
      </w:r>
    </w:p>
    <w:p w:rsidRPr="00824A38" w:rsidR="00A76F4A" w:rsidP="00A76F4A" w:rsidRDefault="00A76F4A" w14:paraId="534D464D"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color w:val="000000"/>
          <w:kern w:val="0"/>
          <w14:ligatures w14:val="none"/>
        </w:rPr>
      </w:pPr>
    </w:p>
    <w:p w:rsidRPr="00824A38" w:rsidR="00A76F4A" w:rsidP="00A76F4A" w:rsidRDefault="00A76F4A" w14:paraId="568EE13F" w14:textId="6C56EB68">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 xml:space="preserve">Comments along with a certificate of service (COS) shall be sent via email to: </w:t>
      </w:r>
      <w:proofErr w:type="gramStart"/>
      <w:r w:rsidRPr="00824A38" w:rsidR="005E4DDB">
        <w:rPr>
          <w:rFonts w:ascii="Palatino Linotype" w:hAnsi="Palatino Linotype" w:eastAsia="Times New Roman" w:cs="Times New Roman"/>
          <w:kern w:val="0"/>
          <w14:ligatures w14:val="none"/>
        </w:rPr>
        <w:t>hannah.steiner@cpuc.ca.gov</w:t>
      </w:r>
      <w:r w:rsidRPr="00824A38" w:rsidR="00911E01">
        <w:rPr>
          <w:rFonts w:ascii="Palatino Linotype" w:hAnsi="Palatino Linotype" w:eastAsia="Times New Roman" w:cs="Times New Roman"/>
          <w:kern w:val="0"/>
          <w14:ligatures w14:val="none"/>
        </w:rPr>
        <w:t xml:space="preserve"> </w:t>
      </w:r>
      <w:r w:rsidRPr="00824A38">
        <w:rPr>
          <w:rFonts w:ascii="Palatino Linotype" w:hAnsi="Palatino Linotype" w:eastAsia="Times New Roman" w:cs="Times New Roman"/>
          <w:kern w:val="0"/>
          <w14:ligatures w14:val="none"/>
        </w:rPr>
        <w:t xml:space="preserve"> by</w:t>
      </w:r>
      <w:proofErr w:type="gramEnd"/>
      <w:r w:rsidRPr="00824A38" w:rsidR="000923E1">
        <w:rPr>
          <w:rFonts w:ascii="Palatino Linotype" w:hAnsi="Palatino Linotype" w:eastAsia="Times New Roman" w:cs="Times New Roman"/>
          <w:kern w:val="0"/>
          <w14:ligatures w14:val="none"/>
        </w:rPr>
        <w:t xml:space="preserve"> </w:t>
      </w:r>
      <w:r w:rsidRPr="00824A38" w:rsidR="008917F7">
        <w:rPr>
          <w:rFonts w:ascii="Palatino Linotype" w:hAnsi="Palatino Linotype" w:eastAsia="Times New Roman" w:cs="Times New Roman"/>
          <w:kern w:val="0"/>
          <w14:ligatures w14:val="none"/>
        </w:rPr>
        <w:t xml:space="preserve">July </w:t>
      </w:r>
      <w:r w:rsidR="00BF559D">
        <w:rPr>
          <w:rFonts w:ascii="Palatino Linotype" w:hAnsi="Palatino Linotype" w:eastAsia="Times New Roman" w:cs="Times New Roman"/>
          <w:kern w:val="0"/>
          <w14:ligatures w14:val="none"/>
        </w:rPr>
        <w:t>27</w:t>
      </w:r>
      <w:r w:rsidRPr="00824A38" w:rsidR="008917F7">
        <w:rPr>
          <w:rFonts w:ascii="Palatino Linotype" w:hAnsi="Palatino Linotype" w:eastAsia="Times New Roman" w:cs="Times New Roman"/>
          <w:kern w:val="0"/>
          <w14:ligatures w14:val="none"/>
        </w:rPr>
        <w:t xml:space="preserve">, </w:t>
      </w:r>
      <w:proofErr w:type="gramStart"/>
      <w:r w:rsidRPr="00824A38" w:rsidR="008917F7">
        <w:rPr>
          <w:rFonts w:ascii="Palatino Linotype" w:hAnsi="Palatino Linotype" w:eastAsia="Times New Roman" w:cs="Times New Roman"/>
          <w:kern w:val="0"/>
          <w14:ligatures w14:val="none"/>
        </w:rPr>
        <w:t>2025</w:t>
      </w:r>
      <w:proofErr w:type="gramEnd"/>
      <w:r w:rsidRPr="00824A38">
        <w:rPr>
          <w:rFonts w:ascii="Palatino Linotype" w:hAnsi="Palatino Linotype" w:eastAsia="Times New Roman" w:cs="Times New Roman"/>
          <w:kern w:val="0"/>
          <w14:ligatures w14:val="none"/>
        </w:rPr>
        <w:t xml:space="preserve"> at </w:t>
      </w:r>
      <w:r w:rsidRPr="007547F6">
        <w:rPr>
          <w:rFonts w:ascii="Palatino Linotype" w:hAnsi="Palatino Linotype" w:eastAsia="Times New Roman" w:cs="Times New Roman"/>
          <w:kern w:val="0"/>
          <w14:ligatures w14:val="none"/>
        </w:rPr>
        <w:t>5:00 PM</w:t>
      </w:r>
      <w:r w:rsidRPr="00824A38">
        <w:rPr>
          <w:rFonts w:ascii="Palatino Linotype" w:hAnsi="Palatino Linotype" w:eastAsia="Times New Roman" w:cs="Times New Roman"/>
          <w:kern w:val="0"/>
          <w14:ligatures w14:val="none"/>
        </w:rPr>
        <w:t>.</w:t>
      </w:r>
    </w:p>
    <w:p w:rsidRPr="00824A38" w:rsidR="00A76F4A" w:rsidP="00A76F4A" w:rsidRDefault="00A76F4A" w14:paraId="42640F98"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p>
    <w:p w:rsidRPr="00BD6880" w:rsidR="00A76F4A" w:rsidP="00A76F4A" w:rsidRDefault="00A76F4A" w14:paraId="13B70EAA"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 xml:space="preserve">Those submitting comments on the Draft Resolution must serve their comments on the entire service list the Draft Resolution was served to on the same date that the comments are submitted to the </w:t>
      </w:r>
      <w:sdt>
        <w:sdtPr>
          <w:rPr>
            <w:rFonts w:ascii="Palatino Linotype" w:hAnsi="Palatino Linotype" w:eastAsia="Times New Roman" w:cs="Times New Roman"/>
            <w:kern w:val="0"/>
            <w14:ligatures w14:val="none"/>
          </w:rPr>
          <w:id w:val="1575944884"/>
          <w:placeholder>
            <w:docPart w:val="9154D544AD4E486B93C2D360D5A58F59"/>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EndPr/>
        <w:sdtContent>
          <w:r w:rsidRPr="007547F6">
            <w:rPr>
              <w:rFonts w:ascii="Palatino Linotype" w:hAnsi="Palatino Linotype" w:eastAsia="Times New Roman" w:cs="Times New Roman"/>
              <w:kern w:val="0"/>
              <w14:ligatures w14:val="none"/>
            </w:rPr>
            <w:t>Communications</w:t>
          </w:r>
        </w:sdtContent>
      </w:sdt>
      <w:r w:rsidRPr="00824A38">
        <w:rPr>
          <w:rFonts w:ascii="Palatino Linotype" w:hAnsi="Palatino Linotype" w:eastAsia="Times New Roman" w:cs="Times New Roman"/>
          <w:kern w:val="0"/>
          <w14:ligatures w14:val="none"/>
        </w:rPr>
        <w:t xml:space="preserve"> Division.</w:t>
      </w:r>
    </w:p>
    <w:p w:rsidRPr="00BD6880" w:rsidR="00A76F4A" w:rsidP="00A76F4A" w:rsidRDefault="00A76F4A" w14:paraId="70BA5E6E"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p>
    <w:p w:rsidRPr="00BD6880" w:rsidR="00A76F4A" w:rsidP="00A76F4A" w:rsidRDefault="00A76F4A" w14:paraId="38C59786" w14:textId="2E5D53F6">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r w:rsidRPr="00BD6880">
        <w:rPr>
          <w:rFonts w:ascii="Palatino Linotype" w:hAnsi="Palatino Linotype" w:eastAsia="Times New Roman" w:cs="Times New Roman"/>
          <w:color w:val="000000"/>
          <w:kern w:val="0"/>
          <w14:ligatures w14:val="none"/>
        </w:rPr>
        <w:t>Comments shall focus on factual, legal, or technical errors in the proposed Draft Resolution</w:t>
      </w:r>
      <w:r w:rsidRPr="00BD6880" w:rsidR="00DD350B">
        <w:rPr>
          <w:rFonts w:ascii="Palatino Linotype" w:hAnsi="Palatino Linotype" w:eastAsia="Times New Roman" w:cs="Times New Roman"/>
          <w:color w:val="000000"/>
          <w:kern w:val="0"/>
          <w14:ligatures w14:val="none"/>
        </w:rPr>
        <w:t xml:space="preserve">. </w:t>
      </w:r>
      <w:r w:rsidRPr="00BD6880">
        <w:rPr>
          <w:rFonts w:ascii="Palatino Linotype" w:hAnsi="Palatino Linotype" w:eastAsia="Times New Roman" w:cs="Times New Roman"/>
          <w:color w:val="000000"/>
          <w:kern w:val="0"/>
          <w14:ligatures w14:val="none"/>
        </w:rPr>
        <w:t xml:space="preserve">Comments that merely reargue positions taken in the advice letter or protests will be </w:t>
      </w:r>
      <w:proofErr w:type="gramStart"/>
      <w:r w:rsidRPr="00BD6880">
        <w:rPr>
          <w:rFonts w:ascii="Palatino Linotype" w:hAnsi="Palatino Linotype" w:eastAsia="Times New Roman" w:cs="Times New Roman"/>
          <w:color w:val="000000"/>
          <w:kern w:val="0"/>
          <w14:ligatures w14:val="none"/>
        </w:rPr>
        <w:t>accorded</w:t>
      </w:r>
      <w:proofErr w:type="gramEnd"/>
      <w:r w:rsidRPr="00BD6880">
        <w:rPr>
          <w:rFonts w:ascii="Palatino Linotype" w:hAnsi="Palatino Linotype" w:eastAsia="Times New Roman" w:cs="Times New Roman"/>
          <w:color w:val="000000"/>
          <w:kern w:val="0"/>
          <w14:ligatures w14:val="none"/>
        </w:rPr>
        <w:t xml:space="preserve"> no weight and are not to be submitted. </w:t>
      </w:r>
      <w:r w:rsidRPr="00BD6880">
        <w:rPr>
          <w:rFonts w:ascii="Palatino Linotype" w:hAnsi="Palatino Linotype" w:eastAsia="Times New Roman" w:cs="Times New Roman"/>
          <w:kern w:val="0"/>
          <w14:ligatures w14:val="none"/>
        </w:rPr>
        <w:t>Comments should list the recommended changes to the Draft Resolution</w:t>
      </w:r>
      <w:r>
        <w:rPr>
          <w:rFonts w:ascii="Palatino Linotype" w:hAnsi="Palatino Linotype" w:eastAsia="Times New Roman" w:cs="Times New Roman"/>
          <w:kern w:val="0"/>
          <w14:ligatures w14:val="none"/>
        </w:rPr>
        <w:t>.&gt;</w:t>
      </w:r>
    </w:p>
    <w:p w:rsidRPr="00BD6880" w:rsidR="00A76F4A" w:rsidP="00A76F4A" w:rsidRDefault="00A76F4A" w14:paraId="4FE08869" w14:textId="77777777">
      <w:pPr>
        <w:tabs>
          <w:tab w:val="left" w:pos="6930"/>
        </w:tabs>
        <w:overflowPunct w:val="0"/>
        <w:autoSpaceDE w:val="0"/>
        <w:autoSpaceDN w:val="0"/>
        <w:adjustRightInd w:val="0"/>
        <w:spacing w:after="0" w:line="240" w:lineRule="auto"/>
        <w:ind w:right="594"/>
        <w:textAlignment w:val="baseline"/>
        <w:rPr>
          <w:rFonts w:ascii="Palatino Linotype" w:hAnsi="Palatino Linotype" w:eastAsia="Times New Roman" w:cs="Times New Roman"/>
          <w:kern w:val="0"/>
          <w14:ligatures w14:val="none"/>
        </w:rPr>
      </w:pPr>
    </w:p>
    <w:p w:rsidRPr="00BD6880" w:rsidR="00A76F4A" w:rsidP="00A76F4A" w:rsidRDefault="00A76F4A" w14:paraId="73DE1535" w14:textId="77777777">
      <w:pPr>
        <w:tabs>
          <w:tab w:val="left" w:pos="6930"/>
        </w:tabs>
        <w:overflowPunct w:val="0"/>
        <w:autoSpaceDE w:val="0"/>
        <w:autoSpaceDN w:val="0"/>
        <w:adjustRightInd w:val="0"/>
        <w:spacing w:after="0" w:line="240" w:lineRule="auto"/>
        <w:ind w:right="1908"/>
        <w:textAlignment w:val="baseline"/>
        <w:rPr>
          <w:rFonts w:ascii="Palatino Linotype" w:hAnsi="Palatino Linotype" w:eastAsia="Times New Roman" w:cs="Times New Roman"/>
          <w:kern w:val="0"/>
          <w14:ligatures w14:val="none"/>
        </w:rPr>
      </w:pPr>
    </w:p>
    <w:p w:rsidRPr="00BD6880" w:rsidR="00A76F4A" w:rsidP="00A76F4A" w:rsidRDefault="00A76F4A" w14:paraId="29E09621" w14:textId="77777777">
      <w:pPr>
        <w:tabs>
          <w:tab w:val="left" w:pos="6930"/>
        </w:tabs>
        <w:overflowPunct w:val="0"/>
        <w:autoSpaceDE w:val="0"/>
        <w:autoSpaceDN w:val="0"/>
        <w:adjustRightInd w:val="0"/>
        <w:spacing w:after="0" w:line="240" w:lineRule="auto"/>
        <w:ind w:right="1908"/>
        <w:textAlignment w:val="baseline"/>
        <w:rPr>
          <w:rFonts w:ascii="Palatino Linotype" w:hAnsi="Palatino Linotype" w:eastAsia="Times New Roman" w:cs="Times New Roman"/>
          <w:kern w:val="0"/>
          <w14:ligatures w14:val="none"/>
        </w:rPr>
      </w:pPr>
      <w:r w:rsidRPr="00BD6880">
        <w:rPr>
          <w:rFonts w:ascii="Palatino Linotype" w:hAnsi="Palatino Linotype" w:eastAsia="Times New Roman" w:cs="Times New Roman"/>
          <w:kern w:val="0"/>
          <w14:ligatures w14:val="none"/>
        </w:rPr>
        <w:t xml:space="preserve">Sincerely,  </w:t>
      </w:r>
    </w:p>
    <w:p w:rsidRPr="00BD6880" w:rsidR="00A76F4A" w:rsidP="00A76F4A" w:rsidRDefault="00A76F4A" w14:paraId="27EC3DD7" w14:textId="77777777">
      <w:pPr>
        <w:tabs>
          <w:tab w:val="left" w:pos="6930"/>
        </w:tabs>
        <w:overflowPunct w:val="0"/>
        <w:autoSpaceDE w:val="0"/>
        <w:autoSpaceDN w:val="0"/>
        <w:adjustRightInd w:val="0"/>
        <w:spacing w:after="0" w:line="240" w:lineRule="auto"/>
        <w:ind w:right="1908"/>
        <w:textAlignment w:val="baseline"/>
        <w:rPr>
          <w:rFonts w:ascii="Palatino Linotype" w:hAnsi="Palatino Linotype" w:eastAsia="Times New Roman" w:cs="Times New Roman"/>
          <w:kern w:val="0"/>
          <w14:ligatures w14:val="none"/>
        </w:rPr>
      </w:pPr>
    </w:p>
    <w:p w:rsidRPr="00824A38" w:rsidR="00A76F4A" w:rsidP="00A76F4A" w:rsidRDefault="00A76F4A" w14:paraId="2D0D3062"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/s/</w:t>
      </w:r>
    </w:p>
    <w:p w:rsidRPr="007547F6" w:rsidR="00A76F4A" w:rsidP="00A76F4A" w:rsidRDefault="00430FF7" w14:paraId="6E05D9D2" w14:textId="1518BCD9">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7547F6">
        <w:rPr>
          <w:rFonts w:ascii="Palatino Linotype" w:hAnsi="Palatino Linotype" w:eastAsia="Times New Roman" w:cs="Times New Roman"/>
          <w:kern w:val="0"/>
          <w14:ligatures w14:val="none"/>
        </w:rPr>
        <w:t>Robert Osborn</w:t>
      </w:r>
    </w:p>
    <w:p w:rsidRPr="00824A38" w:rsidR="00A76F4A" w:rsidP="00A76F4A" w:rsidRDefault="00A76F4A" w14:paraId="71822C4C" w14:textId="38F8B632">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824A38">
        <w:rPr>
          <w:rFonts w:ascii="Palatino Linotype" w:hAnsi="Palatino Linotype" w:eastAsia="Times New Roman" w:cs="Times New Roman"/>
          <w:kern w:val="0"/>
          <w14:ligatures w14:val="none"/>
        </w:rPr>
        <w:t>Director</w:t>
      </w:r>
    </w:p>
    <w:p w:rsidRPr="00BD6880" w:rsidR="00A76F4A" w:rsidP="00A76F4A" w:rsidRDefault="00E950BA" w14:paraId="29EA45BD"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sdt>
        <w:sdtPr>
          <w:rPr>
            <w:rFonts w:ascii="Palatino Linotype" w:hAnsi="Palatino Linotype" w:eastAsia="Times New Roman" w:cs="Times New Roman"/>
            <w:kern w:val="0"/>
            <w14:ligatures w14:val="none"/>
          </w:rPr>
          <w:id w:val="788701506"/>
          <w:placeholder>
            <w:docPart w:val="4D67EF9D6FEA4F65A813CE6E6ADE4E50"/>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EndPr/>
        <w:sdtContent>
          <w:r w:rsidRPr="007547F6" w:rsidR="00A76F4A">
            <w:rPr>
              <w:rFonts w:ascii="Palatino Linotype" w:hAnsi="Palatino Linotype" w:eastAsia="Times New Roman" w:cs="Times New Roman"/>
              <w:kern w:val="0"/>
              <w14:ligatures w14:val="none"/>
            </w:rPr>
            <w:t>Communications</w:t>
          </w:r>
        </w:sdtContent>
      </w:sdt>
      <w:r w:rsidRPr="00824A38" w:rsidR="00A76F4A">
        <w:rPr>
          <w:rFonts w:ascii="Palatino Linotype" w:hAnsi="Palatino Linotype" w:eastAsia="Times New Roman" w:cs="Times New Roman"/>
          <w:kern w:val="0"/>
          <w14:ligatures w14:val="none"/>
        </w:rPr>
        <w:t xml:space="preserve"> </w:t>
      </w:r>
      <w:r w:rsidRPr="007547F6" w:rsidR="00A76F4A">
        <w:rPr>
          <w:rFonts w:ascii="Palatino Linotype" w:hAnsi="Palatino Linotype" w:eastAsia="Times New Roman" w:cs="Times New Roman"/>
          <w:kern w:val="0"/>
          <w14:ligatures w14:val="none"/>
        </w:rPr>
        <w:t>Division</w:t>
      </w:r>
    </w:p>
    <w:p w:rsidRPr="00BD6880" w:rsidR="00A76F4A" w:rsidP="00A76F4A" w:rsidRDefault="00A76F4A" w14:paraId="1B822D51" w14:textId="77777777">
      <w:pPr>
        <w:overflowPunct w:val="0"/>
        <w:autoSpaceDE w:val="0"/>
        <w:autoSpaceDN w:val="0"/>
        <w:adjustRightInd w:val="0"/>
        <w:spacing w:after="0" w:line="240" w:lineRule="auto"/>
        <w:textAlignment w:val="baseline"/>
        <w:rPr>
          <w:rFonts w:ascii="Palatino Linotype" w:hAnsi="Palatino Linotype" w:eastAsia="Times New Roman" w:cs="Times New Roman"/>
          <w:kern w:val="0"/>
          <w14:ligatures w14:val="none"/>
        </w:rPr>
      </w:pPr>
      <w:r w:rsidRPr="00BD6880">
        <w:rPr>
          <w:rFonts w:ascii="Palatino Linotype" w:hAnsi="Palatino Linotype" w:eastAsia="Times New Roman" w:cs="Times New Roman"/>
          <w:kern w:val="0"/>
          <w14:ligatures w14:val="none"/>
        </w:rPr>
        <w:t>California Public Utilities Commission</w:t>
      </w:r>
    </w:p>
    <w:p w:rsidRPr="00A66580" w:rsidR="00A76F4A" w:rsidP="00A76F4A" w:rsidRDefault="00A76F4A" w14:paraId="6C11451B" w14:textId="77777777">
      <w:pPr>
        <w:overflowPunct w:val="0"/>
        <w:autoSpaceDE w:val="0"/>
        <w:autoSpaceDN w:val="0"/>
        <w:adjustRightInd w:val="0"/>
        <w:spacing w:after="0" w:line="240" w:lineRule="auto"/>
        <w:textAlignment w:val="baseline"/>
        <w:rPr>
          <w:rFonts w:ascii="Arial" w:hAnsi="Arial" w:eastAsia="Times New Roman" w:cs="Times New Roman"/>
          <w:kern w:val="0"/>
          <w14:ligatures w14:val="none"/>
        </w:rPr>
      </w:pPr>
    </w:p>
    <w:p w:rsidR="001627A7" w:rsidP="00A76F4A" w:rsidRDefault="001627A7" w14:paraId="638884D5" w14:textId="77777777">
      <w:pPr>
        <w:rPr>
          <w:rFonts w:ascii="Calibri" w:hAnsi="Calibri" w:cs="Calibri"/>
        </w:rPr>
        <w:sectPr w:rsidR="001627A7" w:rsidSect="001627A7">
          <w:type w:val="continuous"/>
          <w:pgSz w:w="12240" w:h="15840"/>
          <w:pgMar w:top="1440" w:right="1440" w:bottom="1440" w:left="1440" w:header="720" w:footer="720" w:gutter="0"/>
          <w:cols w:space="720"/>
          <w:titlePg/>
          <w:docGrid w:linePitch="360"/>
        </w:sectPr>
      </w:pPr>
    </w:p>
    <w:p w:rsidR="00A76F4A" w:rsidP="00A76F4A" w:rsidRDefault="00A76F4A" w14:paraId="4DB03343" w14:textId="77777777">
      <w:pPr>
        <w:rPr>
          <w:rFonts w:ascii="Calibri" w:hAnsi="Calibri" w:cs="Calibri"/>
        </w:rPr>
      </w:pPr>
    </w:p>
    <w:p w:rsidR="00D136BF" w:rsidP="00D136BF" w:rsidRDefault="00D136BF" w14:paraId="6240B8EB" w14:textId="77777777">
      <w:pPr>
        <w:jc w:val="center"/>
        <w:rPr>
          <w:rFonts w:ascii="Calibri" w:hAnsi="Calibri" w:cs="Calibri"/>
        </w:rPr>
        <w:sectPr w:rsidR="00D136BF" w:rsidSect="001627A7">
          <w:type w:val="continuous"/>
          <w:pgSz w:w="12240" w:h="15840"/>
          <w:pgMar w:top="1440" w:right="1440" w:bottom="1440" w:left="1440" w:header="720" w:footer="720" w:gutter="0"/>
          <w:cols w:space="720"/>
          <w:titlePg/>
          <w:docGrid w:linePitch="360"/>
        </w:sectPr>
      </w:pPr>
    </w:p>
    <w:p w:rsidR="00D136BF" w:rsidP="00D136BF" w:rsidRDefault="00D136BF" w14:paraId="7CAE44A7" w14:textId="77777777">
      <w:pPr>
        <w:jc w:val="center"/>
        <w:rPr>
          <w:rFonts w:ascii="Calibri" w:hAnsi="Calibri" w:cs="Calibri"/>
        </w:rPr>
      </w:pPr>
    </w:p>
    <w:p w:rsidRPr="00D136BF" w:rsidR="00D136BF" w:rsidP="00D136BF" w:rsidRDefault="00D136BF" w14:paraId="6D94FDFD" w14:textId="448CA272">
      <w:pPr>
        <w:tabs>
          <w:tab w:val="center" w:pos="4680"/>
        </w:tabs>
        <w:rPr>
          <w:rFonts w:ascii="Calibri" w:hAnsi="Calibri" w:cs="Calibri"/>
        </w:rPr>
        <w:sectPr w:rsidRPr="00D136BF" w:rsidR="00D136BF" w:rsidSect="001627A7">
          <w:type w:val="continuous"/>
          <w:pgSz w:w="12240" w:h="15840"/>
          <w:pgMar w:top="1440" w:right="1440" w:bottom="1440" w:left="1440" w:header="720" w:footer="720" w:gutter="0"/>
          <w:cols w:space="720"/>
          <w:titlePg/>
          <w:docGrid w:linePitch="360"/>
        </w:sectPr>
      </w:pPr>
      <w:r>
        <w:rPr>
          <w:rFonts w:ascii="Calibri" w:hAnsi="Calibri" w:cs="Calibri"/>
        </w:rPr>
        <w:tab/>
      </w:r>
    </w:p>
    <w:p w:rsidR="00A76F4A" w:rsidP="00D136BF" w:rsidRDefault="00D136BF" w14:paraId="0F4CCBF3" w14:textId="4D44D9E8">
      <w:pPr>
        <w:tabs>
          <w:tab w:val="left" w:pos="6840"/>
        </w:tabs>
        <w:overflowPunct w:val="0"/>
        <w:autoSpaceDE w:val="0"/>
        <w:autoSpaceDN w:val="0"/>
        <w:adjustRightInd w:val="0"/>
        <w:spacing w:after="0" w:line="240" w:lineRule="auto"/>
        <w:jc w:val="center"/>
        <w:textAlignment w:val="baseline"/>
        <w:rPr>
          <w:rFonts w:ascii="Palatino Linotype" w:hAnsi="Palatino Linotype" w:eastAsia="Times New Roman" w:cs="Times New Roman"/>
          <w:b/>
          <w:kern w:val="0"/>
          <w14:ligatures w14:val="none"/>
        </w:rPr>
      </w:pPr>
      <w:r>
        <w:rPr>
          <w:rFonts w:ascii="Palatino Linotype" w:hAnsi="Palatino Linotype" w:eastAsia="Times New Roman" w:cs="Times New Roman"/>
          <w:b/>
          <w:kern w:val="0"/>
          <w14:ligatures w14:val="none"/>
        </w:rPr>
        <w:lastRenderedPageBreak/>
        <w:t xml:space="preserve">                                                                                                                </w:t>
      </w:r>
      <w:r w:rsidRPr="00824A38">
        <w:rPr>
          <w:rFonts w:ascii="Palatino Linotype" w:hAnsi="Palatino Linotype" w:eastAsia="Times New Roman" w:cs="Times New Roman"/>
          <w:b/>
          <w:kern w:val="0"/>
          <w14:ligatures w14:val="none"/>
        </w:rPr>
        <w:t>Agenda ID</w:t>
      </w:r>
      <w:r w:rsidR="00EB472B">
        <w:rPr>
          <w:rFonts w:ascii="Palatino Linotype" w:hAnsi="Palatino Linotype" w:eastAsia="Times New Roman" w:cs="Times New Roman"/>
          <w:b/>
          <w:kern w:val="0"/>
          <w14:ligatures w14:val="none"/>
        </w:rPr>
        <w:t xml:space="preserve"> #</w:t>
      </w:r>
      <w:r w:rsidRPr="00824A38">
        <w:rPr>
          <w:rFonts w:ascii="Palatino Linotype" w:hAnsi="Palatino Linotype" w:eastAsia="Times New Roman" w:cs="Times New Roman"/>
          <w:b/>
          <w:kern w:val="0"/>
          <w14:ligatures w14:val="none"/>
        </w:rPr>
        <w:t xml:space="preserve"> </w:t>
      </w:r>
      <w:r w:rsidRPr="00FC5D12">
        <w:rPr>
          <w:rFonts w:ascii="Palatino Linotype" w:hAnsi="Palatino Linotype" w:eastAsia="Times New Roman" w:cs="Times New Roman"/>
          <w:b/>
          <w:kern w:val="0"/>
          <w14:ligatures w14:val="none"/>
        </w:rPr>
        <w:t>23604</w:t>
      </w:r>
    </w:p>
    <w:p w:rsidRPr="00D136BF" w:rsidR="00EB472B" w:rsidP="00D136BF" w:rsidRDefault="00EB472B" w14:paraId="7237E7E4" w14:textId="77777777">
      <w:pPr>
        <w:tabs>
          <w:tab w:val="left" w:pos="6840"/>
        </w:tabs>
        <w:overflowPunct w:val="0"/>
        <w:autoSpaceDE w:val="0"/>
        <w:autoSpaceDN w:val="0"/>
        <w:adjustRightInd w:val="0"/>
        <w:spacing w:after="0" w:line="240" w:lineRule="auto"/>
        <w:jc w:val="center"/>
        <w:textAlignment w:val="baseline"/>
        <w:rPr>
          <w:rFonts w:ascii="Palatino Linotype" w:hAnsi="Palatino Linotype" w:eastAsia="Times New Roman" w:cs="Times New Roman"/>
          <w:kern w:val="0"/>
          <w14:ligatures w14:val="none"/>
        </w:rPr>
      </w:pPr>
    </w:p>
    <w:p w:rsidRPr="001942D0" w:rsidR="00A76F4A" w:rsidP="00C71017" w:rsidRDefault="00A76F4A" w14:paraId="1038F1A9" w14:textId="77777777">
      <w:pPr>
        <w:spacing w:after="0" w:line="240" w:lineRule="auto"/>
        <w:jc w:val="center"/>
        <w:rPr>
          <w:rFonts w:ascii="Palatino Linotype" w:hAnsi="Palatino Linotype" w:eastAsia="Times New Roman" w:cs="Times New Roman"/>
          <w:kern w:val="0"/>
          <w:sz w:val="26"/>
          <w:szCs w:val="20"/>
          <w14:ligatures w14:val="none"/>
        </w:rPr>
      </w:pPr>
      <w:r w:rsidRPr="001942D0">
        <w:rPr>
          <w:rFonts w:ascii="Palatino Linotype" w:hAnsi="Palatino Linotype" w:eastAsia="Times New Roman" w:cs="Times New Roman"/>
          <w:kern w:val="0"/>
          <w:sz w:val="26"/>
          <w:szCs w:val="20"/>
          <w14:ligatures w14:val="none"/>
        </w:rPr>
        <w:t>PUBLIC UTILITIES COMMISSION OF THE STATE OF CALIFORNIA</w:t>
      </w:r>
    </w:p>
    <w:p w:rsidRPr="001942D0" w:rsidR="00A76F4A" w:rsidP="00A76F4A" w:rsidRDefault="00A76F4A" w14:paraId="3530C4E8" w14:textId="77777777">
      <w:pPr>
        <w:suppressAutoHyphens/>
        <w:spacing w:after="0" w:line="240" w:lineRule="auto"/>
        <w:rPr>
          <w:rFonts w:ascii="Palatino" w:hAnsi="Palatino" w:eastAsia="Times New Roman" w:cs="Times New Roman"/>
          <w:kern w:val="0"/>
          <w:sz w:val="26"/>
          <w:szCs w:val="20"/>
          <w14:ligatures w14:val="none"/>
        </w:rPr>
      </w:pPr>
    </w:p>
    <w:p w:rsidR="00D136BF" w:rsidP="3A71E1D1" w:rsidRDefault="00D136BF" w14:paraId="3573F6F1" w14:textId="77777777">
      <w:pPr>
        <w:tabs>
          <w:tab w:val="right" w:pos="8820"/>
        </w:tabs>
        <w:spacing w:after="0" w:line="240" w:lineRule="auto"/>
        <w:rPr>
          <w:rFonts w:ascii="Palatino Linotype" w:hAnsi="Palatino Linotype" w:eastAsia="Times New Roman" w:cs="Times New Roman"/>
          <w:b/>
          <w:kern w:val="0"/>
          <w14:ligatures w14:val="none"/>
        </w:rPr>
        <w:sectPr w:rsidR="00D136BF" w:rsidSect="001627A7">
          <w:headerReference w:type="default" r:id="rId15"/>
          <w:footerReference w:type="default" r:id="rId16"/>
          <w:pgSz w:w="12240" w:h="15840"/>
          <w:pgMar w:top="1440" w:right="1440" w:bottom="1440" w:left="1440" w:header="720" w:footer="720" w:gutter="0"/>
          <w:cols w:space="720"/>
          <w:docGrid w:linePitch="360"/>
        </w:sectPr>
      </w:pPr>
    </w:p>
    <w:p w:rsidRPr="000D45B9" w:rsidR="00A76F4A" w:rsidP="3A71E1D1" w:rsidRDefault="00A76F4A" w14:paraId="2AFEBBF1" w14:textId="53B2035D">
      <w:pPr>
        <w:tabs>
          <w:tab w:val="right" w:pos="8820"/>
        </w:tabs>
        <w:spacing w:after="0" w:line="240" w:lineRule="auto"/>
        <w:rPr>
          <w:rFonts w:ascii="Palatino Linotype" w:hAnsi="Palatino Linotype" w:eastAsia="Times New Roman" w:cs="Times New Roman"/>
          <w:b/>
          <w:bCs/>
          <w:kern w:val="0"/>
          <w14:ligatures w14:val="none"/>
        </w:rPr>
      </w:pPr>
      <w:r w:rsidRPr="001942D0">
        <w:rPr>
          <w:rFonts w:ascii="Palatino Linotype" w:hAnsi="Palatino Linotype" w:eastAsia="Times New Roman" w:cs="Times New Roman"/>
          <w:b/>
          <w:kern w:val="0"/>
          <w14:ligatures w14:val="none"/>
        </w:rPr>
        <w:tab/>
      </w:r>
    </w:p>
    <w:p w:rsidRPr="000D45B9" w:rsidR="00A76F4A" w:rsidP="00A76F4A" w:rsidRDefault="006334BC" w14:paraId="097CE738" w14:textId="52A2DF9D">
      <w:pPr>
        <w:tabs>
          <w:tab w:val="right" w:pos="8820"/>
        </w:tabs>
        <w:spacing w:after="0" w:line="240" w:lineRule="auto"/>
        <w:rPr>
          <w:rFonts w:ascii="Palatino Linotype" w:hAnsi="Palatino Linotype" w:eastAsia="Palatino Linotype" w:cs="Times New Roman"/>
          <w:b/>
          <w:kern w:val="0"/>
          <w14:ligatures w14:val="none"/>
        </w:rPr>
      </w:pPr>
      <w:r w:rsidRPr="000D45B9">
        <w:rPr>
          <w:rFonts w:ascii="Palatino Linotype" w:hAnsi="Palatino Linotype" w:eastAsia="Palatino Linotype" w:cs="Times New Roman"/>
          <w:b/>
          <w:kern w:val="0"/>
          <w14:ligatures w14:val="none"/>
        </w:rPr>
        <w:t>Communications Division</w:t>
      </w:r>
      <w:r w:rsidRPr="000D45B9" w:rsidR="00A76F4A">
        <w:rPr>
          <w:rFonts w:ascii="Palatino Linotype" w:hAnsi="Palatino Linotype" w:eastAsia="Times New Roman" w:cs="Times New Roman"/>
          <w:b/>
          <w:kern w:val="0"/>
          <w14:ligatures w14:val="none"/>
        </w:rPr>
        <w:tab/>
      </w:r>
      <w:r w:rsidRPr="000D45B9" w:rsidR="00A76F4A">
        <w:rPr>
          <w:rFonts w:ascii="Palatino Linotype" w:hAnsi="Palatino Linotype" w:eastAsia="Palatino Linotype" w:cs="Times New Roman"/>
          <w:b/>
          <w:kern w:val="0"/>
          <w14:ligatures w14:val="none"/>
        </w:rPr>
        <w:t xml:space="preserve">       </w:t>
      </w:r>
      <w:r w:rsidRPr="000D45B9" w:rsidR="00A76F4A">
        <w:rPr>
          <w:rFonts w:ascii="Palatino Linotype" w:hAnsi="Palatino Linotype" w:eastAsia="Palatino Linotype" w:cs="Times New Roman"/>
          <w:b/>
        </w:rPr>
        <w:t xml:space="preserve">RESOLUTION </w:t>
      </w:r>
      <w:r w:rsidRPr="000D45B9">
        <w:rPr>
          <w:rFonts w:ascii="Palatino Linotype" w:hAnsi="Palatino Linotype" w:eastAsia="Palatino Linotype" w:cs="Times New Roman"/>
          <w:b/>
        </w:rPr>
        <w:t>T-17740</w:t>
      </w:r>
    </w:p>
    <w:p w:rsidRPr="001942D0" w:rsidR="00A76F4A" w:rsidP="00A76F4A" w:rsidRDefault="0040708B" w14:paraId="17BEFA95" w14:textId="5BB227A1">
      <w:pPr>
        <w:tabs>
          <w:tab w:val="right" w:pos="8820"/>
        </w:tabs>
        <w:spacing w:after="0" w:line="240" w:lineRule="auto"/>
        <w:ind w:left="5040"/>
        <w:rPr>
          <w:rFonts w:ascii="Palatino Linotype" w:hAnsi="Palatino Linotype" w:eastAsia="Times New Roman" w:cs="Times New Roman"/>
          <w:b/>
          <w:kern w:val="0"/>
          <w14:ligatures w14:val="none"/>
        </w:rPr>
      </w:pPr>
      <w:r w:rsidRPr="000D45B9">
        <w:rPr>
          <w:rFonts w:ascii="Palatino Linotype" w:hAnsi="Palatino Linotype" w:eastAsia="Times New Roman" w:cs="Times New Roman"/>
          <w:b/>
          <w:kern w:val="0"/>
          <w14:ligatures w14:val="none"/>
        </w:rPr>
        <w:tab/>
      </w:r>
      <w:r w:rsidRPr="000D45B9" w:rsidR="00D941F2">
        <w:rPr>
          <w:rFonts w:ascii="Palatino Linotype" w:hAnsi="Palatino Linotype" w:eastAsia="Times New Roman" w:cs="Times New Roman"/>
          <w:b/>
          <w:kern w:val="0"/>
          <w14:ligatures w14:val="none"/>
        </w:rPr>
        <w:t>August 14, 2025</w:t>
      </w:r>
    </w:p>
    <w:p w:rsidRPr="001942D0" w:rsidR="00A76F4A" w:rsidP="00A76F4A" w:rsidRDefault="00A76F4A" w14:paraId="149FD231"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1942D0">
        <w:rPr>
          <w:rFonts w:ascii="Palatino Linotype" w:hAnsi="Palatino Linotype" w:eastAsia="Times New Roman" w:cs="Times New Roman"/>
          <w:b/>
          <w:kern w:val="0"/>
          <w14:ligatures w14:val="none"/>
        </w:rPr>
        <w:tab/>
      </w:r>
    </w:p>
    <w:p w:rsidRPr="001942D0" w:rsidR="00A76F4A" w:rsidP="00A76F4A" w:rsidRDefault="00A76F4A" w14:paraId="524F4DC8" w14:textId="77777777">
      <w:pPr>
        <w:tabs>
          <w:tab w:val="right" w:pos="8910"/>
        </w:tabs>
        <w:spacing w:after="0" w:line="240" w:lineRule="auto"/>
        <w:ind w:left="1440" w:firstLine="720"/>
        <w:rPr>
          <w:rFonts w:ascii="Palatino" w:hAnsi="Palatino" w:eastAsia="Times New Roman" w:cs="Times New Roman"/>
          <w:b/>
          <w:kern w:val="0"/>
          <w:szCs w:val="20"/>
          <w14:ligatures w14:val="none"/>
        </w:rPr>
      </w:pPr>
    </w:p>
    <w:p w:rsidRPr="001942D0" w:rsidR="00A76F4A" w:rsidP="00A76F4A" w:rsidRDefault="00A76F4A" w14:paraId="4767E366" w14:textId="77777777">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A76F4A" w:rsidP="00A76F4A" w:rsidRDefault="00A76F4A" w14:paraId="778B8F8D"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00F09B6" w14:textId="791A44B6">
      <w:pPr>
        <w:spacing w:after="0" w:line="240" w:lineRule="auto"/>
        <w:ind w:left="720" w:right="720"/>
        <w:rPr>
          <w:rFonts w:ascii="Palatino Linotype" w:hAnsi="Palatino Linotype" w:eastAsia="Times New Roman" w:cs="Times New Roman"/>
          <w:kern w:val="0"/>
          <w14:ligatures w14:val="none"/>
        </w:rPr>
      </w:pPr>
      <w:r w:rsidRPr="00F93056">
        <w:rPr>
          <w:rFonts w:ascii="Palatino Linotype" w:hAnsi="Palatino Linotype" w:eastAsia="Times New Roman" w:cs="Times New Roman"/>
          <w:kern w:val="0"/>
          <w14:ligatures w14:val="none"/>
        </w:rPr>
        <w:t xml:space="preserve">Resolution </w:t>
      </w:r>
      <w:r w:rsidRPr="00F93056" w:rsidR="006334BC">
        <w:rPr>
          <w:rFonts w:ascii="Palatino Linotype" w:hAnsi="Palatino Linotype" w:eastAsia="Times New Roman" w:cs="Times New Roman"/>
          <w:kern w:val="0"/>
          <w14:ligatures w14:val="none"/>
        </w:rPr>
        <w:t>T-17740</w:t>
      </w:r>
      <w:r w:rsidRPr="005C5C10" w:rsidR="005C5C10">
        <w:rPr>
          <w:rFonts w:ascii="Palatino Linotype" w:hAnsi="Palatino Linotype" w:eastAsia="Times New Roman" w:cs="Times New Roman"/>
          <w:kern w:val="0"/>
          <w14:ligatures w14:val="none"/>
        </w:rPr>
        <w:t xml:space="preserve">. </w:t>
      </w:r>
      <w:r w:rsidRPr="000D45B9" w:rsidR="00392A03">
        <w:rPr>
          <w:rFonts w:ascii="Palatino Linotype" w:hAnsi="Palatino Linotype" w:eastAsia="Times New Roman" w:cs="Times New Roman"/>
          <w:kern w:val="0"/>
          <w14:ligatures w14:val="none"/>
        </w:rPr>
        <w:t xml:space="preserve">Response to </w:t>
      </w:r>
      <w:r w:rsidRPr="000D45B9" w:rsidR="00364900">
        <w:rPr>
          <w:rFonts w:ascii="Palatino Linotype" w:hAnsi="Palatino Linotype" w:eastAsia="Times New Roman" w:cs="Times New Roman"/>
          <w:kern w:val="0"/>
          <w14:ligatures w14:val="none"/>
        </w:rPr>
        <w:t>Ponderosa Telephone Company’s Petition for Modification of Resolution T-17637.</w:t>
      </w:r>
      <w:r w:rsidRPr="001942D0">
        <w:rPr>
          <w:rFonts w:ascii="Palatino Linotype" w:hAnsi="Palatino Linotype" w:eastAsia="Times New Roman" w:cs="Times New Roman"/>
          <w:kern w:val="0"/>
          <w14:ligatures w14:val="none"/>
        </w:rPr>
        <w:t xml:space="preserve"> </w:t>
      </w:r>
    </w:p>
    <w:p w:rsidRPr="001942D0" w:rsidR="00A76F4A" w:rsidP="00A76F4A" w:rsidRDefault="00A76F4A" w14:paraId="0054523B" w14:textId="77777777">
      <w:pPr>
        <w:spacing w:after="0" w:line="240" w:lineRule="auto"/>
        <w:ind w:left="720" w:right="720"/>
        <w:rPr>
          <w:rFonts w:ascii="Palatino Linotype" w:hAnsi="Palatino Linotype" w:eastAsia="Palatino Linotype" w:cs="Times New Roman"/>
          <w:kern w:val="0"/>
          <w14:ligatures w14:val="none"/>
        </w:rPr>
      </w:pPr>
    </w:p>
    <w:p w:rsidRPr="001942D0" w:rsidR="00A76F4A" w:rsidP="00A76F4A" w:rsidRDefault="00A76F4A" w14:paraId="3DE3512A"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CB36C4" w:rsidR="00CB36C4" w:rsidP="00CB36C4" w:rsidRDefault="008B168C" w14:paraId="7652461C" w14:textId="1E957087">
      <w:pPr>
        <w:keepNext/>
        <w:numPr>
          <w:ilvl w:val="0"/>
          <w:numId w:val="4"/>
        </w:numPr>
        <w:spacing w:after="0"/>
        <w:rPr>
          <w:rFonts w:ascii="Palatino Linotype" w:hAnsi="Palatino Linotype"/>
          <w:u w:val="single"/>
        </w:rPr>
      </w:pPr>
      <w:r>
        <w:rPr>
          <w:rFonts w:ascii="Palatino Linotype" w:hAnsi="Palatino Linotype"/>
        </w:rPr>
        <w:t>Grants</w:t>
      </w:r>
      <w:r w:rsidR="004C7DCD">
        <w:rPr>
          <w:rFonts w:ascii="Palatino Linotype" w:hAnsi="Palatino Linotype"/>
        </w:rPr>
        <w:t xml:space="preserve"> Ponderosa Telephone Company’s</w:t>
      </w:r>
      <w:r>
        <w:rPr>
          <w:rFonts w:ascii="Palatino Linotype" w:hAnsi="Palatino Linotype"/>
        </w:rPr>
        <w:t xml:space="preserve"> (Ponderosa)</w:t>
      </w:r>
      <w:r w:rsidR="004C7DCD">
        <w:rPr>
          <w:rFonts w:ascii="Palatino Linotype" w:hAnsi="Palatino Linotype"/>
        </w:rPr>
        <w:t xml:space="preserve"> Petition for Modification of Resolution T-17637, Adopting California High-Cost Fund-A Support for 2019, and </w:t>
      </w:r>
      <w:r w:rsidR="00DC18A2">
        <w:rPr>
          <w:rFonts w:ascii="Palatino Linotype" w:hAnsi="Palatino Linotype"/>
        </w:rPr>
        <w:t xml:space="preserve">modifies </w:t>
      </w:r>
      <w:r w:rsidR="00C11BB6">
        <w:rPr>
          <w:rFonts w:ascii="Palatino Linotype" w:hAnsi="Palatino Linotype"/>
        </w:rPr>
        <w:t xml:space="preserve">it </w:t>
      </w:r>
      <w:r w:rsidR="004C7DCD">
        <w:rPr>
          <w:rFonts w:ascii="Palatino Linotype" w:hAnsi="Palatino Linotype"/>
        </w:rPr>
        <w:t>for additional changes to the Pro-Rata</w:t>
      </w:r>
      <w:r w:rsidR="00DC18A2">
        <w:rPr>
          <w:rFonts w:ascii="Palatino Linotype" w:hAnsi="Palatino Linotype"/>
        </w:rPr>
        <w:t xml:space="preserve"> adjustment</w:t>
      </w:r>
      <w:r w:rsidR="004C7DCD">
        <w:rPr>
          <w:rFonts w:ascii="Palatino Linotype" w:hAnsi="Palatino Linotype"/>
        </w:rPr>
        <w:t>.</w:t>
      </w:r>
    </w:p>
    <w:p w:rsidRPr="00CB36C4" w:rsidR="004C7DCD" w:rsidP="00CB36C4" w:rsidRDefault="00CB36C4" w14:paraId="1DC0AA3F" w14:textId="7540DE95">
      <w:pPr>
        <w:keepNext/>
        <w:numPr>
          <w:ilvl w:val="0"/>
          <w:numId w:val="4"/>
        </w:numPr>
        <w:rPr>
          <w:rFonts w:ascii="Palatino Linotype" w:hAnsi="Palatino Linotype"/>
          <w:u w:val="single"/>
        </w:rPr>
      </w:pPr>
      <w:r>
        <w:rPr>
          <w:rFonts w:ascii="Palatino Linotype" w:hAnsi="Palatino Linotype"/>
        </w:rPr>
        <w:t>Adopts</w:t>
      </w:r>
      <w:r w:rsidR="004C7DCD">
        <w:rPr>
          <w:rFonts w:ascii="Palatino Linotype" w:hAnsi="Palatino Linotype"/>
        </w:rPr>
        <w:t xml:space="preserve"> a total of </w:t>
      </w:r>
      <w:r w:rsidRPr="00DB139E" w:rsidR="004C7DCD">
        <w:rPr>
          <w:rFonts w:ascii="Palatino Linotype" w:hAnsi="Palatino Linotype"/>
        </w:rPr>
        <w:t>$558,756.11</w:t>
      </w:r>
      <w:r w:rsidR="004C7DCD">
        <w:rPr>
          <w:rFonts w:ascii="Palatino Linotype" w:hAnsi="Palatino Linotype"/>
        </w:rPr>
        <w:t xml:space="preserve"> in additional California </w:t>
      </w:r>
      <w:proofErr w:type="gramStart"/>
      <w:r w:rsidR="004C7DCD">
        <w:rPr>
          <w:rFonts w:ascii="Palatino Linotype" w:hAnsi="Palatino Linotype"/>
        </w:rPr>
        <w:t>High Cost</w:t>
      </w:r>
      <w:proofErr w:type="gramEnd"/>
      <w:r w:rsidR="004C7DCD">
        <w:rPr>
          <w:rFonts w:ascii="Palatino Linotype" w:hAnsi="Palatino Linotype"/>
        </w:rPr>
        <w:t xml:space="preserve"> Fund-A</w:t>
      </w:r>
      <w:r w:rsidR="008B168C">
        <w:rPr>
          <w:rFonts w:ascii="Palatino Linotype" w:hAnsi="Palatino Linotype"/>
        </w:rPr>
        <w:t xml:space="preserve"> (CHCF-A)</w:t>
      </w:r>
      <w:r w:rsidR="004C7DCD">
        <w:rPr>
          <w:rFonts w:ascii="Palatino Linotype" w:hAnsi="Palatino Linotype"/>
        </w:rPr>
        <w:t xml:space="preserve"> support for 2019 for Ponderosa Telephone Company. </w:t>
      </w:r>
    </w:p>
    <w:p w:rsidRPr="001942D0" w:rsidR="00A76F4A" w:rsidP="00A76F4A" w:rsidRDefault="00A76F4A" w14:paraId="711BBA7A"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76147F" w:rsidR="00A76F4A" w:rsidP="000D45B9" w:rsidRDefault="00A76F4A" w14:paraId="64A6B8D1" w14:textId="2DC32142">
      <w:pPr>
        <w:numPr>
          <w:ilvl w:val="0"/>
          <w:numId w:val="12"/>
        </w:numPr>
        <w:spacing w:after="0" w:line="240" w:lineRule="auto"/>
        <w:ind w:right="720"/>
        <w:rPr>
          <w:rFonts w:ascii="Palatino Linotype" w:hAnsi="Palatino Linotype" w:eastAsia="Palatino Linotype" w:cs="Times New Roman"/>
          <w:kern w:val="0"/>
          <w14:ligatures w14:val="none"/>
        </w:rPr>
      </w:pPr>
      <w:r w:rsidRPr="0076147F">
        <w:rPr>
          <w:rFonts w:ascii="Palatino Linotype" w:hAnsi="Palatino Linotype" w:eastAsia="Times New Roman" w:cs="Times New Roman"/>
          <w:kern w:val="0"/>
          <w14:ligatures w14:val="none"/>
        </w:rPr>
        <w:t xml:space="preserve">There </w:t>
      </w:r>
      <w:proofErr w:type="gramStart"/>
      <w:r w:rsidRPr="0076147F">
        <w:rPr>
          <w:rFonts w:ascii="Palatino Linotype" w:hAnsi="Palatino Linotype" w:eastAsia="Times New Roman" w:cs="Times New Roman"/>
          <w:kern w:val="0"/>
          <w14:ligatures w14:val="none"/>
        </w:rPr>
        <w:t>are</w:t>
      </w:r>
      <w:proofErr w:type="gramEnd"/>
      <w:r w:rsidRPr="0076147F">
        <w:rPr>
          <w:rFonts w:ascii="Palatino Linotype" w:hAnsi="Palatino Linotype" w:eastAsia="Times New Roman" w:cs="Times New Roman"/>
          <w:kern w:val="0"/>
          <w14:ligatures w14:val="none"/>
        </w:rPr>
        <w:t xml:space="preserve"> no safety considerations associated with this resolution.</w:t>
      </w:r>
    </w:p>
    <w:p w:rsidR="00DE7D0C" w:rsidP="00FB57A0" w:rsidRDefault="00DE7D0C" w14:paraId="62719E96" w14:textId="77777777">
      <w:pPr>
        <w:spacing w:after="0" w:line="240" w:lineRule="auto"/>
        <w:ind w:left="720" w:right="720"/>
        <w:rPr>
          <w:rFonts w:ascii="Palatino Linotype" w:hAnsi="Palatino Linotype" w:eastAsia="Palatino Linotype" w:cs="Times New Roman"/>
          <w:kern w:val="0"/>
          <w14:ligatures w14:val="none"/>
        </w:rPr>
      </w:pPr>
    </w:p>
    <w:p w:rsidRPr="001942D0" w:rsidR="00A76F4A" w:rsidP="00FB57A0" w:rsidRDefault="00A76F4A" w14:paraId="6B0D0B8E" w14:textId="02611BBC">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ESTIMATED COST:  </w:t>
      </w:r>
    </w:p>
    <w:p w:rsidRPr="001942D0" w:rsidR="00A76F4A" w:rsidP="000D45B9" w:rsidRDefault="00026FE5" w14:paraId="0ADF6FD2" w14:textId="5681AA38">
      <w:pPr>
        <w:numPr>
          <w:ilvl w:val="0"/>
          <w:numId w:val="3"/>
        </w:numPr>
        <w:spacing w:after="0" w:line="240" w:lineRule="auto"/>
        <w:ind w:left="1440" w:righ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The cost will be </w:t>
      </w:r>
      <w:r w:rsidRPr="00026FE5">
        <w:rPr>
          <w:rFonts w:ascii="Palatino Linotype" w:hAnsi="Palatino Linotype" w:eastAsia="Times New Roman" w:cs="Times New Roman"/>
          <w:kern w:val="0"/>
          <w14:ligatures w14:val="none"/>
        </w:rPr>
        <w:t xml:space="preserve">$558,756.11 </w:t>
      </w:r>
      <w:r w:rsidR="006B0836">
        <w:rPr>
          <w:rFonts w:ascii="Palatino Linotype" w:hAnsi="Palatino Linotype" w:eastAsia="Times New Roman" w:cs="Times New Roman"/>
          <w:kern w:val="0"/>
          <w14:ligatures w14:val="none"/>
        </w:rPr>
        <w:t>to the CHCF-A.</w:t>
      </w:r>
    </w:p>
    <w:p w:rsidRPr="001942D0" w:rsidR="00A76F4A" w:rsidP="00A76F4A" w:rsidRDefault="00A76F4A" w14:paraId="38D179E5" w14:textId="77777777">
      <w:pPr>
        <w:spacing w:after="0" w:line="240" w:lineRule="auto"/>
        <w:ind w:left="720" w:right="720"/>
        <w:rPr>
          <w:rFonts w:ascii="Palatino Linotype" w:hAnsi="Palatino Linotype" w:eastAsia="Palatino Linotype" w:cs="Times New Roman"/>
          <w:kern w:val="0"/>
          <w14:ligatures w14:val="none"/>
        </w:rPr>
      </w:pPr>
    </w:p>
    <w:p w:rsidRPr="001942D0" w:rsidR="00A76F4A" w:rsidP="00A76F4A" w:rsidRDefault="00A76F4A" w14:paraId="573E1F48" w14:textId="5F56659C">
      <w:pPr>
        <w:spacing w:after="0" w:line="240" w:lineRule="auto"/>
        <w:ind w:left="720" w:right="720"/>
        <w:rPr>
          <w:rFonts w:ascii="Palatino Linotype" w:hAnsi="Palatino Linotype" w:eastAsia="Palatino Linotype" w:cs="Times New Roman"/>
          <w:kern w:val="0"/>
          <w14:ligatures w14:val="none"/>
        </w:rPr>
      </w:pPr>
    </w:p>
    <w:p w:rsidRPr="001942D0"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__________________________________________________________</w:t>
      </w:r>
    </w:p>
    <w:p w:rsidRPr="001942D0"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1942D0" w:rsidR="00A76F4A" w:rsidP="00A76F4A"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Summary</w:t>
      </w:r>
      <w:bookmarkEnd w:id="0"/>
    </w:p>
    <w:p w:rsidRPr="00825ECD" w:rsidR="00343C13" w:rsidP="000D45B9" w:rsidRDefault="00343C13" w14:paraId="4D5C98E0" w14:textId="61A2B76D">
      <w:pPr>
        <w:pStyle w:val="NormalBody"/>
        <w:rPr>
          <w:u w:val="single"/>
        </w:rPr>
      </w:pPr>
      <w:r>
        <w:t xml:space="preserve">This Resolution grants Ponderosa Telephone Company’s (Ponderosa) Petition for Modification of Resolution T-17637, Adopting California High-Cost Fund-A Support for 2019, and </w:t>
      </w:r>
      <w:r w:rsidR="0099093F">
        <w:t>modifies</w:t>
      </w:r>
      <w:r w:rsidR="00C254BF">
        <w:t xml:space="preserve"> it</w:t>
      </w:r>
      <w:r w:rsidR="0099093F">
        <w:t xml:space="preserve"> </w:t>
      </w:r>
      <w:r>
        <w:t>for additional changes to the Pro-Rata</w:t>
      </w:r>
      <w:r w:rsidR="0099093F">
        <w:t xml:space="preserve"> adjustment</w:t>
      </w:r>
      <w:r>
        <w:t xml:space="preserve">. This Resolution </w:t>
      </w:r>
      <w:r>
        <w:lastRenderedPageBreak/>
        <w:t xml:space="preserve">adopts a total of </w:t>
      </w:r>
      <w:r w:rsidRPr="00DB139E">
        <w:t>$558,756.11</w:t>
      </w:r>
      <w:r>
        <w:t xml:space="preserve"> in additional California </w:t>
      </w:r>
      <w:proofErr w:type="gramStart"/>
      <w:r>
        <w:t>High Cost</w:t>
      </w:r>
      <w:proofErr w:type="gramEnd"/>
      <w:r>
        <w:t xml:space="preserve"> Fund-A</w:t>
      </w:r>
      <w:r w:rsidR="00D26973">
        <w:t xml:space="preserve"> (CHCF-A)</w:t>
      </w:r>
      <w:r>
        <w:t xml:space="preserve"> support for 2019 for Ponderosa Telephone Company. </w:t>
      </w:r>
    </w:p>
    <w:p w:rsidRPr="001942D0"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Pr="00084065" w:rsidR="00F706F3" w:rsidP="00886504" w:rsidRDefault="00084065" w14:paraId="6E91D3AB" w14:textId="4042BB50">
      <w:pPr>
        <w:pStyle w:val="Heading2"/>
      </w:pPr>
      <w:r w:rsidRPr="00084065">
        <w:t xml:space="preserve">California </w:t>
      </w:r>
      <w:proofErr w:type="gramStart"/>
      <w:r w:rsidRPr="00084065">
        <w:t>High Cost</w:t>
      </w:r>
      <w:proofErr w:type="gramEnd"/>
      <w:r w:rsidRPr="00084065">
        <w:t xml:space="preserve"> Fund-A (CHCF-A)</w:t>
      </w:r>
    </w:p>
    <w:p w:rsidR="00363E76" w:rsidP="00667BC8" w:rsidRDefault="00363E76" w14:paraId="43F123CA" w14:textId="675D02A9">
      <w:pPr>
        <w:pStyle w:val="NormalBody"/>
      </w:pPr>
      <w:r w:rsidRPr="001B54C7">
        <w:t xml:space="preserve">The California </w:t>
      </w:r>
      <w:proofErr w:type="gramStart"/>
      <w:r w:rsidRPr="001B54C7">
        <w:t>High Cost</w:t>
      </w:r>
      <w:proofErr w:type="gramEnd"/>
      <w:r w:rsidRPr="001B54C7">
        <w:t xml:space="preserve"> Fund was implemented by Decision (D.)88-07-022, as modified by D.91-05-016 and D.91-09-042, to provide a source of supplemental revenues for Small Incumbent Local Exchange Carriers (ILECs) </w:t>
      </w:r>
      <w:r w:rsidR="006933C7">
        <w:t>in rural areas</w:t>
      </w:r>
      <w:r w:rsidR="00BA5C23">
        <w:t xml:space="preserve"> </w:t>
      </w:r>
      <w:r w:rsidRPr="001B54C7">
        <w:t>whose basic service rates would otherwise be increased to levels that would threaten universal service. These decisions provide foundational program guidelines. Of the 13 Small ILECs eligible for CHCF-A funding, ten currently request CHCF-A support</w:t>
      </w:r>
      <w:r w:rsidRPr="00EE4985">
        <w:t>.</w:t>
      </w:r>
      <w:r>
        <w:rPr>
          <w:rStyle w:val="FootnoteReference"/>
        </w:rPr>
        <w:footnoteReference w:id="1"/>
      </w:r>
    </w:p>
    <w:p w:rsidR="00667BC8" w:rsidP="000D45B9" w:rsidRDefault="00667BC8" w14:paraId="0A675745" w14:textId="77777777">
      <w:pPr>
        <w:pStyle w:val="NormalBody"/>
      </w:pPr>
    </w:p>
    <w:p w:rsidR="00F706F3" w:rsidP="00E63B59" w:rsidRDefault="00363E76" w14:paraId="2CB85BD0" w14:textId="3F0931AE">
      <w:pPr>
        <w:pStyle w:val="NormalBody"/>
      </w:pPr>
      <w:r w:rsidRPr="00EE4985">
        <w:t xml:space="preserve">Public Utilities (P.U.) Code § 275.6 requires the </w:t>
      </w:r>
      <w:r w:rsidR="359FD78A">
        <w:t>California Public Utilities Commission (</w:t>
      </w:r>
      <w:r>
        <w:t>Commission</w:t>
      </w:r>
      <w:r w:rsidR="382A9B05">
        <w:t>)</w:t>
      </w:r>
      <w:r w:rsidRPr="00EE4985">
        <w:t xml:space="preserve"> to implement the CHCF-A program to reduce any rate disparity in rural areas charged by small telephone corporations that are subject to rate-of-return regulation. </w:t>
      </w:r>
      <w:r>
        <w:t>T</w:t>
      </w:r>
      <w:r w:rsidRPr="00EE4985">
        <w:t xml:space="preserve">he CHCF-A program funding </w:t>
      </w:r>
      <w:r w:rsidR="00E17304">
        <w:t>supplements the</w:t>
      </w:r>
      <w:r w:rsidR="00E269F5">
        <w:t xml:space="preserve"> Small ILECs’ customer revenue so that the Small ILEC</w:t>
      </w:r>
      <w:r w:rsidR="003F1405">
        <w:t>s</w:t>
      </w:r>
      <w:r w:rsidR="00E269F5">
        <w:t xml:space="preserve"> can </w:t>
      </w:r>
      <w:r w:rsidR="003F1405">
        <w:t xml:space="preserve">meet </w:t>
      </w:r>
      <w:r w:rsidRPr="00EE4985">
        <w:t>the revenue requirement</w:t>
      </w:r>
      <w:r w:rsidR="003F1405">
        <w:t>s</w:t>
      </w:r>
      <w:r w:rsidRPr="00EE4985">
        <w:t xml:space="preserve"> needed to achieve </w:t>
      </w:r>
      <w:r w:rsidR="003F1405">
        <w:t>their</w:t>
      </w:r>
      <w:r w:rsidRPr="00EE4985" w:rsidR="003F1405">
        <w:t xml:space="preserve"> </w:t>
      </w:r>
      <w:r w:rsidRPr="00EE4985">
        <w:t>authorized rate</w:t>
      </w:r>
      <w:r w:rsidR="003F1405">
        <w:t>s</w:t>
      </w:r>
      <w:r w:rsidRPr="00EE4985">
        <w:t xml:space="preserve">-of-return. </w:t>
      </w:r>
    </w:p>
    <w:p w:rsidR="005A1101" w:rsidP="00E9251C" w:rsidRDefault="005A1101" w14:paraId="4BE88F54" w14:textId="4EEA1D8A">
      <w:pPr>
        <w:pStyle w:val="Heading2"/>
      </w:pPr>
      <w:r w:rsidRPr="00E9251C">
        <w:t>Annual CHCF</w:t>
      </w:r>
      <w:r>
        <w:t xml:space="preserve">-A Support </w:t>
      </w:r>
      <w:r w:rsidRPr="00E9251C">
        <w:t>Resolution</w:t>
      </w:r>
      <w:r>
        <w:t xml:space="preserve"> </w:t>
      </w:r>
    </w:p>
    <w:p w:rsidR="005A1101" w:rsidP="007139BB" w:rsidRDefault="2186DE19" w14:paraId="33CF59EA" w14:textId="051055EA">
      <w:pPr>
        <w:pStyle w:val="NormalBody"/>
      </w:pPr>
      <w:r>
        <w:t xml:space="preserve">In </w:t>
      </w:r>
      <w:r w:rsidR="005A1101">
        <w:t>D.91-09-042</w:t>
      </w:r>
      <w:r w:rsidR="6FD276D9">
        <w:t>, the Commission</w:t>
      </w:r>
      <w:r w:rsidR="005A1101">
        <w:t xml:space="preserve"> directs the Small LECs to file an </w:t>
      </w:r>
      <w:r w:rsidR="00871A62">
        <w:t>a</w:t>
      </w:r>
      <w:r w:rsidR="005A1101">
        <w:t xml:space="preserve">dvice </w:t>
      </w:r>
      <w:r w:rsidR="00871A62">
        <w:t>l</w:t>
      </w:r>
      <w:r w:rsidR="005A1101">
        <w:t>etter each year “</w:t>
      </w:r>
      <w:r w:rsidRPr="0070013D" w:rsidR="005A1101">
        <w:t>incorporating the net settlements effects upon such company of regulatory changes ordered by the Commission and the Federal Communications Commission (FCC)</w:t>
      </w:r>
      <w:r w:rsidRPr="0070013D" w:rsidR="005C5C10">
        <w:t xml:space="preserve">. </w:t>
      </w:r>
      <w:r w:rsidRPr="0070013D" w:rsidR="005A1101">
        <w:t xml:space="preserve">These advice letter filings will include </w:t>
      </w:r>
      <w:r w:rsidR="005A1101">
        <w:t>…</w:t>
      </w:r>
      <w:r w:rsidRPr="0070013D" w:rsidR="005A1101">
        <w:t xml:space="preserve">all other regulatory changes of industry-wide effect such as changes in levels of interstate </w:t>
      </w:r>
      <w:r w:rsidRPr="0070013D" w:rsidR="00DC2163">
        <w:t>high-cost</w:t>
      </w:r>
      <w:r w:rsidRPr="0070013D" w:rsidR="005A1101">
        <w:t xml:space="preserve"> funding, interstate NTS assignment, other FCC-ordered changes in separations and accounting methodology and Commission-ordered changes</w:t>
      </w:r>
      <w:r w:rsidR="00C42AB9">
        <w:t>.</w:t>
      </w:r>
      <w:r w:rsidR="005A1101">
        <w:t>”</w:t>
      </w:r>
      <w:r w:rsidRPr="4E6545F3" w:rsidR="005A1101">
        <w:rPr>
          <w:rStyle w:val="FootnoteReference"/>
          <w:rFonts w:ascii="Palatino" w:hAnsi="Palatino"/>
          <w:u w:val="single"/>
        </w:rPr>
        <w:footnoteReference w:id="2"/>
      </w:r>
    </w:p>
    <w:p w:rsidRPr="0070013D" w:rsidR="007139BB" w:rsidP="007139BB" w:rsidRDefault="007139BB" w14:paraId="26EA0ED0" w14:textId="77777777">
      <w:pPr>
        <w:pStyle w:val="NormalBody"/>
      </w:pPr>
    </w:p>
    <w:p w:rsidR="005A1101" w:rsidP="00E63B59" w:rsidRDefault="005A1101" w14:paraId="674ACAD4" w14:textId="3CB3EF9D">
      <w:pPr>
        <w:pStyle w:val="NormalBody"/>
      </w:pPr>
      <w:r>
        <w:t xml:space="preserve">The Commission then evaluates these advice letters and adjusts the amount of CHCF-A support that each Small </w:t>
      </w:r>
      <w:r w:rsidR="009570D4">
        <w:t>ILEC</w:t>
      </w:r>
      <w:r>
        <w:t xml:space="preserve"> will receive for the upcoming calendar year. The annual </w:t>
      </w:r>
      <w:r>
        <w:lastRenderedPageBreak/>
        <w:t xml:space="preserve">adjustment to CHCF-A support amounts ensures that each Small </w:t>
      </w:r>
      <w:r w:rsidR="009570D4">
        <w:t>ILEC</w:t>
      </w:r>
      <w:r>
        <w:t xml:space="preserve"> has an opportunity to earn its authorized rate of return. The Commission adopts the new CHCF-A support amounts each year through a resolution. In recent years, the annual adjustments to CHCF-A support have primarily been the result of changes in the amount of federal </w:t>
      </w:r>
      <w:proofErr w:type="gramStart"/>
      <w:r>
        <w:t>high cost</w:t>
      </w:r>
      <w:proofErr w:type="gramEnd"/>
      <w:r>
        <w:t xml:space="preserve"> support that each Small </w:t>
      </w:r>
      <w:r w:rsidR="001E4C00">
        <w:t>I</w:t>
      </w:r>
      <w:r>
        <w:t>LEC receive</w:t>
      </w:r>
      <w:r w:rsidR="00EF36C7">
        <w:t>s</w:t>
      </w:r>
      <w:r>
        <w:t xml:space="preserve">. </w:t>
      </w:r>
    </w:p>
    <w:p w:rsidRPr="007A72BC" w:rsidR="002E28C7" w:rsidP="00A541AA" w:rsidRDefault="002E28C7" w14:paraId="7201412C" w14:textId="2418A0BF">
      <w:pPr>
        <w:pStyle w:val="Heading2"/>
      </w:pPr>
      <w:r w:rsidRPr="007A72BC">
        <w:t xml:space="preserve">Net Interstate Expense Adjustment </w:t>
      </w:r>
      <w:r>
        <w:t>– Projected USF HCLS</w:t>
      </w:r>
    </w:p>
    <w:p w:rsidR="002E28C7" w:rsidP="000D45B9" w:rsidRDefault="002E28C7" w14:paraId="443A981E" w14:textId="0B5311A7">
      <w:pPr>
        <w:pStyle w:val="NormalBody"/>
        <w:rPr>
          <w:rStyle w:val="StylePalatino12pt"/>
          <w:rFonts w:eastAsiaTheme="majorEastAsia" w:cstheme="majorBidi"/>
          <w:u w:val="single"/>
        </w:rPr>
      </w:pPr>
      <w:r>
        <w:rPr>
          <w:rStyle w:val="StylePalatino12pt"/>
        </w:rPr>
        <w:t xml:space="preserve">The Net </w:t>
      </w:r>
      <w:r w:rsidR="00EF36C7">
        <w:rPr>
          <w:rStyle w:val="StylePalatino12pt"/>
        </w:rPr>
        <w:t>Interstate</w:t>
      </w:r>
      <w:r>
        <w:rPr>
          <w:rStyle w:val="StylePalatino12pt"/>
        </w:rPr>
        <w:t xml:space="preserve"> Expense Adjustment for Universal Service Fund (USF) High-Cost Loop Support (HCLS) is one of the adjustments that the Commission considers as part of the annual support resolution. HCLS is a type of federal USF support that is available to rural price-cap and rate-of-return carriers.</w:t>
      </w:r>
      <w:r>
        <w:rPr>
          <w:rStyle w:val="FootnoteReference"/>
        </w:rPr>
        <w:footnoteReference w:id="3"/>
      </w:r>
      <w:r>
        <w:rPr>
          <w:rStyle w:val="StylePalatino12pt"/>
        </w:rPr>
        <w:t xml:space="preserve"> For the purpose of ratemaking, revenue from HCLS is designated as intrastate. </w:t>
      </w:r>
    </w:p>
    <w:p w:rsidR="002E28C7" w:rsidP="000D45B9" w:rsidRDefault="002E28C7" w14:paraId="16EAA126" w14:textId="77777777">
      <w:pPr>
        <w:pStyle w:val="NormalBody"/>
        <w:rPr>
          <w:rStyle w:val="StylePalatino12pt"/>
        </w:rPr>
      </w:pPr>
    </w:p>
    <w:p w:rsidR="002E28C7" w:rsidP="008B2BD7" w:rsidRDefault="613A5110" w14:paraId="051B5054" w14:textId="6F523852">
      <w:pPr>
        <w:pStyle w:val="NormalBody"/>
        <w:rPr>
          <w:rStyle w:val="StylePalatino12pt"/>
        </w:rPr>
      </w:pPr>
      <w:r w:rsidRPr="009C2E21">
        <w:rPr>
          <w:rStyle w:val="StylePalatino12pt"/>
        </w:rPr>
        <w:t xml:space="preserve">In </w:t>
      </w:r>
      <w:r w:rsidRPr="009C2E21" w:rsidR="002E28C7">
        <w:rPr>
          <w:rStyle w:val="StylePalatino12pt"/>
        </w:rPr>
        <w:t>D.91-09-042</w:t>
      </w:r>
      <w:r w:rsidRPr="009C2E21" w:rsidR="68EC44F1">
        <w:rPr>
          <w:rStyle w:val="StylePalatino12pt"/>
        </w:rPr>
        <w:t>, the Commission</w:t>
      </w:r>
      <w:r w:rsidRPr="009C2E21" w:rsidR="002E28C7">
        <w:rPr>
          <w:rStyle w:val="StylePalatino12pt"/>
        </w:rPr>
        <w:t xml:space="preserve"> authorizes the Small ILECs to include any changes to their federal USF </w:t>
      </w:r>
      <w:r w:rsidR="002E28C7">
        <w:rPr>
          <w:rStyle w:val="StylePalatino12pt"/>
        </w:rPr>
        <w:t>support</w:t>
      </w:r>
      <w:r w:rsidRPr="009C2E21" w:rsidR="002E28C7">
        <w:rPr>
          <w:rStyle w:val="StylePalatino12pt"/>
        </w:rPr>
        <w:t xml:space="preserve"> in the annual CHCF-A filings</w:t>
      </w:r>
      <w:r w:rsidR="002E28C7">
        <w:rPr>
          <w:rStyle w:val="StylePalatino12pt"/>
        </w:rPr>
        <w:t xml:space="preserve">, thus changes in the amount of HCLS are included. Resolution T-16117 specifically states that </w:t>
      </w:r>
      <w:r w:rsidRPr="000B4333" w:rsidR="002E28C7">
        <w:rPr>
          <w:rStyle w:val="StylePalatino12pt"/>
        </w:rPr>
        <w:t>“Rule B requires the small LECs to include the changes in levels of USF in the annual CHCF-A filings</w:t>
      </w:r>
      <w:r w:rsidR="002E28C7">
        <w:rPr>
          <w:rStyle w:val="StylePalatino12pt"/>
        </w:rPr>
        <w:t>”</w:t>
      </w:r>
      <w:r w:rsidR="002E28C7">
        <w:rPr>
          <w:rStyle w:val="FootnoteReference"/>
        </w:rPr>
        <w:footnoteReference w:id="4"/>
      </w:r>
      <w:r w:rsidR="002E28C7">
        <w:rPr>
          <w:rStyle w:val="StylePalatino12pt"/>
        </w:rPr>
        <w:t xml:space="preserve"> and describes how the Net </w:t>
      </w:r>
      <w:r w:rsidR="00320CEB">
        <w:rPr>
          <w:rStyle w:val="StylePalatino12pt"/>
        </w:rPr>
        <w:t>Interstate</w:t>
      </w:r>
      <w:r w:rsidR="002E28C7">
        <w:rPr>
          <w:rStyle w:val="StylePalatino12pt"/>
        </w:rPr>
        <w:t xml:space="preserve"> Expense Adjustment for 1998 should be calculated, stating that it</w:t>
      </w:r>
      <w:r w:rsidRPr="00160947" w:rsidR="002E28C7">
        <w:rPr>
          <w:rStyle w:val="StylePalatino12pt"/>
        </w:rPr>
        <w:t xml:space="preserve"> “should </w:t>
      </w:r>
      <w:r w:rsidR="00320CEB">
        <w:rPr>
          <w:rStyle w:val="StylePalatino12pt"/>
        </w:rPr>
        <w:t>inc</w:t>
      </w:r>
      <w:r w:rsidRPr="00160947" w:rsidR="002E28C7">
        <w:rPr>
          <w:rStyle w:val="StylePalatino12pt"/>
        </w:rPr>
        <w:t>lude the difference between the 1998 USF support as forecasted and the 1997 USF support as approved. Once approved, the forecasted 1998 support would become the approved 1998 USF support for the 1999 CHCF-A filings”</w:t>
      </w:r>
      <w:r w:rsidR="002E28C7">
        <w:rPr>
          <w:rStyle w:val="StylePalatino12pt"/>
        </w:rPr>
        <w:t>.</w:t>
      </w:r>
      <w:r w:rsidR="002E28C7">
        <w:rPr>
          <w:rStyle w:val="FootnoteReference"/>
        </w:rPr>
        <w:footnoteReference w:id="5"/>
      </w:r>
      <w:r w:rsidR="002E28C7">
        <w:rPr>
          <w:rStyle w:val="StylePalatino12pt"/>
        </w:rPr>
        <w:t xml:space="preserve"> </w:t>
      </w:r>
    </w:p>
    <w:p w:rsidR="008B2BD7" w:rsidP="000D45B9" w:rsidRDefault="008B2BD7" w14:paraId="4CC1869C" w14:textId="77777777">
      <w:pPr>
        <w:pStyle w:val="NormalBody"/>
        <w:rPr>
          <w:rStyle w:val="StylePalatino12pt"/>
        </w:rPr>
      </w:pPr>
    </w:p>
    <w:p w:rsidR="002E28C7" w:rsidP="00D45D39" w:rsidRDefault="002E28C7" w14:paraId="0FC8C1D0" w14:textId="76F62751">
      <w:pPr>
        <w:pStyle w:val="NormalBody"/>
      </w:pPr>
      <w:r>
        <w:rPr>
          <w:rStyle w:val="StylePalatino12pt"/>
        </w:rPr>
        <w:t>Thus</w:t>
      </w:r>
      <w:r w:rsidR="00320CEB">
        <w:rPr>
          <w:rStyle w:val="StylePalatino12pt"/>
        </w:rPr>
        <w:t>,</w:t>
      </w:r>
      <w:r w:rsidR="007B3809">
        <w:rPr>
          <w:rStyle w:val="StylePalatino12pt"/>
        </w:rPr>
        <w:t xml:space="preserve"> when</w:t>
      </w:r>
      <w:r>
        <w:rPr>
          <w:rStyle w:val="StylePalatino12pt"/>
        </w:rPr>
        <w:t xml:space="preserve"> determining the annual adjustments to CHCF-A support, the Commission calculates the difference between </w:t>
      </w:r>
      <w:r w:rsidRPr="009D7706">
        <w:t xml:space="preserve">the forecasted </w:t>
      </w:r>
      <w:r>
        <w:t>HCLS</w:t>
      </w:r>
      <w:r w:rsidRPr="009D7706">
        <w:t xml:space="preserve"> for the current year and the forecasted </w:t>
      </w:r>
      <w:r>
        <w:t>HCLS</w:t>
      </w:r>
      <w:r w:rsidRPr="009D7706">
        <w:t xml:space="preserve"> support for the coming year. </w:t>
      </w:r>
      <w:r w:rsidRPr="008173EA">
        <w:t>An increase in the projected HCLS would result in a downward adjustment in CHCF-A support and a decrease in HCLS would result in an upward adjustment in CHCF-A support</w:t>
      </w:r>
      <w:r>
        <w:t xml:space="preserve">. </w:t>
      </w:r>
    </w:p>
    <w:p w:rsidR="00D45D39" w:rsidP="000D45B9" w:rsidRDefault="00D45D39" w14:paraId="020513FE" w14:textId="77777777">
      <w:pPr>
        <w:pStyle w:val="NormalBody"/>
      </w:pPr>
    </w:p>
    <w:p w:rsidR="002E28C7" w:rsidP="000D45B9" w:rsidRDefault="002E28C7" w14:paraId="17461C88" w14:textId="33F4E74B">
      <w:pPr>
        <w:pStyle w:val="NormalBody"/>
      </w:pPr>
      <w:r>
        <w:t xml:space="preserve">For the upcoming year’s </w:t>
      </w:r>
      <w:r w:rsidRPr="009D7706">
        <w:t>forecasted USF-HCLS</w:t>
      </w:r>
      <w:r>
        <w:t xml:space="preserve">, the Commission uses the </w:t>
      </w:r>
      <w:r w:rsidRPr="009D7706">
        <w:t>amount projected by the USF administrator,</w:t>
      </w:r>
      <w:r>
        <w:t xml:space="preserve"> the </w:t>
      </w:r>
      <w:r w:rsidRPr="00DE1D81">
        <w:t>National</w:t>
      </w:r>
      <w:r w:rsidR="00D45D39">
        <w:t xml:space="preserve"> </w:t>
      </w:r>
      <w:r w:rsidRPr="00DE1D81">
        <w:t>Exchange Carrier Association, Inc</w:t>
      </w:r>
      <w:r w:rsidRPr="009D7706">
        <w:t xml:space="preserve"> </w:t>
      </w:r>
      <w:r>
        <w:t>(</w:t>
      </w:r>
      <w:r w:rsidRPr="009D7706">
        <w:t>NECA</w:t>
      </w:r>
      <w:r>
        <w:t>)</w:t>
      </w:r>
      <w:r w:rsidRPr="009D7706">
        <w:t>.</w:t>
      </w:r>
      <w:r>
        <w:t xml:space="preserve"> NECA publishes this information by October 1 of each year in Appendix E of the USF Data Submission.</w:t>
      </w:r>
      <w:r w:rsidR="002907E0">
        <w:rPr>
          <w:rStyle w:val="FootnoteReference"/>
        </w:rPr>
        <w:footnoteReference w:id="6"/>
      </w:r>
      <w:r>
        <w:t xml:space="preserve"> </w:t>
      </w:r>
    </w:p>
    <w:p w:rsidR="00895E49" w:rsidP="00895E49" w:rsidRDefault="00402225" w14:paraId="596F0F9A" w14:textId="593D84C6">
      <w:pPr>
        <w:pStyle w:val="Heading2"/>
      </w:pPr>
      <w:r>
        <w:lastRenderedPageBreak/>
        <w:t>Adjustment for Pro-Rata Changes</w:t>
      </w:r>
    </w:p>
    <w:p w:rsidRPr="00EE4985" w:rsidR="00244734" w:rsidP="000D45B9" w:rsidRDefault="00244734" w14:paraId="5B0D8739" w14:textId="6FBC5268">
      <w:pPr>
        <w:pStyle w:val="NormalBody"/>
      </w:pPr>
      <w:r w:rsidRPr="00EE4985">
        <w:t xml:space="preserve">The annual CHCF-A support resolutions </w:t>
      </w:r>
      <w:r>
        <w:t xml:space="preserve">include an adjustment </w:t>
      </w:r>
      <w:r w:rsidRPr="00EE4985">
        <w:t>due to changes in the Pro-Rata adjustment</w:t>
      </w:r>
      <w:r>
        <w:rPr>
          <w:rStyle w:val="FootnoteReference"/>
        </w:rPr>
        <w:footnoteReference w:id="7"/>
      </w:r>
      <w:r w:rsidR="009053D6">
        <w:t>.</w:t>
      </w:r>
      <w:r w:rsidRPr="00EE4985">
        <w:t xml:space="preserve"> </w:t>
      </w:r>
      <w:proofErr w:type="gramStart"/>
      <w:r w:rsidR="00E15D6C">
        <w:t>The Pro</w:t>
      </w:r>
      <w:proofErr w:type="gramEnd"/>
      <w:r w:rsidR="00E15D6C">
        <w:t xml:space="preserve">-Rata adjustment </w:t>
      </w:r>
      <w:r w:rsidR="0081167C">
        <w:t xml:space="preserve">is applied </w:t>
      </w:r>
      <w:r w:rsidR="004275DC">
        <w:t>to all HCLS recipients</w:t>
      </w:r>
      <w:r w:rsidR="001F4769">
        <w:t xml:space="preserve">’ support </w:t>
      </w:r>
      <w:r w:rsidR="00A733AD">
        <w:t xml:space="preserve">amounts to ensure that the total is within the </w:t>
      </w:r>
      <w:r w:rsidR="0008261C">
        <w:t xml:space="preserve">HCLS funding cap. </w:t>
      </w:r>
      <w:r w:rsidRPr="00EE4985">
        <w:t xml:space="preserve">Pro-Rata adjustments reduce the amount of HCLS that </w:t>
      </w:r>
      <w:r w:rsidR="00D302B4">
        <w:t>the Small ILECs</w:t>
      </w:r>
      <w:r w:rsidRPr="00EE4985" w:rsidR="00D302B4">
        <w:t xml:space="preserve"> </w:t>
      </w:r>
      <w:r w:rsidRPr="00EE4985">
        <w:t>receive, and therefore</w:t>
      </w:r>
      <w:r w:rsidR="00F94090">
        <w:t>,</w:t>
      </w:r>
      <w:r w:rsidRPr="00EE4985">
        <w:t xml:space="preserve"> </w:t>
      </w:r>
      <w:r w:rsidR="0095761D">
        <w:t xml:space="preserve">result in the Commission </w:t>
      </w:r>
      <w:r w:rsidRPr="00EE4985">
        <w:t>increa</w:t>
      </w:r>
      <w:r w:rsidR="0095761D">
        <w:t>sing</w:t>
      </w:r>
      <w:r w:rsidRPr="00EE4985">
        <w:t xml:space="preserve"> the amount of CHCF-A support. The same cost study that is used to calculate the projected HCLS is also used to determine the pro-rata amount. However, while the projected HCLS is forward-looking (2017 data is used to determine projected support for 2019), the Pro-Rata adjustments in the annual CHCF-A support resolutions are backwards-looking. Pro-Rata adjustments are included when the Small LECs </w:t>
      </w:r>
      <w:proofErr w:type="gramStart"/>
      <w:r w:rsidRPr="00EE4985">
        <w:t>actually receive</w:t>
      </w:r>
      <w:proofErr w:type="gramEnd"/>
      <w:r w:rsidRPr="00EE4985">
        <w:t xml:space="preserve"> their HCLS payments, and they submit data to </w:t>
      </w:r>
      <w:r w:rsidR="008034DE">
        <w:t>the Communications Division (</w:t>
      </w:r>
      <w:r w:rsidRPr="00EE4985">
        <w:t>CD</w:t>
      </w:r>
      <w:r w:rsidR="008034DE">
        <w:t>)</w:t>
      </w:r>
      <w:r w:rsidRPr="00EE4985">
        <w:t xml:space="preserve"> afterwards to calculate what the impact of the Pro-Rata adjustments were</w:t>
      </w:r>
      <w:r w:rsidR="00975DEF">
        <w:t xml:space="preserve"> in prior years</w:t>
      </w:r>
      <w:r w:rsidRPr="00EE4985">
        <w:t xml:space="preserve">. </w:t>
      </w:r>
    </w:p>
    <w:p w:rsidR="00591841" w:rsidP="00C9587E" w:rsidRDefault="00591841" w14:paraId="76A2F2A9" w14:textId="3C37696F">
      <w:pPr>
        <w:pStyle w:val="Heading2"/>
      </w:pPr>
      <w:r>
        <w:t xml:space="preserve">Resolution T-17637 (2019 </w:t>
      </w:r>
      <w:r w:rsidRPr="00C9587E">
        <w:t>CHCF</w:t>
      </w:r>
      <w:r>
        <w:t>-A Support) and Petition to Modify</w:t>
      </w:r>
    </w:p>
    <w:p w:rsidR="00591841" w:rsidP="008B2BD7" w:rsidRDefault="00591841" w14:paraId="3FCC8BC6" w14:textId="66778B9D">
      <w:pPr>
        <w:pStyle w:val="NormalBody"/>
      </w:pPr>
      <w:r>
        <w:t xml:space="preserve">As part of the process for determining the CHCF-A support adjustments for 2019, </w:t>
      </w:r>
      <w:r w:rsidRPr="00CF6143">
        <w:t xml:space="preserve">Ponderosa Telephone Company (Ponderosa) </w:t>
      </w:r>
      <w:r>
        <w:t>submitted</w:t>
      </w:r>
      <w:r w:rsidRPr="00EE4985">
        <w:t xml:space="preserve"> A</w:t>
      </w:r>
      <w:r w:rsidRPr="007B1F36">
        <w:t xml:space="preserve">dvice </w:t>
      </w:r>
      <w:r w:rsidRPr="00EE4985">
        <w:t>L</w:t>
      </w:r>
      <w:r w:rsidRPr="007B1F36">
        <w:t>etter (AL)</w:t>
      </w:r>
      <w:r w:rsidRPr="00EE4985">
        <w:t xml:space="preserve"> 472</w:t>
      </w:r>
      <w:r>
        <w:t xml:space="preserve">. In AL 472, </w:t>
      </w:r>
      <w:r w:rsidR="009E7D2A">
        <w:t>Ponderosa</w:t>
      </w:r>
      <w:r>
        <w:t xml:space="preserve"> requested</w:t>
      </w:r>
      <w:r w:rsidRPr="00EE4985">
        <w:t xml:space="preserve"> adjustments of $234,957.45</w:t>
      </w:r>
      <w:r>
        <w:t>,</w:t>
      </w:r>
      <w:r w:rsidRPr="00EE4985">
        <w:t xml:space="preserve"> </w:t>
      </w:r>
      <w:r>
        <w:t xml:space="preserve">which </w:t>
      </w:r>
      <w:r w:rsidRPr="00EE4985">
        <w:t>result</w:t>
      </w:r>
      <w:r>
        <w:t>ed</w:t>
      </w:r>
      <w:r w:rsidRPr="00EE4985">
        <w:t xml:space="preserve"> in a</w:t>
      </w:r>
      <w:r>
        <w:t xml:space="preserve"> total request of </w:t>
      </w:r>
      <w:r w:rsidRPr="00EE4985">
        <w:t xml:space="preserve">$2,931,811.16 in CHCF-A support for </w:t>
      </w:r>
      <w:r w:rsidR="00F00983">
        <w:t>Calendar Year (</w:t>
      </w:r>
      <w:r w:rsidRPr="00EE4985">
        <w:t>CY</w:t>
      </w:r>
      <w:r w:rsidR="00F00983">
        <w:t>)</w:t>
      </w:r>
      <w:r w:rsidRPr="00EE4985">
        <w:t xml:space="preserve"> 2019. </w:t>
      </w:r>
    </w:p>
    <w:p w:rsidR="008B2BD7" w:rsidP="000D45B9" w:rsidRDefault="008B2BD7" w14:paraId="7BE65B1B" w14:textId="77777777">
      <w:pPr>
        <w:pStyle w:val="NormalBody"/>
      </w:pPr>
    </w:p>
    <w:p w:rsidR="002E28C7" w:rsidP="008B2BD7" w:rsidRDefault="00591841" w14:paraId="77C14E11" w14:textId="33A2223D">
      <w:pPr>
        <w:pStyle w:val="NormalBody"/>
      </w:pPr>
      <w:r w:rsidRPr="00EE4985">
        <w:t xml:space="preserve">On January 10, 2019, the Commission </w:t>
      </w:r>
      <w:r>
        <w:t>adopted</w:t>
      </w:r>
      <w:r w:rsidRPr="00EE4985">
        <w:t xml:space="preserve"> Resolution T-17637</w:t>
      </w:r>
      <w:r w:rsidRPr="007B1F36">
        <w:t>,</w:t>
      </w:r>
      <w:r w:rsidRPr="00EE4985">
        <w:t xml:space="preserve"> which adopted $30.110 million in CHCF-A support for CY 2019 to be disbursed </w:t>
      </w:r>
      <w:proofErr w:type="gramStart"/>
      <w:r w:rsidRPr="00EE4985">
        <w:t>to</w:t>
      </w:r>
      <w:proofErr w:type="gramEnd"/>
      <w:r w:rsidRPr="00EE4985">
        <w:t xml:space="preserve"> seven Small ILECs</w:t>
      </w:r>
      <w:r w:rsidRPr="0051572D">
        <w:rPr>
          <w:rStyle w:val="FootnoteReference"/>
        </w:rPr>
        <w:t xml:space="preserve"> </w:t>
      </w:r>
      <w:r w:rsidRPr="00EE4985">
        <w:rPr>
          <w:rStyle w:val="FootnoteReference"/>
        </w:rPr>
        <w:footnoteReference w:id="8"/>
      </w:r>
      <w:r>
        <w:t xml:space="preserve">, including </w:t>
      </w:r>
      <w:r w:rsidRPr="00EE4985">
        <w:t xml:space="preserve">$2,862,478.34 </w:t>
      </w:r>
      <w:r>
        <w:t>for Ponderosa</w:t>
      </w:r>
      <w:r w:rsidRPr="00EE4985" w:rsidR="005C5C10">
        <w:t xml:space="preserve">. </w:t>
      </w:r>
      <w:r>
        <w:t xml:space="preserve">The adopted CHCF-A support amount for Ponderosa </w:t>
      </w:r>
      <w:r w:rsidRPr="00EE4985">
        <w:t xml:space="preserve">included an adjustment due to the projected 2019 </w:t>
      </w:r>
      <w:r>
        <w:t>federal</w:t>
      </w:r>
      <w:r w:rsidR="00B4739C">
        <w:t xml:space="preserve"> </w:t>
      </w:r>
      <w:r w:rsidRPr="00EE4985">
        <w:t xml:space="preserve">HCLS amount </w:t>
      </w:r>
      <w:r w:rsidRPr="00817265">
        <w:t>of $4,190,561.23</w:t>
      </w:r>
      <w:r w:rsidRPr="00EE4985">
        <w:t xml:space="preserve"> released by</w:t>
      </w:r>
      <w:r>
        <w:t xml:space="preserve"> NECA </w:t>
      </w:r>
      <w:r w:rsidRPr="00EE4985">
        <w:t>on September 19, 2018</w:t>
      </w:r>
      <w:r w:rsidRPr="007B1F36">
        <w:t>.</w:t>
      </w:r>
      <w:r>
        <w:rPr>
          <w:rStyle w:val="FootnoteReference"/>
        </w:rPr>
        <w:footnoteReference w:id="9"/>
      </w:r>
      <w:r w:rsidRPr="007B1F36">
        <w:t xml:space="preserve"> </w:t>
      </w:r>
    </w:p>
    <w:p w:rsidR="008B2BD7" w:rsidP="000D45B9" w:rsidRDefault="008B2BD7" w14:paraId="642D459A" w14:textId="77777777">
      <w:pPr>
        <w:pStyle w:val="NormalBody"/>
        <w:rPr>
          <w:rStyle w:val="StylePalatino12pt"/>
        </w:rPr>
      </w:pPr>
    </w:p>
    <w:p w:rsidR="007A66C9" w:rsidP="000D45B9" w:rsidRDefault="007A66C9" w14:paraId="1F645830" w14:textId="5AD38B1B">
      <w:pPr>
        <w:pStyle w:val="NormalBody"/>
      </w:pPr>
      <w:r w:rsidRPr="00D77210">
        <w:t>On January 9, 2020, Ponderosa submitted a Petition for Modification</w:t>
      </w:r>
      <w:r w:rsidR="00243695">
        <w:t xml:space="preserve"> (PFM)</w:t>
      </w:r>
      <w:r w:rsidRPr="00D77210">
        <w:t xml:space="preserve"> of Resolution T</w:t>
      </w:r>
      <w:r>
        <w:noBreakHyphen/>
      </w:r>
      <w:r w:rsidRPr="00D77210">
        <w:t>17637</w:t>
      </w:r>
      <w:r w:rsidR="00356A2A">
        <w:rPr>
          <w:rStyle w:val="FootnoteReference"/>
        </w:rPr>
        <w:footnoteReference w:id="10"/>
      </w:r>
      <w:r>
        <w:t>,</w:t>
      </w:r>
      <w:r w:rsidRPr="00D77210">
        <w:t xml:space="preserve"> in which they requested an increase </w:t>
      </w:r>
      <w:r w:rsidR="006F1197">
        <w:t xml:space="preserve">amount of </w:t>
      </w:r>
      <w:r w:rsidRPr="007D7543" w:rsidR="007D7543">
        <w:t xml:space="preserve">$567,856 </w:t>
      </w:r>
      <w:r w:rsidRPr="00D77210">
        <w:t xml:space="preserve">in CHCF-A support for </w:t>
      </w:r>
      <w:r>
        <w:t>CY</w:t>
      </w:r>
      <w:r w:rsidRPr="00D77210">
        <w:t xml:space="preserve"> 2019 due </w:t>
      </w:r>
      <w:r>
        <w:t xml:space="preserve">a </w:t>
      </w:r>
      <w:r w:rsidR="00695D57">
        <w:t xml:space="preserve">decrease </w:t>
      </w:r>
      <w:r>
        <w:t xml:space="preserve">in the projected HCLS amount for 2019. </w:t>
      </w:r>
    </w:p>
    <w:p w:rsidR="007A66C9" w:rsidP="000D45B9" w:rsidRDefault="007A66C9" w14:paraId="6797E022" w14:textId="77777777">
      <w:pPr>
        <w:pStyle w:val="NormalBody"/>
      </w:pPr>
    </w:p>
    <w:p w:rsidR="007A66C9" w:rsidP="000D45B9" w:rsidRDefault="007A66C9" w14:paraId="487E691E" w14:textId="2CBB3005">
      <w:pPr>
        <w:pStyle w:val="NormalBody"/>
      </w:pPr>
      <w:r>
        <w:t xml:space="preserve">NECA calculates the projected HCLS for each year using data submitted by the companies. Ponderosa stated that they initially </w:t>
      </w:r>
      <w:r w:rsidRPr="00D77210">
        <w:t>submitted data to NECA that contained an error</w:t>
      </w:r>
      <w:r>
        <w:t>,</w:t>
      </w:r>
      <w:r w:rsidRPr="00D77210">
        <w:t xml:space="preserve"> and this incorrect data was used to develop the estimated </w:t>
      </w:r>
      <w:r w:rsidR="00D13B4F">
        <w:t xml:space="preserve">HCLS </w:t>
      </w:r>
      <w:r w:rsidRPr="00D77210">
        <w:t>amount included in NECA’s September 201</w:t>
      </w:r>
      <w:r>
        <w:t>8</w:t>
      </w:r>
      <w:r w:rsidRPr="00D77210">
        <w:t xml:space="preserve"> Appendix E.</w:t>
      </w:r>
      <w:r w:rsidRPr="00D77210">
        <w:rPr>
          <w:rStyle w:val="FootnoteReference"/>
        </w:rPr>
        <w:footnoteReference w:id="11"/>
      </w:r>
      <w:r w:rsidRPr="00D77210">
        <w:t xml:space="preserve"> Ponderosa states that this was </w:t>
      </w:r>
      <w:proofErr w:type="gramStart"/>
      <w:r w:rsidRPr="00D77210">
        <w:t>an inadvertent error</w:t>
      </w:r>
      <w:proofErr w:type="gramEnd"/>
      <w:r w:rsidRPr="00D77210">
        <w:t xml:space="preserve"> relating to excess deferred taxes </w:t>
      </w:r>
      <w:r>
        <w:t xml:space="preserve">due to </w:t>
      </w:r>
      <w:r w:rsidRPr="00D77210">
        <w:t xml:space="preserve">changes in the tax code </w:t>
      </w:r>
      <w:r>
        <w:t>from</w:t>
      </w:r>
      <w:r w:rsidRPr="00D77210">
        <w:t xml:space="preserve"> the 2017 Tax Cuts and Jobs Act. </w:t>
      </w:r>
      <w:r>
        <w:t xml:space="preserve">The Commission used the information included in NECA’s </w:t>
      </w:r>
      <w:r w:rsidR="000135AB">
        <w:t xml:space="preserve">September </w:t>
      </w:r>
      <w:r>
        <w:t>2018 Appendix E to calculate 2019 CHCF-A support for Ponderosa, which was adopted in Res</w:t>
      </w:r>
      <w:r w:rsidR="004F2D0D">
        <w:t>olution</w:t>
      </w:r>
      <w:r>
        <w:t xml:space="preserve"> T-1763</w:t>
      </w:r>
      <w:r w:rsidR="00846E32">
        <w:t>7</w:t>
      </w:r>
      <w:r>
        <w:t>.</w:t>
      </w:r>
    </w:p>
    <w:p w:rsidRPr="00D77210" w:rsidR="007A66C9" w:rsidP="000D45B9" w:rsidRDefault="007A66C9" w14:paraId="34938BE6" w14:textId="77777777">
      <w:pPr>
        <w:pStyle w:val="NormalBody"/>
      </w:pPr>
    </w:p>
    <w:p w:rsidRPr="00D77210" w:rsidR="007A66C9" w:rsidP="000D45B9" w:rsidRDefault="007A66C9" w14:paraId="1B6AD4E4" w14:textId="28763E04">
      <w:pPr>
        <w:pStyle w:val="NormalBody"/>
      </w:pPr>
      <w:r w:rsidRPr="00D77210">
        <w:t xml:space="preserve">In December 2018, Ponderosa discovered </w:t>
      </w:r>
      <w:r>
        <w:t>the error and then corrected</w:t>
      </w:r>
      <w:r w:rsidRPr="00D77210">
        <w:t xml:space="preserve"> and resubmitted its 2018 USF-HCLS Data Collection Form to NECA. This resulted in a </w:t>
      </w:r>
      <w:r>
        <w:t xml:space="preserve">reduction of </w:t>
      </w:r>
      <w:r w:rsidRPr="00D77210">
        <w:t xml:space="preserve">projected </w:t>
      </w:r>
      <w:r>
        <w:t xml:space="preserve">2019 </w:t>
      </w:r>
      <w:r w:rsidRPr="00D77210">
        <w:t>USF payment</w:t>
      </w:r>
      <w:r>
        <w:t xml:space="preserve">s </w:t>
      </w:r>
      <w:r w:rsidRPr="00D77210">
        <w:t xml:space="preserve">of $584,698. Ponderosa states that </w:t>
      </w:r>
      <w:r w:rsidR="00E75856">
        <w:t xml:space="preserve">of the total reduction </w:t>
      </w:r>
      <w:r w:rsidR="000D57D2">
        <w:t>to 2019 HCLS</w:t>
      </w:r>
      <w:r w:rsidR="00E75856">
        <w:t>,</w:t>
      </w:r>
      <w:r>
        <w:t xml:space="preserve"> </w:t>
      </w:r>
      <w:r w:rsidRPr="00D77210">
        <w:t xml:space="preserve">$567,856 was associated with the excess deferred tax issue, while the remainder resulted from several other minor corrections in the data. </w:t>
      </w:r>
      <w:r>
        <w:t xml:space="preserve">Ponderosa did not submit any corrected information to the Commission at that time. </w:t>
      </w:r>
    </w:p>
    <w:p w:rsidRPr="00D77210" w:rsidR="007A66C9" w:rsidP="000D45B9" w:rsidRDefault="007A66C9" w14:paraId="6C75FC9A" w14:textId="77777777">
      <w:pPr>
        <w:pStyle w:val="NormalBody"/>
      </w:pPr>
    </w:p>
    <w:p w:rsidR="007A66C9" w:rsidP="000D45B9" w:rsidRDefault="007A66C9" w14:paraId="05688E9E" w14:textId="14FE44D3">
      <w:pPr>
        <w:pStyle w:val="NormalBody"/>
      </w:pPr>
      <w:r w:rsidRPr="00D77210">
        <w:t xml:space="preserve">Ponderosa acknowledges that Resolution T-17637 correctly determined Ponderosa’s CHCF-A support for 2019 based on the </w:t>
      </w:r>
      <w:r>
        <w:t>data</w:t>
      </w:r>
      <w:r w:rsidRPr="00D77210">
        <w:t xml:space="preserve"> that </w:t>
      </w:r>
      <w:r>
        <w:t>was</w:t>
      </w:r>
      <w:r w:rsidRPr="00D77210">
        <w:t xml:space="preserve"> submitted at the time (in AL 472). </w:t>
      </w:r>
      <w:r>
        <w:t xml:space="preserve">However, since the 2019 HCLS projections were lowered </w:t>
      </w:r>
      <w:proofErr w:type="gramStart"/>
      <w:r>
        <w:t>as a result of</w:t>
      </w:r>
      <w:proofErr w:type="gramEnd"/>
      <w:r>
        <w:t xml:space="preserve"> the correction, </w:t>
      </w:r>
      <w:r w:rsidR="00E47DF7">
        <w:t xml:space="preserve">in </w:t>
      </w:r>
      <w:r w:rsidRPr="00E47DF7" w:rsidR="00E47DF7">
        <w:t>their PFM of T-17637</w:t>
      </w:r>
      <w:r w:rsidR="00E47DF7">
        <w:t xml:space="preserve">, </w:t>
      </w:r>
      <w:r>
        <w:t>Ponderosa requests additional CHCF-A support for 2019 in the amount of $567,856. Ponderosa’s PFM only requests that the CHCF-A support be adjusted for the HCLS reduction related to the excess deferred tax issue.</w:t>
      </w:r>
    </w:p>
    <w:p w:rsidR="00954480" w:rsidP="00954480" w:rsidRDefault="00954480" w14:paraId="42E1C858" w14:textId="77777777">
      <w:pPr>
        <w:pStyle w:val="Heading2"/>
      </w:pPr>
      <w:r>
        <w:t>Tax Cuts and Jobs Act</w:t>
      </w:r>
    </w:p>
    <w:p w:rsidRPr="00A650F6" w:rsidR="00954480" w:rsidP="000D45B9" w:rsidRDefault="00954480" w14:paraId="6ACFACA3" w14:textId="77777777">
      <w:pPr>
        <w:pStyle w:val="NormalBody"/>
      </w:pPr>
      <w:r w:rsidRPr="00865470">
        <w:rPr>
          <w:rStyle w:val="StylePalatino12pt"/>
        </w:rPr>
        <w:t>The Tax Cuts and Jobs Act (TCJA) was signed into law on December 22, 2017, and became effective</w:t>
      </w:r>
      <w:r w:rsidRPr="00865470" w:rsidDel="001B5F71">
        <w:rPr>
          <w:rStyle w:val="StylePalatino12pt"/>
        </w:rPr>
        <w:t xml:space="preserve"> </w:t>
      </w:r>
      <w:r w:rsidRPr="00865470">
        <w:rPr>
          <w:rStyle w:val="StylePalatino12pt"/>
        </w:rPr>
        <w:t>January 1, 2018. Among other things, the TCJA reduced the top corporate income tax rate from 35% to 21%. Accordingly, the reduced federal income tax rate justified a reduction in the Small ILEC companies’ respective revenue requirements and CHCF-A support.</w:t>
      </w:r>
      <w:r w:rsidRPr="00865470" w:rsidDel="003A22DF">
        <w:rPr>
          <w:rStyle w:val="StylePalatino12pt"/>
        </w:rPr>
        <w:t xml:space="preserve"> </w:t>
      </w:r>
      <w:r w:rsidRPr="00865470">
        <w:rPr>
          <w:rStyle w:val="StylePalatino12pt"/>
        </w:rPr>
        <w:t>This also justified adopting a methodology to ensure that ratepayers received the benefits of “normalized” excess deferred income tax for the four companies whose GRC proceedings were determined for TY 2018.</w:t>
      </w:r>
      <w:r w:rsidRPr="00865470">
        <w:rPr>
          <w:rStyle w:val="FootnoteReference"/>
        </w:rPr>
        <w:footnoteReference w:id="12"/>
      </w:r>
      <w:r w:rsidRPr="00865470">
        <w:rPr>
          <w:rStyle w:val="StylePalatino12pt"/>
        </w:rPr>
        <w:t xml:space="preserve"> </w:t>
      </w:r>
    </w:p>
    <w:p w:rsidRPr="001942D0"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1942D0" w:rsidR="00A76F4A" w:rsidP="00E63B59" w:rsidRDefault="00A76F4A" w14:paraId="785FD15A" w14:textId="28C085F2">
      <w:pPr>
        <w:keepNext/>
        <w:spacing w:before="120" w:after="240" w:line="240" w:lineRule="auto"/>
        <w:outlineLvl w:val="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b/>
          <w:caps/>
          <w:kern w:val="28"/>
          <w:u w:val="single"/>
          <w14:ligatures w14:val="none"/>
        </w:rPr>
        <w:lastRenderedPageBreak/>
        <w:t>Discussion</w:t>
      </w:r>
    </w:p>
    <w:p w:rsidR="00F61D76" w:rsidP="000D45B9" w:rsidRDefault="00594E96" w14:paraId="07B007B5" w14:textId="67987E1F">
      <w:pPr>
        <w:pStyle w:val="NormalBody"/>
      </w:pPr>
      <w:r>
        <w:t xml:space="preserve">The Commission has reviewed Ponderosa’s PFM </w:t>
      </w:r>
      <w:r w:rsidR="00025233">
        <w:t>of Res</w:t>
      </w:r>
      <w:r w:rsidR="00706179">
        <w:t>olution</w:t>
      </w:r>
      <w:r w:rsidR="00025233">
        <w:t xml:space="preserve"> T-17637 and find</w:t>
      </w:r>
      <w:r w:rsidR="004A2CB5">
        <w:t>s</w:t>
      </w:r>
      <w:r w:rsidR="00025233">
        <w:t xml:space="preserve"> that </w:t>
      </w:r>
      <w:r w:rsidRPr="00732F23" w:rsidR="00732F23">
        <w:t xml:space="preserve">there is sufficient evidence to support Ponderosa’s assertion that the 2019 projected HCL support was reduced by $567,856 after </w:t>
      </w:r>
      <w:r w:rsidR="006A10C0">
        <w:t xml:space="preserve">Ponderosa corrected their submitted data related to </w:t>
      </w:r>
      <w:r w:rsidRPr="00732F23" w:rsidR="00732F23">
        <w:t xml:space="preserve">deferred taxes. </w:t>
      </w:r>
    </w:p>
    <w:p w:rsidR="00F61D76" w:rsidP="000D45B9" w:rsidRDefault="00F61D76" w14:paraId="604F8C1C" w14:textId="77777777">
      <w:pPr>
        <w:pStyle w:val="NormalBody"/>
      </w:pPr>
    </w:p>
    <w:p w:rsidR="00F61D76" w:rsidP="000D45B9" w:rsidRDefault="004D7301" w14:paraId="29B97C85" w14:textId="0AEAC695">
      <w:pPr>
        <w:pStyle w:val="NormalBody"/>
      </w:pPr>
      <w:r w:rsidRPr="004D7301">
        <w:t>In Resolution T-17637, the Commission adopted $2,862,478.34 in CHCF-A support for Ponderosa for 2019. Th</w:t>
      </w:r>
      <w:r w:rsidR="00AA5A56">
        <w:t>e</w:t>
      </w:r>
      <w:r w:rsidRPr="004D7301">
        <w:t xml:space="preserve"> calculation of the 2019 </w:t>
      </w:r>
      <w:r w:rsidR="00AA5A56">
        <w:t xml:space="preserve">CHCF-A </w:t>
      </w:r>
      <w:r w:rsidRPr="004D7301">
        <w:t>support amount included an adjustment for changes in the projected 2019 HCLS support</w:t>
      </w:r>
      <w:r w:rsidR="00AA5A56">
        <w:t>.</w:t>
      </w:r>
      <w:r w:rsidR="00FE549E">
        <w:t xml:space="preserve"> </w:t>
      </w:r>
      <w:r w:rsidRPr="004D7301">
        <w:t>Since the calculation of 2019 CHCF-A support included projected 2019 HCLS</w:t>
      </w:r>
      <w:r w:rsidR="0064330F">
        <w:t xml:space="preserve">, </w:t>
      </w:r>
      <w:r w:rsidRPr="004D7301">
        <w:t>a revision that lowered the projected 2019 HCLS would cause a corresponding increase in the 2019 CHCF-A support amount.</w:t>
      </w:r>
    </w:p>
    <w:p w:rsidR="00F61D76" w:rsidP="000D45B9" w:rsidRDefault="00F61D76" w14:paraId="76E3078A" w14:textId="77777777">
      <w:pPr>
        <w:pStyle w:val="NormalBody"/>
      </w:pPr>
    </w:p>
    <w:p w:rsidR="00732F23" w:rsidP="008B2BD7" w:rsidRDefault="00FE112E" w14:paraId="382BC578" w14:textId="6852A6A7">
      <w:pPr>
        <w:pStyle w:val="NormalBody"/>
      </w:pPr>
      <w:r>
        <w:t>However, the Commission finds that there should also be a reduction in 2019 CHCF-A support of $</w:t>
      </w:r>
      <w:r w:rsidR="00F57E33">
        <w:t xml:space="preserve">9,099.89 due to related changes in the Pro-Rata Adjustment. </w:t>
      </w:r>
      <w:r w:rsidR="002C6017">
        <w:t xml:space="preserve">Therefore, the Commission </w:t>
      </w:r>
      <w:r w:rsidRPr="00732F23" w:rsidR="00732F23">
        <w:t>adopt</w:t>
      </w:r>
      <w:r w:rsidR="003048E2">
        <w:t>s</w:t>
      </w:r>
      <w:r w:rsidRPr="00732F23" w:rsidR="00732F23">
        <w:t xml:space="preserve"> $558,756.11 in additional CHCF-A support payments to Ponderosa for CY 2019. </w:t>
      </w:r>
      <w:r w:rsidR="00265D8C">
        <w:t xml:space="preserve">A summary of this </w:t>
      </w:r>
      <w:r w:rsidR="00AC323C">
        <w:t>calculation</w:t>
      </w:r>
      <w:r w:rsidR="00265D8C">
        <w:t xml:space="preserve"> is shown in </w:t>
      </w:r>
      <w:r w:rsidR="00265D8C">
        <w:fldChar w:fldCharType="begin"/>
      </w:r>
      <w:r w:rsidR="00265D8C">
        <w:instrText xml:space="preserve"> REF _Ref198802319 \h </w:instrText>
      </w:r>
      <w:r w:rsidR="00265D8C">
        <w:fldChar w:fldCharType="separate"/>
      </w:r>
      <w:r w:rsidR="00E570FF">
        <w:t xml:space="preserve">Table </w:t>
      </w:r>
      <w:r w:rsidR="00E570FF">
        <w:rPr>
          <w:noProof/>
        </w:rPr>
        <w:t>1</w:t>
      </w:r>
      <w:r w:rsidR="00265D8C">
        <w:fldChar w:fldCharType="end"/>
      </w:r>
      <w:r w:rsidR="00265D8C">
        <w:t xml:space="preserve"> </w:t>
      </w:r>
      <w:r w:rsidR="00265D8C">
        <w:fldChar w:fldCharType="begin"/>
      </w:r>
      <w:r w:rsidR="00265D8C">
        <w:instrText xml:space="preserve"> REF _Ref198802319 \p \h </w:instrText>
      </w:r>
      <w:r w:rsidR="00265D8C">
        <w:fldChar w:fldCharType="separate"/>
      </w:r>
      <w:r w:rsidR="00E570FF">
        <w:t>below</w:t>
      </w:r>
      <w:r w:rsidR="00265D8C">
        <w:fldChar w:fldCharType="end"/>
      </w:r>
      <w:r w:rsidR="00020BDE">
        <w:t>.</w:t>
      </w:r>
    </w:p>
    <w:p w:rsidRPr="00732F23" w:rsidR="008B2BD7" w:rsidP="000D45B9" w:rsidRDefault="008B2BD7" w14:paraId="1C8ECF27" w14:textId="77777777">
      <w:pPr>
        <w:pStyle w:val="NormalBody"/>
      </w:pPr>
    </w:p>
    <w:p w:rsidR="00806F0D" w:rsidP="00876D68" w:rsidRDefault="00806F0D" w14:paraId="134C1D27" w14:textId="310E9B8F">
      <w:pPr>
        <w:pStyle w:val="Caption"/>
        <w:keepNext/>
      </w:pPr>
      <w:bookmarkStart w:name="_Ref198802319" w:id="1"/>
      <w:r>
        <w:t xml:space="preserve">Table </w:t>
      </w:r>
      <w:r>
        <w:fldChar w:fldCharType="begin"/>
      </w:r>
      <w:r>
        <w:instrText>SEQ Table \* ARABIC</w:instrText>
      </w:r>
      <w:r>
        <w:fldChar w:fldCharType="separate"/>
      </w:r>
      <w:r w:rsidR="00E570FF">
        <w:rPr>
          <w:noProof/>
        </w:rPr>
        <w:t>1</w:t>
      </w:r>
      <w:r>
        <w:fldChar w:fldCharType="end"/>
      </w:r>
      <w:bookmarkEnd w:id="1"/>
    </w:p>
    <w:p w:rsidR="00732F23" w:rsidP="00D52F41" w:rsidRDefault="00806F0D" w14:paraId="5EADB1E3" w14:textId="4B69B4C2">
      <w:pPr>
        <w:tabs>
          <w:tab w:val="right" w:pos="10080"/>
        </w:tabs>
        <w:rPr>
          <w:rFonts w:ascii="Palatino Linotype" w:hAnsi="Palatino Linotype"/>
        </w:rPr>
      </w:pPr>
      <w:r w:rsidRPr="007152C3">
        <w:rPr>
          <w:noProof/>
        </w:rPr>
        <w:drawing>
          <wp:inline distT="0" distB="0" distL="0" distR="0" wp14:anchorId="314842AE" wp14:editId="3C32DCA3">
            <wp:extent cx="3140075" cy="793750"/>
            <wp:effectExtent l="0" t="0" r="3175" b="6350"/>
            <wp:docPr id="34824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0075" cy="793750"/>
                    </a:xfrm>
                    <a:prstGeom prst="rect">
                      <a:avLst/>
                    </a:prstGeom>
                    <a:noFill/>
                    <a:ln>
                      <a:noFill/>
                    </a:ln>
                  </pic:spPr>
                </pic:pic>
              </a:graphicData>
            </a:graphic>
          </wp:inline>
        </w:drawing>
      </w:r>
    </w:p>
    <w:p w:rsidR="00ED1AEA" w:rsidP="00A76F4A" w:rsidRDefault="00ED1AEA" w14:paraId="5842CCDE" w14:textId="77777777">
      <w:pPr>
        <w:spacing w:after="0" w:line="240" w:lineRule="auto"/>
        <w:contextualSpacing/>
        <w:rPr>
          <w:rFonts w:ascii="Palatino Linotype" w:hAnsi="Palatino Linotype" w:eastAsia="Palatino Linotype" w:cs="Times New Roman"/>
          <w:kern w:val="0"/>
          <w14:ligatures w14:val="none"/>
        </w:rPr>
      </w:pPr>
    </w:p>
    <w:p w:rsidR="004E7E47" w:rsidP="00674344" w:rsidRDefault="004E7E47" w14:paraId="5D7A9EF8" w14:textId="39CD474A">
      <w:pPr>
        <w:pStyle w:val="NormalBody"/>
        <w:keepNext/>
      </w:pPr>
      <w:r>
        <w:t>Details</w:t>
      </w:r>
      <w:r w:rsidR="005E3759">
        <w:t xml:space="preserve"> of the analysis supporting the Commission’s conclusion</w:t>
      </w:r>
      <w:r w:rsidR="00D17527">
        <w:t xml:space="preserve"> are included in the following sections:</w:t>
      </w:r>
      <w:r>
        <w:t xml:space="preserve"> </w:t>
      </w:r>
    </w:p>
    <w:p w:rsidR="00001D29" w:rsidRDefault="00D17527" w14:paraId="580E0B08" w14:textId="1334B50E">
      <w:pPr>
        <w:pStyle w:val="NormalBody"/>
        <w:numPr>
          <w:ilvl w:val="0"/>
          <w:numId w:val="10"/>
        </w:numPr>
      </w:pPr>
      <w:r>
        <w:t>Submission</w:t>
      </w:r>
    </w:p>
    <w:p w:rsidR="0092278A" w:rsidP="00876D68" w:rsidRDefault="0092278A" w14:paraId="2E534837" w14:textId="31139A2A">
      <w:pPr>
        <w:pStyle w:val="NormalBody"/>
        <w:numPr>
          <w:ilvl w:val="0"/>
          <w:numId w:val="10"/>
        </w:numPr>
      </w:pPr>
      <w:r>
        <w:t xml:space="preserve">Projected </w:t>
      </w:r>
      <w:r w:rsidR="00FA1109">
        <w:t>2019 USF-HCLS</w:t>
      </w:r>
    </w:p>
    <w:p w:rsidR="00FA1109" w:rsidP="00876D68" w:rsidRDefault="00FA1109" w14:paraId="20B8D91D" w14:textId="132CA912">
      <w:pPr>
        <w:pStyle w:val="NormalBody"/>
        <w:numPr>
          <w:ilvl w:val="0"/>
          <w:numId w:val="10"/>
        </w:numPr>
      </w:pPr>
      <w:r>
        <w:t>Adjustments for Pro-Rata Changes</w:t>
      </w:r>
    </w:p>
    <w:p w:rsidR="00FA1109" w:rsidRDefault="00FA1109" w14:paraId="19680B86" w14:textId="29C54F54">
      <w:pPr>
        <w:pStyle w:val="NormalBody"/>
        <w:numPr>
          <w:ilvl w:val="0"/>
          <w:numId w:val="10"/>
        </w:numPr>
      </w:pPr>
      <w:r>
        <w:t>Means Test</w:t>
      </w:r>
    </w:p>
    <w:p w:rsidRPr="00FA1109" w:rsidR="00EE0402" w:rsidP="00876D68" w:rsidRDefault="00EE0402" w14:paraId="71634D29" w14:textId="77777777">
      <w:pPr>
        <w:pStyle w:val="NormalBody"/>
      </w:pPr>
    </w:p>
    <w:p w:rsidR="00001D29" w:rsidRDefault="00D17527" w14:paraId="763C1848" w14:textId="28D08C2B">
      <w:pPr>
        <w:pStyle w:val="Heading2"/>
        <w:numPr>
          <w:ilvl w:val="0"/>
          <w:numId w:val="9"/>
        </w:numPr>
        <w:rPr>
          <w:rFonts w:eastAsia="Palatino Linotype"/>
        </w:rPr>
      </w:pPr>
      <w:r>
        <w:rPr>
          <w:rFonts w:eastAsia="Palatino Linotype"/>
        </w:rPr>
        <w:t>Submission</w:t>
      </w:r>
    </w:p>
    <w:p w:rsidR="00265D8C" w:rsidP="000D45B9" w:rsidRDefault="00265D8C" w14:paraId="2B456B7F" w14:textId="0A8E530C">
      <w:pPr>
        <w:pStyle w:val="NormalBody"/>
      </w:pPr>
      <w:r w:rsidRPr="003552AE">
        <w:t>Res</w:t>
      </w:r>
      <w:r w:rsidR="00581B6C">
        <w:t>olution</w:t>
      </w:r>
      <w:r w:rsidRPr="003552AE">
        <w:t xml:space="preserve"> T-17637 was approved by the Commission on January 10, 2019</w:t>
      </w:r>
      <w:r w:rsidR="008034DE">
        <w:t>.</w:t>
      </w:r>
      <w:r>
        <w:t xml:space="preserve"> </w:t>
      </w:r>
      <w:r w:rsidR="008034DE">
        <w:t>T</w:t>
      </w:r>
      <w:r w:rsidR="00C761AE">
        <w:t>herefore,</w:t>
      </w:r>
      <w:r>
        <w:t xml:space="preserve"> </w:t>
      </w:r>
      <w:r w:rsidRPr="003552AE">
        <w:t>Ponderosa’s submission of this PFM on January 9, 2020</w:t>
      </w:r>
      <w:r>
        <w:t>,</w:t>
      </w:r>
      <w:r w:rsidRPr="003552AE">
        <w:t xml:space="preserve"> was within one year</w:t>
      </w:r>
      <w:r w:rsidR="00BB1E87">
        <w:t>,</w:t>
      </w:r>
      <w:r w:rsidRPr="003552AE">
        <w:t xml:space="preserve"> as required by Rule 16.4(d).</w:t>
      </w:r>
    </w:p>
    <w:p w:rsidRPr="00876D68" w:rsidR="00265D8C" w:rsidP="00876D68" w:rsidRDefault="00265D8C" w14:paraId="2322FFAA" w14:textId="77777777"/>
    <w:p w:rsidRPr="00876D68" w:rsidR="00540871" w:rsidP="00876D68" w:rsidRDefault="004E7E47" w14:paraId="753CD789" w14:textId="12843D9B">
      <w:pPr>
        <w:pStyle w:val="Heading2"/>
        <w:numPr>
          <w:ilvl w:val="0"/>
          <w:numId w:val="9"/>
        </w:numPr>
        <w:rPr>
          <w:rFonts w:eastAsia="Palatino Linotype"/>
        </w:rPr>
      </w:pPr>
      <w:r w:rsidRPr="00876D68">
        <w:rPr>
          <w:rFonts w:eastAsia="Palatino Linotype"/>
        </w:rPr>
        <w:lastRenderedPageBreak/>
        <w:t xml:space="preserve">Projected 2019 </w:t>
      </w:r>
      <w:r w:rsidRPr="00876D68" w:rsidR="001D3DC6">
        <w:rPr>
          <w:rFonts w:eastAsia="Palatino Linotype"/>
        </w:rPr>
        <w:t>USF-</w:t>
      </w:r>
      <w:r w:rsidRPr="00876D68">
        <w:rPr>
          <w:rFonts w:eastAsia="Palatino Linotype"/>
        </w:rPr>
        <w:t>HCLS</w:t>
      </w:r>
    </w:p>
    <w:p w:rsidR="00D13188" w:rsidP="000D45B9" w:rsidRDefault="00FF6C6F" w14:paraId="5108C53A" w14:textId="597B69EF">
      <w:pPr>
        <w:pStyle w:val="NormalBody"/>
      </w:pPr>
      <w:r>
        <w:t xml:space="preserve">CD staff </w:t>
      </w:r>
      <w:r w:rsidR="00C761AE">
        <w:t>have</w:t>
      </w:r>
      <w:r>
        <w:t xml:space="preserve"> reviewed the supporting documentation that </w:t>
      </w:r>
      <w:r w:rsidR="00BB1E87">
        <w:t>Ponderosa</w:t>
      </w:r>
      <w:r>
        <w:t xml:space="preserve"> submitted with their PFM and </w:t>
      </w:r>
      <w:r w:rsidR="00C446F4">
        <w:t>compared the</w:t>
      </w:r>
      <w:r w:rsidR="00393E78">
        <w:t>m to those used for developing the original 2019 CHCF-A support amount adopted in Res</w:t>
      </w:r>
      <w:r w:rsidR="007C4656">
        <w:t>olution</w:t>
      </w:r>
      <w:r w:rsidR="00393E78">
        <w:t xml:space="preserve"> T-17</w:t>
      </w:r>
      <w:r w:rsidR="00DD71DF">
        <w:t xml:space="preserve">367. </w:t>
      </w:r>
      <w:r w:rsidR="006964BE">
        <w:t>The Commission</w:t>
      </w:r>
      <w:r w:rsidR="00D13188">
        <w:t xml:space="preserve"> has concluded that these documents support Ponderosa’s assertion that their 2019 projected HCLS was reduced by </w:t>
      </w:r>
      <w:r w:rsidRPr="002368EC" w:rsidR="00D13188">
        <w:t>$567,856</w:t>
      </w:r>
      <w:r w:rsidR="00D13188">
        <w:t xml:space="preserve"> after they made the correction regarding the deferred tax. </w:t>
      </w:r>
    </w:p>
    <w:p w:rsidR="00AD1DB3" w:rsidP="000D45B9" w:rsidRDefault="00AD1DB3" w14:paraId="77D21BAC" w14:textId="77777777">
      <w:pPr>
        <w:pStyle w:val="NormalBody"/>
      </w:pPr>
    </w:p>
    <w:p w:rsidR="00C64668" w:rsidP="000D45B9" w:rsidRDefault="00FA2C9C" w14:paraId="34490EFF" w14:textId="4969F733">
      <w:pPr>
        <w:pStyle w:val="NormalBody"/>
      </w:pPr>
      <w:r w:rsidRPr="00DD7812">
        <w:t xml:space="preserve">Ponderosa’s PFM, </w:t>
      </w:r>
      <w:r w:rsidRPr="007547F6" w:rsidR="00D13188">
        <w:t>Attachment B</w:t>
      </w:r>
      <w:r w:rsidRPr="007547F6" w:rsidR="00F4416E">
        <w:t xml:space="preserve"> – USF2010 Impact Analysis Report</w:t>
      </w:r>
      <w:r w:rsidRPr="007547F6" w:rsidR="00FF00EC">
        <w:rPr>
          <w:rStyle w:val="FootnoteReference"/>
        </w:rPr>
        <w:footnoteReference w:id="13"/>
      </w:r>
      <w:r w:rsidRPr="00DD7812" w:rsidR="00FF00EC">
        <w:t xml:space="preserve"> </w:t>
      </w:r>
      <w:r w:rsidRPr="00DD7812" w:rsidR="00D13188">
        <w:t>shows</w:t>
      </w:r>
      <w:r w:rsidRPr="005C6CE6" w:rsidR="00D13188">
        <w:t xml:space="preserve"> the HCLS calculation </w:t>
      </w:r>
      <w:r w:rsidR="00C64668">
        <w:t xml:space="preserve">before and </w:t>
      </w:r>
      <w:r w:rsidRPr="005C6CE6" w:rsidR="00D13188">
        <w:t>after Ponderosa corrected their deferred tax information</w:t>
      </w:r>
      <w:r w:rsidR="00D13188">
        <w:t xml:space="preserve"> and other errors</w:t>
      </w:r>
      <w:r w:rsidR="003D181A">
        <w:t xml:space="preserve"> and verifies that Ponderosa’s projected </w:t>
      </w:r>
      <w:r w:rsidR="00121609">
        <w:t xml:space="preserve">2019 </w:t>
      </w:r>
      <w:r w:rsidR="00647B1A">
        <w:t xml:space="preserve">HCLS amount was </w:t>
      </w:r>
      <w:r w:rsidR="00FC1DC9">
        <w:t>lowered</w:t>
      </w:r>
      <w:r w:rsidRPr="005C6CE6" w:rsidR="00D13188">
        <w:t xml:space="preserve">. </w:t>
      </w:r>
      <w:r w:rsidR="004F0DAF">
        <w:t xml:space="preserve">As </w:t>
      </w:r>
      <w:r w:rsidR="0082025A">
        <w:t xml:space="preserve">summarized </w:t>
      </w:r>
      <w:r w:rsidR="004F0DAF">
        <w:t xml:space="preserve">in </w:t>
      </w:r>
      <w:r w:rsidR="00EF733A">
        <w:fldChar w:fldCharType="begin"/>
      </w:r>
      <w:r w:rsidR="00EF733A">
        <w:instrText xml:space="preserve"> REF _Ref198740161 \h </w:instrText>
      </w:r>
      <w:r w:rsidR="006964BE">
        <w:instrText xml:space="preserve"> \* MERGEFORMAT </w:instrText>
      </w:r>
      <w:r w:rsidR="00EF733A">
        <w:fldChar w:fldCharType="separate"/>
      </w:r>
      <w:r w:rsidR="00E570FF">
        <w:t xml:space="preserve">Table </w:t>
      </w:r>
      <w:r w:rsidR="00E570FF">
        <w:rPr>
          <w:noProof/>
        </w:rPr>
        <w:t>2</w:t>
      </w:r>
      <w:r w:rsidR="00EF733A">
        <w:fldChar w:fldCharType="end"/>
      </w:r>
      <w:r w:rsidR="00EF733A">
        <w:t xml:space="preserve"> </w:t>
      </w:r>
      <w:r w:rsidR="00EF733A">
        <w:fldChar w:fldCharType="begin"/>
      </w:r>
      <w:r w:rsidR="00EF733A">
        <w:instrText xml:space="preserve"> REF _Ref198740161 \p \h </w:instrText>
      </w:r>
      <w:r w:rsidR="006964BE">
        <w:instrText xml:space="preserve"> \* MERGEFORMAT </w:instrText>
      </w:r>
      <w:r w:rsidR="00EF733A">
        <w:fldChar w:fldCharType="separate"/>
      </w:r>
      <w:r w:rsidR="00E570FF">
        <w:t>below</w:t>
      </w:r>
      <w:r w:rsidR="00EF733A">
        <w:fldChar w:fldCharType="end"/>
      </w:r>
      <w:r w:rsidR="004F0DAF">
        <w:t>, Attachment B</w:t>
      </w:r>
      <w:r w:rsidR="00315B78">
        <w:t xml:space="preserve"> to Ponderosa’s PFM</w:t>
      </w:r>
      <w:r w:rsidR="004F0DAF">
        <w:t xml:space="preserve"> shows that the 2019 HCLS was lowered by </w:t>
      </w:r>
      <w:r w:rsidR="00091E85">
        <w:t xml:space="preserve">$584,698. However, Ponderosa is only requesting </w:t>
      </w:r>
      <w:r w:rsidR="00156B7B">
        <w:t xml:space="preserve">an </w:t>
      </w:r>
      <w:r w:rsidR="00091E85">
        <w:t xml:space="preserve">adjustment </w:t>
      </w:r>
      <w:r w:rsidR="00156B7B">
        <w:t xml:space="preserve">of </w:t>
      </w:r>
      <w:r w:rsidRPr="00156B7B" w:rsidR="00156B7B">
        <w:t>$567,856.00</w:t>
      </w:r>
      <w:r w:rsidR="007C4656">
        <w:t xml:space="preserve"> </w:t>
      </w:r>
      <w:r w:rsidR="00091E85">
        <w:t>to their CHCF-A support</w:t>
      </w:r>
      <w:r w:rsidR="007D32BC">
        <w:t xml:space="preserve">, which </w:t>
      </w:r>
      <w:r w:rsidR="005142B2">
        <w:t>is</w:t>
      </w:r>
      <w:r w:rsidR="00091E85">
        <w:t xml:space="preserve"> the portion of this change directly related to the deferred tax issue</w:t>
      </w:r>
      <w:r w:rsidR="005142B2">
        <w:t>.</w:t>
      </w:r>
    </w:p>
    <w:p w:rsidR="00FC394A" w:rsidP="000D45B9" w:rsidRDefault="00FC394A" w14:paraId="1E4957CD" w14:textId="77777777">
      <w:pPr>
        <w:pStyle w:val="NormalBody"/>
      </w:pPr>
    </w:p>
    <w:p w:rsidR="00C64668" w:rsidP="00876D68" w:rsidRDefault="00C64668" w14:paraId="79F835F6" w14:textId="4D852606">
      <w:pPr>
        <w:pStyle w:val="Caption"/>
        <w:keepNext/>
      </w:pPr>
      <w:bookmarkStart w:name="_Ref198740161" w:id="2"/>
      <w:r>
        <w:t xml:space="preserve">Table </w:t>
      </w:r>
      <w:r>
        <w:fldChar w:fldCharType="begin"/>
      </w:r>
      <w:r>
        <w:instrText>SEQ Table \* ARABIC</w:instrText>
      </w:r>
      <w:r>
        <w:fldChar w:fldCharType="separate"/>
      </w:r>
      <w:r w:rsidR="00E570FF">
        <w:rPr>
          <w:noProof/>
        </w:rPr>
        <w:t>2</w:t>
      </w:r>
      <w:r>
        <w:fldChar w:fldCharType="end"/>
      </w:r>
      <w:bookmarkEnd w:id="2"/>
    </w:p>
    <w:p w:rsidR="00C64668" w:rsidP="00D13188" w:rsidRDefault="00E94D26" w14:paraId="00FA19C5" w14:textId="040C9D68">
      <w:pPr>
        <w:tabs>
          <w:tab w:val="right" w:pos="10080"/>
        </w:tabs>
        <w:rPr>
          <w:rFonts w:ascii="Palatino Linotype" w:hAnsi="Palatino Linotype"/>
        </w:rPr>
      </w:pPr>
      <w:r w:rsidRPr="00E94D26">
        <w:rPr>
          <w:noProof/>
        </w:rPr>
        <w:drawing>
          <wp:inline distT="0" distB="0" distL="0" distR="0" wp14:anchorId="55AC840E" wp14:editId="5B7B1DFB">
            <wp:extent cx="3364230" cy="1000760"/>
            <wp:effectExtent l="0" t="0" r="7620" b="8890"/>
            <wp:docPr id="1816957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4230" cy="1000760"/>
                    </a:xfrm>
                    <a:prstGeom prst="rect">
                      <a:avLst/>
                    </a:prstGeom>
                    <a:noFill/>
                    <a:ln>
                      <a:noFill/>
                    </a:ln>
                  </pic:spPr>
                </pic:pic>
              </a:graphicData>
            </a:graphic>
          </wp:inline>
        </w:drawing>
      </w:r>
    </w:p>
    <w:p w:rsidRPr="00D77210" w:rsidR="00D13188" w:rsidP="000D45B9" w:rsidRDefault="00D13188" w14:paraId="17762173" w14:textId="77777777">
      <w:pPr>
        <w:pStyle w:val="NormalBody"/>
      </w:pPr>
    </w:p>
    <w:p w:rsidRPr="00EE4985" w:rsidR="00D13188" w:rsidP="000D45B9" w:rsidRDefault="00EE04F6" w14:paraId="2756B93F" w14:textId="5B35F16D">
      <w:pPr>
        <w:pStyle w:val="NormalBody"/>
      </w:pPr>
      <w:r>
        <w:t xml:space="preserve">Ponderosa’s PFM included </w:t>
      </w:r>
      <w:r w:rsidRPr="00763555" w:rsidR="00D13188">
        <w:t>Attachments D and E</w:t>
      </w:r>
      <w:r w:rsidRPr="00674344" w:rsidR="00253674">
        <w:rPr>
          <w:rStyle w:val="FootnoteReference"/>
        </w:rPr>
        <w:footnoteReference w:id="14"/>
      </w:r>
      <w:r w:rsidRPr="00763555" w:rsidR="00A12486">
        <w:t>, which</w:t>
      </w:r>
      <w:r w:rsidR="00A12486">
        <w:t xml:space="preserve"> </w:t>
      </w:r>
      <w:r w:rsidR="00243939">
        <w:t xml:space="preserve">it </w:t>
      </w:r>
      <w:r w:rsidR="00A12486">
        <w:t>state</w:t>
      </w:r>
      <w:r w:rsidR="00243939">
        <w:t>s</w:t>
      </w:r>
      <w:r w:rsidRPr="00EE4985" w:rsidR="00D13188">
        <w:t xml:space="preserve"> are the data collection forms that Ponderosa submitted to USAC</w:t>
      </w:r>
      <w:r w:rsidR="00A12486">
        <w:t>.</w:t>
      </w:r>
      <w:r w:rsidRPr="00EE4985" w:rsidR="00D13188">
        <w:t xml:space="preserve"> </w:t>
      </w:r>
      <w:r w:rsidR="00A12486">
        <w:t xml:space="preserve">Attachment </w:t>
      </w:r>
      <w:r w:rsidRPr="00EE4985" w:rsidR="00D13188">
        <w:t>D is the original form and</w:t>
      </w:r>
      <w:r w:rsidR="00A12486">
        <w:t xml:space="preserve"> Attachment</w:t>
      </w:r>
      <w:r w:rsidRPr="00EE4985" w:rsidR="00D13188">
        <w:t xml:space="preserve"> E is the revised version that corrects the deferred tax error</w:t>
      </w:r>
      <w:r w:rsidRPr="00EE4985" w:rsidR="00D13188">
        <w:rPr>
          <w:rStyle w:val="FootnoteReference"/>
        </w:rPr>
        <w:footnoteReference w:id="15"/>
      </w:r>
      <w:r w:rsidRPr="00EE4985" w:rsidR="00D13188">
        <w:t xml:space="preserve">. </w:t>
      </w:r>
      <w:r w:rsidR="00BE2435">
        <w:t xml:space="preserve">As summarized in </w:t>
      </w:r>
      <w:r w:rsidR="00BE2435">
        <w:fldChar w:fldCharType="begin"/>
      </w:r>
      <w:r w:rsidR="00BE2435">
        <w:instrText xml:space="preserve"> REF _Ref113859440 \h </w:instrText>
      </w:r>
      <w:r w:rsidR="007F4219">
        <w:instrText xml:space="preserve"> \* MERGEFORMAT </w:instrText>
      </w:r>
      <w:r w:rsidR="00BE2435">
        <w:fldChar w:fldCharType="separate"/>
      </w:r>
      <w:r w:rsidR="00E570FF">
        <w:t xml:space="preserve">Table </w:t>
      </w:r>
      <w:r w:rsidR="00E570FF">
        <w:rPr>
          <w:noProof/>
        </w:rPr>
        <w:t>3</w:t>
      </w:r>
      <w:r w:rsidR="00BE2435">
        <w:fldChar w:fldCharType="end"/>
      </w:r>
      <w:r w:rsidR="00BE2435">
        <w:t xml:space="preserve"> </w:t>
      </w:r>
      <w:r w:rsidR="00BE2435">
        <w:fldChar w:fldCharType="begin"/>
      </w:r>
      <w:r w:rsidR="00BE2435">
        <w:instrText xml:space="preserve"> REF _Ref113859440 \p \h </w:instrText>
      </w:r>
      <w:r w:rsidR="007F4219">
        <w:instrText xml:space="preserve"> \* MERGEFORMAT </w:instrText>
      </w:r>
      <w:r w:rsidR="00BE2435">
        <w:fldChar w:fldCharType="separate"/>
      </w:r>
      <w:r w:rsidR="00E570FF">
        <w:t>below</w:t>
      </w:r>
      <w:r w:rsidR="00BE2435">
        <w:fldChar w:fldCharType="end"/>
      </w:r>
      <w:r w:rsidR="00BE2435">
        <w:t xml:space="preserve">, </w:t>
      </w:r>
      <w:r w:rsidR="00A40B1F">
        <w:t xml:space="preserve">comparing the “Final estimated Annual HCL Support” shown on </w:t>
      </w:r>
      <w:r w:rsidRPr="00EE4985" w:rsidR="00D13188">
        <w:t xml:space="preserve">line 36 of each attachment </w:t>
      </w:r>
      <w:r w:rsidR="00A40B1F">
        <w:t xml:space="preserve">results in a difference of </w:t>
      </w:r>
      <w:r w:rsidRPr="00EE4985" w:rsidR="00D13188">
        <w:t xml:space="preserve"> $567,856. </w:t>
      </w:r>
    </w:p>
    <w:p w:rsidR="00D13188" w:rsidP="000D45B9" w:rsidRDefault="00D13188" w14:paraId="450D6923" w14:textId="77777777">
      <w:pPr>
        <w:pStyle w:val="NormalBody"/>
      </w:pPr>
    </w:p>
    <w:p w:rsidR="00D13188" w:rsidP="00D13188" w:rsidRDefault="00D13188" w14:paraId="2E872B3C" w14:textId="411569CB">
      <w:pPr>
        <w:pStyle w:val="Caption"/>
        <w:keepNext/>
      </w:pPr>
      <w:bookmarkStart w:name="_Ref113859440" w:id="3"/>
      <w:r>
        <w:lastRenderedPageBreak/>
        <w:t xml:space="preserve">Table </w:t>
      </w:r>
      <w:r>
        <w:fldChar w:fldCharType="begin"/>
      </w:r>
      <w:r>
        <w:instrText>SEQ Table \* ARABIC</w:instrText>
      </w:r>
      <w:r>
        <w:fldChar w:fldCharType="separate"/>
      </w:r>
      <w:r w:rsidR="00E570FF">
        <w:rPr>
          <w:noProof/>
        </w:rPr>
        <w:t>3</w:t>
      </w:r>
      <w:r>
        <w:fldChar w:fldCharType="end"/>
      </w:r>
      <w:bookmarkEnd w:id="3"/>
    </w:p>
    <w:p w:rsidR="00D13188" w:rsidP="00D13188" w:rsidRDefault="00325D52" w14:paraId="129271EB" w14:textId="290907AF">
      <w:r w:rsidRPr="00325D52">
        <w:t xml:space="preserve"> </w:t>
      </w:r>
      <w:r w:rsidRPr="00325D52">
        <w:rPr>
          <w:noProof/>
        </w:rPr>
        <w:drawing>
          <wp:inline distT="0" distB="0" distL="0" distR="0" wp14:anchorId="3DB84A20" wp14:editId="6A8C3448">
            <wp:extent cx="3200400" cy="1000760"/>
            <wp:effectExtent l="0" t="0" r="0" b="8890"/>
            <wp:docPr id="3468241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1000760"/>
                    </a:xfrm>
                    <a:prstGeom prst="rect">
                      <a:avLst/>
                    </a:prstGeom>
                    <a:noFill/>
                    <a:ln>
                      <a:noFill/>
                    </a:ln>
                  </pic:spPr>
                </pic:pic>
              </a:graphicData>
            </a:graphic>
          </wp:inline>
        </w:drawing>
      </w:r>
    </w:p>
    <w:p w:rsidR="00D13188" w:rsidP="00D068AE" w:rsidRDefault="006C62B5" w14:paraId="17290509" w14:textId="1EC5ED45">
      <w:pPr>
        <w:pStyle w:val="NormalBody"/>
      </w:pPr>
      <w:r w:rsidRPr="00EE4985">
        <w:t xml:space="preserve">This supports Ponderosa’s assertion that correcting the error reduced their projected </w:t>
      </w:r>
      <w:r>
        <w:t xml:space="preserve">2019 </w:t>
      </w:r>
      <w:r w:rsidRPr="00EE4985">
        <w:t>HCLS by $567,856.</w:t>
      </w:r>
    </w:p>
    <w:p w:rsidRPr="00DB3BE2" w:rsidR="00D068AE" w:rsidP="000D45B9" w:rsidRDefault="00D068AE" w14:paraId="55A0A19A" w14:textId="77777777">
      <w:pPr>
        <w:pStyle w:val="NormalBody"/>
      </w:pPr>
    </w:p>
    <w:p w:rsidR="00D13188" w:rsidP="00D068AE" w:rsidRDefault="007E6288" w14:paraId="1BB2FABF" w14:textId="5206F712">
      <w:pPr>
        <w:pStyle w:val="NormalBody"/>
      </w:pPr>
      <w:r>
        <w:t>T</w:t>
      </w:r>
      <w:r w:rsidRPr="00DB3BE2" w:rsidR="00D13188">
        <w:t>he “original” Final Estimated Annual HCL Support amount shown in Attachment D is not exactly equal to the Annual Expense Adjustment shown in the September 2018 NECA letter</w:t>
      </w:r>
      <w:r w:rsidR="00915060">
        <w:t xml:space="preserve"> or the</w:t>
      </w:r>
      <w:r w:rsidR="00450379">
        <w:t xml:space="preserve"> </w:t>
      </w:r>
      <w:r w:rsidRPr="005C6CE6" w:rsidR="00450379">
        <w:t>Attachment B</w:t>
      </w:r>
      <w:r w:rsidR="00450379">
        <w:t xml:space="preserve"> – USF2010 Impact Analysis Report</w:t>
      </w:r>
      <w:r w:rsidRPr="005C6CE6" w:rsidR="00450379">
        <w:t xml:space="preserve"> </w:t>
      </w:r>
      <w:r w:rsidR="00450379">
        <w:t>to Ponderosa’s PFM</w:t>
      </w:r>
      <w:r w:rsidRPr="00DB3BE2" w:rsidR="00D13188">
        <w:t xml:space="preserve">, </w:t>
      </w:r>
      <w:r w:rsidR="001D2AF1">
        <w:t xml:space="preserve">but the difference is only 4%. Therefore, </w:t>
      </w:r>
      <w:r w:rsidR="00CF1BAC">
        <w:t xml:space="preserve">the Commission concludes </w:t>
      </w:r>
      <w:r w:rsidRPr="00DB3BE2" w:rsidR="00D13188">
        <w:t>that it is reasonable to accept that the data in Attachments D and E</w:t>
      </w:r>
      <w:r w:rsidR="001D2AF1">
        <w:t xml:space="preserve"> to Ponderosa’s PFM</w:t>
      </w:r>
      <w:r w:rsidRPr="00DB3BE2" w:rsidR="00D13188">
        <w:t xml:space="preserve"> are the basis of NECA’s final projected HCL support amounts. </w:t>
      </w:r>
    </w:p>
    <w:p w:rsidR="00D068AE" w:rsidP="000D45B9" w:rsidRDefault="00D068AE" w14:paraId="68A9669D" w14:textId="77777777">
      <w:pPr>
        <w:pStyle w:val="NormalBody"/>
      </w:pPr>
    </w:p>
    <w:p w:rsidRPr="00DB3BE2" w:rsidR="002C5659" w:rsidP="000D45B9" w:rsidRDefault="002C5659" w14:paraId="6F0D5D4D" w14:textId="6F2A001A">
      <w:pPr>
        <w:pStyle w:val="NormalBody"/>
      </w:pPr>
      <w:r>
        <w:t>Therefore, Ponderosa</w:t>
      </w:r>
      <w:r w:rsidR="0086742E">
        <w:t xml:space="preserve">’s 2019 CHCF-A support should be increased by </w:t>
      </w:r>
      <w:r w:rsidRPr="0086742E" w:rsidR="0086742E">
        <w:t>$567,856</w:t>
      </w:r>
      <w:r w:rsidR="003C0FD3">
        <w:t xml:space="preserve"> to adjust for the decrease in 2019 HCLS. </w:t>
      </w:r>
    </w:p>
    <w:p w:rsidR="00D35619" w:rsidP="00D35619" w:rsidRDefault="00D35619" w14:paraId="4DA70F34" w14:textId="77777777">
      <w:pPr>
        <w:spacing w:after="0" w:line="240" w:lineRule="auto"/>
        <w:contextualSpacing/>
        <w:rPr>
          <w:rFonts w:ascii="Palatino Linotype" w:hAnsi="Palatino Linotype" w:eastAsia="Palatino Linotype" w:cs="Times New Roman"/>
          <w:kern w:val="0"/>
          <w14:ligatures w14:val="none"/>
        </w:rPr>
      </w:pPr>
    </w:p>
    <w:p w:rsidR="004E7E47" w:rsidP="00876D68" w:rsidRDefault="004B47F6" w14:paraId="2F1CF250" w14:textId="49500E5B">
      <w:pPr>
        <w:pStyle w:val="Heading2"/>
        <w:rPr>
          <w:rFonts w:eastAsia="Palatino Linotype"/>
        </w:rPr>
      </w:pPr>
      <w:r>
        <w:rPr>
          <w:rFonts w:eastAsia="Palatino Linotype"/>
        </w:rPr>
        <w:t xml:space="preserve">Adjustment for </w:t>
      </w:r>
      <w:r w:rsidR="004E7E47">
        <w:rPr>
          <w:rFonts w:eastAsia="Palatino Linotype"/>
        </w:rPr>
        <w:t>Pro-Rata</w:t>
      </w:r>
      <w:r w:rsidR="002E423C">
        <w:rPr>
          <w:rFonts w:eastAsia="Palatino Linotype"/>
        </w:rPr>
        <w:t xml:space="preserve"> Changes</w:t>
      </w:r>
    </w:p>
    <w:p w:rsidRPr="00EE4985" w:rsidR="00E627DE" w:rsidP="000D45B9" w:rsidRDefault="00A9157E" w14:paraId="29A42F02" w14:textId="6C1C06AE">
      <w:pPr>
        <w:pStyle w:val="NormalBody"/>
      </w:pPr>
      <w:r>
        <w:t xml:space="preserve">As described previously, </w:t>
      </w:r>
      <w:r w:rsidR="009909B4">
        <w:t xml:space="preserve">after </w:t>
      </w:r>
      <w:r w:rsidR="004C7D4C">
        <w:t>a Small ILEC</w:t>
      </w:r>
      <w:r w:rsidR="00AE4E9E">
        <w:t xml:space="preserve"> receives </w:t>
      </w:r>
      <w:r w:rsidR="00CA4C47">
        <w:t xml:space="preserve">its HCLS payments, then the </w:t>
      </w:r>
      <w:r>
        <w:t xml:space="preserve">CHCF-A support is adjusted to compensate for the </w:t>
      </w:r>
      <w:r w:rsidR="009909B4">
        <w:t>effects</w:t>
      </w:r>
      <w:r>
        <w:t xml:space="preserve"> of Pro-Rata Changes</w:t>
      </w:r>
      <w:r w:rsidR="00CA4C47">
        <w:t>.</w:t>
      </w:r>
      <w:r w:rsidR="00167015">
        <w:t xml:space="preserve"> </w:t>
      </w:r>
      <w:r w:rsidR="001627AD">
        <w:t>The</w:t>
      </w:r>
      <w:r w:rsidRPr="00EE4985" w:rsidR="00E627DE">
        <w:t xml:space="preserve"> Pro-Rata Adjustment impact that was included in the 2020 and 2021 CHCF-A support </w:t>
      </w:r>
      <w:r w:rsidR="001242E0">
        <w:t>R</w:t>
      </w:r>
      <w:r w:rsidRPr="00EE4985" w:rsidR="00E627DE">
        <w:t xml:space="preserve">esolutions (T-17682 and T-17710, respectively) relied upon the original and uncorrected projected 2019 HCLS amount. However, since Ponderosa corrected the data submitted to NECA, the correct </w:t>
      </w:r>
      <w:r w:rsidR="00B43A75">
        <w:t>P</w:t>
      </w:r>
      <w:r w:rsidRPr="00EE4985" w:rsidR="00E627DE">
        <w:t>ro-</w:t>
      </w:r>
      <w:r w:rsidR="00B43A75">
        <w:t>R</w:t>
      </w:r>
      <w:r w:rsidRPr="00EE4985" w:rsidR="00E627DE">
        <w:t xml:space="preserve">ata was applied in their actual HCLS payments. </w:t>
      </w:r>
    </w:p>
    <w:p w:rsidR="00C34E2D" w:rsidP="000D45B9" w:rsidRDefault="00C34E2D" w14:paraId="67B2D06D" w14:textId="77777777">
      <w:pPr>
        <w:pStyle w:val="NormalBody"/>
      </w:pPr>
    </w:p>
    <w:p w:rsidR="00A874B9" w:rsidP="000D45B9" w:rsidRDefault="00E627DE" w14:paraId="4EB550E7" w14:textId="7AD20FBD">
      <w:pPr>
        <w:pStyle w:val="NormalBody"/>
      </w:pPr>
      <w:r w:rsidRPr="00EE4985">
        <w:t xml:space="preserve">At staff’s request, Ponderosa submitted a revised 2019 Pro-Rata Adjustment Calculation spreadsheet that reflects the revised data and calculated what the adjustment for the Pro-Rata </w:t>
      </w:r>
      <w:r w:rsidR="00862244">
        <w:t>Changes</w:t>
      </w:r>
      <w:r w:rsidRPr="00EE4985" w:rsidR="00862244">
        <w:t xml:space="preserve"> </w:t>
      </w:r>
      <w:r w:rsidRPr="00EE4985">
        <w:t xml:space="preserve">would have been if the correct data had been used. </w:t>
      </w:r>
    </w:p>
    <w:p w:rsidR="00C34E2D" w:rsidP="000D45B9" w:rsidRDefault="00C34E2D" w14:paraId="4912CC92" w14:textId="77777777">
      <w:pPr>
        <w:pStyle w:val="NormalBody"/>
      </w:pPr>
    </w:p>
    <w:p w:rsidR="00A874B9" w:rsidP="000D45B9" w:rsidRDefault="00A874B9" w14:paraId="2AD4EA2B" w14:textId="07AF1A40">
      <w:pPr>
        <w:pStyle w:val="NormalBody"/>
      </w:pPr>
      <w:r>
        <w:fldChar w:fldCharType="begin"/>
      </w:r>
      <w:r>
        <w:instrText xml:space="preserve"> REF _Ref198743679 \h </w:instrText>
      </w:r>
      <w:r w:rsidR="00C34E2D">
        <w:instrText xml:space="preserve"> \* MERGEFORMAT </w:instrText>
      </w:r>
      <w:r>
        <w:fldChar w:fldCharType="separate"/>
      </w:r>
      <w:r w:rsidR="00E570FF">
        <w:t xml:space="preserve">Table </w:t>
      </w:r>
      <w:r w:rsidR="00E570FF">
        <w:rPr>
          <w:noProof/>
        </w:rPr>
        <w:t>4</w:t>
      </w:r>
      <w:r>
        <w:fldChar w:fldCharType="end"/>
      </w:r>
      <w:r>
        <w:t xml:space="preserve"> </w:t>
      </w:r>
      <w:r>
        <w:fldChar w:fldCharType="begin"/>
      </w:r>
      <w:r>
        <w:instrText xml:space="preserve"> REF _Ref198743679 \p \h </w:instrText>
      </w:r>
      <w:r w:rsidR="00C34E2D">
        <w:instrText xml:space="preserve"> \* MERGEFORMAT </w:instrText>
      </w:r>
      <w:r>
        <w:fldChar w:fldCharType="separate"/>
      </w:r>
      <w:r w:rsidR="00E570FF">
        <w:t>below</w:t>
      </w:r>
      <w:r>
        <w:fldChar w:fldCharType="end"/>
      </w:r>
      <w:r>
        <w:t xml:space="preserve"> shows the adjustments to Ponderosa’s CHCF-A support for Pro-Rata Changes </w:t>
      </w:r>
      <w:r w:rsidR="007E255E">
        <w:t xml:space="preserve">relating to 2019 HCLS payments </w:t>
      </w:r>
      <w:r>
        <w:t xml:space="preserve">that </w:t>
      </w:r>
      <w:r w:rsidR="00E61C3B">
        <w:t>were adopted in Res</w:t>
      </w:r>
      <w:r w:rsidR="00AB478A">
        <w:t>olutions</w:t>
      </w:r>
      <w:r w:rsidR="00E61C3B">
        <w:t xml:space="preserve"> T-17682 and T-17710</w:t>
      </w:r>
      <w:r w:rsidR="00133DE9">
        <w:t>, respectively</w:t>
      </w:r>
      <w:r w:rsidR="007E255E">
        <w:t>.</w:t>
      </w:r>
      <w:r w:rsidR="00133DE9">
        <w:t xml:space="preserve"> </w:t>
      </w:r>
      <w:r w:rsidR="00AB4E4B">
        <w:t xml:space="preserve">The total CHCF-A support related to these adjustments was $55,403.89. </w:t>
      </w:r>
    </w:p>
    <w:p w:rsidRPr="00EE4985" w:rsidR="00E627DE" w:rsidP="00674344" w:rsidRDefault="00E627DE" w14:paraId="1AAC1CA5" w14:textId="679492F1">
      <w:pPr>
        <w:pStyle w:val="NormalBody"/>
      </w:pPr>
    </w:p>
    <w:p w:rsidR="00A874B9" w:rsidP="00876D68" w:rsidRDefault="00A874B9" w14:paraId="4FEC8735" w14:textId="040FBC22">
      <w:pPr>
        <w:pStyle w:val="Caption"/>
        <w:keepNext/>
      </w:pPr>
      <w:bookmarkStart w:name="_Ref198743679" w:id="4"/>
      <w:r>
        <w:lastRenderedPageBreak/>
        <w:t xml:space="preserve">Table </w:t>
      </w:r>
      <w:r>
        <w:fldChar w:fldCharType="begin"/>
      </w:r>
      <w:r>
        <w:instrText>SEQ Table \* ARABIC</w:instrText>
      </w:r>
      <w:r>
        <w:fldChar w:fldCharType="separate"/>
      </w:r>
      <w:r w:rsidR="00E570FF">
        <w:rPr>
          <w:noProof/>
        </w:rPr>
        <w:t>4</w:t>
      </w:r>
      <w:r>
        <w:fldChar w:fldCharType="end"/>
      </w:r>
      <w:bookmarkEnd w:id="4"/>
    </w:p>
    <w:p w:rsidR="00E627DE" w:rsidP="00E627DE" w:rsidRDefault="005A4776" w14:paraId="57D3B344" w14:textId="7FACB6EA">
      <w:r w:rsidRPr="005A4776">
        <w:t xml:space="preserve"> </w:t>
      </w:r>
      <w:r w:rsidRPr="005A4776">
        <w:rPr>
          <w:noProof/>
        </w:rPr>
        <w:drawing>
          <wp:inline distT="0" distB="0" distL="0" distR="0" wp14:anchorId="2F424BA9" wp14:editId="42E4050D">
            <wp:extent cx="5419725" cy="1362075"/>
            <wp:effectExtent l="0" t="0" r="9525" b="9525"/>
            <wp:docPr id="902637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9725" cy="1362075"/>
                    </a:xfrm>
                    <a:prstGeom prst="rect">
                      <a:avLst/>
                    </a:prstGeom>
                    <a:noFill/>
                    <a:ln>
                      <a:noFill/>
                    </a:ln>
                  </pic:spPr>
                </pic:pic>
              </a:graphicData>
            </a:graphic>
          </wp:inline>
        </w:drawing>
      </w:r>
    </w:p>
    <w:p w:rsidR="00E627DE" w:rsidP="000D45B9" w:rsidRDefault="00255465" w14:paraId="495BC6C7" w14:textId="05A4E12E">
      <w:pPr>
        <w:pStyle w:val="NormalBody"/>
      </w:pPr>
      <w:r>
        <w:t xml:space="preserve">However, if the correct HCLS data had been used, the total CHCF-A support related to Pro-Rata changes for 2019 should have been only </w:t>
      </w:r>
      <w:r w:rsidR="003110EF">
        <w:t xml:space="preserve">$46,304. </w:t>
      </w:r>
      <w:r w:rsidR="003110EF">
        <w:fldChar w:fldCharType="begin"/>
      </w:r>
      <w:r w:rsidR="003110EF">
        <w:instrText xml:space="preserve"> REF _Ref198743928 \h </w:instrText>
      </w:r>
      <w:r w:rsidR="003110EF">
        <w:fldChar w:fldCharType="separate"/>
      </w:r>
      <w:r w:rsidR="00E570FF">
        <w:t xml:space="preserve">Table </w:t>
      </w:r>
      <w:r w:rsidR="00E570FF">
        <w:rPr>
          <w:noProof/>
        </w:rPr>
        <w:t>5</w:t>
      </w:r>
      <w:r w:rsidR="003110EF">
        <w:fldChar w:fldCharType="end"/>
      </w:r>
      <w:r w:rsidR="003110EF">
        <w:t xml:space="preserve"> shows the difference between the adopted adjustments to CHCF-A support for 2019 Pro-Rata (line 1) and </w:t>
      </w:r>
      <w:r w:rsidR="001C6A4B">
        <w:t>the corrected 2019 Pro-Rata using revised data</w:t>
      </w:r>
      <w:r w:rsidR="004F440A">
        <w:t xml:space="preserve"> (line 2)</w:t>
      </w:r>
      <w:r w:rsidR="001C6A4B">
        <w:t xml:space="preserve">. </w:t>
      </w:r>
    </w:p>
    <w:p w:rsidR="00AB4E4B" w:rsidP="00E627DE" w:rsidRDefault="00AB4E4B" w14:paraId="41BDF818" w14:textId="77777777">
      <w:pPr>
        <w:spacing w:after="0" w:line="240" w:lineRule="auto"/>
        <w:contextualSpacing/>
        <w:rPr>
          <w:rFonts w:ascii="Palatino Linotype" w:hAnsi="Palatino Linotype" w:eastAsia="Palatino Linotype" w:cs="Times New Roman"/>
          <w:kern w:val="0"/>
          <w14:ligatures w14:val="none"/>
        </w:rPr>
      </w:pPr>
    </w:p>
    <w:p w:rsidR="00A874B9" w:rsidP="00876D68" w:rsidRDefault="00A874B9" w14:paraId="18F93C39" w14:textId="215F4B00">
      <w:pPr>
        <w:pStyle w:val="Caption"/>
        <w:keepNext/>
      </w:pPr>
      <w:bookmarkStart w:name="_Ref198743928" w:id="5"/>
      <w:r>
        <w:t xml:space="preserve">Table </w:t>
      </w:r>
      <w:r>
        <w:fldChar w:fldCharType="begin"/>
      </w:r>
      <w:r>
        <w:instrText>SEQ Table \* ARABIC</w:instrText>
      </w:r>
      <w:r>
        <w:fldChar w:fldCharType="separate"/>
      </w:r>
      <w:r w:rsidR="00E570FF">
        <w:rPr>
          <w:noProof/>
        </w:rPr>
        <w:t>5</w:t>
      </w:r>
      <w:r>
        <w:fldChar w:fldCharType="end"/>
      </w:r>
      <w:bookmarkEnd w:id="5"/>
    </w:p>
    <w:p w:rsidR="00366340" w:rsidP="00E627DE" w:rsidRDefault="00E2385D" w14:paraId="28330BB5" w14:textId="700923E6">
      <w:pPr>
        <w:spacing w:after="0" w:line="240" w:lineRule="auto"/>
        <w:contextualSpacing/>
        <w:rPr>
          <w:rFonts w:ascii="Palatino Linotype" w:hAnsi="Palatino Linotype" w:eastAsia="Palatino Linotype" w:cs="Times New Roman"/>
          <w:kern w:val="0"/>
          <w14:ligatures w14:val="none"/>
        </w:rPr>
      </w:pPr>
      <w:r w:rsidRPr="00E2385D">
        <w:rPr>
          <w:rFonts w:ascii="Palatino Linotype" w:hAnsi="Palatino Linotype" w:eastAsia="Palatino Linotype" w:cs="Times New Roman"/>
          <w:kern w:val="0"/>
          <w14:ligatures w14:val="none"/>
        </w:rPr>
        <w:t xml:space="preserve"> </w:t>
      </w:r>
      <w:r w:rsidRPr="00E2385D">
        <w:rPr>
          <w:noProof/>
        </w:rPr>
        <w:drawing>
          <wp:inline distT="0" distB="0" distL="0" distR="0" wp14:anchorId="16D8EEA9" wp14:editId="3090167A">
            <wp:extent cx="5422900" cy="1184910"/>
            <wp:effectExtent l="0" t="0" r="6350" b="0"/>
            <wp:docPr id="740362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2900" cy="1184910"/>
                    </a:xfrm>
                    <a:prstGeom prst="rect">
                      <a:avLst/>
                    </a:prstGeom>
                    <a:noFill/>
                    <a:ln>
                      <a:noFill/>
                    </a:ln>
                  </pic:spPr>
                </pic:pic>
              </a:graphicData>
            </a:graphic>
          </wp:inline>
        </w:drawing>
      </w:r>
    </w:p>
    <w:p w:rsidR="00366340" w:rsidP="000D45B9" w:rsidRDefault="00366340" w14:paraId="47959F80" w14:textId="77777777">
      <w:pPr>
        <w:pStyle w:val="NormalBody"/>
      </w:pPr>
    </w:p>
    <w:p w:rsidR="00E627DE" w:rsidP="00F00983" w:rsidRDefault="00650D4A" w14:paraId="66115C98" w14:textId="6C762534">
      <w:pPr>
        <w:pStyle w:val="NormalBody"/>
      </w:pPr>
      <w:r>
        <w:t>The Commission</w:t>
      </w:r>
      <w:r w:rsidR="00E2385D">
        <w:t xml:space="preserve"> should</w:t>
      </w:r>
      <w:r w:rsidRPr="00EE4985" w:rsidR="00951731">
        <w:t xml:space="preserve"> adjust </w:t>
      </w:r>
      <w:r w:rsidR="00E2385D">
        <w:t xml:space="preserve">Ponderosa’s </w:t>
      </w:r>
      <w:r w:rsidR="000A71C1">
        <w:t xml:space="preserve">CHC-A support </w:t>
      </w:r>
      <w:r w:rsidRPr="00EE4985" w:rsidR="00951731">
        <w:t>for the overpayments that resulted from Pro-Rata Adjustment amounts that were calculated using the original HCL support projections. Therefore, the additional CHCF-A support requested by Ponderosa should be reduced by $9,099.89.</w:t>
      </w:r>
    </w:p>
    <w:p w:rsidR="00E627DE" w:rsidP="00F00983" w:rsidRDefault="00E627DE" w14:paraId="4D4A20BF" w14:textId="77777777">
      <w:pPr>
        <w:pStyle w:val="NormalBody"/>
      </w:pPr>
    </w:p>
    <w:p w:rsidR="00540871" w:rsidP="00F00983" w:rsidRDefault="004E7E47" w14:paraId="1BE11C00" w14:textId="3C7B16DF">
      <w:pPr>
        <w:pStyle w:val="Heading2"/>
        <w:rPr>
          <w:rFonts w:eastAsia="Palatino Linotype"/>
        </w:rPr>
      </w:pPr>
      <w:r w:rsidRPr="00F00983">
        <w:t>Means Test</w:t>
      </w:r>
    </w:p>
    <w:p w:rsidRPr="00741C32" w:rsidR="00741C32" w:rsidP="000D45B9" w:rsidRDefault="00741C32" w14:paraId="4FCACA44" w14:textId="65732480">
      <w:pPr>
        <w:pStyle w:val="NormalBody"/>
      </w:pPr>
      <w:r w:rsidRPr="00741C32">
        <w:t>CY 2019 was the first year after Ponderosa’s 2018 TY and thus it was not subject to a means test in Res</w:t>
      </w:r>
      <w:r w:rsidR="00F719E7">
        <w:t>olution</w:t>
      </w:r>
      <w:r w:rsidRPr="00741C32">
        <w:t xml:space="preserve"> T-17637. Therefore, after adjusting the CY 2019 support, it is not necessary to apply the means test. Additionally, pursuant to D.91-09-042, Appendix, Section D of the Implementation Rules and D.20-08-011, Ponderosa’s waterfall was set at 100% for 2019.</w:t>
      </w:r>
    </w:p>
    <w:p w:rsidRPr="001942D0" w:rsidR="00A76F4A" w:rsidP="00A76F4A" w:rsidRDefault="00A76F4A" w14:paraId="1193502B"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5B774C1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Comments</w:t>
      </w:r>
    </w:p>
    <w:p w:rsidRPr="001942D0" w:rsidR="00A76F4A" w:rsidP="00A76F4A" w:rsidRDefault="00A76F4A" w14:paraId="5856CC6E" w14:textId="08BE167B">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Public Utilities Code section 311(g)(1) provides that this Resolution must be served on all parties and subject to at least 30 days public review</w:t>
      </w:r>
      <w:r w:rsidRPr="001942D0" w:rsidR="00600C3F">
        <w:rPr>
          <w:rFonts w:ascii="Palatino Linotype" w:hAnsi="Palatino Linotype" w:eastAsia="Palatino Linotype" w:cs="Times New Roman"/>
          <w:kern w:val="0"/>
          <w14:ligatures w14:val="none"/>
        </w:rPr>
        <w:t xml:space="preserve">. </w:t>
      </w:r>
      <w:r w:rsidRPr="001942D0">
        <w:rPr>
          <w:rFonts w:ascii="Palatino Linotype" w:hAnsi="Palatino Linotype" w:eastAsia="Palatino Linotype" w:cs="Times New Roman"/>
          <w:kern w:val="0"/>
          <w14:ligatures w14:val="none"/>
        </w:rPr>
        <w:t xml:space="preserve">Any comments are due within </w:t>
      </w:r>
      <w:r w:rsidRPr="001942D0">
        <w:rPr>
          <w:rFonts w:ascii="Palatino Linotype" w:hAnsi="Palatino Linotype" w:eastAsia="Palatino Linotype" w:cs="Times New Roman"/>
          <w:kern w:val="0"/>
          <w14:ligatures w14:val="none"/>
        </w:rPr>
        <w:lastRenderedPageBreak/>
        <w:t xml:space="preserve">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942D0" w:rsidR="00A76F4A" w:rsidP="00A76F4A" w:rsidRDefault="00A76F4A" w14:paraId="14ED6F68"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73D79B48" w14:textId="7F711631">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The 30-day review and 20-day comment period for the draft of this resolution was neither waived nor reduced</w:t>
      </w:r>
      <w:r w:rsidRPr="001942D0" w:rsidR="00600C3F">
        <w:rPr>
          <w:rFonts w:ascii="Palatino Linotype" w:hAnsi="Palatino Linotype" w:eastAsia="Palatino Linotype" w:cs="Times New Roman"/>
          <w:kern w:val="0"/>
          <w14:ligatures w14:val="none"/>
        </w:rPr>
        <w:t xml:space="preserve">. </w:t>
      </w:r>
      <w:r w:rsidRPr="001942D0">
        <w:rPr>
          <w:rFonts w:ascii="Palatino Linotype" w:hAnsi="Palatino Linotype" w:eastAsia="Palatino Linotype" w:cs="Times New Roman"/>
          <w:kern w:val="0"/>
          <w14:ligatures w14:val="none"/>
        </w:rPr>
        <w:t xml:space="preserve">Accordingly, this draft resolution was mailed to parties for </w:t>
      </w:r>
      <w:proofErr w:type="gramStart"/>
      <w:r w:rsidRPr="001942D0">
        <w:rPr>
          <w:rFonts w:ascii="Palatino Linotype" w:hAnsi="Palatino Linotype" w:eastAsia="Palatino Linotype" w:cs="Times New Roman"/>
          <w:kern w:val="0"/>
          <w14:ligatures w14:val="none"/>
        </w:rPr>
        <w:t>comments, and</w:t>
      </w:r>
      <w:proofErr w:type="gramEnd"/>
      <w:r w:rsidRPr="001942D0">
        <w:rPr>
          <w:rFonts w:ascii="Palatino Linotype" w:hAnsi="Palatino Linotype" w:eastAsia="Palatino Linotype" w:cs="Times New Roman"/>
          <w:kern w:val="0"/>
          <w14:ligatures w14:val="none"/>
        </w:rPr>
        <w:t xml:space="preserve"> will be placed on the Commission's agenda no earlier than 30 days from today.</w:t>
      </w:r>
    </w:p>
    <w:p w:rsidRPr="001942D0" w:rsidR="00A76F4A" w:rsidP="00A76F4A" w:rsidRDefault="00A76F4A" w14:paraId="316D0355" w14:textId="77777777">
      <w:pPr>
        <w:spacing w:after="0" w:line="240" w:lineRule="auto"/>
        <w:rPr>
          <w:rFonts w:ascii="Palatino Linotype" w:hAnsi="Palatino Linotype" w:eastAsia="Palatino Linotype" w:cs="Times New Roman"/>
          <w:kern w:val="0"/>
          <w14:ligatures w14:val="none"/>
        </w:rPr>
      </w:pPr>
    </w:p>
    <w:p w:rsidRPr="001942D0"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Pr>
          <w:rFonts w:ascii="Palatino Linotype" w:hAnsi="Palatino Linotype" w:eastAsia="Palatino Linotype" w:cs="Times New Roman"/>
          <w:b/>
          <w:caps/>
          <w:kern w:val="28"/>
          <w:u w:val="single"/>
          <w14:ligatures w14:val="none"/>
        </w:rPr>
        <w:t xml:space="preserve"> AND CONCLUSIONS</w:t>
      </w:r>
    </w:p>
    <w:p w:rsidRPr="008605E9" w:rsidR="008605E9" w:rsidP="008605E9" w:rsidRDefault="008605E9" w14:paraId="3E4791D9" w14:textId="77777777">
      <w:pPr>
        <w:numPr>
          <w:ilvl w:val="0"/>
          <w:numId w:val="1"/>
        </w:numPr>
        <w:rPr>
          <w:rFonts w:ascii="Palatino Linotype" w:hAnsi="Palatino Linotype" w:eastAsia="Palatino Linotype" w:cs="Times New Roman"/>
          <w:kern w:val="0"/>
          <w14:ligatures w14:val="none"/>
        </w:rPr>
      </w:pPr>
      <w:r w:rsidRPr="008605E9">
        <w:rPr>
          <w:rFonts w:ascii="Palatino Linotype" w:hAnsi="Palatino Linotype" w:eastAsia="Palatino Linotype" w:cs="Times New Roman"/>
          <w:kern w:val="0"/>
          <w14:ligatures w14:val="none"/>
        </w:rPr>
        <w:t>D.91-09-042 authorizes the Small ILECs to include any changes to their federal Universal Service Fund (USF) funding in the annual CHCF-A filings.</w:t>
      </w:r>
    </w:p>
    <w:p w:rsidRPr="0090624C" w:rsidR="008605E9" w:rsidP="0090624C" w:rsidRDefault="003C3C66" w14:paraId="78107752" w14:textId="17BE64AF">
      <w:pPr>
        <w:numPr>
          <w:ilvl w:val="0"/>
          <w:numId w:val="1"/>
        </w:numPr>
        <w:spacing w:line="240" w:lineRule="auto"/>
        <w:rPr>
          <w:rFonts w:ascii="Palatino Linotype" w:hAnsi="Palatino Linotype" w:eastAsia="Palatino Linotype" w:cs="Times New Roman"/>
          <w:kern w:val="0"/>
          <w14:ligatures w14:val="none"/>
        </w:rPr>
      </w:pPr>
      <w:r w:rsidRPr="0090624C">
        <w:rPr>
          <w:rFonts w:ascii="Palatino Linotype" w:hAnsi="Palatino Linotype" w:eastAsia="Palatino Linotype" w:cs="Times New Roman"/>
          <w:kern w:val="0"/>
          <w14:ligatures w14:val="none"/>
        </w:rPr>
        <w:t>The Tax Cuts and Jobs Act (TCJA) was signed into law on December 22, 2017.</w:t>
      </w:r>
    </w:p>
    <w:p w:rsidRPr="00876D68" w:rsidR="00845B26" w:rsidP="00876D68" w:rsidRDefault="00845B26" w14:paraId="626DDA8C" w14:textId="29BD4DAC">
      <w:pPr>
        <w:numPr>
          <w:ilvl w:val="0"/>
          <w:numId w:val="1"/>
        </w:numPr>
        <w:spacing w:line="240" w:lineRule="auto"/>
        <w:rPr>
          <w:rFonts w:ascii="Palatino Linotype" w:hAnsi="Palatino Linotype" w:eastAsia="Palatino Linotype" w:cs="Times New Roman"/>
          <w:kern w:val="0"/>
          <w14:ligatures w14:val="none"/>
        </w:rPr>
      </w:pPr>
      <w:r w:rsidRPr="00845B26">
        <w:rPr>
          <w:rFonts w:ascii="Palatino Linotype" w:hAnsi="Palatino Linotype" w:eastAsia="Palatino Linotype" w:cs="Times New Roman"/>
          <w:kern w:val="0"/>
          <w14:ligatures w14:val="none"/>
        </w:rPr>
        <w:t>Resolution T-17637 adopted $30.110 million in CHCF-A support for Calendar Year 2019 to be disbursed to seven Small ILECS</w:t>
      </w:r>
      <w:r w:rsidR="0037478C">
        <w:rPr>
          <w:rFonts w:ascii="Palatino Linotype" w:hAnsi="Palatino Linotype" w:eastAsia="Palatino Linotype" w:cs="Times New Roman"/>
          <w:kern w:val="0"/>
          <w14:ligatures w14:val="none"/>
        </w:rPr>
        <w:t>.</w:t>
      </w:r>
      <w:r w:rsidRPr="00845B26" w:rsidDel="00845B26">
        <w:rPr>
          <w:rFonts w:ascii="Palatino Linotype" w:hAnsi="Palatino Linotype" w:eastAsia="Palatino Linotype" w:cs="Times New Roman"/>
          <w:kern w:val="0"/>
          <w:highlight w:val="yellow"/>
          <w14:ligatures w14:val="none"/>
        </w:rPr>
        <w:t xml:space="preserve"> </w:t>
      </w:r>
    </w:p>
    <w:p w:rsidRPr="00B27009" w:rsidR="001D2C7F" w:rsidP="00876D68" w:rsidRDefault="001D2C7F" w14:paraId="6E4A300F" w14:textId="77777777">
      <w:pPr>
        <w:numPr>
          <w:ilvl w:val="0"/>
          <w:numId w:val="1"/>
        </w:numPr>
        <w:spacing w:line="240" w:lineRule="auto"/>
        <w:rPr>
          <w:rFonts w:ascii="Palatino Linotype" w:hAnsi="Palatino Linotype" w:eastAsia="Palatino Linotype" w:cs="Times New Roman"/>
          <w:kern w:val="0"/>
          <w14:ligatures w14:val="none"/>
        </w:rPr>
      </w:pPr>
      <w:r w:rsidRPr="00B27009">
        <w:rPr>
          <w:rFonts w:ascii="Palatino Linotype" w:hAnsi="Palatino Linotype" w:eastAsia="Palatino Linotype" w:cs="Times New Roman"/>
          <w:kern w:val="0"/>
          <w14:ligatures w14:val="none"/>
        </w:rPr>
        <w:t xml:space="preserve">Resolution T-17637 adopted $2,862,478.34 in 2019 CHCF-A support for Ponderosa Telephone Company, which reflected projected 2019 HCLS of $4,190,561.23. </w:t>
      </w:r>
    </w:p>
    <w:p w:rsidR="00845B26" w:rsidP="00876D68" w:rsidRDefault="001D2C7F" w14:paraId="0622CF76" w14:textId="4B921FE6">
      <w:pPr>
        <w:numPr>
          <w:ilvl w:val="0"/>
          <w:numId w:val="1"/>
        </w:numPr>
        <w:spacing w:line="240" w:lineRule="auto"/>
        <w:rPr>
          <w:rFonts w:ascii="Palatino Linotype" w:hAnsi="Palatino Linotype" w:eastAsia="Palatino Linotype" w:cs="Times New Roman"/>
          <w:kern w:val="0"/>
          <w14:ligatures w14:val="none"/>
        </w:rPr>
      </w:pPr>
      <w:r w:rsidRPr="001D2C7F">
        <w:rPr>
          <w:rFonts w:ascii="Palatino Linotype" w:hAnsi="Palatino Linotype" w:eastAsia="Palatino Linotype" w:cs="Times New Roman"/>
          <w:kern w:val="0"/>
          <w14:ligatures w14:val="none"/>
        </w:rPr>
        <w:t>In December 2018, Ponderosa discovered an error in its 2018 USF-HCLS Data Collection Form relating to effects of the 2017 Tax Cuts and Jobs Act and corrected and resubmitted its 2018 USF-HCLS Data Collection Form to NECA. This resulted in a projected USF payment reduction of $584,698, with $567,856 relating to the excess deferred tax issue.</w:t>
      </w:r>
    </w:p>
    <w:p w:rsidR="001D2C7F" w:rsidP="00876D68" w:rsidRDefault="001D2C7F" w14:paraId="04916B67" w14:textId="1C6F2308">
      <w:pPr>
        <w:numPr>
          <w:ilvl w:val="0"/>
          <w:numId w:val="1"/>
        </w:numPr>
        <w:spacing w:line="240" w:lineRule="auto"/>
        <w:rPr>
          <w:rFonts w:ascii="Palatino Linotype" w:hAnsi="Palatino Linotype" w:eastAsia="Palatino Linotype" w:cs="Times New Roman"/>
          <w:kern w:val="0"/>
          <w14:ligatures w14:val="none"/>
        </w:rPr>
      </w:pPr>
      <w:r w:rsidRPr="001D2C7F">
        <w:rPr>
          <w:rFonts w:ascii="Palatino Linotype" w:hAnsi="Palatino Linotype" w:eastAsia="Palatino Linotype" w:cs="Times New Roman"/>
          <w:kern w:val="0"/>
          <w14:ligatures w14:val="none"/>
        </w:rPr>
        <w:t>On January 9, 2020, Ponderosa submitted a Petition for Modification of Resolution T</w:t>
      </w:r>
      <w:r w:rsidR="00AF3524">
        <w:rPr>
          <w:rFonts w:ascii="Palatino Linotype" w:hAnsi="Palatino Linotype" w:eastAsia="Palatino Linotype" w:cs="Times New Roman"/>
          <w:kern w:val="0"/>
          <w14:ligatures w14:val="none"/>
        </w:rPr>
        <w:t>-</w:t>
      </w:r>
      <w:r w:rsidRPr="001D2C7F">
        <w:rPr>
          <w:rFonts w:ascii="Palatino Linotype" w:hAnsi="Palatino Linotype" w:eastAsia="Palatino Linotype" w:cs="Times New Roman"/>
          <w:kern w:val="0"/>
          <w14:ligatures w14:val="none"/>
        </w:rPr>
        <w:t xml:space="preserve">17637, in which they requested an increase in CHCF-A support for CY 2019 of $567,856 due to an error in the data underlying the </w:t>
      </w:r>
      <w:proofErr w:type="gramStart"/>
      <w:r w:rsidRPr="001D2C7F">
        <w:rPr>
          <w:rFonts w:ascii="Palatino Linotype" w:hAnsi="Palatino Linotype" w:eastAsia="Palatino Linotype" w:cs="Times New Roman"/>
          <w:kern w:val="0"/>
          <w14:ligatures w14:val="none"/>
        </w:rPr>
        <w:t>High Cost</w:t>
      </w:r>
      <w:proofErr w:type="gramEnd"/>
      <w:r w:rsidRPr="001D2C7F">
        <w:rPr>
          <w:rFonts w:ascii="Palatino Linotype" w:hAnsi="Palatino Linotype" w:eastAsia="Palatino Linotype" w:cs="Times New Roman"/>
          <w:kern w:val="0"/>
          <w14:ligatures w14:val="none"/>
        </w:rPr>
        <w:t xml:space="preserve"> Loop Support estimate used to calculate the 2019 CHCF-A support amount.</w:t>
      </w:r>
    </w:p>
    <w:p w:rsidR="001D2C7F" w:rsidP="00876D68" w:rsidRDefault="001D2C7F" w14:paraId="4857FFA5" w14:textId="08FDF6DD">
      <w:pPr>
        <w:numPr>
          <w:ilvl w:val="0"/>
          <w:numId w:val="1"/>
        </w:numPr>
        <w:spacing w:line="240" w:lineRule="auto"/>
        <w:rPr>
          <w:rFonts w:ascii="Palatino Linotype" w:hAnsi="Palatino Linotype" w:eastAsia="Palatino Linotype" w:cs="Times New Roman"/>
          <w:kern w:val="0"/>
          <w14:ligatures w14:val="none"/>
        </w:rPr>
      </w:pPr>
      <w:r w:rsidRPr="001D2C7F">
        <w:rPr>
          <w:rFonts w:ascii="Palatino Linotype" w:hAnsi="Palatino Linotype" w:eastAsia="Palatino Linotype" w:cs="Times New Roman"/>
          <w:kern w:val="0"/>
          <w14:ligatures w14:val="none"/>
        </w:rPr>
        <w:t>On April 20, 2021, Ponderosa submitted a revised Petition for Modification of Res</w:t>
      </w:r>
      <w:r w:rsidR="00C8079A">
        <w:rPr>
          <w:rFonts w:ascii="Palatino Linotype" w:hAnsi="Palatino Linotype" w:eastAsia="Palatino Linotype" w:cs="Times New Roman"/>
          <w:kern w:val="0"/>
          <w14:ligatures w14:val="none"/>
        </w:rPr>
        <w:t>olution</w:t>
      </w:r>
      <w:r w:rsidRPr="001D2C7F">
        <w:rPr>
          <w:rFonts w:ascii="Palatino Linotype" w:hAnsi="Palatino Linotype" w:eastAsia="Palatino Linotype" w:cs="Times New Roman"/>
          <w:kern w:val="0"/>
          <w14:ligatures w14:val="none"/>
        </w:rPr>
        <w:t xml:space="preserve"> T-17637 to Communications Division that corrected the naming of Attachments D and E but did not make substantive changes.</w:t>
      </w:r>
    </w:p>
    <w:p w:rsidR="001D2C7F" w:rsidP="00876D68" w:rsidRDefault="001D2C7F" w14:paraId="12B1D50D" w14:textId="079909C0">
      <w:pPr>
        <w:numPr>
          <w:ilvl w:val="0"/>
          <w:numId w:val="1"/>
        </w:numPr>
        <w:spacing w:line="240" w:lineRule="auto"/>
        <w:rPr>
          <w:rFonts w:ascii="Palatino Linotype" w:hAnsi="Palatino Linotype" w:eastAsia="Palatino Linotype" w:cs="Times New Roman"/>
          <w:kern w:val="0"/>
          <w14:ligatures w14:val="none"/>
        </w:rPr>
      </w:pPr>
      <w:r w:rsidRPr="001D2C7F">
        <w:rPr>
          <w:rFonts w:ascii="Palatino Linotype" w:hAnsi="Palatino Linotype" w:eastAsia="Palatino Linotype" w:cs="Times New Roman"/>
          <w:kern w:val="0"/>
          <w14:ligatures w14:val="none"/>
        </w:rPr>
        <w:t>Ponderosa submitted documentation to support their Petition for Modification of Res</w:t>
      </w:r>
      <w:r w:rsidR="00C8079A">
        <w:rPr>
          <w:rFonts w:ascii="Palatino Linotype" w:hAnsi="Palatino Linotype" w:eastAsia="Palatino Linotype" w:cs="Times New Roman"/>
          <w:kern w:val="0"/>
          <w14:ligatures w14:val="none"/>
        </w:rPr>
        <w:t>olution</w:t>
      </w:r>
      <w:r w:rsidRPr="001D2C7F">
        <w:rPr>
          <w:rFonts w:ascii="Palatino Linotype" w:hAnsi="Palatino Linotype" w:eastAsia="Palatino Linotype" w:cs="Times New Roman"/>
          <w:kern w:val="0"/>
          <w14:ligatures w14:val="none"/>
        </w:rPr>
        <w:t xml:space="preserve"> T-17637, including the NECA USF 2010 Impact Analysis Report for Year End 12/2017, NECA Appendix E from September 2018, and Initial and Revised USF Data Collection Form 2018.</w:t>
      </w:r>
    </w:p>
    <w:p w:rsidR="001D2C7F" w:rsidP="00B607A5" w:rsidRDefault="001D2C7F" w14:paraId="496C2835" w14:textId="532CC3FF">
      <w:pPr>
        <w:numPr>
          <w:ilvl w:val="0"/>
          <w:numId w:val="1"/>
        </w:numPr>
        <w:spacing w:line="240" w:lineRule="auto"/>
        <w:rPr>
          <w:rFonts w:ascii="Palatino Linotype" w:hAnsi="Palatino Linotype" w:eastAsia="Palatino Linotype" w:cs="Times New Roman"/>
          <w:kern w:val="0"/>
          <w14:ligatures w14:val="none"/>
        </w:rPr>
      </w:pPr>
      <w:r w:rsidRPr="001D2C7F">
        <w:rPr>
          <w:rFonts w:ascii="Palatino Linotype" w:hAnsi="Palatino Linotype" w:eastAsia="Palatino Linotype" w:cs="Times New Roman"/>
          <w:kern w:val="0"/>
          <w14:ligatures w14:val="none"/>
        </w:rPr>
        <w:lastRenderedPageBreak/>
        <w:t xml:space="preserve">Pro-Rata Adjustment Impact for 2019, included in 2020 and 2021 </w:t>
      </w:r>
      <w:r w:rsidR="00CE144A">
        <w:rPr>
          <w:rFonts w:ascii="Palatino Linotype" w:hAnsi="Palatino Linotype" w:eastAsia="Palatino Linotype" w:cs="Times New Roman"/>
          <w:kern w:val="0"/>
          <w14:ligatures w14:val="none"/>
        </w:rPr>
        <w:t>R</w:t>
      </w:r>
      <w:r w:rsidRPr="001D2C7F">
        <w:rPr>
          <w:rFonts w:ascii="Palatino Linotype" w:hAnsi="Palatino Linotype" w:eastAsia="Palatino Linotype" w:cs="Times New Roman"/>
          <w:kern w:val="0"/>
          <w14:ligatures w14:val="none"/>
        </w:rPr>
        <w:t>esolutions (T-17682 and T-17710, respectively) relied on original 2019 HCLS projection and resulted in overpayments of $9,099.89.</w:t>
      </w:r>
    </w:p>
    <w:p w:rsidRPr="00450C64" w:rsidR="003C3C66" w:rsidP="00450C64" w:rsidRDefault="003C3C66" w14:paraId="17BCAD18" w14:textId="6A595EB2">
      <w:pPr>
        <w:numPr>
          <w:ilvl w:val="0"/>
          <w:numId w:val="1"/>
        </w:numPr>
        <w:spacing w:line="240" w:lineRule="auto"/>
        <w:rPr>
          <w:rFonts w:ascii="Palatino Linotype" w:hAnsi="Palatino Linotype" w:eastAsia="Palatino Linotype" w:cs="Times New Roman"/>
          <w:kern w:val="0"/>
          <w14:ligatures w14:val="none"/>
        </w:rPr>
      </w:pPr>
      <w:r w:rsidRPr="00450C64">
        <w:rPr>
          <w:rFonts w:ascii="Palatino Linotype" w:hAnsi="Palatino Linotype" w:eastAsia="Palatino Linotype" w:cs="Times New Roman"/>
          <w:kern w:val="0"/>
          <w14:ligatures w14:val="none"/>
        </w:rPr>
        <w:t xml:space="preserve">CY 2019 was the first year after Ponderosa’s 2018 TY and thus it was not subject to a means test in </w:t>
      </w:r>
      <w:r w:rsidRPr="00450C64" w:rsidR="00E720AC">
        <w:rPr>
          <w:rFonts w:ascii="Palatino Linotype" w:hAnsi="Palatino Linotype" w:eastAsia="Palatino Linotype" w:cs="Times New Roman"/>
          <w:kern w:val="0"/>
          <w14:ligatures w14:val="none"/>
        </w:rPr>
        <w:t>Res</w:t>
      </w:r>
      <w:r w:rsidR="00E720AC">
        <w:rPr>
          <w:rFonts w:ascii="Palatino Linotype" w:hAnsi="Palatino Linotype" w:eastAsia="Palatino Linotype" w:cs="Times New Roman"/>
          <w:kern w:val="0"/>
          <w14:ligatures w14:val="none"/>
        </w:rPr>
        <w:t>olution</w:t>
      </w:r>
      <w:r w:rsidRPr="00450C64">
        <w:rPr>
          <w:rFonts w:ascii="Palatino Linotype" w:hAnsi="Palatino Linotype" w:eastAsia="Palatino Linotype" w:cs="Times New Roman"/>
          <w:kern w:val="0"/>
          <w14:ligatures w14:val="none"/>
        </w:rPr>
        <w:t xml:space="preserve"> T-17637.</w:t>
      </w:r>
    </w:p>
    <w:p w:rsidRPr="00450C64" w:rsidR="00A76F4A" w:rsidP="00450C64" w:rsidRDefault="001D2C7F" w14:paraId="75300465" w14:textId="3C59B11C">
      <w:pPr>
        <w:numPr>
          <w:ilvl w:val="0"/>
          <w:numId w:val="1"/>
        </w:numPr>
        <w:spacing w:after="0" w:line="240" w:lineRule="auto"/>
        <w:rPr>
          <w:rFonts w:ascii="Palatino Linotype" w:hAnsi="Palatino Linotype" w:eastAsia="Palatino Linotype" w:cs="Times New Roman"/>
          <w:kern w:val="0"/>
          <w14:ligatures w14:val="none"/>
        </w:rPr>
      </w:pPr>
      <w:proofErr w:type="gramStart"/>
      <w:r w:rsidRPr="00450C64">
        <w:rPr>
          <w:rFonts w:ascii="Palatino Linotype" w:hAnsi="Palatino Linotype" w:eastAsia="Palatino Linotype" w:cs="Times New Roman"/>
          <w:kern w:val="0"/>
          <w14:ligatures w14:val="none"/>
        </w:rPr>
        <w:t>C</w:t>
      </w:r>
      <w:r w:rsidR="00DD350B">
        <w:rPr>
          <w:rFonts w:ascii="Palatino Linotype" w:hAnsi="Palatino Linotype" w:eastAsia="Palatino Linotype" w:cs="Times New Roman"/>
          <w:kern w:val="0"/>
          <w14:ligatures w14:val="none"/>
        </w:rPr>
        <w:t>ommunications</w:t>
      </w:r>
      <w:proofErr w:type="gramEnd"/>
      <w:r w:rsidR="00DD350B">
        <w:rPr>
          <w:rFonts w:ascii="Palatino Linotype" w:hAnsi="Palatino Linotype" w:eastAsia="Palatino Linotype" w:cs="Times New Roman"/>
          <w:kern w:val="0"/>
          <w14:ligatures w14:val="none"/>
        </w:rPr>
        <w:t xml:space="preserve"> </w:t>
      </w:r>
      <w:r w:rsidRPr="00450C64">
        <w:rPr>
          <w:rFonts w:ascii="Palatino Linotype" w:hAnsi="Palatino Linotype" w:eastAsia="Palatino Linotype" w:cs="Times New Roman"/>
          <w:kern w:val="0"/>
          <w14:ligatures w14:val="none"/>
        </w:rPr>
        <w:t>D</w:t>
      </w:r>
      <w:r w:rsidR="00DD350B">
        <w:rPr>
          <w:rFonts w:ascii="Palatino Linotype" w:hAnsi="Palatino Linotype" w:eastAsia="Palatino Linotype" w:cs="Times New Roman"/>
          <w:kern w:val="0"/>
          <w14:ligatures w14:val="none"/>
        </w:rPr>
        <w:t>ivision</w:t>
      </w:r>
      <w:r w:rsidRPr="00450C64">
        <w:rPr>
          <w:rFonts w:ascii="Palatino Linotype" w:hAnsi="Palatino Linotype" w:eastAsia="Palatino Linotype" w:cs="Times New Roman"/>
          <w:kern w:val="0"/>
          <w14:ligatures w14:val="none"/>
        </w:rPr>
        <w:t xml:space="preserve"> reviewed Ponderosa’s Petition for Modification of T-17637 and the information </w:t>
      </w:r>
      <w:proofErr w:type="gramStart"/>
      <w:r w:rsidRPr="00450C64">
        <w:rPr>
          <w:rFonts w:ascii="Palatino Linotype" w:hAnsi="Palatino Linotype" w:eastAsia="Palatino Linotype" w:cs="Times New Roman"/>
          <w:kern w:val="0"/>
          <w14:ligatures w14:val="none"/>
        </w:rPr>
        <w:t>provided</w:t>
      </w:r>
      <w:r w:rsidR="005E09B5">
        <w:rPr>
          <w:rFonts w:ascii="Palatino Linotype" w:hAnsi="Palatino Linotype" w:eastAsia="Palatino Linotype" w:cs="Times New Roman"/>
          <w:kern w:val="0"/>
          <w14:ligatures w14:val="none"/>
        </w:rPr>
        <w:t>,</w:t>
      </w:r>
      <w:r w:rsidRPr="00450C64">
        <w:rPr>
          <w:rFonts w:ascii="Palatino Linotype" w:hAnsi="Palatino Linotype" w:eastAsia="Palatino Linotype" w:cs="Times New Roman"/>
          <w:kern w:val="0"/>
          <w14:ligatures w14:val="none"/>
        </w:rPr>
        <w:t xml:space="preserve"> and</w:t>
      </w:r>
      <w:proofErr w:type="gramEnd"/>
      <w:r w:rsidRPr="00450C64">
        <w:rPr>
          <w:rFonts w:ascii="Palatino Linotype" w:hAnsi="Palatino Linotype" w:eastAsia="Palatino Linotype" w:cs="Times New Roman"/>
          <w:kern w:val="0"/>
          <w14:ligatures w14:val="none"/>
        </w:rPr>
        <w:t xml:space="preserve"> </w:t>
      </w:r>
      <w:proofErr w:type="gramStart"/>
      <w:r w:rsidRPr="00450C64">
        <w:rPr>
          <w:rFonts w:ascii="Palatino Linotype" w:hAnsi="Palatino Linotype" w:eastAsia="Palatino Linotype" w:cs="Times New Roman"/>
          <w:kern w:val="0"/>
          <w14:ligatures w14:val="none"/>
        </w:rPr>
        <w:t>recommends</w:t>
      </w:r>
      <w:proofErr w:type="gramEnd"/>
      <w:r w:rsidRPr="00450C64">
        <w:rPr>
          <w:rFonts w:ascii="Palatino Linotype" w:hAnsi="Palatino Linotype" w:eastAsia="Palatino Linotype" w:cs="Times New Roman"/>
          <w:kern w:val="0"/>
          <w14:ligatures w14:val="none"/>
        </w:rPr>
        <w:t xml:space="preserve"> Commission approval of the requested modification and additional CHCF-A support payment, with additional modification for the change in Pro-Rata.</w:t>
      </w:r>
      <w:r w:rsidRPr="00450C64" w:rsidR="00A76F4A">
        <w:rPr>
          <w:rFonts w:ascii="Palatino Linotype" w:hAnsi="Palatino Linotype" w:eastAsia="Palatino Linotype" w:cs="Times New Roman"/>
          <w:kern w:val="0"/>
          <w14:ligatures w14:val="none"/>
        </w:rPr>
        <w:t xml:space="preserve"> </w:t>
      </w:r>
    </w:p>
    <w:p w:rsidRPr="001942D0" w:rsidR="00A76F4A" w:rsidP="00A76F4A" w:rsidRDefault="00A76F4A" w14:paraId="21CF1B88" w14:textId="77777777">
      <w:pPr>
        <w:spacing w:after="0" w:line="240" w:lineRule="auto"/>
        <w:rPr>
          <w:rFonts w:ascii="Palatino Linotype" w:hAnsi="Palatino Linotype" w:eastAsia="Palatino Linotype" w:cs="Times New Roman"/>
          <w:b/>
          <w:kern w:val="0"/>
          <w14:ligatures w14:val="none"/>
        </w:rPr>
      </w:pPr>
    </w:p>
    <w:p w:rsidRPr="001942D0" w:rsidR="00A76F4A" w:rsidP="00A76F4A" w:rsidRDefault="00A76F4A" w14:paraId="215FEFC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proofErr w:type="gramStart"/>
      <w:r w:rsidRPr="001942D0">
        <w:rPr>
          <w:rFonts w:ascii="Palatino Linotype" w:hAnsi="Palatino Linotype" w:eastAsia="Palatino Linotype" w:cs="Times New Roman"/>
          <w:b/>
          <w:caps/>
          <w:kern w:val="28"/>
          <w:u w:val="single"/>
          <w14:ligatures w14:val="none"/>
        </w:rPr>
        <w:t>Therefore</w:t>
      </w:r>
      <w:proofErr w:type="gramEnd"/>
      <w:r w:rsidRPr="001942D0">
        <w:rPr>
          <w:rFonts w:ascii="Palatino Linotype" w:hAnsi="Palatino Linotype" w:eastAsia="Palatino Linotype" w:cs="Times New Roman"/>
          <w:b/>
          <w:caps/>
          <w:kern w:val="28"/>
          <w:u w:val="single"/>
          <w14:ligatures w14:val="none"/>
        </w:rPr>
        <w:t xml:space="preserve"> it is ordered that:</w:t>
      </w:r>
    </w:p>
    <w:p w:rsidR="00B607A5" w:rsidP="00B607A5" w:rsidRDefault="00B607A5" w14:paraId="10A8307F" w14:textId="77777777">
      <w:pPr>
        <w:keepNext/>
        <w:numPr>
          <w:ilvl w:val="0"/>
          <w:numId w:val="2"/>
        </w:numPr>
        <w:spacing w:after="120" w:line="240" w:lineRule="auto"/>
        <w:rPr>
          <w:rFonts w:ascii="Palatino Linotype" w:hAnsi="Palatino Linotype"/>
        </w:rPr>
      </w:pPr>
      <w:r>
        <w:rPr>
          <w:rFonts w:ascii="Palatino Linotype" w:hAnsi="Palatino Linotype"/>
        </w:rPr>
        <w:t xml:space="preserve">Ponderosa Telephone Company’s Petition for Modification of Resolution T-17637 is granted with further modification for changes to the Pro-Rata Adjustments. </w:t>
      </w:r>
    </w:p>
    <w:p w:rsidRPr="00450C64" w:rsidR="00B607A5" w:rsidP="00450C64" w:rsidRDefault="00B607A5" w14:paraId="7502C8FC" w14:textId="011BC6E8">
      <w:pPr>
        <w:keepNext/>
        <w:numPr>
          <w:ilvl w:val="0"/>
          <w:numId w:val="2"/>
        </w:numPr>
        <w:spacing w:after="120" w:line="240" w:lineRule="auto"/>
        <w:rPr>
          <w:rFonts w:ascii="Palatino Linotype" w:hAnsi="Palatino Linotype"/>
        </w:rPr>
      </w:pPr>
      <w:r w:rsidRPr="00450C64">
        <w:rPr>
          <w:rFonts w:ascii="Palatino Linotype" w:hAnsi="Palatino Linotype"/>
        </w:rPr>
        <w:t xml:space="preserve">A one-time payment of $558,756.11 in additional 2019 CHCF-A support for Ponderosa Telephone Company is adopted. </w:t>
      </w:r>
    </w:p>
    <w:p w:rsidR="00A76F4A" w:rsidP="00A76F4A" w:rsidRDefault="00A76F4A" w14:paraId="2F730BE1"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4A2116" w:rsidP="00A76F4A" w:rsidRDefault="004A2116" w14:paraId="5B06B52D"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4A2116" w:rsidP="00A76F4A" w:rsidRDefault="004A2116" w14:paraId="0E0AC5F8"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4A2116" w:rsidP="00A76F4A" w:rsidRDefault="004A2116" w14:paraId="05607ED7"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4A2116" w:rsidP="00A76F4A" w:rsidRDefault="004A2116" w14:paraId="0E76C25B"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4A2116" w:rsidP="00A76F4A" w:rsidRDefault="004A2116" w14:paraId="2FB57FB8"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4A2116" w:rsidP="00A76F4A" w:rsidRDefault="004A2116" w14:paraId="0C0B1B14"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4A2116" w:rsidP="00A76F4A" w:rsidRDefault="004A2116" w14:paraId="07DE0BEA"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This Resolution is effective today.</w:t>
      </w:r>
    </w:p>
    <w:p w:rsidR="00A76F4A" w:rsidP="00A76F4A" w:rsidRDefault="00A76F4A" w14:paraId="45A541E0"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6FDD03B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0CE47F6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34F8C9C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Commissioner Signature blocks to be added </w:t>
      </w:r>
    </w:p>
    <w:p w:rsidR="00A76F4A" w:rsidP="00A76F4A" w:rsidRDefault="00A76F4A" w14:paraId="47615040"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upon adoption of the resolution </w:t>
      </w:r>
    </w:p>
    <w:p w:rsidR="00A76F4A" w:rsidP="00A76F4A" w:rsidRDefault="00A76F4A" w14:paraId="7B507E3D"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5A07E5F1"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51493D" w:rsidR="00A76F4A" w:rsidP="00A76F4A" w:rsidRDefault="00A76F4A" w14:paraId="203AD159" w14:textId="70D14219">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sidR="00FC5D12">
        <w:rPr>
          <w:rFonts w:ascii="Palatino Linotype" w:hAnsi="Palatino Linotype"/>
        </w:rPr>
        <w:t>08/24/2025;</w:t>
      </w:r>
      <w:r w:rsidRPr="0051493D">
        <w:rPr>
          <w:rFonts w:ascii="Palatino Linotype" w:hAnsi="Palatino Linotype"/>
        </w:rPr>
        <w:t xml:space="preserve"> the following Commissioners voting favorably thereon:</w:t>
      </w:r>
    </w:p>
    <w:p w:rsidRPr="001942D0" w:rsidR="00A76F4A" w:rsidP="00A76F4A" w:rsidRDefault="00A76F4A" w14:paraId="0B7DFB9B"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A76F4A" w:rsidP="00A76F4A" w:rsidRDefault="00A76F4A" w14:paraId="7B2A2C9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1BFDA168" w14:textId="26E1B47E">
      <w:pPr>
        <w:keepNext/>
        <w:spacing w:after="0" w:line="240" w:lineRule="auto"/>
        <w:rPr>
          <w:rFonts w:ascii="Palatino Linotype" w:hAnsi="Palatino Linotype" w:eastAsia="Palatino Linotype" w:cs="Times New Roman"/>
        </w:rPr>
      </w:pPr>
      <w:r w:rsidRPr="00921E87">
        <w:rPr>
          <w:rFonts w:ascii="Palatino Linotype" w:hAnsi="Palatino Linotype" w:eastAsia="Palatino Linotype" w:cs="Times New Roman"/>
        </w:rPr>
        <w:t xml:space="preserve">Dated </w:t>
      </w:r>
      <w:r>
        <w:rPr>
          <w:rFonts w:ascii="Palatino Linotype" w:hAnsi="Palatino Linotype" w:eastAsia="Palatino Linotype" w:cs="Times New Roman"/>
          <w:u w:val="single"/>
        </w:rPr>
        <w:t xml:space="preserve">                                                                </w:t>
      </w:r>
      <w:proofErr w:type="gramStart"/>
      <w:r>
        <w:rPr>
          <w:rFonts w:ascii="Palatino Linotype" w:hAnsi="Palatino Linotype" w:eastAsia="Palatino Linotype" w:cs="Times New Roman"/>
          <w:u w:val="single"/>
        </w:rPr>
        <w:t xml:space="preserve">  </w:t>
      </w:r>
      <w:r w:rsidRPr="00921E87">
        <w:rPr>
          <w:rFonts w:ascii="Palatino Linotype" w:hAnsi="Palatino Linotype" w:eastAsia="Palatino Linotype" w:cs="Times New Roman"/>
        </w:rPr>
        <w:t>,</w:t>
      </w:r>
      <w:proofErr w:type="gramEnd"/>
      <w:r w:rsidRPr="00921E87">
        <w:rPr>
          <w:rFonts w:ascii="Palatino Linotype" w:hAnsi="Palatino Linotype" w:eastAsia="Palatino Linotype" w:cs="Times New Roman"/>
        </w:rPr>
        <w:t xml:space="preserve"> at </w:t>
      </w:r>
      <w:r w:rsidR="00FC5D12">
        <w:rPr>
          <w:rFonts w:ascii="Palatino Linotype" w:hAnsi="Palatino Linotype" w:eastAsia="Palatino Linotype" w:cs="Times New Roman"/>
        </w:rPr>
        <w:t>Sacramento</w:t>
      </w:r>
      <w:r w:rsidRPr="00921E87">
        <w:rPr>
          <w:rFonts w:ascii="Palatino Linotype" w:hAnsi="Palatino Linotype" w:eastAsia="Palatino Linotype" w:cs="Times New Roman"/>
        </w:rPr>
        <w:t>, California</w:t>
      </w:r>
      <w:r>
        <w:rPr>
          <w:rFonts w:ascii="Palatino Linotype" w:hAnsi="Palatino Linotype" w:eastAsia="Palatino Linotype" w:cs="Times New Roman"/>
        </w:rPr>
        <w:tab/>
      </w:r>
    </w:p>
    <w:p w:rsidR="00A76F4A" w:rsidP="00A76F4A" w:rsidRDefault="00A76F4A" w14:paraId="6C25D2B1" w14:textId="77777777">
      <w:pPr>
        <w:keepNext/>
        <w:spacing w:after="0" w:line="240" w:lineRule="auto"/>
        <w:rPr>
          <w:rFonts w:ascii="Palatino Linotype" w:hAnsi="Palatino Linotype" w:eastAsia="Palatino Linotype" w:cs="Times New Roman"/>
        </w:rPr>
      </w:pPr>
    </w:p>
    <w:p w:rsidR="00A76F4A" w:rsidP="00A76F4A" w:rsidRDefault="00A76F4A" w14:paraId="0210CE2F" w14:textId="77777777">
      <w:pPr>
        <w:keepNext/>
        <w:spacing w:after="0" w:line="240" w:lineRule="auto"/>
        <w:rPr>
          <w:rFonts w:ascii="Palatino Linotype" w:hAnsi="Palatino Linotype" w:eastAsia="Palatino Linotype" w:cs="Times New Roman"/>
        </w:rPr>
      </w:pPr>
    </w:p>
    <w:p w:rsidR="00A76F4A" w:rsidP="00A76F4A" w:rsidRDefault="00A76F4A" w14:paraId="59C29A8B" w14:textId="77777777">
      <w:pPr>
        <w:keepNext/>
        <w:spacing w:after="0" w:line="240" w:lineRule="auto"/>
        <w:rPr>
          <w:rFonts w:ascii="Palatino Linotype" w:hAnsi="Palatino Linotype" w:eastAsia="Palatino Linotype" w:cs="Times New Roman"/>
        </w:rPr>
      </w:pPr>
    </w:p>
    <w:p w:rsidR="00A76F4A" w:rsidP="00A76F4A" w:rsidRDefault="00A76F4A" w14:paraId="19AFAC8E" w14:textId="77777777">
      <w:pPr>
        <w:keepNext/>
        <w:spacing w:after="0" w:line="240" w:lineRule="auto"/>
        <w:rPr>
          <w:rFonts w:ascii="Palatino Linotype" w:hAnsi="Palatino Linotype" w:eastAsia="Palatino Linotype" w:cs="Times New Roman"/>
        </w:rPr>
      </w:pPr>
    </w:p>
    <w:p w:rsidR="00A76F4A" w:rsidP="00A76F4A" w:rsidRDefault="00A76F4A" w14:paraId="037B76D7" w14:textId="77777777">
      <w:pPr>
        <w:keepNext/>
        <w:spacing w:after="0" w:line="240" w:lineRule="auto"/>
        <w:rPr>
          <w:rFonts w:ascii="Palatino Linotype" w:hAnsi="Palatino Linotype" w:eastAsia="Palatino Linotype" w:cs="Times New Roman"/>
        </w:rPr>
      </w:pPr>
    </w:p>
    <w:p w:rsidR="00A76F4A" w:rsidP="00A76F4A" w:rsidRDefault="00A76F4A" w14:paraId="328AD2E0" w14:textId="77777777">
      <w:pPr>
        <w:keepNext/>
        <w:spacing w:after="0" w:line="240" w:lineRule="auto"/>
        <w:rPr>
          <w:rFonts w:ascii="Palatino Linotype" w:hAnsi="Palatino Linotype" w:eastAsia="Palatino Linotype" w:cs="Times New Roman"/>
        </w:rPr>
      </w:pPr>
    </w:p>
    <w:p w:rsidR="00A76F4A" w:rsidP="009B65D8" w:rsidRDefault="00A76F4A" w14:paraId="1FD216D4" w14:textId="77777777">
      <w:pPr>
        <w:keepNext/>
        <w:spacing w:after="0" w:line="240" w:lineRule="auto"/>
      </w:pPr>
    </w:p>
    <w:sectPr w:rsidR="00A76F4A" w:rsidSect="00D136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901A" w14:textId="77777777" w:rsidR="0018763B" w:rsidRDefault="0018763B" w:rsidP="00A76F4A">
      <w:pPr>
        <w:spacing w:after="0" w:line="240" w:lineRule="auto"/>
      </w:pPr>
      <w:r>
        <w:separator/>
      </w:r>
    </w:p>
    <w:p w14:paraId="73D2D690" w14:textId="77777777" w:rsidR="0018763B" w:rsidRDefault="0018763B"/>
  </w:endnote>
  <w:endnote w:type="continuationSeparator" w:id="0">
    <w:p w14:paraId="57145E92" w14:textId="77777777" w:rsidR="0018763B" w:rsidRDefault="0018763B" w:rsidP="00A76F4A">
      <w:pPr>
        <w:spacing w:after="0" w:line="240" w:lineRule="auto"/>
      </w:pPr>
      <w:r>
        <w:continuationSeparator/>
      </w:r>
    </w:p>
    <w:p w14:paraId="437CF290" w14:textId="77777777" w:rsidR="0018763B" w:rsidRDefault="00187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BEE3" w14:textId="224D89DB" w:rsidR="006E5AE6" w:rsidRPr="00F17976" w:rsidRDefault="006E5AE6" w:rsidP="006E5AE6">
    <w:pPr>
      <w:pStyle w:val="Footer"/>
      <w:rPr>
        <w:rFonts w:ascii="Palatino Linotype" w:hAnsi="Palatino Linotype"/>
        <w:sz w:val="20"/>
        <w:szCs w:val="20"/>
      </w:rPr>
    </w:pPr>
    <w:r w:rsidRPr="00F17976">
      <w:rPr>
        <w:rFonts w:ascii="Palatino Linotype" w:hAnsi="Palatino Linotype"/>
        <w:sz w:val="20"/>
        <w:szCs w:val="20"/>
      </w:rPr>
      <w:tab/>
    </w:r>
    <w:sdt>
      <w:sdtPr>
        <w:rPr>
          <w:rFonts w:ascii="Palatino Linotype" w:hAnsi="Palatino Linotype"/>
          <w:sz w:val="20"/>
          <w:szCs w:val="20"/>
        </w:rPr>
        <w:id w:val="-2052298603"/>
        <w:docPartObj>
          <w:docPartGallery w:val="Page Numbers (Bottom of Page)"/>
          <w:docPartUnique/>
        </w:docPartObj>
      </w:sdtPr>
      <w:sdtEndPr>
        <w:rPr>
          <w:noProof/>
        </w:rPr>
      </w:sdtEndPr>
      <w:sdtContent>
        <w:r w:rsidRPr="00F17976">
          <w:rPr>
            <w:rFonts w:ascii="Palatino Linotype" w:hAnsi="Palatino Linotype"/>
            <w:sz w:val="20"/>
            <w:szCs w:val="20"/>
          </w:rPr>
          <w:fldChar w:fldCharType="begin"/>
        </w:r>
        <w:r w:rsidRPr="00F17976">
          <w:rPr>
            <w:rFonts w:ascii="Palatino Linotype" w:hAnsi="Palatino Linotype"/>
            <w:sz w:val="20"/>
            <w:szCs w:val="20"/>
          </w:rPr>
          <w:instrText xml:space="preserve"> PAGE   \* MERGEFORMAT </w:instrText>
        </w:r>
        <w:r w:rsidRPr="00F17976">
          <w:rPr>
            <w:rFonts w:ascii="Palatino Linotype" w:hAnsi="Palatino Linotype"/>
            <w:sz w:val="20"/>
            <w:szCs w:val="20"/>
          </w:rPr>
          <w:fldChar w:fldCharType="separate"/>
        </w:r>
        <w:r w:rsidRPr="00F17976">
          <w:rPr>
            <w:rFonts w:ascii="Palatino Linotype" w:hAnsi="Palatino Linotype"/>
            <w:noProof/>
            <w:sz w:val="20"/>
            <w:szCs w:val="20"/>
          </w:rPr>
          <w:t>2</w:t>
        </w:r>
        <w:r w:rsidRPr="00F17976">
          <w:rPr>
            <w:rFonts w:ascii="Palatino Linotype" w:hAnsi="Palatino Linotype"/>
            <w:noProof/>
            <w:sz w:val="20"/>
            <w:szCs w:val="20"/>
          </w:rPr>
          <w:fldChar w:fldCharType="end"/>
        </w:r>
      </w:sdtContent>
    </w:sdt>
  </w:p>
  <w:p w14:paraId="6975C482" w14:textId="300FCB0F" w:rsidR="00FC5D12" w:rsidRDefault="00FC5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27D" w14:textId="62441364" w:rsidR="001627A7" w:rsidRPr="001627A7" w:rsidRDefault="00E950BA" w:rsidP="001627A7">
    <w:pPr>
      <w:pStyle w:val="Footer"/>
      <w:rPr>
        <w:rFonts w:ascii="Palatino Linotype" w:hAnsi="Palatino Linotype"/>
        <w:sz w:val="20"/>
        <w:szCs w:val="20"/>
      </w:rPr>
    </w:pPr>
    <w:r w:rsidRPr="00E950BA">
      <w:rPr>
        <w:rFonts w:ascii="Palatino Linotype" w:hAnsi="Palatino Linotype"/>
        <w:sz w:val="20"/>
        <w:szCs w:val="20"/>
      </w:rPr>
      <w:t>572082813</w:t>
    </w:r>
    <w:r w:rsidR="001627A7">
      <w:rPr>
        <w:rFonts w:ascii="Palatino Linotype" w:hAnsi="Palatino Linotype"/>
        <w:sz w:val="20"/>
        <w:szCs w:val="20"/>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348306"/>
      <w:docPartObj>
        <w:docPartGallery w:val="Page Numbers (Bottom of Page)"/>
        <w:docPartUnique/>
      </w:docPartObj>
    </w:sdtPr>
    <w:sdtEndPr>
      <w:rPr>
        <w:rFonts w:ascii="Palatino Linotype" w:hAnsi="Palatino Linotype"/>
        <w:noProof/>
        <w:sz w:val="20"/>
        <w:szCs w:val="20"/>
      </w:rPr>
    </w:sdtEndPr>
    <w:sdtContent>
      <w:p w14:paraId="294D683B" w14:textId="04B10261" w:rsidR="002F77EF" w:rsidRPr="000D45B9" w:rsidRDefault="002F77EF" w:rsidP="00FC5D12">
        <w:pPr>
          <w:pStyle w:val="Footer"/>
          <w:jc w:val="center"/>
          <w:rPr>
            <w:rFonts w:ascii="Palatino Linotype" w:hAnsi="Palatino Linotype"/>
            <w:sz w:val="20"/>
            <w:szCs w:val="20"/>
          </w:rPr>
        </w:pPr>
        <w:r w:rsidRPr="000D45B9">
          <w:rPr>
            <w:rFonts w:ascii="Palatino Linotype" w:hAnsi="Palatino Linotype"/>
            <w:sz w:val="20"/>
            <w:szCs w:val="20"/>
          </w:rPr>
          <w:fldChar w:fldCharType="begin"/>
        </w:r>
        <w:r w:rsidRPr="000D45B9">
          <w:rPr>
            <w:rFonts w:ascii="Palatino Linotype" w:hAnsi="Palatino Linotype"/>
            <w:sz w:val="20"/>
            <w:szCs w:val="20"/>
          </w:rPr>
          <w:instrText xml:space="preserve"> PAGE   \* MERGEFORMAT </w:instrText>
        </w:r>
        <w:r w:rsidRPr="000D45B9">
          <w:rPr>
            <w:rFonts w:ascii="Palatino Linotype" w:hAnsi="Palatino Linotype"/>
            <w:sz w:val="20"/>
            <w:szCs w:val="20"/>
          </w:rPr>
          <w:fldChar w:fldCharType="separate"/>
        </w:r>
        <w:r w:rsidRPr="000D45B9">
          <w:rPr>
            <w:rFonts w:ascii="Palatino Linotype" w:hAnsi="Palatino Linotype"/>
            <w:noProof/>
            <w:sz w:val="20"/>
            <w:szCs w:val="20"/>
          </w:rPr>
          <w:t>2</w:t>
        </w:r>
        <w:r w:rsidRPr="000D45B9">
          <w:rPr>
            <w:rFonts w:ascii="Palatino Linotype" w:hAnsi="Palatino Linotype"/>
            <w:noProof/>
            <w:sz w:val="20"/>
            <w:szCs w:val="20"/>
          </w:rPr>
          <w:fldChar w:fldCharType="end"/>
        </w:r>
      </w:p>
    </w:sdtContent>
  </w:sdt>
  <w:p w14:paraId="614D7DFE" w14:textId="77777777" w:rsidR="00A76F4A" w:rsidRDefault="00A7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DD58" w14:textId="77777777" w:rsidR="0018763B" w:rsidRDefault="0018763B" w:rsidP="00A76F4A">
      <w:pPr>
        <w:spacing w:after="0" w:line="240" w:lineRule="auto"/>
      </w:pPr>
      <w:r>
        <w:separator/>
      </w:r>
    </w:p>
    <w:p w14:paraId="479E7460" w14:textId="77777777" w:rsidR="0018763B" w:rsidRDefault="0018763B"/>
  </w:footnote>
  <w:footnote w:type="continuationSeparator" w:id="0">
    <w:p w14:paraId="42F3934A" w14:textId="77777777" w:rsidR="0018763B" w:rsidRDefault="0018763B" w:rsidP="00A76F4A">
      <w:pPr>
        <w:spacing w:after="0" w:line="240" w:lineRule="auto"/>
      </w:pPr>
      <w:r>
        <w:continuationSeparator/>
      </w:r>
    </w:p>
    <w:p w14:paraId="15665660" w14:textId="77777777" w:rsidR="0018763B" w:rsidRDefault="0018763B"/>
  </w:footnote>
  <w:footnote w:id="1">
    <w:p w14:paraId="722CD04E" w14:textId="77777777" w:rsidR="00363E76" w:rsidRPr="00202BF5" w:rsidRDefault="00363E76" w:rsidP="00363E76">
      <w:pPr>
        <w:pStyle w:val="FootnoteText"/>
        <w:rPr>
          <w:rFonts w:ascii="Palatino Linotype" w:hAnsi="Palatino Linotype"/>
        </w:rPr>
      </w:pPr>
      <w:r>
        <w:rPr>
          <w:rStyle w:val="FootnoteReference"/>
        </w:rPr>
        <w:footnoteRef/>
      </w:r>
      <w:r>
        <w:t xml:space="preserve"> </w:t>
      </w:r>
      <w:r w:rsidRPr="00202BF5">
        <w:rPr>
          <w:rFonts w:ascii="Palatino Linotype" w:hAnsi="Palatino Linotype"/>
        </w:rPr>
        <w:t>The ten Small ILECs that currently request CHCF-A support are: Calaveras Telephone Company, Cal-Ore Telephone Company, Ducor Telephone Company, Foresthill Telephone Company, Kerman Telephone Company, Pinnacles Telephone Company, The Ponderosa Telephone Company, Sierra Telephone Company, Siskiyou Telephone Company, and Volcano Telephone Company. The three Small ILECs that currently do not request CHCF-A support are Happy Valley Telephone Company, Hornitos Telephone Company, and Winterhaven Telephone Company.</w:t>
      </w:r>
    </w:p>
  </w:footnote>
  <w:footnote w:id="2">
    <w:p w14:paraId="68654C8F" w14:textId="77777777" w:rsidR="005A1101" w:rsidRPr="00407E80" w:rsidRDefault="005A1101" w:rsidP="005A1101">
      <w:pPr>
        <w:pStyle w:val="FootnoteText"/>
      </w:pPr>
      <w:r>
        <w:rPr>
          <w:rStyle w:val="FootnoteReference"/>
        </w:rPr>
        <w:footnoteRef/>
      </w:r>
      <w:r>
        <w:t xml:space="preserve"> </w:t>
      </w:r>
      <w:r w:rsidRPr="00202BF5">
        <w:rPr>
          <w:rFonts w:ascii="Palatino Linotype" w:hAnsi="Palatino Linotype"/>
          <w:i/>
          <w:iCs/>
        </w:rPr>
        <w:t xml:space="preserve">See </w:t>
      </w:r>
      <w:r w:rsidRPr="00202BF5">
        <w:rPr>
          <w:rFonts w:ascii="Palatino Linotype" w:hAnsi="Palatino Linotype"/>
        </w:rPr>
        <w:t>D.91-09-042, Appendix A</w:t>
      </w:r>
    </w:p>
  </w:footnote>
  <w:footnote w:id="3">
    <w:p w14:paraId="539EFE78" w14:textId="77777777" w:rsidR="002E28C7" w:rsidRPr="00DE7F65" w:rsidRDefault="002E28C7" w:rsidP="002E28C7">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w:t>
      </w:r>
      <w:r w:rsidRPr="00DE7F65">
        <w:rPr>
          <w:rFonts w:ascii="Palatino Linotype" w:hAnsi="Palatino Linotype"/>
          <w:i/>
          <w:iCs/>
        </w:rPr>
        <w:t xml:space="preserve">See </w:t>
      </w:r>
      <w:hyperlink r:id="rId1" w:history="1">
        <w:r w:rsidRPr="00DE7F65">
          <w:rPr>
            <w:rStyle w:val="Hyperlink"/>
            <w:rFonts w:ascii="Palatino Linotype" w:hAnsi="Palatino Linotype"/>
            <w:i/>
            <w:iCs/>
          </w:rPr>
          <w:t>https://www.usac.org/high-cost/funds/legacy-funds/high-cost-loop/</w:t>
        </w:r>
      </w:hyperlink>
    </w:p>
  </w:footnote>
  <w:footnote w:id="4">
    <w:p w14:paraId="1595301E" w14:textId="77777777" w:rsidR="002E28C7" w:rsidRPr="00DE7F65" w:rsidRDefault="002E28C7" w:rsidP="002E28C7">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w:t>
      </w:r>
      <w:r w:rsidRPr="00DE7F65">
        <w:rPr>
          <w:rFonts w:ascii="Palatino Linotype" w:hAnsi="Palatino Linotype"/>
          <w:i/>
          <w:iCs/>
        </w:rPr>
        <w:t xml:space="preserve">See </w:t>
      </w:r>
      <w:r w:rsidRPr="00DE7F65">
        <w:rPr>
          <w:rFonts w:ascii="Palatino Linotype" w:hAnsi="Palatino Linotype"/>
        </w:rPr>
        <w:t>Resolution T-16117 at 6</w:t>
      </w:r>
    </w:p>
  </w:footnote>
  <w:footnote w:id="5">
    <w:p w14:paraId="63E333D9" w14:textId="3D3DF41D" w:rsidR="002E28C7" w:rsidRPr="00DE7F65" w:rsidRDefault="002E28C7" w:rsidP="002E28C7">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w:t>
      </w:r>
      <w:r w:rsidRPr="00DE7F65">
        <w:rPr>
          <w:rFonts w:ascii="Palatino Linotype" w:hAnsi="Palatino Linotype"/>
          <w:i/>
          <w:iCs/>
        </w:rPr>
        <w:t>See</w:t>
      </w:r>
      <w:r w:rsidRPr="00DE7F65">
        <w:rPr>
          <w:rFonts w:ascii="Palatino Linotype" w:hAnsi="Palatino Linotype"/>
        </w:rPr>
        <w:t xml:space="preserve"> Resolution T-16117 at 6</w:t>
      </w:r>
    </w:p>
  </w:footnote>
  <w:footnote w:id="6">
    <w:p w14:paraId="6E65ECE0" w14:textId="21FA3EBA" w:rsidR="002907E0" w:rsidRPr="00DE7F65" w:rsidRDefault="002907E0">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w:t>
      </w:r>
      <w:r w:rsidR="00637B27" w:rsidRPr="00DE7F65">
        <w:rPr>
          <w:rFonts w:ascii="Palatino Linotype" w:hAnsi="Palatino Linotype"/>
        </w:rPr>
        <w:t xml:space="preserve">The USF Data Submission for the current year is available at </w:t>
      </w:r>
      <w:hyperlink r:id="rId2" w:history="1">
        <w:r w:rsidR="00637B27" w:rsidRPr="00DE7F65">
          <w:rPr>
            <w:rStyle w:val="Hyperlink"/>
            <w:rFonts w:ascii="Palatino Linotype" w:hAnsi="Palatino Linotype"/>
          </w:rPr>
          <w:t>https://www.neca.org/member-services/usf/current-results</w:t>
        </w:r>
      </w:hyperlink>
    </w:p>
  </w:footnote>
  <w:footnote w:id="7">
    <w:p w14:paraId="31096D73" w14:textId="77777777" w:rsidR="00244734" w:rsidRPr="00DE7F65" w:rsidRDefault="00244734" w:rsidP="00244734">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Pro-Rata Adjustment is shown on Line 3b of the appendices to Res. T 17637.</w:t>
      </w:r>
    </w:p>
  </w:footnote>
  <w:footnote w:id="8">
    <w:p w14:paraId="7DB698DB" w14:textId="355C3222" w:rsidR="00591841" w:rsidRPr="00DE7F65" w:rsidRDefault="00591841" w:rsidP="00591841">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The seven Small ILECs that received CY 2019 support as adopted by Res</w:t>
      </w:r>
      <w:r w:rsidR="00973426">
        <w:rPr>
          <w:rFonts w:ascii="Palatino Linotype" w:hAnsi="Palatino Linotype"/>
        </w:rPr>
        <w:t>.</w:t>
      </w:r>
      <w:r w:rsidRPr="00DE7F65">
        <w:rPr>
          <w:rFonts w:ascii="Palatino Linotype" w:hAnsi="Palatino Linotype"/>
        </w:rPr>
        <w:t xml:space="preserve"> T-17637 were Calaveras Telephone Company, Cal-Ore Telephone Company, Kerman Telephone Company, The Ponderosa Telephone Company, Sierra Telephone Company, Siskiyou Telephone Company, and Volcano Telephone Company.</w:t>
      </w:r>
    </w:p>
  </w:footnote>
  <w:footnote w:id="9">
    <w:p w14:paraId="61130E08" w14:textId="77777777" w:rsidR="00591841" w:rsidRPr="00DE7F65" w:rsidRDefault="00591841" w:rsidP="00591841">
      <w:pPr>
        <w:pStyle w:val="FootnoteText"/>
        <w:rPr>
          <w:rFonts w:ascii="Palatino Linotype" w:hAnsi="Palatino Linotype"/>
        </w:rPr>
      </w:pPr>
      <w:r w:rsidRPr="00DE7F65">
        <w:rPr>
          <w:rStyle w:val="FootnoteReference"/>
          <w:rFonts w:ascii="Palatino Linotype" w:hAnsi="Palatino Linotype"/>
        </w:rPr>
        <w:footnoteRef/>
      </w:r>
      <w:r w:rsidRPr="00DE7F65">
        <w:rPr>
          <w:rFonts w:ascii="Palatino Linotype" w:hAnsi="Palatino Linotype"/>
        </w:rPr>
        <w:t xml:space="preserve"> The adjustment to Ponderosa’s CHCF-A support due to changes in HCLS is shown on Line 5, Net Interstate Expense Adjustment, in Appendix A-9 to Res. T-17637.</w:t>
      </w:r>
    </w:p>
  </w:footnote>
  <w:footnote w:id="10">
    <w:p w14:paraId="358169AC" w14:textId="0492EF24" w:rsidR="00356A2A" w:rsidRDefault="00356A2A">
      <w:pPr>
        <w:pStyle w:val="FootnoteText"/>
      </w:pPr>
      <w:r w:rsidRPr="00DE7F65">
        <w:rPr>
          <w:rStyle w:val="FootnoteReference"/>
          <w:rFonts w:ascii="Palatino Linotype" w:hAnsi="Palatino Linotype"/>
        </w:rPr>
        <w:footnoteRef/>
      </w:r>
      <w:r w:rsidRPr="00DE7F65">
        <w:rPr>
          <w:rFonts w:ascii="Palatino Linotype" w:hAnsi="Palatino Linotype"/>
        </w:rPr>
        <w:t xml:space="preserve"> </w:t>
      </w:r>
      <w:r w:rsidR="00C42612" w:rsidRPr="00DE7F65">
        <w:rPr>
          <w:rFonts w:ascii="Palatino Linotype" w:hAnsi="Palatino Linotype"/>
        </w:rPr>
        <w:t>On April 20, 2021</w:t>
      </w:r>
      <w:r w:rsidR="00D13B4F">
        <w:rPr>
          <w:rFonts w:ascii="Palatino Linotype" w:hAnsi="Palatino Linotype"/>
        </w:rPr>
        <w:t>,</w:t>
      </w:r>
      <w:r w:rsidR="00C42612" w:rsidRPr="00DE7F65">
        <w:rPr>
          <w:rFonts w:ascii="Palatino Linotype" w:hAnsi="Palatino Linotype"/>
        </w:rPr>
        <w:t xml:space="preserve"> Ponderosa submitted a revised </w:t>
      </w:r>
      <w:r w:rsidRPr="00DE7F65">
        <w:rPr>
          <w:rFonts w:ascii="Palatino Linotype" w:hAnsi="Palatino Linotype"/>
        </w:rPr>
        <w:t>PFM of Resolution T 17637</w:t>
      </w:r>
      <w:r w:rsidR="00C42612" w:rsidRPr="00DE7F65">
        <w:rPr>
          <w:rFonts w:ascii="Palatino Linotype" w:hAnsi="Palatino Linotype"/>
        </w:rPr>
        <w:t xml:space="preserve">, which corrected the labeling of </w:t>
      </w:r>
      <w:r w:rsidR="001E7B6D" w:rsidRPr="00DE7F65">
        <w:rPr>
          <w:rFonts w:ascii="Palatino Linotype" w:hAnsi="Palatino Linotype"/>
        </w:rPr>
        <w:t>the attachments.</w:t>
      </w:r>
      <w:r w:rsidR="001E7B6D">
        <w:t xml:space="preserve"> </w:t>
      </w:r>
    </w:p>
  </w:footnote>
  <w:footnote w:id="11">
    <w:p w14:paraId="3F35CB94" w14:textId="4D7060AD" w:rsidR="007A66C9" w:rsidRPr="00DE7F65" w:rsidRDefault="007A66C9" w:rsidP="007A66C9">
      <w:pPr>
        <w:pStyle w:val="FootnoteText"/>
        <w:rPr>
          <w:rFonts w:ascii="Palatino Linotype" w:hAnsi="Palatino Linotype"/>
        </w:rPr>
      </w:pPr>
      <w:r>
        <w:rPr>
          <w:rStyle w:val="FootnoteReference"/>
        </w:rPr>
        <w:footnoteRef/>
      </w:r>
      <w:r w:rsidRPr="00DE7F65">
        <w:rPr>
          <w:rFonts w:ascii="Palatino Linotype" w:hAnsi="Palatino Linotype"/>
        </w:rPr>
        <w:t xml:space="preserve"> NECA’s Appendix E is the source that the Commission uses to verify the projected HCLS amounts included as part of the annual CHCF-A support adjustment process</w:t>
      </w:r>
      <w:r w:rsidR="00600C3F" w:rsidRPr="00DE7F65">
        <w:rPr>
          <w:rFonts w:ascii="Palatino Linotype" w:hAnsi="Palatino Linotype"/>
        </w:rPr>
        <w:t xml:space="preserve">. </w:t>
      </w:r>
      <w:r w:rsidRPr="00DE7F65">
        <w:rPr>
          <w:rFonts w:ascii="Palatino Linotype" w:hAnsi="Palatino Linotype"/>
        </w:rPr>
        <w:t xml:space="preserve">See Appendix </w:t>
      </w:r>
      <w:r w:rsidR="00113FD4" w:rsidRPr="00DE7F65">
        <w:rPr>
          <w:rFonts w:ascii="Palatino Linotype" w:hAnsi="Palatino Linotype"/>
        </w:rPr>
        <w:t>2</w:t>
      </w:r>
      <w:r w:rsidRPr="00DE7F65">
        <w:rPr>
          <w:rFonts w:ascii="Palatino Linotype" w:hAnsi="Palatino Linotype"/>
        </w:rPr>
        <w:t xml:space="preserve"> for a copy of NECA’s 2018 Appendix E. </w:t>
      </w:r>
    </w:p>
  </w:footnote>
  <w:footnote w:id="12">
    <w:p w14:paraId="3C1ECCCC" w14:textId="77777777" w:rsidR="00954480" w:rsidRPr="000F499E" w:rsidRDefault="00954480" w:rsidP="00954480">
      <w:pPr>
        <w:pStyle w:val="FootnoteText"/>
        <w:rPr>
          <w:szCs w:val="18"/>
        </w:rPr>
      </w:pPr>
      <w:r w:rsidRPr="00DE7F65">
        <w:rPr>
          <w:rStyle w:val="FootnoteReference"/>
          <w:rFonts w:ascii="Palatino Linotype" w:hAnsi="Palatino Linotype"/>
          <w:szCs w:val="18"/>
        </w:rPr>
        <w:footnoteRef/>
      </w:r>
      <w:r w:rsidRPr="00DE7F65">
        <w:rPr>
          <w:rFonts w:ascii="Palatino Linotype" w:hAnsi="Palatino Linotype"/>
          <w:szCs w:val="18"/>
        </w:rPr>
        <w:t xml:space="preserve"> </w:t>
      </w:r>
      <w:r w:rsidRPr="00DE7F65">
        <w:rPr>
          <w:rFonts w:ascii="Palatino Linotype" w:hAnsi="Palatino Linotype"/>
        </w:rPr>
        <w:t>Cal-Ore (Resolution T-17617); Ponderosa (T-17618); Sierra (T-17619); and Calaveras (T-17626)</w:t>
      </w:r>
    </w:p>
  </w:footnote>
  <w:footnote w:id="13">
    <w:p w14:paraId="064B07EE" w14:textId="4CF0CBB8" w:rsidR="00FF00EC" w:rsidRPr="009725F5" w:rsidRDefault="00FF00EC">
      <w:pPr>
        <w:pStyle w:val="FootnoteText"/>
        <w:rPr>
          <w:rFonts w:ascii="Palatino Linotype" w:hAnsi="Palatino Linotype"/>
        </w:rPr>
      </w:pPr>
      <w:r w:rsidRPr="009725F5">
        <w:rPr>
          <w:rStyle w:val="FootnoteReference"/>
          <w:rFonts w:ascii="Palatino Linotype" w:hAnsi="Palatino Linotype"/>
        </w:rPr>
        <w:footnoteRef/>
      </w:r>
      <w:r w:rsidRPr="009725F5">
        <w:rPr>
          <w:rFonts w:ascii="Palatino Linotype" w:hAnsi="Palatino Linotype"/>
        </w:rPr>
        <w:t xml:space="preserve"> </w:t>
      </w:r>
      <w:r w:rsidR="0058619F" w:rsidRPr="009725F5">
        <w:rPr>
          <w:rFonts w:ascii="Palatino Linotype" w:hAnsi="Palatino Linotype"/>
          <w:i/>
          <w:iCs/>
        </w:rPr>
        <w:t>See</w:t>
      </w:r>
      <w:r w:rsidR="0058619F" w:rsidRPr="009725F5">
        <w:rPr>
          <w:rFonts w:ascii="Palatino Linotype" w:hAnsi="Palatino Linotype"/>
        </w:rPr>
        <w:t xml:space="preserve"> Appendix 1, Attachment B. </w:t>
      </w:r>
      <w:r w:rsidRPr="009725F5">
        <w:rPr>
          <w:rFonts w:ascii="Palatino Linotype" w:hAnsi="Palatino Linotype"/>
        </w:rPr>
        <w:t xml:space="preserve">Ponderosa’s PFM </w:t>
      </w:r>
      <w:r w:rsidR="00F0785B" w:rsidRPr="009725F5">
        <w:rPr>
          <w:rFonts w:ascii="Palatino Linotype" w:hAnsi="Palatino Linotype"/>
        </w:rPr>
        <w:t xml:space="preserve">of Res. T-17637 is included as Appendix 1 to this resolution. </w:t>
      </w:r>
    </w:p>
  </w:footnote>
  <w:footnote w:id="14">
    <w:p w14:paraId="7ABFDA64" w14:textId="0359BF7B" w:rsidR="00253674" w:rsidRPr="009725F5" w:rsidRDefault="00253674">
      <w:pPr>
        <w:pStyle w:val="FootnoteText"/>
        <w:rPr>
          <w:rFonts w:ascii="Palatino Linotype" w:hAnsi="Palatino Linotype"/>
        </w:rPr>
      </w:pPr>
      <w:r w:rsidRPr="009725F5">
        <w:rPr>
          <w:rStyle w:val="FootnoteReference"/>
          <w:rFonts w:ascii="Palatino Linotype" w:hAnsi="Palatino Linotype"/>
        </w:rPr>
        <w:footnoteRef/>
      </w:r>
      <w:r w:rsidRPr="009725F5">
        <w:rPr>
          <w:rFonts w:ascii="Palatino Linotype" w:hAnsi="Palatino Linotype"/>
        </w:rPr>
        <w:t xml:space="preserve"> </w:t>
      </w:r>
      <w:r w:rsidRPr="009725F5">
        <w:rPr>
          <w:rFonts w:ascii="Palatino Linotype" w:hAnsi="Palatino Linotype"/>
          <w:i/>
          <w:iCs/>
        </w:rPr>
        <w:t xml:space="preserve">See </w:t>
      </w:r>
      <w:r w:rsidRPr="009725F5">
        <w:rPr>
          <w:rFonts w:ascii="Palatino Linotype" w:hAnsi="Palatino Linotype"/>
        </w:rPr>
        <w:t>Appendix 1, Attachments D and E</w:t>
      </w:r>
      <w:r w:rsidR="006D513D" w:rsidRPr="009725F5">
        <w:rPr>
          <w:rFonts w:ascii="Palatino Linotype" w:hAnsi="Palatino Linotype"/>
        </w:rPr>
        <w:t xml:space="preserve">. </w:t>
      </w:r>
      <w:r w:rsidR="00A5299A" w:rsidRPr="009725F5">
        <w:rPr>
          <w:rFonts w:ascii="Palatino Linotype" w:hAnsi="Palatino Linotype"/>
        </w:rPr>
        <w:t xml:space="preserve">Markings to </w:t>
      </w:r>
      <w:r w:rsidR="0077333F" w:rsidRPr="009725F5">
        <w:rPr>
          <w:rFonts w:ascii="Palatino Linotype" w:hAnsi="Palatino Linotype"/>
        </w:rPr>
        <w:t>emphasize</w:t>
      </w:r>
      <w:r w:rsidR="00A5299A" w:rsidRPr="009725F5">
        <w:rPr>
          <w:rFonts w:ascii="Palatino Linotype" w:hAnsi="Palatino Linotype"/>
        </w:rPr>
        <w:t xml:space="preserve"> the numbers shown in </w:t>
      </w:r>
      <w:r w:rsidR="00A5299A" w:rsidRPr="009725F5">
        <w:rPr>
          <w:rFonts w:ascii="Palatino Linotype" w:hAnsi="Palatino Linotype"/>
        </w:rPr>
        <w:fldChar w:fldCharType="begin"/>
      </w:r>
      <w:r w:rsidR="00A5299A" w:rsidRPr="009725F5">
        <w:rPr>
          <w:rFonts w:ascii="Palatino Linotype" w:hAnsi="Palatino Linotype"/>
        </w:rPr>
        <w:instrText xml:space="preserve"> REF _Ref113859440 \h </w:instrText>
      </w:r>
      <w:r w:rsidR="00BE7A9D">
        <w:rPr>
          <w:rFonts w:ascii="Palatino Linotype" w:hAnsi="Palatino Linotype"/>
        </w:rPr>
        <w:instrText xml:space="preserve"> \* MERGEFORMAT </w:instrText>
      </w:r>
      <w:r w:rsidR="00A5299A" w:rsidRPr="009725F5">
        <w:rPr>
          <w:rFonts w:ascii="Palatino Linotype" w:hAnsi="Palatino Linotype"/>
        </w:rPr>
      </w:r>
      <w:r w:rsidR="00A5299A" w:rsidRPr="009725F5">
        <w:rPr>
          <w:rFonts w:ascii="Palatino Linotype" w:hAnsi="Palatino Linotype"/>
        </w:rPr>
        <w:fldChar w:fldCharType="separate"/>
      </w:r>
      <w:r w:rsidR="00A5299A" w:rsidRPr="009725F5">
        <w:rPr>
          <w:rFonts w:ascii="Palatino Linotype" w:hAnsi="Palatino Linotype"/>
        </w:rPr>
        <w:t xml:space="preserve">Table </w:t>
      </w:r>
      <w:r w:rsidR="00A5299A" w:rsidRPr="009725F5">
        <w:rPr>
          <w:rFonts w:ascii="Palatino Linotype" w:hAnsi="Palatino Linotype"/>
          <w:noProof/>
        </w:rPr>
        <w:t>3</w:t>
      </w:r>
      <w:r w:rsidR="00A5299A" w:rsidRPr="009725F5">
        <w:rPr>
          <w:rFonts w:ascii="Palatino Linotype" w:hAnsi="Palatino Linotype"/>
        </w:rPr>
        <w:fldChar w:fldCharType="end"/>
      </w:r>
      <w:r w:rsidR="00A5299A" w:rsidRPr="009725F5">
        <w:rPr>
          <w:rFonts w:ascii="Palatino Linotype" w:hAnsi="Palatino Linotype"/>
        </w:rPr>
        <w:t xml:space="preserve"> were added by staff. </w:t>
      </w:r>
    </w:p>
  </w:footnote>
  <w:footnote w:id="15">
    <w:p w14:paraId="3918C46F" w14:textId="77777777" w:rsidR="00D13188" w:rsidRDefault="00D13188" w:rsidP="00D13188">
      <w:pPr>
        <w:pStyle w:val="FootnoteText"/>
      </w:pPr>
      <w:r w:rsidRPr="009725F5">
        <w:rPr>
          <w:rStyle w:val="FootnoteReference"/>
          <w:rFonts w:ascii="Palatino Linotype" w:hAnsi="Palatino Linotype"/>
        </w:rPr>
        <w:footnoteRef/>
      </w:r>
      <w:r w:rsidRPr="009725F5">
        <w:rPr>
          <w:rFonts w:ascii="Palatino Linotype" w:hAnsi="Palatino Linotype"/>
        </w:rPr>
        <w:t xml:space="preserve"> The original PFM incorrectly the labeled the attachments, the original form was labeled Attachment E and the revised was labeled Attachment D. This was corrected in the revised PFM submitted to the CD on April 20, 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AABA" w14:textId="77777777" w:rsidR="00B3051B" w:rsidRPr="008E5662" w:rsidRDefault="00062D26">
    <w:pPr>
      <w:pBdr>
        <w:bottom w:val="double" w:sz="6" w:space="1" w:color="auto"/>
      </w:pBdr>
      <w:tabs>
        <w:tab w:val="right" w:pos="11070"/>
      </w:tabs>
      <w:rPr>
        <w:rFonts w:ascii="Arial" w:eastAsia="Times New Roman" w:hAnsi="Arial" w:cs="Times New Roman"/>
        <w:i/>
        <w:kern w:val="0"/>
        <w:sz w:val="20"/>
        <w:szCs w:val="20"/>
        <w14:ligatures w14:val="none"/>
      </w:rPr>
    </w:pPr>
    <w:r w:rsidRPr="008E5662">
      <w:rPr>
        <w:rFonts w:ascii="Arial" w:eastAsia="Times New Roman" w:hAnsi="Arial" w:cs="Times New Roman"/>
        <w:kern w:val="0"/>
        <w:sz w:val="16"/>
        <w:szCs w:val="20"/>
        <w14:ligatures w14:val="none"/>
      </w:rPr>
      <w:t xml:space="preserve">STATE OF CALIFORNIA                                                                                                                           </w:t>
    </w:r>
    <w:r>
      <w:rPr>
        <w:rFonts w:ascii="Arial" w:eastAsia="Times New Roman" w:hAnsi="Arial" w:cs="Times New Roman"/>
        <w:kern w:val="0"/>
        <w:sz w:val="16"/>
        <w:szCs w:val="20"/>
        <w14:ligatures w14:val="none"/>
      </w:rPr>
      <w:t xml:space="preserve"> </w:t>
    </w:r>
    <w:r w:rsidRPr="008E5662">
      <w:rPr>
        <w:rFonts w:ascii="Arial" w:eastAsia="Times New Roman" w:hAnsi="Arial" w:cs="Times New Roman"/>
        <w:kern w:val="0"/>
        <w:sz w:val="16"/>
        <w:szCs w:val="20"/>
        <w14:ligatures w14:val="none"/>
      </w:rPr>
      <w:t>GAVIN NEWSOM,</w:t>
    </w:r>
    <w:r w:rsidRPr="008E5662">
      <w:rPr>
        <w:rFonts w:ascii="Arial" w:eastAsia="Times New Roman" w:hAnsi="Arial" w:cs="Times New Roman"/>
        <w:kern w:val="0"/>
        <w:sz w:val="20"/>
        <w:szCs w:val="20"/>
        <w14:ligatures w14:val="none"/>
      </w:rPr>
      <w:t xml:space="preserve"> </w:t>
    </w:r>
    <w:r w:rsidRPr="008E5662">
      <w:rPr>
        <w:rFonts w:ascii="Arial" w:eastAsia="Times New Roman" w:hAnsi="Arial" w:cs="Times New Roman"/>
        <w:i/>
        <w:kern w:val="0"/>
        <w:sz w:val="16"/>
        <w:szCs w:val="20"/>
        <w14:ligatures w14:val="none"/>
      </w:rPr>
      <w:t>Governor</w:t>
    </w:r>
  </w:p>
  <w:p w14:paraId="653CA717" w14:textId="77777777" w:rsidR="00B3051B" w:rsidRPr="008E5662" w:rsidRDefault="00062D26">
    <w:pPr>
      <w:framePr w:hSpace="180" w:wrap="auto" w:vAnchor="text" w:hAnchor="page" w:x="10657" w:y="144"/>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r w:rsidRPr="008E5662">
      <w:rPr>
        <w:rFonts w:ascii="Times New Roman" w:eastAsia="Times New Roman" w:hAnsi="Times New Roman" w:cs="Times New Roman"/>
        <w:noProof/>
        <w:kern w:val="0"/>
        <w:sz w:val="20"/>
        <w:szCs w:val="20"/>
        <w14:ligatures w14:val="none"/>
      </w:rPr>
      <w:drawing>
        <wp:inline distT="0" distB="0" distL="0" distR="0" wp14:anchorId="53EB353E" wp14:editId="01667913">
          <wp:extent cx="660400" cy="609600"/>
          <wp:effectExtent l="0" t="0" r="0" b="0"/>
          <wp:docPr id="1815920875" name="Picture 181592087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400" cy="609600"/>
                  </a:xfrm>
                  <a:prstGeom prst="rect">
                    <a:avLst/>
                  </a:prstGeom>
                  <a:noFill/>
                  <a:ln>
                    <a:noFill/>
                  </a:ln>
                </pic:spPr>
              </pic:pic>
            </a:graphicData>
          </a:graphic>
        </wp:inline>
      </w:drawing>
    </w:r>
  </w:p>
  <w:p w14:paraId="62E31191" w14:textId="77777777" w:rsidR="00B3051B" w:rsidRPr="008E5662" w:rsidRDefault="00062D26">
    <w:pPr>
      <w:tabs>
        <w:tab w:val="right" w:pos="11070"/>
      </w:tabs>
      <w:overflowPunct w:val="0"/>
      <w:autoSpaceDE w:val="0"/>
      <w:autoSpaceDN w:val="0"/>
      <w:adjustRightInd w:val="0"/>
      <w:spacing w:before="80" w:after="240" w:line="240" w:lineRule="auto"/>
      <w:textAlignment w:val="baseline"/>
      <w:rPr>
        <w:rFonts w:ascii="Arial" w:eastAsia="Times New Roman" w:hAnsi="Arial" w:cs="Times New Roman"/>
        <w:kern w:val="0"/>
        <w:sz w:val="20"/>
        <w:szCs w:val="20"/>
        <w14:ligatures w14:val="none"/>
      </w:rPr>
    </w:pPr>
    <w:r w:rsidRPr="008E5662">
      <w:rPr>
        <w:rFonts w:ascii="Arial" w:eastAsia="Times New Roman" w:hAnsi="Arial" w:cs="Times New Roman"/>
        <w:kern w:val="0"/>
        <w:sz w:val="20"/>
        <w:szCs w:val="20"/>
        <w14:ligatures w14:val="none"/>
      </w:rPr>
      <w:t>PUBLIC UTILITIES COMMISSION</w:t>
    </w:r>
  </w:p>
  <w:p w14:paraId="3C25DD50" w14:textId="77777777" w:rsidR="00B3051B" w:rsidRPr="008E5662" w:rsidRDefault="00062D26">
    <w:pPr>
      <w:tabs>
        <w:tab w:val="right" w:pos="11070"/>
      </w:tabs>
      <w:overflowPunct w:val="0"/>
      <w:autoSpaceDE w:val="0"/>
      <w:autoSpaceDN w:val="0"/>
      <w:adjustRightInd w:val="0"/>
      <w:spacing w:after="0" w:line="240" w:lineRule="auto"/>
      <w:textAlignment w:val="baseline"/>
      <w:rPr>
        <w:rFonts w:ascii="Arial" w:eastAsia="Times New Roman" w:hAnsi="Arial" w:cs="Times New Roman"/>
        <w:kern w:val="0"/>
        <w:sz w:val="12"/>
        <w:szCs w:val="20"/>
        <w14:ligatures w14:val="none"/>
      </w:rPr>
    </w:pPr>
    <w:r w:rsidRPr="008E5662">
      <w:rPr>
        <w:rFonts w:ascii="Arial" w:eastAsia="Times New Roman" w:hAnsi="Arial" w:cs="Times New Roman"/>
        <w:kern w:val="0"/>
        <w:sz w:val="12"/>
        <w:szCs w:val="20"/>
        <w14:ligatures w14:val="none"/>
      </w:rPr>
      <w:t>505 VAN NESS AVENUE</w:t>
    </w:r>
  </w:p>
  <w:p w14:paraId="13A826A6" w14:textId="77777777" w:rsidR="00B3051B" w:rsidRPr="008E5662" w:rsidRDefault="00062D26">
    <w:pPr>
      <w:tabs>
        <w:tab w:val="right" w:pos="11070"/>
      </w:tabs>
      <w:overflowPunct w:val="0"/>
      <w:autoSpaceDE w:val="0"/>
      <w:autoSpaceDN w:val="0"/>
      <w:adjustRightInd w:val="0"/>
      <w:spacing w:after="0" w:line="240" w:lineRule="auto"/>
      <w:textAlignment w:val="baseline"/>
      <w:rPr>
        <w:rFonts w:ascii="Arial" w:eastAsia="Times New Roman" w:hAnsi="Arial" w:cs="Times New Roman"/>
        <w:kern w:val="0"/>
        <w:sz w:val="12"/>
        <w:szCs w:val="20"/>
        <w14:ligatures w14:val="none"/>
      </w:rPr>
    </w:pPr>
    <w:r w:rsidRPr="008E5662">
      <w:rPr>
        <w:rFonts w:ascii="Arial" w:eastAsia="Times New Roman" w:hAnsi="Arial" w:cs="Times New Roman"/>
        <w:kern w:val="0"/>
        <w:sz w:val="12"/>
        <w:szCs w:val="20"/>
        <w14:ligatures w14:val="none"/>
      </w:rPr>
      <w:t>SAN FRANCISCO, CA  94102-3298</w:t>
    </w:r>
  </w:p>
  <w:p w14:paraId="34DF66F4" w14:textId="77777777" w:rsidR="00B3051B" w:rsidRDefault="00B3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C00B" w14:textId="77777777" w:rsidR="001627A7" w:rsidRPr="008E5662" w:rsidRDefault="001627A7" w:rsidP="001627A7">
    <w:pPr>
      <w:pBdr>
        <w:bottom w:val="double" w:sz="6" w:space="1" w:color="auto"/>
      </w:pBdr>
      <w:tabs>
        <w:tab w:val="right" w:pos="11070"/>
      </w:tabs>
      <w:rPr>
        <w:rFonts w:ascii="Arial" w:eastAsia="Times New Roman" w:hAnsi="Arial" w:cs="Times New Roman"/>
        <w:i/>
        <w:kern w:val="0"/>
        <w:sz w:val="20"/>
        <w:szCs w:val="20"/>
        <w14:ligatures w14:val="none"/>
      </w:rPr>
    </w:pPr>
    <w:r w:rsidRPr="008E5662">
      <w:rPr>
        <w:rFonts w:ascii="Arial" w:eastAsia="Times New Roman" w:hAnsi="Arial" w:cs="Times New Roman"/>
        <w:kern w:val="0"/>
        <w:sz w:val="16"/>
        <w:szCs w:val="20"/>
        <w14:ligatures w14:val="none"/>
      </w:rPr>
      <w:t xml:space="preserve">STATE OF CALIFORNIA                                                                                                                           </w:t>
    </w:r>
    <w:r>
      <w:rPr>
        <w:rFonts w:ascii="Arial" w:eastAsia="Times New Roman" w:hAnsi="Arial" w:cs="Times New Roman"/>
        <w:kern w:val="0"/>
        <w:sz w:val="16"/>
        <w:szCs w:val="20"/>
        <w14:ligatures w14:val="none"/>
      </w:rPr>
      <w:t xml:space="preserve"> </w:t>
    </w:r>
    <w:r w:rsidRPr="008E5662">
      <w:rPr>
        <w:rFonts w:ascii="Arial" w:eastAsia="Times New Roman" w:hAnsi="Arial" w:cs="Times New Roman"/>
        <w:kern w:val="0"/>
        <w:sz w:val="16"/>
        <w:szCs w:val="20"/>
        <w14:ligatures w14:val="none"/>
      </w:rPr>
      <w:t>GAVIN NEWSOM,</w:t>
    </w:r>
    <w:r w:rsidRPr="008E5662">
      <w:rPr>
        <w:rFonts w:ascii="Arial" w:eastAsia="Times New Roman" w:hAnsi="Arial" w:cs="Times New Roman"/>
        <w:kern w:val="0"/>
        <w:sz w:val="20"/>
        <w:szCs w:val="20"/>
        <w14:ligatures w14:val="none"/>
      </w:rPr>
      <w:t xml:space="preserve"> </w:t>
    </w:r>
    <w:r w:rsidRPr="008E5662">
      <w:rPr>
        <w:rFonts w:ascii="Arial" w:eastAsia="Times New Roman" w:hAnsi="Arial" w:cs="Times New Roman"/>
        <w:i/>
        <w:kern w:val="0"/>
        <w:sz w:val="16"/>
        <w:szCs w:val="20"/>
        <w14:ligatures w14:val="none"/>
      </w:rPr>
      <w:t>Governor</w:t>
    </w:r>
  </w:p>
  <w:p w14:paraId="34BC5963" w14:textId="77777777" w:rsidR="001627A7" w:rsidRPr="008E5662" w:rsidRDefault="001627A7" w:rsidP="001627A7">
    <w:pPr>
      <w:framePr w:hSpace="180" w:wrap="auto" w:vAnchor="text" w:hAnchor="page" w:x="10657" w:y="144"/>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r w:rsidRPr="008E5662">
      <w:rPr>
        <w:rFonts w:ascii="Times New Roman" w:eastAsia="Times New Roman" w:hAnsi="Times New Roman" w:cs="Times New Roman"/>
        <w:noProof/>
        <w:kern w:val="0"/>
        <w:sz w:val="20"/>
        <w:szCs w:val="20"/>
        <w14:ligatures w14:val="none"/>
      </w:rPr>
      <w:drawing>
        <wp:inline distT="0" distB="0" distL="0" distR="0" wp14:anchorId="1832352B" wp14:editId="592E6293">
          <wp:extent cx="660400" cy="609600"/>
          <wp:effectExtent l="0" t="0" r="0" b="0"/>
          <wp:docPr id="642127554" name="Picture 64212755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400" cy="609600"/>
                  </a:xfrm>
                  <a:prstGeom prst="rect">
                    <a:avLst/>
                  </a:prstGeom>
                  <a:noFill/>
                  <a:ln>
                    <a:noFill/>
                  </a:ln>
                </pic:spPr>
              </pic:pic>
            </a:graphicData>
          </a:graphic>
        </wp:inline>
      </w:drawing>
    </w:r>
  </w:p>
  <w:p w14:paraId="38BDFA51" w14:textId="77777777" w:rsidR="001627A7" w:rsidRPr="008E5662" w:rsidRDefault="001627A7" w:rsidP="001627A7">
    <w:pPr>
      <w:tabs>
        <w:tab w:val="right" w:pos="11070"/>
      </w:tabs>
      <w:overflowPunct w:val="0"/>
      <w:autoSpaceDE w:val="0"/>
      <w:autoSpaceDN w:val="0"/>
      <w:adjustRightInd w:val="0"/>
      <w:spacing w:before="80" w:after="240" w:line="240" w:lineRule="auto"/>
      <w:textAlignment w:val="baseline"/>
      <w:rPr>
        <w:rFonts w:ascii="Arial" w:eastAsia="Times New Roman" w:hAnsi="Arial" w:cs="Times New Roman"/>
        <w:kern w:val="0"/>
        <w:sz w:val="20"/>
        <w:szCs w:val="20"/>
        <w14:ligatures w14:val="none"/>
      </w:rPr>
    </w:pPr>
    <w:r w:rsidRPr="008E5662">
      <w:rPr>
        <w:rFonts w:ascii="Arial" w:eastAsia="Times New Roman" w:hAnsi="Arial" w:cs="Times New Roman"/>
        <w:kern w:val="0"/>
        <w:sz w:val="20"/>
        <w:szCs w:val="20"/>
        <w14:ligatures w14:val="none"/>
      </w:rPr>
      <w:t>PUBLIC UTILITIES COMMISSION</w:t>
    </w:r>
  </w:p>
  <w:p w14:paraId="6B38B69C" w14:textId="77777777" w:rsidR="001627A7" w:rsidRPr="008E5662" w:rsidRDefault="001627A7" w:rsidP="001627A7">
    <w:pPr>
      <w:tabs>
        <w:tab w:val="right" w:pos="11070"/>
      </w:tabs>
      <w:overflowPunct w:val="0"/>
      <w:autoSpaceDE w:val="0"/>
      <w:autoSpaceDN w:val="0"/>
      <w:adjustRightInd w:val="0"/>
      <w:spacing w:after="0" w:line="240" w:lineRule="auto"/>
      <w:textAlignment w:val="baseline"/>
      <w:rPr>
        <w:rFonts w:ascii="Arial" w:eastAsia="Times New Roman" w:hAnsi="Arial" w:cs="Times New Roman"/>
        <w:kern w:val="0"/>
        <w:sz w:val="12"/>
        <w:szCs w:val="20"/>
        <w14:ligatures w14:val="none"/>
      </w:rPr>
    </w:pPr>
    <w:r w:rsidRPr="008E5662">
      <w:rPr>
        <w:rFonts w:ascii="Arial" w:eastAsia="Times New Roman" w:hAnsi="Arial" w:cs="Times New Roman"/>
        <w:kern w:val="0"/>
        <w:sz w:val="12"/>
        <w:szCs w:val="20"/>
        <w14:ligatures w14:val="none"/>
      </w:rPr>
      <w:t>505 VAN NESS AVENUE</w:t>
    </w:r>
  </w:p>
  <w:p w14:paraId="79C27FEC" w14:textId="77777777" w:rsidR="001627A7" w:rsidRPr="008E5662" w:rsidRDefault="001627A7" w:rsidP="001627A7">
    <w:pPr>
      <w:tabs>
        <w:tab w:val="right" w:pos="11070"/>
      </w:tabs>
      <w:overflowPunct w:val="0"/>
      <w:autoSpaceDE w:val="0"/>
      <w:autoSpaceDN w:val="0"/>
      <w:adjustRightInd w:val="0"/>
      <w:spacing w:after="0" w:line="240" w:lineRule="auto"/>
      <w:textAlignment w:val="baseline"/>
      <w:rPr>
        <w:rFonts w:ascii="Arial" w:eastAsia="Times New Roman" w:hAnsi="Arial" w:cs="Times New Roman"/>
        <w:kern w:val="0"/>
        <w:sz w:val="12"/>
        <w:szCs w:val="20"/>
        <w14:ligatures w14:val="none"/>
      </w:rPr>
    </w:pPr>
    <w:r w:rsidRPr="008E5662">
      <w:rPr>
        <w:rFonts w:ascii="Arial" w:eastAsia="Times New Roman" w:hAnsi="Arial" w:cs="Times New Roman"/>
        <w:kern w:val="0"/>
        <w:sz w:val="12"/>
        <w:szCs w:val="20"/>
        <w14:ligatures w14:val="none"/>
      </w:rPr>
      <w:t>SAN FRANCISCO, CA  94102-3298</w:t>
    </w:r>
  </w:p>
  <w:p w14:paraId="35B26750" w14:textId="77777777" w:rsidR="001627A7" w:rsidRDefault="001627A7" w:rsidP="001627A7">
    <w:pPr>
      <w:pStyle w:val="Header"/>
    </w:pPr>
  </w:p>
  <w:p w14:paraId="76A03878" w14:textId="77777777" w:rsidR="00C71017" w:rsidRPr="001627A7" w:rsidRDefault="00C71017" w:rsidP="00162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D42F" w14:textId="3D488968" w:rsidR="00C71017" w:rsidRPr="000D45B9" w:rsidRDefault="00C71017" w:rsidP="00C71017">
    <w:pPr>
      <w:tabs>
        <w:tab w:val="right" w:pos="8820"/>
      </w:tabs>
      <w:spacing w:after="0" w:line="240" w:lineRule="auto"/>
      <w:rPr>
        <w:rFonts w:ascii="Palatino Linotype" w:eastAsia="Times New Roman" w:hAnsi="Palatino Linotype" w:cs="Times New Roman"/>
        <w:b/>
        <w:bCs/>
        <w:kern w:val="0"/>
        <w14:ligatures w14:val="none"/>
      </w:rPr>
    </w:pPr>
    <w:r>
      <w:rPr>
        <w:rFonts w:ascii="Palatino Linotype" w:eastAsia="Times New Roman" w:hAnsi="Palatino Linotype" w:cs="Times New Roman"/>
        <w:b/>
        <w:bCs/>
        <w:kern w:val="0"/>
        <w14:ligatures w14:val="none"/>
      </w:rPr>
      <w:t>Resolution T-17740                                   DRAFT</w:t>
    </w:r>
    <w:r>
      <w:rPr>
        <w:rFonts w:ascii="Palatino Linotype" w:eastAsia="Times New Roman" w:hAnsi="Palatino Linotype" w:cs="Times New Roman"/>
        <w:b/>
        <w:bCs/>
        <w:kern w:val="0"/>
        <w14:ligatures w14:val="none"/>
      </w:rPr>
      <w:tab/>
    </w:r>
    <w:r w:rsidR="00D136BF">
      <w:rPr>
        <w:rFonts w:ascii="Palatino Linotype" w:eastAsia="Times New Roman" w:hAnsi="Palatino Linotype" w:cs="Times New Roman"/>
        <w:b/>
        <w:bCs/>
        <w:kern w:val="0"/>
        <w14:ligatures w14:val="none"/>
      </w:rPr>
      <w:t>August 14, 2025</w:t>
    </w:r>
  </w:p>
  <w:p w14:paraId="4E56BAA8" w14:textId="274FF754" w:rsidR="00A76F4A" w:rsidRPr="00F705C8" w:rsidRDefault="00C71017" w:rsidP="001627A7">
    <w:pPr>
      <w:pStyle w:val="Header"/>
      <w:tabs>
        <w:tab w:val="clear" w:pos="4680"/>
        <w:tab w:val="clear" w:pos="9360"/>
        <w:tab w:val="left" w:pos="7500"/>
      </w:tabs>
      <w:rPr>
        <w:rFonts w:ascii="Palatino Linotype" w:hAnsi="Palatino Linotype"/>
      </w:rPr>
    </w:pPr>
    <w:r>
      <w:rPr>
        <w:rFonts w:ascii="Palatino Linotype" w:hAnsi="Palatino Linotype"/>
      </w:rPr>
      <w:t>CD/</w:t>
    </w:r>
    <w:r w:rsidR="0033537D">
      <w:rPr>
        <w:rFonts w:ascii="Palatino Linotype" w:hAnsi="Palatino Linotype"/>
      </w:rPr>
      <w:t>HS3</w:t>
    </w:r>
    <w:r w:rsidR="001627A7">
      <w:rPr>
        <w:rFonts w:ascii="Palatino Linotype" w:hAnsi="Palatino Linotype"/>
      </w:rPr>
      <w:tab/>
    </w:r>
  </w:p>
  <w:p w14:paraId="70439280" w14:textId="77777777" w:rsidR="00A76F4A" w:rsidRPr="002A1AD8" w:rsidRDefault="00A76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7718FB"/>
    <w:multiLevelType w:val="hybridMultilevel"/>
    <w:tmpl w:val="FC806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8414F"/>
    <w:multiLevelType w:val="hybridMultilevel"/>
    <w:tmpl w:val="F508C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6AD5C9C"/>
    <w:multiLevelType w:val="hybridMultilevel"/>
    <w:tmpl w:val="2180AC84"/>
    <w:lvl w:ilvl="0" w:tplc="496E4E4E">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1514A"/>
    <w:multiLevelType w:val="hybridMultilevel"/>
    <w:tmpl w:val="2CD6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6"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56AE7"/>
    <w:multiLevelType w:val="hybridMultilevel"/>
    <w:tmpl w:val="E864D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0" w15:restartNumberingAfterBreak="0">
    <w:nsid w:val="72D0589D"/>
    <w:multiLevelType w:val="hybridMultilevel"/>
    <w:tmpl w:val="BC1AEB1E"/>
    <w:lvl w:ilvl="0" w:tplc="035897D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842790">
    <w:abstractNumId w:val="5"/>
  </w:num>
  <w:num w:numId="2" w16cid:durableId="1991593136">
    <w:abstractNumId w:val="0"/>
  </w:num>
  <w:num w:numId="3" w16cid:durableId="1754620235">
    <w:abstractNumId w:val="2"/>
  </w:num>
  <w:num w:numId="4" w16cid:durableId="969365539">
    <w:abstractNumId w:val="8"/>
  </w:num>
  <w:num w:numId="5" w16cid:durableId="468133998">
    <w:abstractNumId w:val="6"/>
  </w:num>
  <w:num w:numId="6" w16cid:durableId="426273653">
    <w:abstractNumId w:val="9"/>
  </w:num>
  <w:num w:numId="7" w16cid:durableId="210196558">
    <w:abstractNumId w:val="10"/>
  </w:num>
  <w:num w:numId="8" w16cid:durableId="1531838924">
    <w:abstractNumId w:val="4"/>
  </w:num>
  <w:num w:numId="9" w16cid:durableId="194513435">
    <w:abstractNumId w:val="10"/>
    <w:lvlOverride w:ilvl="0">
      <w:startOverride w:val="1"/>
    </w:lvlOverride>
  </w:num>
  <w:num w:numId="10" w16cid:durableId="126700352">
    <w:abstractNumId w:val="1"/>
  </w:num>
  <w:num w:numId="11" w16cid:durableId="2099982947">
    <w:abstractNumId w:val="3"/>
  </w:num>
  <w:num w:numId="12" w16cid:durableId="764114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02C6"/>
    <w:rsid w:val="00001D29"/>
    <w:rsid w:val="00011DDE"/>
    <w:rsid w:val="00013560"/>
    <w:rsid w:val="000135AB"/>
    <w:rsid w:val="00015578"/>
    <w:rsid w:val="00015ECB"/>
    <w:rsid w:val="00020B8C"/>
    <w:rsid w:val="00020BDE"/>
    <w:rsid w:val="00021403"/>
    <w:rsid w:val="000217BD"/>
    <w:rsid w:val="00025233"/>
    <w:rsid w:val="00026FE5"/>
    <w:rsid w:val="00030172"/>
    <w:rsid w:val="00033A2B"/>
    <w:rsid w:val="00051F68"/>
    <w:rsid w:val="0005283D"/>
    <w:rsid w:val="0005506D"/>
    <w:rsid w:val="00062D26"/>
    <w:rsid w:val="00076BF5"/>
    <w:rsid w:val="000804C5"/>
    <w:rsid w:val="0008261C"/>
    <w:rsid w:val="00084065"/>
    <w:rsid w:val="00086BA0"/>
    <w:rsid w:val="00091E85"/>
    <w:rsid w:val="000923E1"/>
    <w:rsid w:val="0009475A"/>
    <w:rsid w:val="00094E55"/>
    <w:rsid w:val="000A017E"/>
    <w:rsid w:val="000A71C1"/>
    <w:rsid w:val="000B2217"/>
    <w:rsid w:val="000B314A"/>
    <w:rsid w:val="000B4CB7"/>
    <w:rsid w:val="000B5C2F"/>
    <w:rsid w:val="000B7ED8"/>
    <w:rsid w:val="000D45B9"/>
    <w:rsid w:val="000D57D2"/>
    <w:rsid w:val="000D75FC"/>
    <w:rsid w:val="000E0631"/>
    <w:rsid w:val="000F5C18"/>
    <w:rsid w:val="000F5DB0"/>
    <w:rsid w:val="00100E76"/>
    <w:rsid w:val="00106001"/>
    <w:rsid w:val="00113FD4"/>
    <w:rsid w:val="00121609"/>
    <w:rsid w:val="001242E0"/>
    <w:rsid w:val="00133DE9"/>
    <w:rsid w:val="00136AD5"/>
    <w:rsid w:val="00140430"/>
    <w:rsid w:val="0015201D"/>
    <w:rsid w:val="00154493"/>
    <w:rsid w:val="00156B7B"/>
    <w:rsid w:val="001627A7"/>
    <w:rsid w:val="001627AD"/>
    <w:rsid w:val="001646E8"/>
    <w:rsid w:val="00167015"/>
    <w:rsid w:val="0018763B"/>
    <w:rsid w:val="00190A65"/>
    <w:rsid w:val="00194108"/>
    <w:rsid w:val="001B0775"/>
    <w:rsid w:val="001B27F3"/>
    <w:rsid w:val="001B6755"/>
    <w:rsid w:val="001C6A4B"/>
    <w:rsid w:val="001C70B1"/>
    <w:rsid w:val="001D2AF1"/>
    <w:rsid w:val="001D2C7F"/>
    <w:rsid w:val="001D3DC6"/>
    <w:rsid w:val="001D72FD"/>
    <w:rsid w:val="001E31C1"/>
    <w:rsid w:val="001E4C00"/>
    <w:rsid w:val="001E7B6D"/>
    <w:rsid w:val="001F15FB"/>
    <w:rsid w:val="001F4769"/>
    <w:rsid w:val="00200686"/>
    <w:rsid w:val="00202BF5"/>
    <w:rsid w:val="002052C4"/>
    <w:rsid w:val="0022275C"/>
    <w:rsid w:val="00225D7F"/>
    <w:rsid w:val="002272F4"/>
    <w:rsid w:val="002376EA"/>
    <w:rsid w:val="00240C95"/>
    <w:rsid w:val="00243695"/>
    <w:rsid w:val="00243939"/>
    <w:rsid w:val="00244734"/>
    <w:rsid w:val="002449E4"/>
    <w:rsid w:val="00245B45"/>
    <w:rsid w:val="00245BBC"/>
    <w:rsid w:val="00253674"/>
    <w:rsid w:val="00255465"/>
    <w:rsid w:val="00265D8C"/>
    <w:rsid w:val="00273975"/>
    <w:rsid w:val="00276F69"/>
    <w:rsid w:val="00280A39"/>
    <w:rsid w:val="00283731"/>
    <w:rsid w:val="002865E1"/>
    <w:rsid w:val="002907E0"/>
    <w:rsid w:val="002C13B9"/>
    <w:rsid w:val="002C5659"/>
    <w:rsid w:val="002C6017"/>
    <w:rsid w:val="002D1F95"/>
    <w:rsid w:val="002D48F2"/>
    <w:rsid w:val="002E28C7"/>
    <w:rsid w:val="002E423C"/>
    <w:rsid w:val="002E7277"/>
    <w:rsid w:val="002F03D1"/>
    <w:rsid w:val="002F180A"/>
    <w:rsid w:val="002F65CD"/>
    <w:rsid w:val="002F77EF"/>
    <w:rsid w:val="003039A1"/>
    <w:rsid w:val="003048E2"/>
    <w:rsid w:val="003110EF"/>
    <w:rsid w:val="00313F3C"/>
    <w:rsid w:val="00315B78"/>
    <w:rsid w:val="00320CEB"/>
    <w:rsid w:val="003245ED"/>
    <w:rsid w:val="00325D52"/>
    <w:rsid w:val="0033537D"/>
    <w:rsid w:val="003415ED"/>
    <w:rsid w:val="00343C13"/>
    <w:rsid w:val="00350E52"/>
    <w:rsid w:val="00350FDA"/>
    <w:rsid w:val="00351276"/>
    <w:rsid w:val="00356A2A"/>
    <w:rsid w:val="00363E76"/>
    <w:rsid w:val="003648A1"/>
    <w:rsid w:val="00364900"/>
    <w:rsid w:val="0036552D"/>
    <w:rsid w:val="00366340"/>
    <w:rsid w:val="00372EE8"/>
    <w:rsid w:val="0037478C"/>
    <w:rsid w:val="00376C34"/>
    <w:rsid w:val="00377BFE"/>
    <w:rsid w:val="0038543A"/>
    <w:rsid w:val="00392A03"/>
    <w:rsid w:val="00393E78"/>
    <w:rsid w:val="003A2495"/>
    <w:rsid w:val="003B1FE0"/>
    <w:rsid w:val="003C0FD3"/>
    <w:rsid w:val="003C30CC"/>
    <w:rsid w:val="003C3C66"/>
    <w:rsid w:val="003C6F50"/>
    <w:rsid w:val="003D082A"/>
    <w:rsid w:val="003D181A"/>
    <w:rsid w:val="003D1D74"/>
    <w:rsid w:val="003D3B35"/>
    <w:rsid w:val="003E0DA2"/>
    <w:rsid w:val="003E4C3A"/>
    <w:rsid w:val="003E7F0A"/>
    <w:rsid w:val="003F0376"/>
    <w:rsid w:val="003F1405"/>
    <w:rsid w:val="003F6945"/>
    <w:rsid w:val="0040185E"/>
    <w:rsid w:val="00402225"/>
    <w:rsid w:val="0040708B"/>
    <w:rsid w:val="00415467"/>
    <w:rsid w:val="00420548"/>
    <w:rsid w:val="00422820"/>
    <w:rsid w:val="00423F73"/>
    <w:rsid w:val="004275DC"/>
    <w:rsid w:val="00430FF7"/>
    <w:rsid w:val="00431ADF"/>
    <w:rsid w:val="00441BB5"/>
    <w:rsid w:val="00442191"/>
    <w:rsid w:val="00444EFD"/>
    <w:rsid w:val="00446C2F"/>
    <w:rsid w:val="00450379"/>
    <w:rsid w:val="00450C64"/>
    <w:rsid w:val="00453E08"/>
    <w:rsid w:val="0045536A"/>
    <w:rsid w:val="004612C1"/>
    <w:rsid w:val="0046143C"/>
    <w:rsid w:val="0046163F"/>
    <w:rsid w:val="0047000B"/>
    <w:rsid w:val="00471E8F"/>
    <w:rsid w:val="00473FD1"/>
    <w:rsid w:val="004777DD"/>
    <w:rsid w:val="00484BEF"/>
    <w:rsid w:val="00493040"/>
    <w:rsid w:val="00493E73"/>
    <w:rsid w:val="00496FC9"/>
    <w:rsid w:val="004A2116"/>
    <w:rsid w:val="004A2CB5"/>
    <w:rsid w:val="004A75FA"/>
    <w:rsid w:val="004A7EF2"/>
    <w:rsid w:val="004B1984"/>
    <w:rsid w:val="004B47F6"/>
    <w:rsid w:val="004B7D8B"/>
    <w:rsid w:val="004C10B4"/>
    <w:rsid w:val="004C7D4C"/>
    <w:rsid w:val="004C7DCD"/>
    <w:rsid w:val="004D3433"/>
    <w:rsid w:val="004D536F"/>
    <w:rsid w:val="004D7301"/>
    <w:rsid w:val="004E0EF9"/>
    <w:rsid w:val="004E5D17"/>
    <w:rsid w:val="004E7E47"/>
    <w:rsid w:val="004F0DAF"/>
    <w:rsid w:val="004F2D0D"/>
    <w:rsid w:val="004F440A"/>
    <w:rsid w:val="004F7D53"/>
    <w:rsid w:val="00501E69"/>
    <w:rsid w:val="0050235E"/>
    <w:rsid w:val="00505165"/>
    <w:rsid w:val="005051A7"/>
    <w:rsid w:val="005058EA"/>
    <w:rsid w:val="005142B2"/>
    <w:rsid w:val="00520004"/>
    <w:rsid w:val="00520557"/>
    <w:rsid w:val="0053521D"/>
    <w:rsid w:val="005361F6"/>
    <w:rsid w:val="00540871"/>
    <w:rsid w:val="00567071"/>
    <w:rsid w:val="005670D2"/>
    <w:rsid w:val="00576C11"/>
    <w:rsid w:val="00580860"/>
    <w:rsid w:val="00581B6C"/>
    <w:rsid w:val="00581D2B"/>
    <w:rsid w:val="00585CB8"/>
    <w:rsid w:val="0058619F"/>
    <w:rsid w:val="005901DA"/>
    <w:rsid w:val="00591841"/>
    <w:rsid w:val="00592D70"/>
    <w:rsid w:val="00594E96"/>
    <w:rsid w:val="00596142"/>
    <w:rsid w:val="0059650C"/>
    <w:rsid w:val="005A1101"/>
    <w:rsid w:val="005A2CB8"/>
    <w:rsid w:val="005A4776"/>
    <w:rsid w:val="005C325D"/>
    <w:rsid w:val="005C5C10"/>
    <w:rsid w:val="005D24BE"/>
    <w:rsid w:val="005E09B5"/>
    <w:rsid w:val="005E35C7"/>
    <w:rsid w:val="005E3759"/>
    <w:rsid w:val="005E4DDB"/>
    <w:rsid w:val="005F40CA"/>
    <w:rsid w:val="00600C3F"/>
    <w:rsid w:val="0060107F"/>
    <w:rsid w:val="00605768"/>
    <w:rsid w:val="0062490F"/>
    <w:rsid w:val="00627B43"/>
    <w:rsid w:val="00631271"/>
    <w:rsid w:val="0063240A"/>
    <w:rsid w:val="00632576"/>
    <w:rsid w:val="006334BC"/>
    <w:rsid w:val="0063584C"/>
    <w:rsid w:val="00637B27"/>
    <w:rsid w:val="0064330F"/>
    <w:rsid w:val="00644942"/>
    <w:rsid w:val="00647B1A"/>
    <w:rsid w:val="00650D4A"/>
    <w:rsid w:val="00653386"/>
    <w:rsid w:val="00667BC8"/>
    <w:rsid w:val="00674344"/>
    <w:rsid w:val="00682C58"/>
    <w:rsid w:val="00683225"/>
    <w:rsid w:val="00683A3B"/>
    <w:rsid w:val="00690A14"/>
    <w:rsid w:val="00692330"/>
    <w:rsid w:val="0069254E"/>
    <w:rsid w:val="00693390"/>
    <w:rsid w:val="006933C7"/>
    <w:rsid w:val="00695D57"/>
    <w:rsid w:val="006964BE"/>
    <w:rsid w:val="006A10C0"/>
    <w:rsid w:val="006A1808"/>
    <w:rsid w:val="006A5C09"/>
    <w:rsid w:val="006B0836"/>
    <w:rsid w:val="006B450C"/>
    <w:rsid w:val="006C0FFE"/>
    <w:rsid w:val="006C4957"/>
    <w:rsid w:val="006C5A89"/>
    <w:rsid w:val="006C62B5"/>
    <w:rsid w:val="006C6555"/>
    <w:rsid w:val="006D513D"/>
    <w:rsid w:val="006E1658"/>
    <w:rsid w:val="006E1BF4"/>
    <w:rsid w:val="006E5AE6"/>
    <w:rsid w:val="006F1197"/>
    <w:rsid w:val="006F6E1D"/>
    <w:rsid w:val="00706179"/>
    <w:rsid w:val="007127F7"/>
    <w:rsid w:val="007139BB"/>
    <w:rsid w:val="007152C3"/>
    <w:rsid w:val="0071546B"/>
    <w:rsid w:val="00721DCF"/>
    <w:rsid w:val="0072347A"/>
    <w:rsid w:val="00723D9E"/>
    <w:rsid w:val="00731DF5"/>
    <w:rsid w:val="007323B4"/>
    <w:rsid w:val="00732F23"/>
    <w:rsid w:val="00733C26"/>
    <w:rsid w:val="007347A7"/>
    <w:rsid w:val="00741C32"/>
    <w:rsid w:val="007473F8"/>
    <w:rsid w:val="007537E6"/>
    <w:rsid w:val="00754217"/>
    <w:rsid w:val="007547F6"/>
    <w:rsid w:val="0076147F"/>
    <w:rsid w:val="00763555"/>
    <w:rsid w:val="00764772"/>
    <w:rsid w:val="00772635"/>
    <w:rsid w:val="0077333F"/>
    <w:rsid w:val="007855AF"/>
    <w:rsid w:val="00785E85"/>
    <w:rsid w:val="00785FE2"/>
    <w:rsid w:val="00795D16"/>
    <w:rsid w:val="007A0705"/>
    <w:rsid w:val="007A66C9"/>
    <w:rsid w:val="007B3809"/>
    <w:rsid w:val="007C4656"/>
    <w:rsid w:val="007D32BC"/>
    <w:rsid w:val="007D68A2"/>
    <w:rsid w:val="007D7543"/>
    <w:rsid w:val="007E0070"/>
    <w:rsid w:val="007E1762"/>
    <w:rsid w:val="007E255E"/>
    <w:rsid w:val="007E2FE1"/>
    <w:rsid w:val="007E6288"/>
    <w:rsid w:val="007F20B5"/>
    <w:rsid w:val="007F4219"/>
    <w:rsid w:val="007F5CAB"/>
    <w:rsid w:val="008034DE"/>
    <w:rsid w:val="00806F0D"/>
    <w:rsid w:val="0081167C"/>
    <w:rsid w:val="00817265"/>
    <w:rsid w:val="0082025A"/>
    <w:rsid w:val="00824A38"/>
    <w:rsid w:val="008322AD"/>
    <w:rsid w:val="00832EC3"/>
    <w:rsid w:val="00833940"/>
    <w:rsid w:val="00834107"/>
    <w:rsid w:val="00845B26"/>
    <w:rsid w:val="00846E32"/>
    <w:rsid w:val="008600FA"/>
    <w:rsid w:val="008605E9"/>
    <w:rsid w:val="00861169"/>
    <w:rsid w:val="00862244"/>
    <w:rsid w:val="0086527D"/>
    <w:rsid w:val="0086742E"/>
    <w:rsid w:val="00871A62"/>
    <w:rsid w:val="00876D68"/>
    <w:rsid w:val="00886504"/>
    <w:rsid w:val="008917F7"/>
    <w:rsid w:val="008927C4"/>
    <w:rsid w:val="00892EAD"/>
    <w:rsid w:val="00895E49"/>
    <w:rsid w:val="008A514D"/>
    <w:rsid w:val="008B12D2"/>
    <w:rsid w:val="008B168C"/>
    <w:rsid w:val="008B2ADF"/>
    <w:rsid w:val="008B2BD7"/>
    <w:rsid w:val="008B3D4D"/>
    <w:rsid w:val="008C2C28"/>
    <w:rsid w:val="008C3203"/>
    <w:rsid w:val="008E417C"/>
    <w:rsid w:val="008E459F"/>
    <w:rsid w:val="008E50B2"/>
    <w:rsid w:val="008F2CE0"/>
    <w:rsid w:val="008F5436"/>
    <w:rsid w:val="009053D6"/>
    <w:rsid w:val="0090624C"/>
    <w:rsid w:val="00906AEF"/>
    <w:rsid w:val="00911E01"/>
    <w:rsid w:val="00911FEA"/>
    <w:rsid w:val="00915060"/>
    <w:rsid w:val="00916819"/>
    <w:rsid w:val="0092278A"/>
    <w:rsid w:val="00925FFE"/>
    <w:rsid w:val="00946B6F"/>
    <w:rsid w:val="00951731"/>
    <w:rsid w:val="0095424A"/>
    <w:rsid w:val="00954480"/>
    <w:rsid w:val="0095561C"/>
    <w:rsid w:val="009570D4"/>
    <w:rsid w:val="0095761D"/>
    <w:rsid w:val="009654AE"/>
    <w:rsid w:val="00965501"/>
    <w:rsid w:val="009725F5"/>
    <w:rsid w:val="00973426"/>
    <w:rsid w:val="00975DEF"/>
    <w:rsid w:val="009841B1"/>
    <w:rsid w:val="0099093F"/>
    <w:rsid w:val="009909B4"/>
    <w:rsid w:val="009A6D66"/>
    <w:rsid w:val="009B418C"/>
    <w:rsid w:val="009B65D8"/>
    <w:rsid w:val="009B7325"/>
    <w:rsid w:val="009C48D0"/>
    <w:rsid w:val="009C706B"/>
    <w:rsid w:val="009D2088"/>
    <w:rsid w:val="009D63C6"/>
    <w:rsid w:val="009E4E16"/>
    <w:rsid w:val="009E7A3E"/>
    <w:rsid w:val="009E7D2A"/>
    <w:rsid w:val="009F1124"/>
    <w:rsid w:val="009F51ED"/>
    <w:rsid w:val="009F79EA"/>
    <w:rsid w:val="009F7FCE"/>
    <w:rsid w:val="00A12486"/>
    <w:rsid w:val="00A170F1"/>
    <w:rsid w:val="00A20E1E"/>
    <w:rsid w:val="00A21565"/>
    <w:rsid w:val="00A21B41"/>
    <w:rsid w:val="00A30B61"/>
    <w:rsid w:val="00A33AAA"/>
    <w:rsid w:val="00A40B1F"/>
    <w:rsid w:val="00A40B4B"/>
    <w:rsid w:val="00A43287"/>
    <w:rsid w:val="00A44311"/>
    <w:rsid w:val="00A4433D"/>
    <w:rsid w:val="00A448AA"/>
    <w:rsid w:val="00A46939"/>
    <w:rsid w:val="00A5299A"/>
    <w:rsid w:val="00A541AA"/>
    <w:rsid w:val="00A57CD8"/>
    <w:rsid w:val="00A733AD"/>
    <w:rsid w:val="00A76203"/>
    <w:rsid w:val="00A76F4A"/>
    <w:rsid w:val="00A77AAE"/>
    <w:rsid w:val="00A84EEB"/>
    <w:rsid w:val="00A874B9"/>
    <w:rsid w:val="00A9157E"/>
    <w:rsid w:val="00AA5552"/>
    <w:rsid w:val="00AA5A56"/>
    <w:rsid w:val="00AB00B3"/>
    <w:rsid w:val="00AB3263"/>
    <w:rsid w:val="00AB478A"/>
    <w:rsid w:val="00AB4E4B"/>
    <w:rsid w:val="00AB5A5E"/>
    <w:rsid w:val="00AC021F"/>
    <w:rsid w:val="00AC323C"/>
    <w:rsid w:val="00AC7E56"/>
    <w:rsid w:val="00AD0435"/>
    <w:rsid w:val="00AD1DB3"/>
    <w:rsid w:val="00AD7E57"/>
    <w:rsid w:val="00AE3DA3"/>
    <w:rsid w:val="00AE481B"/>
    <w:rsid w:val="00AE4E9E"/>
    <w:rsid w:val="00AF18C3"/>
    <w:rsid w:val="00AF3524"/>
    <w:rsid w:val="00AF45E8"/>
    <w:rsid w:val="00AF5930"/>
    <w:rsid w:val="00B044A1"/>
    <w:rsid w:val="00B22CEA"/>
    <w:rsid w:val="00B24AA7"/>
    <w:rsid w:val="00B24D2B"/>
    <w:rsid w:val="00B25DB3"/>
    <w:rsid w:val="00B2685A"/>
    <w:rsid w:val="00B27009"/>
    <w:rsid w:val="00B27097"/>
    <w:rsid w:val="00B3051B"/>
    <w:rsid w:val="00B3499E"/>
    <w:rsid w:val="00B34E3E"/>
    <w:rsid w:val="00B34EF1"/>
    <w:rsid w:val="00B36E75"/>
    <w:rsid w:val="00B421DA"/>
    <w:rsid w:val="00B43A75"/>
    <w:rsid w:val="00B466B9"/>
    <w:rsid w:val="00B472FF"/>
    <w:rsid w:val="00B4739C"/>
    <w:rsid w:val="00B50F6F"/>
    <w:rsid w:val="00B524BD"/>
    <w:rsid w:val="00B5678B"/>
    <w:rsid w:val="00B5748F"/>
    <w:rsid w:val="00B607A5"/>
    <w:rsid w:val="00B625FB"/>
    <w:rsid w:val="00B64A71"/>
    <w:rsid w:val="00B65A8B"/>
    <w:rsid w:val="00B94D43"/>
    <w:rsid w:val="00B94E54"/>
    <w:rsid w:val="00BA06F5"/>
    <w:rsid w:val="00BA58BC"/>
    <w:rsid w:val="00BA5C23"/>
    <w:rsid w:val="00BA6221"/>
    <w:rsid w:val="00BB1E87"/>
    <w:rsid w:val="00BB2D88"/>
    <w:rsid w:val="00BB3A11"/>
    <w:rsid w:val="00BC33E9"/>
    <w:rsid w:val="00BC48D0"/>
    <w:rsid w:val="00BC5555"/>
    <w:rsid w:val="00BE2435"/>
    <w:rsid w:val="00BE5148"/>
    <w:rsid w:val="00BE7A9D"/>
    <w:rsid w:val="00BF2553"/>
    <w:rsid w:val="00BF559D"/>
    <w:rsid w:val="00C11BB6"/>
    <w:rsid w:val="00C136AB"/>
    <w:rsid w:val="00C14243"/>
    <w:rsid w:val="00C14F8F"/>
    <w:rsid w:val="00C23D53"/>
    <w:rsid w:val="00C25063"/>
    <w:rsid w:val="00C254BF"/>
    <w:rsid w:val="00C34E2D"/>
    <w:rsid w:val="00C42612"/>
    <w:rsid w:val="00C42AB9"/>
    <w:rsid w:val="00C446F4"/>
    <w:rsid w:val="00C46AF0"/>
    <w:rsid w:val="00C5107A"/>
    <w:rsid w:val="00C64668"/>
    <w:rsid w:val="00C66F08"/>
    <w:rsid w:val="00C71017"/>
    <w:rsid w:val="00C761AE"/>
    <w:rsid w:val="00C8079A"/>
    <w:rsid w:val="00C80849"/>
    <w:rsid w:val="00C80AF6"/>
    <w:rsid w:val="00C9356D"/>
    <w:rsid w:val="00C9587E"/>
    <w:rsid w:val="00C95E74"/>
    <w:rsid w:val="00CA10F5"/>
    <w:rsid w:val="00CA4C47"/>
    <w:rsid w:val="00CA7B95"/>
    <w:rsid w:val="00CB36C4"/>
    <w:rsid w:val="00CC793F"/>
    <w:rsid w:val="00CD1A62"/>
    <w:rsid w:val="00CD3A50"/>
    <w:rsid w:val="00CE144A"/>
    <w:rsid w:val="00CE15F8"/>
    <w:rsid w:val="00CE5D56"/>
    <w:rsid w:val="00CF1BAC"/>
    <w:rsid w:val="00CF5E04"/>
    <w:rsid w:val="00D068AE"/>
    <w:rsid w:val="00D13188"/>
    <w:rsid w:val="00D136BF"/>
    <w:rsid w:val="00D13B4F"/>
    <w:rsid w:val="00D16C03"/>
    <w:rsid w:val="00D17527"/>
    <w:rsid w:val="00D23F8F"/>
    <w:rsid w:val="00D24354"/>
    <w:rsid w:val="00D26973"/>
    <w:rsid w:val="00D302B4"/>
    <w:rsid w:val="00D35619"/>
    <w:rsid w:val="00D35E23"/>
    <w:rsid w:val="00D401EA"/>
    <w:rsid w:val="00D45D39"/>
    <w:rsid w:val="00D52F41"/>
    <w:rsid w:val="00D55932"/>
    <w:rsid w:val="00D7058A"/>
    <w:rsid w:val="00D72FBC"/>
    <w:rsid w:val="00D80E77"/>
    <w:rsid w:val="00D822E0"/>
    <w:rsid w:val="00D831CC"/>
    <w:rsid w:val="00D84A3E"/>
    <w:rsid w:val="00D90F28"/>
    <w:rsid w:val="00D941F2"/>
    <w:rsid w:val="00DA2787"/>
    <w:rsid w:val="00DB2206"/>
    <w:rsid w:val="00DB3516"/>
    <w:rsid w:val="00DC18A2"/>
    <w:rsid w:val="00DC2163"/>
    <w:rsid w:val="00DC4B0F"/>
    <w:rsid w:val="00DC686C"/>
    <w:rsid w:val="00DD31A2"/>
    <w:rsid w:val="00DD350B"/>
    <w:rsid w:val="00DD71DF"/>
    <w:rsid w:val="00DD7812"/>
    <w:rsid w:val="00DE0A06"/>
    <w:rsid w:val="00DE7D0C"/>
    <w:rsid w:val="00DE7F65"/>
    <w:rsid w:val="00DF2BFA"/>
    <w:rsid w:val="00E03C5C"/>
    <w:rsid w:val="00E03FDC"/>
    <w:rsid w:val="00E052AC"/>
    <w:rsid w:val="00E11777"/>
    <w:rsid w:val="00E12264"/>
    <w:rsid w:val="00E15799"/>
    <w:rsid w:val="00E15D6C"/>
    <w:rsid w:val="00E17304"/>
    <w:rsid w:val="00E2385D"/>
    <w:rsid w:val="00E267EC"/>
    <w:rsid w:val="00E269F5"/>
    <w:rsid w:val="00E349A4"/>
    <w:rsid w:val="00E47DF7"/>
    <w:rsid w:val="00E5240E"/>
    <w:rsid w:val="00E570FF"/>
    <w:rsid w:val="00E61C3B"/>
    <w:rsid w:val="00E627DE"/>
    <w:rsid w:val="00E63B59"/>
    <w:rsid w:val="00E66B5B"/>
    <w:rsid w:val="00E66BE6"/>
    <w:rsid w:val="00E6794D"/>
    <w:rsid w:val="00E720AC"/>
    <w:rsid w:val="00E75856"/>
    <w:rsid w:val="00E9068A"/>
    <w:rsid w:val="00E90982"/>
    <w:rsid w:val="00E9251C"/>
    <w:rsid w:val="00E94D26"/>
    <w:rsid w:val="00E950BA"/>
    <w:rsid w:val="00EA62E4"/>
    <w:rsid w:val="00EB36C2"/>
    <w:rsid w:val="00EB472B"/>
    <w:rsid w:val="00EB48FF"/>
    <w:rsid w:val="00EB75FE"/>
    <w:rsid w:val="00EB7D78"/>
    <w:rsid w:val="00EC2AA3"/>
    <w:rsid w:val="00EC5E18"/>
    <w:rsid w:val="00ED1AEA"/>
    <w:rsid w:val="00EE0402"/>
    <w:rsid w:val="00EE04F6"/>
    <w:rsid w:val="00EF085B"/>
    <w:rsid w:val="00EF134E"/>
    <w:rsid w:val="00EF2BE1"/>
    <w:rsid w:val="00EF2FF2"/>
    <w:rsid w:val="00EF36C7"/>
    <w:rsid w:val="00EF733A"/>
    <w:rsid w:val="00EF780D"/>
    <w:rsid w:val="00F00983"/>
    <w:rsid w:val="00F0154A"/>
    <w:rsid w:val="00F0387D"/>
    <w:rsid w:val="00F0785B"/>
    <w:rsid w:val="00F16FBA"/>
    <w:rsid w:val="00F17976"/>
    <w:rsid w:val="00F25AFC"/>
    <w:rsid w:val="00F3283C"/>
    <w:rsid w:val="00F4204C"/>
    <w:rsid w:val="00F4416E"/>
    <w:rsid w:val="00F57E33"/>
    <w:rsid w:val="00F61D76"/>
    <w:rsid w:val="00F66A14"/>
    <w:rsid w:val="00F706F3"/>
    <w:rsid w:val="00F719E7"/>
    <w:rsid w:val="00F73FC2"/>
    <w:rsid w:val="00F844FE"/>
    <w:rsid w:val="00F93056"/>
    <w:rsid w:val="00F94090"/>
    <w:rsid w:val="00F94222"/>
    <w:rsid w:val="00F96656"/>
    <w:rsid w:val="00FA0D0E"/>
    <w:rsid w:val="00FA1109"/>
    <w:rsid w:val="00FA2C9C"/>
    <w:rsid w:val="00FA37E1"/>
    <w:rsid w:val="00FB0402"/>
    <w:rsid w:val="00FB2643"/>
    <w:rsid w:val="00FB57A0"/>
    <w:rsid w:val="00FC1DC9"/>
    <w:rsid w:val="00FC2A88"/>
    <w:rsid w:val="00FC394A"/>
    <w:rsid w:val="00FC5D12"/>
    <w:rsid w:val="00FC7A70"/>
    <w:rsid w:val="00FD0F17"/>
    <w:rsid w:val="00FD1358"/>
    <w:rsid w:val="00FD13E7"/>
    <w:rsid w:val="00FD2037"/>
    <w:rsid w:val="00FD3B49"/>
    <w:rsid w:val="00FE112E"/>
    <w:rsid w:val="00FE549E"/>
    <w:rsid w:val="00FF00EC"/>
    <w:rsid w:val="00FF5C9C"/>
    <w:rsid w:val="00FF5F6F"/>
    <w:rsid w:val="00FF6C6F"/>
    <w:rsid w:val="0181D9A5"/>
    <w:rsid w:val="2186DE19"/>
    <w:rsid w:val="359FD78A"/>
    <w:rsid w:val="382A9B05"/>
    <w:rsid w:val="3A71E1D1"/>
    <w:rsid w:val="3EE49CF4"/>
    <w:rsid w:val="3F9E1DD5"/>
    <w:rsid w:val="3FC2FE2A"/>
    <w:rsid w:val="488AFC0E"/>
    <w:rsid w:val="49EF2A69"/>
    <w:rsid w:val="4A96A9B6"/>
    <w:rsid w:val="4E6545F3"/>
    <w:rsid w:val="51312C95"/>
    <w:rsid w:val="56C05F46"/>
    <w:rsid w:val="613A5110"/>
    <w:rsid w:val="68EC44F1"/>
    <w:rsid w:val="6D8CBDB4"/>
    <w:rsid w:val="6FD276D9"/>
    <w:rsid w:val="77BD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66687574-EED3-42F8-BCD1-DA685D5042A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4A"/>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6504"/>
    <w:pPr>
      <w:keepNext/>
      <w:keepLines/>
      <w:numPr>
        <w:numId w:val="7"/>
      </w:numPr>
      <w:spacing w:before="160" w:after="80"/>
      <w:outlineLvl w:val="1"/>
    </w:pPr>
    <w:rPr>
      <w:rFonts w:ascii="Palatino Linotype" w:eastAsiaTheme="majorEastAsia" w:hAnsi="Palatino Linotype" w:cstheme="majorBidi"/>
      <w:u w:val="single"/>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6504"/>
    <w:rPr>
      <w:rFonts w:ascii="Palatino Linotype" w:eastAsiaTheme="majorEastAsia" w:hAnsi="Palatino Linotype" w:cstheme="majorBidi"/>
      <w:u w:val="single"/>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paragraph" w:styleId="Revision">
    <w:name w:val="Revision"/>
    <w:hidden/>
    <w:uiPriority w:val="99"/>
    <w:semiHidden/>
    <w:rsid w:val="00EC5E18"/>
    <w:pPr>
      <w:spacing w:after="0" w:line="240" w:lineRule="auto"/>
    </w:pPr>
  </w:style>
  <w:style w:type="character" w:styleId="CommentReference">
    <w:name w:val="annotation reference"/>
    <w:basedOn w:val="DefaultParagraphFont"/>
    <w:rsid w:val="00363E76"/>
    <w:rPr>
      <w:sz w:val="16"/>
      <w:szCs w:val="16"/>
    </w:rPr>
  </w:style>
  <w:style w:type="paragraph" w:styleId="CommentText">
    <w:name w:val="annotation text"/>
    <w:basedOn w:val="Normal"/>
    <w:link w:val="CommentTextChar"/>
    <w:rsid w:val="00363E76"/>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3E76"/>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nhideWhenUsed/>
    <w:qFormat/>
    <w:rsid w:val="00363E76"/>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363E76"/>
    <w:rPr>
      <w:rFonts w:ascii="Times New Roman" w:eastAsia="Times New Roman" w:hAnsi="Times New Roman" w:cs="Times New Roman"/>
      <w:kern w:val="0"/>
      <w:sz w:val="20"/>
      <w:szCs w:val="20"/>
      <w14:ligatures w14:val="none"/>
    </w:rPr>
  </w:style>
  <w:style w:type="character" w:styleId="FootnoteReference">
    <w:name w:val="footnote reference"/>
    <w:uiPriority w:val="99"/>
    <w:unhideWhenUsed/>
    <w:rsid w:val="00363E76"/>
    <w:rPr>
      <w:vertAlign w:val="superscript"/>
    </w:rPr>
  </w:style>
  <w:style w:type="paragraph" w:styleId="BodyText">
    <w:name w:val="Body Text"/>
    <w:basedOn w:val="Normal"/>
    <w:link w:val="BodyTextChar"/>
    <w:unhideWhenUsed/>
    <w:rsid w:val="00363E76"/>
    <w:pPr>
      <w:tabs>
        <w:tab w:val="left" w:pos="720"/>
      </w:tabs>
      <w:spacing w:after="120" w:line="240" w:lineRule="auto"/>
    </w:pPr>
    <w:rPr>
      <w:rFonts w:ascii="Palatino" w:eastAsia="Times New Roman" w:hAnsi="Palatino" w:cs="Times New Roman"/>
      <w:kern w:val="0"/>
      <w:szCs w:val="20"/>
      <w14:ligatures w14:val="none"/>
    </w:rPr>
  </w:style>
  <w:style w:type="character" w:customStyle="1" w:styleId="BodyTextChar">
    <w:name w:val="Body Text Char"/>
    <w:basedOn w:val="DefaultParagraphFont"/>
    <w:link w:val="BodyText"/>
    <w:rsid w:val="00363E76"/>
    <w:rPr>
      <w:rFonts w:ascii="Palatino" w:eastAsia="Times New Roman" w:hAnsi="Palatino" w:cs="Times New Roman"/>
      <w:kern w:val="0"/>
      <w:szCs w:val="20"/>
      <w14:ligatures w14:val="none"/>
    </w:rPr>
  </w:style>
  <w:style w:type="paragraph" w:customStyle="1" w:styleId="NormalBody">
    <w:name w:val="Normal Body"/>
    <w:basedOn w:val="Normal"/>
    <w:qFormat/>
    <w:rsid w:val="00667BC8"/>
    <w:pPr>
      <w:spacing w:after="0" w:line="240" w:lineRule="auto"/>
    </w:pPr>
    <w:rPr>
      <w:rFonts w:ascii="Palatino Linotype" w:eastAsia="Palatino Linotype" w:hAnsi="Palatino Linotype" w:cs="Times New Roman"/>
      <w:kern w:val="0"/>
      <w14:ligatures w14:val="none"/>
    </w:rPr>
  </w:style>
  <w:style w:type="character" w:customStyle="1" w:styleId="StylePalatino12pt">
    <w:name w:val="Style Palatino 12 pt"/>
    <w:basedOn w:val="DefaultParagraphFont"/>
    <w:rsid w:val="002E28C7"/>
    <w:rPr>
      <w:rFonts w:ascii="Palatino Linotype" w:hAnsi="Palatino Linotype"/>
      <w:sz w:val="24"/>
    </w:rPr>
  </w:style>
  <w:style w:type="paragraph" w:styleId="Caption">
    <w:name w:val="caption"/>
    <w:basedOn w:val="NormalBody"/>
    <w:next w:val="Normal"/>
    <w:semiHidden/>
    <w:unhideWhenUsed/>
    <w:qFormat/>
    <w:rsid w:val="002F65CD"/>
    <w:pPr>
      <w:spacing w:after="200"/>
    </w:pPr>
    <w:rPr>
      <w:i/>
      <w:iCs/>
      <w:color w:val="000000" w:themeColor="text1"/>
      <w:sz w:val="20"/>
      <w:szCs w:val="18"/>
    </w:rPr>
  </w:style>
  <w:style w:type="table" w:styleId="TableGrid">
    <w:name w:val="Table Grid"/>
    <w:basedOn w:val="TableNormal"/>
    <w:rsid w:val="00D3561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3499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3499E"/>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63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893">
      <w:bodyDiv w:val="1"/>
      <w:marLeft w:val="0"/>
      <w:marRight w:val="0"/>
      <w:marTop w:val="0"/>
      <w:marBottom w:val="0"/>
      <w:divBdr>
        <w:top w:val="none" w:sz="0" w:space="0" w:color="auto"/>
        <w:left w:val="none" w:sz="0" w:space="0" w:color="auto"/>
        <w:bottom w:val="none" w:sz="0" w:space="0" w:color="auto"/>
        <w:right w:val="none" w:sz="0" w:space="0" w:color="auto"/>
      </w:divBdr>
    </w:div>
    <w:div w:id="21902976">
      <w:bodyDiv w:val="1"/>
      <w:marLeft w:val="0"/>
      <w:marRight w:val="0"/>
      <w:marTop w:val="0"/>
      <w:marBottom w:val="0"/>
      <w:divBdr>
        <w:top w:val="none" w:sz="0" w:space="0" w:color="auto"/>
        <w:left w:val="none" w:sz="0" w:space="0" w:color="auto"/>
        <w:bottom w:val="none" w:sz="0" w:space="0" w:color="auto"/>
        <w:right w:val="none" w:sz="0" w:space="0" w:color="auto"/>
      </w:divBdr>
    </w:div>
    <w:div w:id="224992453">
      <w:bodyDiv w:val="1"/>
      <w:marLeft w:val="0"/>
      <w:marRight w:val="0"/>
      <w:marTop w:val="0"/>
      <w:marBottom w:val="0"/>
      <w:divBdr>
        <w:top w:val="none" w:sz="0" w:space="0" w:color="auto"/>
        <w:left w:val="none" w:sz="0" w:space="0" w:color="auto"/>
        <w:bottom w:val="none" w:sz="0" w:space="0" w:color="auto"/>
        <w:right w:val="none" w:sz="0" w:space="0" w:color="auto"/>
      </w:divBdr>
    </w:div>
    <w:div w:id="545873822">
      <w:bodyDiv w:val="1"/>
      <w:marLeft w:val="0"/>
      <w:marRight w:val="0"/>
      <w:marTop w:val="0"/>
      <w:marBottom w:val="0"/>
      <w:divBdr>
        <w:top w:val="none" w:sz="0" w:space="0" w:color="auto"/>
        <w:left w:val="none" w:sz="0" w:space="0" w:color="auto"/>
        <w:bottom w:val="none" w:sz="0" w:space="0" w:color="auto"/>
        <w:right w:val="none" w:sz="0" w:space="0" w:color="auto"/>
      </w:divBdr>
    </w:div>
    <w:div w:id="764691066">
      <w:bodyDiv w:val="1"/>
      <w:marLeft w:val="0"/>
      <w:marRight w:val="0"/>
      <w:marTop w:val="0"/>
      <w:marBottom w:val="0"/>
      <w:divBdr>
        <w:top w:val="none" w:sz="0" w:space="0" w:color="auto"/>
        <w:left w:val="none" w:sz="0" w:space="0" w:color="auto"/>
        <w:bottom w:val="none" w:sz="0" w:space="0" w:color="auto"/>
        <w:right w:val="none" w:sz="0" w:space="0" w:color="auto"/>
      </w:divBdr>
    </w:div>
    <w:div w:id="818378487">
      <w:bodyDiv w:val="1"/>
      <w:marLeft w:val="0"/>
      <w:marRight w:val="0"/>
      <w:marTop w:val="0"/>
      <w:marBottom w:val="0"/>
      <w:divBdr>
        <w:top w:val="none" w:sz="0" w:space="0" w:color="auto"/>
        <w:left w:val="none" w:sz="0" w:space="0" w:color="auto"/>
        <w:bottom w:val="none" w:sz="0" w:space="0" w:color="auto"/>
        <w:right w:val="none" w:sz="0" w:space="0" w:color="auto"/>
      </w:divBdr>
    </w:div>
    <w:div w:id="960068500">
      <w:bodyDiv w:val="1"/>
      <w:marLeft w:val="0"/>
      <w:marRight w:val="0"/>
      <w:marTop w:val="0"/>
      <w:marBottom w:val="0"/>
      <w:divBdr>
        <w:top w:val="none" w:sz="0" w:space="0" w:color="auto"/>
        <w:left w:val="none" w:sz="0" w:space="0" w:color="auto"/>
        <w:bottom w:val="none" w:sz="0" w:space="0" w:color="auto"/>
        <w:right w:val="none" w:sz="0" w:space="0" w:color="auto"/>
      </w:divBdr>
    </w:div>
    <w:div w:id="1321885671">
      <w:bodyDiv w:val="1"/>
      <w:marLeft w:val="0"/>
      <w:marRight w:val="0"/>
      <w:marTop w:val="0"/>
      <w:marBottom w:val="0"/>
      <w:divBdr>
        <w:top w:val="none" w:sz="0" w:space="0" w:color="auto"/>
        <w:left w:val="none" w:sz="0" w:space="0" w:color="auto"/>
        <w:bottom w:val="none" w:sz="0" w:space="0" w:color="auto"/>
        <w:right w:val="none" w:sz="0" w:space="0" w:color="auto"/>
      </w:divBdr>
    </w:div>
    <w:div w:id="1658728543">
      <w:bodyDiv w:val="1"/>
      <w:marLeft w:val="0"/>
      <w:marRight w:val="0"/>
      <w:marTop w:val="0"/>
      <w:marBottom w:val="0"/>
      <w:divBdr>
        <w:top w:val="none" w:sz="0" w:space="0" w:color="auto"/>
        <w:left w:val="none" w:sz="0" w:space="0" w:color="auto"/>
        <w:bottom w:val="none" w:sz="0" w:space="0" w:color="auto"/>
        <w:right w:val="none" w:sz="0" w:space="0" w:color="auto"/>
      </w:divBdr>
    </w:div>
    <w:div w:id="1896774312">
      <w:bodyDiv w:val="1"/>
      <w:marLeft w:val="0"/>
      <w:marRight w:val="0"/>
      <w:marTop w:val="0"/>
      <w:marBottom w:val="0"/>
      <w:divBdr>
        <w:top w:val="none" w:sz="0" w:space="0" w:color="auto"/>
        <w:left w:val="none" w:sz="0" w:space="0" w:color="auto"/>
        <w:bottom w:val="none" w:sz="0" w:space="0" w:color="auto"/>
        <w:right w:val="none" w:sz="0" w:space="0" w:color="auto"/>
      </w:divBdr>
    </w:div>
    <w:div w:id="2066370122">
      <w:bodyDiv w:val="1"/>
      <w:marLeft w:val="0"/>
      <w:marRight w:val="0"/>
      <w:marTop w:val="0"/>
      <w:marBottom w:val="0"/>
      <w:divBdr>
        <w:top w:val="none" w:sz="0" w:space="0" w:color="auto"/>
        <w:left w:val="none" w:sz="0" w:space="0" w:color="auto"/>
        <w:bottom w:val="none" w:sz="0" w:space="0" w:color="auto"/>
        <w:right w:val="none" w:sz="0" w:space="0" w:color="auto"/>
      </w:divBdr>
    </w:div>
    <w:div w:id="20978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eca.org/member-services/usf/current-results" TargetMode="External"/><Relationship Id="rId1" Type="http://schemas.openxmlformats.org/officeDocument/2006/relationships/hyperlink" Target="https://www.usac.org/high-cost/funds/legacy-funds/high-cost-l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D2E2ADAC5C43CD9F20C14D06F82720"/>
        <w:category>
          <w:name w:val="General"/>
          <w:gallery w:val="placeholder"/>
        </w:category>
        <w:types>
          <w:type w:val="bbPlcHdr"/>
        </w:types>
        <w:behaviors>
          <w:behavior w:val="content"/>
        </w:behaviors>
        <w:guid w:val="{B6427DDB-469D-47CC-A549-3F2CF2556BF5}"/>
      </w:docPartPr>
      <w:docPartBody>
        <w:p w:rsidR="00D7657D" w:rsidRDefault="005901DA" w:rsidP="005901DA">
          <w:pPr>
            <w:pStyle w:val="C7D2E2ADAC5C43CD9F20C14D06F82720"/>
          </w:pPr>
          <w:r w:rsidRPr="00A633AD">
            <w:rPr>
              <w:rStyle w:val="PlaceholderText"/>
            </w:rPr>
            <w:t>Choose an item.</w:t>
          </w:r>
        </w:p>
      </w:docPartBody>
    </w:docPart>
    <w:docPart>
      <w:docPartPr>
        <w:name w:val="9154D544AD4E486B93C2D360D5A58F59"/>
        <w:category>
          <w:name w:val="General"/>
          <w:gallery w:val="placeholder"/>
        </w:category>
        <w:types>
          <w:type w:val="bbPlcHdr"/>
        </w:types>
        <w:behaviors>
          <w:behavior w:val="content"/>
        </w:behaviors>
        <w:guid w:val="{797B5259-0838-45C0-87B8-BCCC9E7153D9}"/>
      </w:docPartPr>
      <w:docPartBody>
        <w:p w:rsidR="00D7657D" w:rsidRDefault="005901DA" w:rsidP="005901DA">
          <w:pPr>
            <w:pStyle w:val="9154D544AD4E486B93C2D360D5A58F59"/>
          </w:pPr>
          <w:r w:rsidRPr="00A633AD">
            <w:rPr>
              <w:rStyle w:val="PlaceholderText"/>
            </w:rPr>
            <w:t>Choose an item.</w:t>
          </w:r>
        </w:p>
      </w:docPartBody>
    </w:docPart>
    <w:docPart>
      <w:docPartPr>
        <w:name w:val="4D67EF9D6FEA4F65A813CE6E6ADE4E50"/>
        <w:category>
          <w:name w:val="General"/>
          <w:gallery w:val="placeholder"/>
        </w:category>
        <w:types>
          <w:type w:val="bbPlcHdr"/>
        </w:types>
        <w:behaviors>
          <w:behavior w:val="content"/>
        </w:behaviors>
        <w:guid w:val="{CA748AE2-8362-4A68-9B97-A98DE6975179}"/>
      </w:docPartPr>
      <w:docPartBody>
        <w:p w:rsidR="00D7657D" w:rsidRDefault="005901DA" w:rsidP="005901DA">
          <w:pPr>
            <w:pStyle w:val="4D67EF9D6FEA4F65A813CE6E6ADE4E50"/>
          </w:pPr>
          <w:r w:rsidRPr="00A633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DA"/>
    <w:rsid w:val="0005506D"/>
    <w:rsid w:val="00095586"/>
    <w:rsid w:val="000A017E"/>
    <w:rsid w:val="0010314B"/>
    <w:rsid w:val="001A38A8"/>
    <w:rsid w:val="001B7085"/>
    <w:rsid w:val="003039A1"/>
    <w:rsid w:val="0033257A"/>
    <w:rsid w:val="003A2495"/>
    <w:rsid w:val="00472C78"/>
    <w:rsid w:val="0050235E"/>
    <w:rsid w:val="00580860"/>
    <w:rsid w:val="005901DA"/>
    <w:rsid w:val="00592D70"/>
    <w:rsid w:val="0062490F"/>
    <w:rsid w:val="00683A3B"/>
    <w:rsid w:val="0071546B"/>
    <w:rsid w:val="00731DF5"/>
    <w:rsid w:val="007347A7"/>
    <w:rsid w:val="007658D7"/>
    <w:rsid w:val="00772635"/>
    <w:rsid w:val="0077796D"/>
    <w:rsid w:val="007E5317"/>
    <w:rsid w:val="007F3AF3"/>
    <w:rsid w:val="00803E92"/>
    <w:rsid w:val="008B12D2"/>
    <w:rsid w:val="008E0D56"/>
    <w:rsid w:val="009654AE"/>
    <w:rsid w:val="00995457"/>
    <w:rsid w:val="00A139EB"/>
    <w:rsid w:val="00A43287"/>
    <w:rsid w:val="00AC021F"/>
    <w:rsid w:val="00AE481B"/>
    <w:rsid w:val="00B64A71"/>
    <w:rsid w:val="00B65A8B"/>
    <w:rsid w:val="00BA06F5"/>
    <w:rsid w:val="00BC5555"/>
    <w:rsid w:val="00C9310B"/>
    <w:rsid w:val="00CC64AE"/>
    <w:rsid w:val="00D65D31"/>
    <w:rsid w:val="00D7657D"/>
    <w:rsid w:val="00DA46C5"/>
    <w:rsid w:val="00E62333"/>
    <w:rsid w:val="00E9068A"/>
    <w:rsid w:val="00F66A14"/>
    <w:rsid w:val="00F7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1DA"/>
    <w:rPr>
      <w:color w:val="666666"/>
    </w:rPr>
  </w:style>
  <w:style w:type="paragraph" w:customStyle="1" w:styleId="C7D2E2ADAC5C43CD9F20C14D06F82720">
    <w:name w:val="C7D2E2ADAC5C43CD9F20C14D06F82720"/>
    <w:rsid w:val="005901DA"/>
  </w:style>
  <w:style w:type="paragraph" w:customStyle="1" w:styleId="9154D544AD4E486B93C2D360D5A58F59">
    <w:name w:val="9154D544AD4E486B93C2D360D5A58F59"/>
    <w:rsid w:val="005901DA"/>
  </w:style>
  <w:style w:type="paragraph" w:customStyle="1" w:styleId="4D67EF9D6FEA4F65A813CE6E6ADE4E50">
    <w:name w:val="4D67EF9D6FEA4F65A813CE6E6ADE4E50"/>
    <w:rsid w:val="00590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b5e86-481a-4126-8972-e9951515453f" xsi:nil="true"/>
    <lcf76f155ced4ddcb4097134ff3c332f xmlns="0ae05265-6270-412e-b46f-e8ce72dcfb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E004FC2A1704182BFDBEF44CDB7BC" ma:contentTypeVersion="15" ma:contentTypeDescription="Create a new document." ma:contentTypeScope="" ma:versionID="8f0a40ca2856d6264cbb9b06556739f4">
  <xsd:schema xmlns:xsd="http://www.w3.org/2001/XMLSchema" xmlns:xs="http://www.w3.org/2001/XMLSchema" xmlns:p="http://schemas.microsoft.com/office/2006/metadata/properties" xmlns:ns2="0ae05265-6270-412e-b46f-e8ce72dcfb30" xmlns:ns3="331a2c5f-3fa0-4884-a60d-c849c04e4844" xmlns:ns4="17cb5e86-481a-4126-8972-e9951515453f" targetNamespace="http://schemas.microsoft.com/office/2006/metadata/properties" ma:root="true" ma:fieldsID="d3491e89756fc2ef016dfef91f801b57" ns2:_="" ns3:_="" ns4:_="">
    <xsd:import namespace="0ae05265-6270-412e-b46f-e8ce72dcfb30"/>
    <xsd:import namespace="331a2c5f-3fa0-4884-a60d-c849c04e4844"/>
    <xsd:import namespace="17cb5e86-481a-4126-8972-e995151545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5265-6270-412e-b46f-e8ce72dcf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a2c5f-3fa0-4884-a60d-c849c04e48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b5e86-481a-4126-8972-e995151545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80199b9-60b7-43e1-a86f-4638216660b6}" ma:internalName="TaxCatchAll" ma:showField="CatchAllData" ma:web="17cb5e86-481a-4126-8972-e99515154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17cb5e86-481a-4126-8972-e9951515453f"/>
    <ds:schemaRef ds:uri="0ae05265-6270-412e-b46f-e8ce72dcfb30"/>
  </ds:schemaRefs>
</ds:datastoreItem>
</file>

<file path=customXml/itemProps2.xml><?xml version="1.0" encoding="utf-8"?>
<ds:datastoreItem xmlns:ds="http://schemas.openxmlformats.org/officeDocument/2006/customXml" ds:itemID="{07C38253-AB3A-4582-92BA-4B0F531F9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5265-6270-412e-b46f-e8ce72dcfb30"/>
    <ds:schemaRef ds:uri="331a2c5f-3fa0-4884-a60d-c849c04e4844"/>
    <ds:schemaRef ds:uri="17cb5e86-481a-4126-8972-e99515154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4.xml><?xml version="1.0" encoding="utf-8"?>
<ds:datastoreItem xmlns:ds="http://schemas.openxmlformats.org/officeDocument/2006/customXml" ds:itemID="{55BCAD1A-6A39-4B75-BFB8-5C4C136754B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3138</ap:Words>
  <ap:Characters>17889</ap:Characters>
  <ap:Application>Microsoft Office Word</ap:Application>
  <ap:DocSecurity>0</ap:DocSecurity>
  <ap:Lines>149</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20986</ap:CharactersWithSpaces>
  <ap:SharedDoc>false</ap:SharedDoc>
  <ap:HLinks>
    <vt:vector baseType="variant" size="12">
      <vt:variant>
        <vt:i4>131093</vt:i4>
      </vt:variant>
      <vt:variant>
        <vt:i4>3</vt:i4>
      </vt:variant>
      <vt:variant>
        <vt:i4>0</vt:i4>
      </vt:variant>
      <vt:variant>
        <vt:i4>5</vt:i4>
      </vt:variant>
      <vt:variant>
        <vt:lpwstr>https://www.neca.org/member-services/usf/current-results</vt:lpwstr>
      </vt:variant>
      <vt:variant>
        <vt:lpwstr/>
      </vt:variant>
      <vt:variant>
        <vt:i4>4849691</vt:i4>
      </vt:variant>
      <vt:variant>
        <vt:i4>0</vt:i4>
      </vt:variant>
      <vt:variant>
        <vt:i4>0</vt:i4>
      </vt:variant>
      <vt:variant>
        <vt:i4>5</vt:i4>
      </vt:variant>
      <vt:variant>
        <vt:lpwstr>https://www.usac.org/high-cost/funds/legacy-funds/high-cost-loop/</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2025-07-03T13:19:30Z</dcterms:created>
  <dcterms:modified xsi:type="dcterms:W3CDTF">2025-07-03T13:19:30Z</dcterms:modified>
</cp:coreProperties>
</file>