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893" w:rsidR="00A76F4A" w:rsidP="00802705" w:rsidRDefault="00A76F4A" w14:paraId="1038F1A9" w14:textId="77777777">
      <w:pPr>
        <w:spacing w:after="0" w:line="240" w:lineRule="auto"/>
        <w:jc w:val="center"/>
        <w:rPr>
          <w:rFonts w:ascii="Helvetica" w:hAnsi="Helvetica" w:eastAsia="Times New Roman" w:cs="Helvetica"/>
          <w:b/>
          <w:bCs/>
          <w:spacing w:val="20"/>
          <w:kern w:val="0"/>
          <w:sz w:val="26"/>
          <w:szCs w:val="26"/>
          <w14:ligatures w14:val="none"/>
        </w:rPr>
      </w:pPr>
      <w:r w:rsidRPr="00A95893">
        <w:rPr>
          <w:rFonts w:ascii="Helvetica" w:hAnsi="Helvetica" w:eastAsia="Times New Roman" w:cs="Helvetica"/>
          <w:b/>
          <w:bCs/>
          <w:spacing w:val="20"/>
          <w:kern w:val="0"/>
          <w:sz w:val="26"/>
          <w:szCs w:val="26"/>
          <w14:ligatures w14:val="none"/>
        </w:rPr>
        <w:t>PUBLIC UTILITIES COMMISSION OF THE STATE OF CALIFORNIA</w:t>
      </w:r>
    </w:p>
    <w:p w:rsidRPr="00A95893" w:rsidR="00A76F4A" w:rsidP="00A76F4A" w:rsidRDefault="00A76F4A" w14:paraId="739BA5B3" w14:textId="77777777">
      <w:pPr>
        <w:suppressAutoHyphens/>
        <w:spacing w:after="0" w:line="240" w:lineRule="auto"/>
        <w:rPr>
          <w:rFonts w:ascii="Palatino Linotype" w:hAnsi="Palatino Linotype" w:eastAsia="Times New Roman" w:cs="Times New Roman"/>
          <w:kern w:val="0"/>
          <w14:ligatures w14:val="none"/>
        </w:rPr>
      </w:pPr>
    </w:p>
    <w:p w:rsidRPr="00A95893" w:rsidR="00A76F4A" w:rsidP="00A76F4A" w:rsidRDefault="00A76F4A" w14:paraId="3530C4E8" w14:textId="77777777">
      <w:pPr>
        <w:suppressAutoHyphens/>
        <w:spacing w:after="0" w:line="240" w:lineRule="auto"/>
        <w:rPr>
          <w:rFonts w:ascii="Palatino Linotype" w:hAnsi="Palatino Linotype" w:eastAsia="Times New Roman" w:cs="Times New Roman"/>
          <w:kern w:val="0"/>
          <w14:ligatures w14:val="none"/>
        </w:rPr>
      </w:pPr>
    </w:p>
    <w:p w:rsidRPr="00A95893" w:rsidR="00A76F4A" w:rsidP="0061232F" w:rsidRDefault="00A76F4A" w14:paraId="2AFEBBF1" w14:textId="535CE20C">
      <w:pPr>
        <w:tabs>
          <w:tab w:val="left" w:pos="6720"/>
          <w:tab w:val="right" w:pos="8820"/>
        </w:tabs>
        <w:spacing w:after="0" w:line="240" w:lineRule="auto"/>
        <w:rPr>
          <w:rFonts w:ascii="Palatino Linotype" w:hAnsi="Palatino Linotype" w:eastAsia="Times New Roman" w:cs="Times New Roman"/>
          <w:b/>
          <w:kern w:val="0"/>
          <w:highlight w:val="yellow"/>
          <w14:ligatures w14:val="none"/>
        </w:rPr>
      </w:pPr>
      <w:r w:rsidRPr="00A95893">
        <w:rPr>
          <w:rFonts w:ascii="Palatino Linotype" w:hAnsi="Palatino Linotype" w:eastAsia="Times New Roman" w:cs="Times New Roman"/>
          <w:b/>
          <w:kern w:val="0"/>
          <w14:ligatures w14:val="none"/>
        </w:rPr>
        <w:tab/>
      </w:r>
      <w:r w:rsidR="0061232F">
        <w:rPr>
          <w:rFonts w:ascii="Palatino Linotype" w:hAnsi="Palatino Linotype" w:eastAsia="Times New Roman" w:cs="Times New Roman"/>
          <w:b/>
          <w:kern w:val="0"/>
          <w14:ligatures w14:val="none"/>
        </w:rPr>
        <w:t xml:space="preserve">  </w:t>
      </w:r>
      <w:r w:rsidRPr="00A95893">
        <w:rPr>
          <w:rFonts w:ascii="Palatino Linotype" w:hAnsi="Palatino Linotype" w:eastAsia="Times New Roman" w:cs="Times New Roman"/>
          <w:b/>
          <w:kern w:val="0"/>
          <w14:ligatures w14:val="none"/>
        </w:rPr>
        <w:t>Agenda ID#</w:t>
      </w:r>
      <w:r w:rsidR="0061232F">
        <w:rPr>
          <w:rFonts w:ascii="Palatino Linotype" w:hAnsi="Palatino Linotype" w:eastAsia="Times New Roman" w:cs="Times New Roman"/>
          <w:b/>
          <w:kern w:val="0"/>
          <w14:ligatures w14:val="none"/>
        </w:rPr>
        <w:t xml:space="preserve"> </w:t>
      </w:r>
      <w:r w:rsidRPr="0061232F" w:rsidR="0061232F">
        <w:rPr>
          <w:rFonts w:ascii="Palatino Linotype" w:hAnsi="Palatino Linotype" w:eastAsia="Times New Roman" w:cs="Times New Roman"/>
          <w:b/>
          <w:bCs/>
          <w:kern w:val="0"/>
          <w14:ligatures w14:val="none"/>
        </w:rPr>
        <w:t>23620</w:t>
      </w:r>
    </w:p>
    <w:p w:rsidRPr="00A95893" w:rsidR="00A76F4A" w:rsidP="00A76F4A" w:rsidRDefault="00204B1B" w14:paraId="097CE738" w14:textId="4AFB95D3">
      <w:pPr>
        <w:tabs>
          <w:tab w:val="right" w:pos="8820"/>
        </w:tabs>
        <w:spacing w:after="0" w:line="240" w:lineRule="auto"/>
        <w:rPr>
          <w:rFonts w:ascii="Palatino Linotype" w:hAnsi="Palatino Linotype" w:eastAsia="Palatino Linotype" w:cs="Times New Roman"/>
          <w:b/>
          <w:kern w:val="0"/>
          <w14:ligatures w14:val="none"/>
        </w:rPr>
      </w:pPr>
      <w:r w:rsidRPr="00A95893">
        <w:rPr>
          <w:rFonts w:ascii="Palatino Linotype" w:hAnsi="Palatino Linotype" w:eastAsia="Palatino Linotype" w:cs="Times New Roman"/>
          <w:b/>
          <w:kern w:val="0"/>
          <w14:ligatures w14:val="none"/>
        </w:rPr>
        <w:t>ENERGY DIVISION</w:t>
      </w:r>
      <w:r w:rsidRPr="00A95893" w:rsidR="00A76F4A">
        <w:rPr>
          <w:rFonts w:ascii="Palatino Linotype" w:hAnsi="Palatino Linotype" w:eastAsia="Times New Roman" w:cs="Times New Roman"/>
          <w:b/>
          <w:kern w:val="0"/>
          <w14:ligatures w14:val="none"/>
        </w:rPr>
        <w:tab/>
      </w:r>
      <w:r w:rsidRPr="00A95893" w:rsidR="00A76F4A">
        <w:rPr>
          <w:rFonts w:ascii="Palatino Linotype" w:hAnsi="Palatino Linotype" w:eastAsia="Palatino Linotype" w:cs="Times New Roman"/>
          <w:b/>
        </w:rPr>
        <w:t xml:space="preserve">RESOLUTION </w:t>
      </w:r>
      <w:r w:rsidRPr="00A95893" w:rsidR="00272E24">
        <w:rPr>
          <w:rFonts w:ascii="Palatino Linotype" w:hAnsi="Palatino Linotype" w:eastAsia="Palatino Linotype" w:cs="Times New Roman"/>
          <w:b/>
        </w:rPr>
        <w:t>E-5407</w:t>
      </w:r>
    </w:p>
    <w:p w:rsidRPr="00A95893" w:rsidR="00A76F4A" w:rsidP="00A76F4A" w:rsidRDefault="00272E24" w14:paraId="17BEFA95" w14:textId="242A8707">
      <w:pPr>
        <w:tabs>
          <w:tab w:val="right" w:pos="8820"/>
        </w:tabs>
        <w:spacing w:after="0" w:line="240" w:lineRule="auto"/>
        <w:ind w:left="5040"/>
        <w:rPr>
          <w:rFonts w:ascii="Palatino Linotype" w:hAnsi="Palatino Linotype" w:eastAsia="Times New Roman" w:cs="Times New Roman"/>
          <w:b/>
          <w:kern w:val="0"/>
          <w14:ligatures w14:val="none"/>
        </w:rPr>
      </w:pPr>
      <w:r w:rsidRPr="00A95893">
        <w:rPr>
          <w:rFonts w:ascii="Palatino Linotype" w:hAnsi="Palatino Linotype" w:eastAsia="Times New Roman" w:cs="Times New Roman"/>
          <w:b/>
          <w:kern w:val="0"/>
          <w14:ligatures w14:val="none"/>
        </w:rPr>
        <w:tab/>
      </w:r>
      <w:r w:rsidR="005E3C11">
        <w:rPr>
          <w:rFonts w:ascii="Palatino Linotype" w:hAnsi="Palatino Linotype" w:eastAsia="Times New Roman" w:cs="Times New Roman"/>
          <w:b/>
          <w:kern w:val="0"/>
          <w14:ligatures w14:val="none"/>
        </w:rPr>
        <w:t xml:space="preserve">August 14, </w:t>
      </w:r>
      <w:r w:rsidRPr="00A95893" w:rsidR="00E82164">
        <w:rPr>
          <w:rFonts w:ascii="Palatino Linotype" w:hAnsi="Palatino Linotype" w:eastAsia="Times New Roman" w:cs="Times New Roman"/>
          <w:b/>
          <w:kern w:val="0"/>
          <w14:ligatures w14:val="none"/>
        </w:rPr>
        <w:t>2025</w:t>
      </w:r>
    </w:p>
    <w:p w:rsidRPr="00A95893" w:rsidR="00A76F4A" w:rsidP="00A76F4A" w:rsidRDefault="00A76F4A" w14:paraId="149FD231"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A95893">
        <w:rPr>
          <w:rFonts w:ascii="Palatino Linotype" w:hAnsi="Palatino Linotype" w:eastAsia="Times New Roman" w:cs="Times New Roman"/>
          <w:b/>
          <w:kern w:val="0"/>
          <w14:ligatures w14:val="none"/>
        </w:rPr>
        <w:tab/>
      </w:r>
    </w:p>
    <w:p w:rsidRPr="00A95893" w:rsidR="00A76F4A" w:rsidP="00A76F4A" w:rsidRDefault="00A76F4A" w14:paraId="524F4DC8"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A95893" w:rsidR="00A76F4A" w:rsidP="00A76F4A" w:rsidRDefault="00A76F4A" w14:paraId="4767E366" w14:textId="77777777">
      <w:pPr>
        <w:keepNext/>
        <w:spacing w:after="0" w:line="240" w:lineRule="auto"/>
        <w:jc w:val="center"/>
        <w:rPr>
          <w:rFonts w:ascii="Helvetica" w:hAnsi="Helvetica" w:eastAsia="Times New Roman" w:cs="Helvetica"/>
          <w:b/>
          <w:spacing w:val="120"/>
          <w:kern w:val="0"/>
          <w:sz w:val="26"/>
          <w:szCs w:val="26"/>
          <w:u w:val="single"/>
          <w14:ligatures w14:val="none"/>
        </w:rPr>
      </w:pPr>
      <w:bookmarkStart w:name="_Ref404993683" w:id="0"/>
      <w:r w:rsidRPr="00A95893">
        <w:rPr>
          <w:rFonts w:ascii="Helvetica" w:hAnsi="Helvetica" w:eastAsia="Times New Roman" w:cs="Helvetica"/>
          <w:b/>
          <w:spacing w:val="120"/>
          <w:kern w:val="0"/>
          <w:sz w:val="26"/>
          <w:szCs w:val="26"/>
          <w:u w:val="single"/>
          <w14:ligatures w14:val="none"/>
        </w:rPr>
        <w:t>RESOLUTION</w:t>
      </w:r>
    </w:p>
    <w:p w:rsidRPr="00A95893" w:rsidR="00A76F4A" w:rsidP="00A76F4A" w:rsidRDefault="00A76F4A" w14:paraId="778B8F8D" w14:textId="77777777">
      <w:pPr>
        <w:spacing w:after="0" w:line="240" w:lineRule="auto"/>
        <w:rPr>
          <w:rFonts w:ascii="Palatino Linotype" w:hAnsi="Palatino Linotype" w:eastAsia="Palatino Linotype" w:cs="Times New Roman"/>
          <w:kern w:val="0"/>
          <w14:ligatures w14:val="none"/>
        </w:rPr>
      </w:pPr>
    </w:p>
    <w:p w:rsidRPr="00A95893" w:rsidR="00A76F4A" w:rsidP="004870ED" w:rsidRDefault="00A76F4A" w14:paraId="400F09B6" w14:textId="187386AD">
      <w:pPr>
        <w:spacing w:after="0" w:line="240" w:lineRule="auto"/>
        <w:ind w:left="720"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Resolution </w:t>
      </w:r>
      <w:r w:rsidRPr="00A95893" w:rsidR="003E1814">
        <w:rPr>
          <w:rFonts w:ascii="Palatino Linotype" w:hAnsi="Palatino Linotype" w:eastAsia="Times New Roman" w:cs="Times New Roman"/>
          <w:kern w:val="0"/>
          <w14:ligatures w14:val="none"/>
        </w:rPr>
        <w:t>E-5407: S</w:t>
      </w:r>
      <w:r w:rsidRPr="00A95893" w:rsidR="004870ED">
        <w:rPr>
          <w:rFonts w:ascii="Palatino Linotype" w:hAnsi="Palatino Linotype" w:eastAsia="Times New Roman" w:cs="Times New Roman"/>
          <w:kern w:val="0"/>
          <w14:ligatures w14:val="none"/>
        </w:rPr>
        <w:t>outhern California Edison Company’s Annual Report on the Renewable Charging Status, Grid Charging Fees, and Other Costs and Revenues for Co-Located Resources Pursuant to</w:t>
      </w:r>
      <w:r w:rsidRPr="00A95893" w:rsidR="00937C60">
        <w:rPr>
          <w:rFonts w:ascii="Palatino Linotype" w:hAnsi="Palatino Linotype" w:eastAsia="Times New Roman" w:cs="Times New Roman"/>
          <w:kern w:val="0"/>
          <w14:ligatures w14:val="none"/>
        </w:rPr>
        <w:t xml:space="preserve"> </w:t>
      </w:r>
      <w:r w:rsidRPr="00A95893" w:rsidR="004870ED">
        <w:rPr>
          <w:rFonts w:ascii="Palatino Linotype" w:hAnsi="Palatino Linotype" w:eastAsia="Times New Roman" w:cs="Times New Roman"/>
          <w:kern w:val="0"/>
          <w14:ligatures w14:val="none"/>
        </w:rPr>
        <w:t>Resolution E-5101</w:t>
      </w:r>
      <w:r w:rsidRPr="00A95893" w:rsidR="00937C60">
        <w:rPr>
          <w:rFonts w:ascii="Palatino Linotype" w:hAnsi="Palatino Linotype" w:eastAsia="Times New Roman" w:cs="Times New Roman"/>
          <w:kern w:val="0"/>
          <w14:ligatures w14:val="none"/>
        </w:rPr>
        <w:t>.</w:t>
      </w:r>
    </w:p>
    <w:p w:rsidRPr="00A95893" w:rsidR="00A76F4A" w:rsidP="00A76F4A" w:rsidRDefault="00A76F4A" w14:paraId="1BF45DC4" w14:textId="77777777">
      <w:pPr>
        <w:spacing w:after="0" w:line="240" w:lineRule="auto"/>
        <w:ind w:left="720" w:right="720"/>
        <w:rPr>
          <w:rFonts w:ascii="Palatino Linotype" w:hAnsi="Palatino Linotype" w:eastAsia="Times New Roman" w:cs="Times New Roman"/>
          <w:kern w:val="0"/>
          <w14:ligatures w14:val="none"/>
        </w:rPr>
      </w:pPr>
    </w:p>
    <w:p w:rsidRPr="00A95893" w:rsidR="00A76F4A" w:rsidP="00A76F4A" w:rsidRDefault="00A76F4A" w14:paraId="0054523B" w14:textId="77777777">
      <w:pPr>
        <w:spacing w:after="0" w:line="240" w:lineRule="auto"/>
        <w:ind w:left="720" w:right="720"/>
        <w:rPr>
          <w:rFonts w:ascii="Palatino Linotype" w:hAnsi="Palatino Linotype" w:eastAsia="Palatino Linotype" w:cs="Times New Roman"/>
          <w:kern w:val="0"/>
          <w14:ligatures w14:val="none"/>
        </w:rPr>
      </w:pPr>
    </w:p>
    <w:p w:rsidRPr="00A95893"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PROPOSED OUTCOME: </w:t>
      </w:r>
    </w:p>
    <w:p w:rsidRPr="00A95893" w:rsidR="00A76F4A" w:rsidRDefault="00A83B85" w14:paraId="6B3F292E" w14:textId="54042966">
      <w:pPr>
        <w:numPr>
          <w:ilvl w:val="0"/>
          <w:numId w:val="4"/>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Southern California Edison Company’s Annual Report on the Renewable Charging Status, Grid Charging Fees, and Other Costs and Revenues for Co-Located Resources Pursuant to Resolution </w:t>
      </w:r>
      <w:r w:rsidR="00A95893">
        <w:rPr>
          <w:rFonts w:ascii="Palatino Linotype" w:hAnsi="Palatino Linotype" w:eastAsia="Times New Roman" w:cs="Times New Roman"/>
          <w:kern w:val="0"/>
          <w14:ligatures w14:val="none"/>
        </w:rPr>
        <w:br/>
      </w:r>
      <w:r w:rsidRPr="00A95893">
        <w:rPr>
          <w:rFonts w:ascii="Palatino Linotype" w:hAnsi="Palatino Linotype" w:eastAsia="Times New Roman" w:cs="Times New Roman"/>
          <w:kern w:val="0"/>
          <w14:ligatures w14:val="none"/>
        </w:rPr>
        <w:t xml:space="preserve">E-5101 is </w:t>
      </w:r>
      <w:r w:rsidRPr="00A95893" w:rsidR="00DD3F25">
        <w:rPr>
          <w:rFonts w:ascii="Palatino Linotype" w:hAnsi="Palatino Linotype" w:eastAsia="Times New Roman" w:cs="Times New Roman"/>
          <w:kern w:val="0"/>
          <w14:ligatures w14:val="none"/>
        </w:rPr>
        <w:t>approved</w:t>
      </w:r>
      <w:r w:rsidRPr="00A95893">
        <w:rPr>
          <w:rFonts w:ascii="Palatino Linotype" w:hAnsi="Palatino Linotype" w:eastAsia="Times New Roman" w:cs="Times New Roman"/>
          <w:kern w:val="0"/>
          <w14:ligatures w14:val="none"/>
        </w:rPr>
        <w:t>.</w:t>
      </w:r>
    </w:p>
    <w:p w:rsidRPr="00A95893" w:rsidR="00A83B85" w:rsidRDefault="00B32FD8" w14:paraId="197B068C" w14:textId="1A886015">
      <w:pPr>
        <w:numPr>
          <w:ilvl w:val="0"/>
          <w:numId w:val="4"/>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The annual report</w:t>
      </w:r>
      <w:r w:rsidRPr="00A95893" w:rsidR="00E63935">
        <w:rPr>
          <w:rFonts w:ascii="Palatino Linotype" w:hAnsi="Palatino Linotype" w:eastAsia="Times New Roman" w:cs="Times New Roman"/>
          <w:kern w:val="0"/>
          <w14:ligatures w14:val="none"/>
        </w:rPr>
        <w:t>ing</w:t>
      </w:r>
      <w:r w:rsidRPr="00A95893">
        <w:rPr>
          <w:rFonts w:ascii="Palatino Linotype" w:hAnsi="Palatino Linotype" w:eastAsia="Times New Roman" w:cs="Times New Roman"/>
          <w:kern w:val="0"/>
          <w14:ligatures w14:val="none"/>
        </w:rPr>
        <w:t xml:space="preserve"> requirement specified in Resolution E-5101 is </w:t>
      </w:r>
      <w:r w:rsidRPr="00A95893" w:rsidR="00CB67A3">
        <w:rPr>
          <w:rFonts w:ascii="Palatino Linotype" w:hAnsi="Palatino Linotype" w:eastAsia="Times New Roman" w:cs="Times New Roman"/>
          <w:kern w:val="0"/>
          <w14:ligatures w14:val="none"/>
        </w:rPr>
        <w:t>rescinded</w:t>
      </w:r>
      <w:r w:rsidRPr="00A95893">
        <w:rPr>
          <w:rFonts w:ascii="Palatino Linotype" w:hAnsi="Palatino Linotype" w:eastAsia="Times New Roman" w:cs="Times New Roman"/>
          <w:kern w:val="0"/>
          <w14:ligatures w14:val="none"/>
        </w:rPr>
        <w:t>.</w:t>
      </w:r>
    </w:p>
    <w:p w:rsidRPr="00A95893" w:rsidR="00A76F4A" w:rsidP="00A76F4A" w:rsidRDefault="00A76F4A" w14:paraId="711BBA7A"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SAFETY CONSIDERATIONS:</w:t>
      </w:r>
    </w:p>
    <w:p w:rsidRPr="00A95893" w:rsidR="00A76F4A" w:rsidP="00A76F4A" w:rsidRDefault="00A76F4A" w14:paraId="23A78212" w14:textId="7FC0A805">
      <w:pPr>
        <w:numPr>
          <w:ilvl w:val="0"/>
          <w:numId w:val="3"/>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There </w:t>
      </w:r>
      <w:proofErr w:type="gramStart"/>
      <w:r w:rsidRPr="00A95893">
        <w:rPr>
          <w:rFonts w:ascii="Palatino Linotype" w:hAnsi="Palatino Linotype" w:eastAsia="Times New Roman" w:cs="Times New Roman"/>
          <w:kern w:val="0"/>
          <w14:ligatures w14:val="none"/>
        </w:rPr>
        <w:t>are</w:t>
      </w:r>
      <w:proofErr w:type="gramEnd"/>
      <w:r w:rsidRPr="00A95893">
        <w:rPr>
          <w:rFonts w:ascii="Palatino Linotype" w:hAnsi="Palatino Linotype" w:eastAsia="Times New Roman" w:cs="Times New Roman"/>
          <w:kern w:val="0"/>
          <w14:ligatures w14:val="none"/>
        </w:rPr>
        <w:t xml:space="preserve"> no safety considerations associated with this resolution. </w:t>
      </w:r>
    </w:p>
    <w:p w:rsidRPr="00A95893" w:rsidR="00A76F4A" w:rsidP="00A76F4A" w:rsidRDefault="00A76F4A" w14:paraId="64A6B8D1" w14:textId="77777777">
      <w:pPr>
        <w:spacing w:after="0" w:line="240" w:lineRule="auto"/>
        <w:ind w:left="720" w:right="720"/>
        <w:rPr>
          <w:rFonts w:ascii="Palatino Linotype" w:hAnsi="Palatino Linotype" w:eastAsia="Palatino Linotype" w:cs="Times New Roman"/>
          <w:kern w:val="0"/>
          <w14:ligatures w14:val="none"/>
        </w:rPr>
      </w:pPr>
    </w:p>
    <w:p w:rsidRPr="00A95893"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ESTIMATED COST:  </w:t>
      </w:r>
    </w:p>
    <w:p w:rsidRPr="00A95893" w:rsidR="0012723B" w:rsidP="0012723B" w:rsidRDefault="00A76F4A" w14:paraId="6EAB3A8A" w14:textId="19D9095F">
      <w:pPr>
        <w:numPr>
          <w:ilvl w:val="0"/>
          <w:numId w:val="3"/>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There are no costs associated with this resolutio</w:t>
      </w:r>
      <w:r w:rsidRPr="00A95893" w:rsidR="0012723B">
        <w:rPr>
          <w:rFonts w:ascii="Palatino Linotype" w:hAnsi="Palatino Linotype" w:eastAsia="Times New Roman" w:cs="Times New Roman"/>
          <w:kern w:val="0"/>
          <w14:ligatures w14:val="none"/>
        </w:rPr>
        <w:t>n.</w:t>
      </w:r>
    </w:p>
    <w:p w:rsidRPr="00A95893" w:rsidR="00A76F4A" w:rsidP="0012723B" w:rsidRDefault="00A76F4A" w14:paraId="39F1C355" w14:textId="34D01265">
      <w:pPr>
        <w:spacing w:after="0" w:line="240" w:lineRule="auto"/>
        <w:ind w:left="1440" w:right="720"/>
        <w:rPr>
          <w:rFonts w:ascii="Palatino Linotype" w:hAnsi="Palatino Linotype" w:eastAsia="Times New Roman" w:cs="Times New Roman"/>
          <w:kern w:val="0"/>
          <w14:ligatures w14:val="none"/>
        </w:rPr>
      </w:pPr>
    </w:p>
    <w:p w:rsidRPr="00A95893" w:rsidR="00A76F4A" w:rsidP="005A4CE2" w:rsidRDefault="00A76F4A" w14:paraId="573E1F48" w14:textId="3DC42D9B">
      <w:pPr>
        <w:spacing w:after="0" w:line="240" w:lineRule="auto"/>
        <w:ind w:right="720"/>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By Advice Letter </w:t>
      </w:r>
      <w:r w:rsidRPr="00A95893" w:rsidR="009A0114">
        <w:rPr>
          <w:rFonts w:ascii="Palatino Linotype" w:hAnsi="Palatino Linotype" w:eastAsia="Palatino Linotype" w:cs="Times New Roman"/>
          <w:kern w:val="0"/>
          <w14:ligatures w14:val="none"/>
        </w:rPr>
        <w:t>5471-E</w:t>
      </w:r>
      <w:r w:rsidRPr="00A95893" w:rsidR="005A4CE2">
        <w:rPr>
          <w:rFonts w:ascii="Palatino Linotype" w:hAnsi="Palatino Linotype" w:eastAsia="Palatino Linotype" w:cs="Times New Roman"/>
          <w:kern w:val="0"/>
          <w14:ligatures w14:val="none"/>
        </w:rPr>
        <w:t>, f</w:t>
      </w:r>
      <w:r w:rsidRPr="00A95893">
        <w:rPr>
          <w:rFonts w:ascii="Palatino Linotype" w:hAnsi="Palatino Linotype" w:eastAsia="Palatino Linotype" w:cs="Times New Roman"/>
          <w:kern w:val="0"/>
          <w14:ligatures w14:val="none"/>
        </w:rPr>
        <w:t xml:space="preserve">iled on </w:t>
      </w:r>
      <w:r w:rsidRPr="00A95893" w:rsidR="009A0114">
        <w:rPr>
          <w:rFonts w:ascii="Palatino Linotype" w:hAnsi="Palatino Linotype" w:eastAsia="Palatino Linotype" w:cs="Times New Roman"/>
          <w:kern w:val="0"/>
          <w14:ligatures w14:val="none"/>
        </w:rPr>
        <w:t>February 3, 2025</w:t>
      </w:r>
      <w:r w:rsidRPr="00A95893">
        <w:rPr>
          <w:rFonts w:ascii="Palatino Linotype" w:hAnsi="Palatino Linotype" w:eastAsia="Palatino Linotype" w:cs="Times New Roman"/>
          <w:kern w:val="0"/>
          <w14:ligatures w14:val="none"/>
        </w:rPr>
        <w:t xml:space="preserve"> </w:t>
      </w:r>
    </w:p>
    <w:p w:rsidRPr="00A95893"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__________________________________________________________</w:t>
      </w:r>
    </w:p>
    <w:p w:rsidRPr="00A95893"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A95893"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t>Summary</w:t>
      </w:r>
      <w:bookmarkEnd w:id="0"/>
    </w:p>
    <w:p w:rsidRPr="00A95893" w:rsidR="00A76F4A" w:rsidP="00A76F4A" w:rsidRDefault="00A76F4A" w14:paraId="5BA743B0" w14:textId="3EB50160">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Times New Roman" w:cs="Times New Roman"/>
          <w:kern w:val="0"/>
          <w14:ligatures w14:val="none"/>
        </w:rPr>
        <w:t xml:space="preserve">This Resolution </w:t>
      </w:r>
      <w:r w:rsidRPr="00A95893" w:rsidR="00822C9E">
        <w:rPr>
          <w:rFonts w:ascii="Palatino Linotype" w:hAnsi="Palatino Linotype" w:eastAsia="Times New Roman" w:cs="Times New Roman"/>
          <w:kern w:val="0"/>
          <w14:ligatures w14:val="none"/>
        </w:rPr>
        <w:t xml:space="preserve">approves </w:t>
      </w:r>
      <w:r w:rsidRPr="00A95893" w:rsidR="008A116D">
        <w:rPr>
          <w:rFonts w:ascii="Palatino Linotype" w:hAnsi="Palatino Linotype" w:eastAsia="Times New Roman" w:cs="Times New Roman"/>
          <w:kern w:val="0"/>
          <w14:ligatures w14:val="none"/>
        </w:rPr>
        <w:t>Southern California Edison</w:t>
      </w:r>
      <w:r w:rsidRPr="00A95893" w:rsidR="006101CB">
        <w:rPr>
          <w:rFonts w:ascii="Palatino Linotype" w:hAnsi="Palatino Linotype" w:eastAsia="Times New Roman" w:cs="Times New Roman"/>
          <w:kern w:val="0"/>
          <w14:ligatures w14:val="none"/>
        </w:rPr>
        <w:t>’s</w:t>
      </w:r>
      <w:r w:rsidRPr="00A95893" w:rsidR="008A116D">
        <w:rPr>
          <w:rFonts w:ascii="Palatino Linotype" w:hAnsi="Palatino Linotype" w:eastAsia="Times New Roman" w:cs="Times New Roman"/>
          <w:kern w:val="0"/>
          <w14:ligatures w14:val="none"/>
        </w:rPr>
        <w:t xml:space="preserve"> (SCE) </w:t>
      </w:r>
      <w:r w:rsidRPr="00A95893" w:rsidR="00C36FE0">
        <w:rPr>
          <w:rFonts w:ascii="Palatino Linotype" w:hAnsi="Palatino Linotype" w:eastAsia="Times New Roman" w:cs="Times New Roman"/>
          <w:kern w:val="0"/>
          <w14:ligatures w14:val="none"/>
        </w:rPr>
        <w:t xml:space="preserve">SCE Annual Report on the Renewable Charging Status, Grid Charging Fees, and Other Costs and Revenues for </w:t>
      </w:r>
      <w:r w:rsidR="00A95893">
        <w:rPr>
          <w:rFonts w:ascii="Palatino Linotype" w:hAnsi="Palatino Linotype" w:eastAsia="Times New Roman" w:cs="Times New Roman"/>
          <w:kern w:val="0"/>
          <w14:ligatures w14:val="none"/>
        </w:rPr>
        <w:br/>
      </w:r>
      <w:r w:rsidRPr="00A95893" w:rsidR="00C36FE0">
        <w:rPr>
          <w:rFonts w:ascii="Palatino Linotype" w:hAnsi="Palatino Linotype" w:eastAsia="Times New Roman" w:cs="Times New Roman"/>
          <w:kern w:val="0"/>
          <w14:ligatures w14:val="none"/>
        </w:rPr>
        <w:t>Co-Located Resources</w:t>
      </w:r>
      <w:r w:rsidRPr="00A95893" w:rsidR="00062BD2">
        <w:rPr>
          <w:rFonts w:ascii="Palatino Linotype" w:hAnsi="Palatino Linotype" w:eastAsia="Times New Roman" w:cs="Times New Roman"/>
          <w:kern w:val="0"/>
          <w14:ligatures w14:val="none"/>
        </w:rPr>
        <w:t>, as required by</w:t>
      </w:r>
      <w:r w:rsidRPr="00A95893" w:rsidR="00C36FE0">
        <w:rPr>
          <w:rFonts w:ascii="Palatino Linotype" w:hAnsi="Palatino Linotype" w:eastAsia="Times New Roman" w:cs="Times New Roman"/>
          <w:kern w:val="0"/>
          <w14:ligatures w14:val="none"/>
        </w:rPr>
        <w:t xml:space="preserve"> Resolution E-5101.  The E</w:t>
      </w:r>
      <w:r w:rsidRPr="00A95893" w:rsidR="008879A4">
        <w:rPr>
          <w:rFonts w:ascii="Palatino Linotype" w:hAnsi="Palatino Linotype" w:eastAsia="Times New Roman" w:cs="Times New Roman"/>
          <w:kern w:val="0"/>
          <w14:ligatures w14:val="none"/>
        </w:rPr>
        <w:t xml:space="preserve">nergy Division no longer requires the information </w:t>
      </w:r>
      <w:r w:rsidRPr="00A95893" w:rsidR="0032142E">
        <w:rPr>
          <w:rFonts w:ascii="Palatino Linotype" w:hAnsi="Palatino Linotype" w:eastAsia="Times New Roman" w:cs="Times New Roman"/>
          <w:kern w:val="0"/>
          <w14:ligatures w14:val="none"/>
        </w:rPr>
        <w:t xml:space="preserve">provided </w:t>
      </w:r>
      <w:r w:rsidRPr="00A95893" w:rsidR="008879A4">
        <w:rPr>
          <w:rFonts w:ascii="Palatino Linotype" w:hAnsi="Palatino Linotype" w:eastAsia="Times New Roman" w:cs="Times New Roman"/>
          <w:kern w:val="0"/>
          <w14:ligatures w14:val="none"/>
        </w:rPr>
        <w:t>in the</w:t>
      </w:r>
      <w:r w:rsidRPr="00A95893" w:rsidR="0032142E">
        <w:rPr>
          <w:rFonts w:ascii="Palatino Linotype" w:hAnsi="Palatino Linotype" w:eastAsia="Times New Roman" w:cs="Times New Roman"/>
          <w:kern w:val="0"/>
          <w14:ligatures w14:val="none"/>
        </w:rPr>
        <w:t>se</w:t>
      </w:r>
      <w:r w:rsidRPr="00A95893" w:rsidR="008879A4">
        <w:rPr>
          <w:rFonts w:ascii="Palatino Linotype" w:hAnsi="Palatino Linotype" w:eastAsia="Times New Roman" w:cs="Times New Roman"/>
          <w:kern w:val="0"/>
          <w14:ligatures w14:val="none"/>
        </w:rPr>
        <w:t xml:space="preserve"> report</w:t>
      </w:r>
      <w:r w:rsidRPr="00A95893" w:rsidR="0032142E">
        <w:rPr>
          <w:rFonts w:ascii="Palatino Linotype" w:hAnsi="Palatino Linotype" w:eastAsia="Times New Roman" w:cs="Times New Roman"/>
          <w:kern w:val="0"/>
          <w14:ligatures w14:val="none"/>
        </w:rPr>
        <w:t>s</w:t>
      </w:r>
      <w:r w:rsidRPr="00A95893" w:rsidR="003A2FC9">
        <w:rPr>
          <w:rFonts w:ascii="Palatino Linotype" w:hAnsi="Palatino Linotype" w:eastAsia="Times New Roman" w:cs="Times New Roman"/>
          <w:kern w:val="0"/>
          <w14:ligatures w14:val="none"/>
        </w:rPr>
        <w:t xml:space="preserve"> as the </w:t>
      </w:r>
      <w:r w:rsidRPr="00A95893" w:rsidR="008C0DCA">
        <w:rPr>
          <w:rFonts w:ascii="Palatino Linotype" w:hAnsi="Palatino Linotype" w:eastAsia="Times New Roman" w:cs="Times New Roman"/>
          <w:kern w:val="0"/>
          <w14:ligatures w14:val="none"/>
        </w:rPr>
        <w:t xml:space="preserve">concerns over possible </w:t>
      </w:r>
      <w:r w:rsidRPr="00A95893" w:rsidR="000264A9">
        <w:rPr>
          <w:rFonts w:ascii="Palatino Linotype" w:hAnsi="Palatino Linotype" w:eastAsia="Times New Roman" w:cs="Times New Roman"/>
          <w:kern w:val="0"/>
          <w14:ligatures w14:val="none"/>
        </w:rPr>
        <w:t xml:space="preserve">grid charging fees associated with the contracts </w:t>
      </w:r>
      <w:r w:rsidRPr="00A95893" w:rsidR="00EF6C92">
        <w:rPr>
          <w:rFonts w:ascii="Palatino Linotype" w:hAnsi="Palatino Linotype" w:eastAsia="Times New Roman" w:cs="Times New Roman"/>
          <w:kern w:val="0"/>
          <w14:ligatures w14:val="none"/>
        </w:rPr>
        <w:t>have</w:t>
      </w:r>
      <w:r w:rsidRPr="00A95893" w:rsidR="000264A9">
        <w:rPr>
          <w:rFonts w:ascii="Palatino Linotype" w:hAnsi="Palatino Linotype" w:eastAsia="Times New Roman" w:cs="Times New Roman"/>
          <w:kern w:val="0"/>
          <w14:ligatures w14:val="none"/>
        </w:rPr>
        <w:t xml:space="preserve"> not materialized</w:t>
      </w:r>
      <w:r w:rsidRPr="00A95893" w:rsidR="003A2FC9">
        <w:rPr>
          <w:rFonts w:ascii="Palatino Linotype" w:hAnsi="Palatino Linotype" w:eastAsia="Times New Roman" w:cs="Times New Roman"/>
          <w:kern w:val="0"/>
          <w14:ligatures w14:val="none"/>
        </w:rPr>
        <w:t>. Therefore</w:t>
      </w:r>
      <w:r w:rsidRPr="00A95893" w:rsidR="00725564">
        <w:rPr>
          <w:rFonts w:ascii="Palatino Linotype" w:hAnsi="Palatino Linotype" w:eastAsia="Times New Roman" w:cs="Times New Roman"/>
          <w:kern w:val="0"/>
          <w14:ligatures w14:val="none"/>
        </w:rPr>
        <w:t xml:space="preserve">, </w:t>
      </w:r>
      <w:r w:rsidRPr="00A95893" w:rsidR="00B17574">
        <w:rPr>
          <w:rFonts w:ascii="Palatino Linotype" w:hAnsi="Palatino Linotype" w:eastAsia="Times New Roman" w:cs="Times New Roman"/>
          <w:kern w:val="0"/>
          <w14:ligatures w14:val="none"/>
        </w:rPr>
        <w:t>future annual reports</w:t>
      </w:r>
      <w:r w:rsidRPr="00A95893" w:rsidR="00725564">
        <w:rPr>
          <w:rFonts w:ascii="Palatino Linotype" w:hAnsi="Palatino Linotype" w:eastAsia="Times New Roman" w:cs="Times New Roman"/>
          <w:kern w:val="0"/>
          <w14:ligatures w14:val="none"/>
        </w:rPr>
        <w:t>,</w:t>
      </w:r>
      <w:r w:rsidRPr="00A95893" w:rsidR="00B17574">
        <w:rPr>
          <w:rFonts w:ascii="Palatino Linotype" w:hAnsi="Palatino Linotype" w:eastAsia="Times New Roman" w:cs="Times New Roman"/>
          <w:kern w:val="0"/>
          <w14:ligatures w14:val="none"/>
        </w:rPr>
        <w:t xml:space="preserve"> </w:t>
      </w:r>
      <w:r w:rsidRPr="00A95893" w:rsidR="00725564">
        <w:rPr>
          <w:rFonts w:ascii="Palatino Linotype" w:hAnsi="Palatino Linotype" w:eastAsia="Times New Roman" w:cs="Times New Roman"/>
          <w:kern w:val="0"/>
          <w14:ligatures w14:val="none"/>
        </w:rPr>
        <w:t xml:space="preserve">pursuant to E-5101, </w:t>
      </w:r>
      <w:r w:rsidRPr="00A95893" w:rsidR="003A10AF">
        <w:rPr>
          <w:rFonts w:ascii="Palatino Linotype" w:hAnsi="Palatino Linotype" w:eastAsia="Times New Roman" w:cs="Times New Roman"/>
          <w:kern w:val="0"/>
          <w14:ligatures w14:val="none"/>
        </w:rPr>
        <w:t xml:space="preserve">are </w:t>
      </w:r>
      <w:r w:rsidRPr="00A95893" w:rsidR="003555BC">
        <w:rPr>
          <w:rFonts w:ascii="Palatino Linotype" w:hAnsi="Palatino Linotype" w:eastAsia="Times New Roman" w:cs="Times New Roman"/>
          <w:kern w:val="0"/>
          <w14:ligatures w14:val="none"/>
        </w:rPr>
        <w:t>rescinded</w:t>
      </w:r>
      <w:r w:rsidRPr="00A95893" w:rsidR="00B17574">
        <w:rPr>
          <w:rFonts w:ascii="Palatino Linotype" w:hAnsi="Palatino Linotype" w:eastAsia="Times New Roman" w:cs="Times New Roman"/>
          <w:kern w:val="0"/>
          <w14:ligatures w14:val="none"/>
        </w:rPr>
        <w:t>.</w:t>
      </w:r>
    </w:p>
    <w:p w:rsidRPr="00A95893"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lastRenderedPageBreak/>
        <w:t>Background</w:t>
      </w:r>
    </w:p>
    <w:p w:rsidRPr="00A95893" w:rsidR="00AE031C" w:rsidP="00AE031C" w:rsidRDefault="00BE0DFA" w14:paraId="22437F04" w14:textId="0DF62F8F">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In Advice</w:t>
      </w:r>
      <w:r w:rsidRPr="00A95893" w:rsidR="00DF25D9">
        <w:rPr>
          <w:rFonts w:ascii="Palatino Linotype" w:hAnsi="Palatino Linotype" w:eastAsia="Times New Roman" w:cs="Times New Roman"/>
          <w:kern w:val="0"/>
          <w14:ligatures w14:val="none"/>
        </w:rPr>
        <w:t xml:space="preserve"> Letter (AL)</w:t>
      </w:r>
      <w:r w:rsidRPr="00A95893">
        <w:rPr>
          <w:rFonts w:ascii="Palatino Linotype" w:hAnsi="Palatino Linotype" w:eastAsia="Times New Roman" w:cs="Times New Roman"/>
          <w:kern w:val="0"/>
          <w14:ligatures w14:val="none"/>
        </w:rPr>
        <w:t xml:space="preserve"> 4218-E/E-A, SCE sought approval for 770 megawatts (MW) of nameplate capacity from seven resources, including five </w:t>
      </w:r>
      <w:r w:rsidRPr="00A95893" w:rsidR="00932354">
        <w:rPr>
          <w:rFonts w:ascii="Palatino Linotype" w:hAnsi="Palatino Linotype" w:eastAsia="Times New Roman" w:cs="Times New Roman"/>
          <w:kern w:val="0"/>
          <w14:ligatures w14:val="none"/>
        </w:rPr>
        <w:t xml:space="preserve">storage </w:t>
      </w:r>
      <w:r w:rsidRPr="00A95893">
        <w:rPr>
          <w:rFonts w:ascii="Palatino Linotype" w:hAnsi="Palatino Linotype" w:eastAsia="Times New Roman" w:cs="Times New Roman"/>
          <w:kern w:val="0"/>
          <w14:ligatures w14:val="none"/>
        </w:rPr>
        <w:t xml:space="preserve">resources </w:t>
      </w:r>
      <w:r w:rsidRPr="00A95893" w:rsidR="001360A8">
        <w:rPr>
          <w:rFonts w:ascii="Palatino Linotype" w:hAnsi="Palatino Linotype" w:eastAsia="Times New Roman" w:cs="Times New Roman"/>
          <w:kern w:val="0"/>
          <w14:ligatures w14:val="none"/>
        </w:rPr>
        <w:t>co-l</w:t>
      </w:r>
      <w:r w:rsidRPr="00A95893" w:rsidR="00B77193">
        <w:rPr>
          <w:rFonts w:ascii="Palatino Linotype" w:hAnsi="Palatino Linotype" w:eastAsia="Times New Roman" w:cs="Times New Roman"/>
          <w:kern w:val="0"/>
          <w14:ligatures w14:val="none"/>
        </w:rPr>
        <w:t>ocated at existing solar sites</w:t>
      </w:r>
      <w:r w:rsidRPr="00A95893" w:rsidR="00FE7706">
        <w:rPr>
          <w:rFonts w:ascii="Palatino Linotype" w:hAnsi="Palatino Linotype" w:eastAsia="Times New Roman" w:cs="Times New Roman"/>
          <w:kern w:val="0"/>
          <w14:ligatures w14:val="none"/>
        </w:rPr>
        <w:t>,</w:t>
      </w:r>
      <w:r w:rsidRPr="00A95893" w:rsidR="00B77193">
        <w:rPr>
          <w:rFonts w:ascii="Palatino Linotype" w:hAnsi="Palatino Linotype" w:eastAsia="Times New Roman" w:cs="Times New Roman"/>
          <w:kern w:val="0"/>
          <w14:ligatures w14:val="none"/>
        </w:rPr>
        <w:t xml:space="preserve"> </w:t>
      </w:r>
      <w:r w:rsidRPr="00A95893">
        <w:rPr>
          <w:rFonts w:ascii="Palatino Linotype" w:hAnsi="Palatino Linotype" w:eastAsia="Times New Roman" w:cs="Times New Roman"/>
          <w:kern w:val="0"/>
          <w14:ligatures w14:val="none"/>
        </w:rPr>
        <w:t>to meet SCE’s procurement obligations for incremental Resource Adequacy (RA) capacity pursuant to Decision (D.)19-11-016.</w:t>
      </w:r>
      <w:r w:rsidRPr="00A95893" w:rsidR="007D6895">
        <w:rPr>
          <w:rFonts w:ascii="Palatino Linotype" w:hAnsi="Palatino Linotype" w:eastAsia="Times New Roman" w:cs="Times New Roman"/>
          <w:kern w:val="0"/>
          <w14:ligatures w14:val="none"/>
        </w:rPr>
        <w:t xml:space="preserve"> </w:t>
      </w:r>
      <w:r w:rsidRPr="00A95893" w:rsidR="005153E0">
        <w:rPr>
          <w:rFonts w:ascii="Palatino Linotype" w:hAnsi="Palatino Linotype" w:eastAsia="Times New Roman" w:cs="Times New Roman"/>
          <w:kern w:val="0"/>
          <w14:ligatures w14:val="none"/>
        </w:rPr>
        <w:t xml:space="preserve"> </w:t>
      </w:r>
      <w:r w:rsidRPr="00A95893" w:rsidR="00AE031C">
        <w:rPr>
          <w:rFonts w:ascii="Palatino Linotype" w:hAnsi="Palatino Linotype" w:eastAsia="Times New Roman" w:cs="Times New Roman"/>
          <w:kern w:val="0"/>
          <w14:ligatures w14:val="none"/>
        </w:rPr>
        <w:t xml:space="preserve">The five storage co-located contracts </w:t>
      </w:r>
      <w:r w:rsidRPr="00A95893" w:rsidR="00BB4AE5">
        <w:rPr>
          <w:rFonts w:ascii="Palatino Linotype" w:hAnsi="Palatino Linotype" w:eastAsia="Times New Roman" w:cs="Times New Roman"/>
          <w:kern w:val="0"/>
          <w14:ligatures w14:val="none"/>
        </w:rPr>
        <w:t>(three</w:t>
      </w:r>
      <w:r w:rsidRPr="00A95893" w:rsidR="00AE031C">
        <w:rPr>
          <w:rFonts w:ascii="Palatino Linotype" w:hAnsi="Palatino Linotype" w:eastAsia="Times New Roman" w:cs="Times New Roman"/>
          <w:kern w:val="0"/>
          <w14:ligatures w14:val="none"/>
        </w:rPr>
        <w:t xml:space="preserve"> tolling agreements and </w:t>
      </w:r>
      <w:r w:rsidRPr="00A95893" w:rsidR="00BB4AE5">
        <w:rPr>
          <w:rFonts w:ascii="Palatino Linotype" w:hAnsi="Palatino Linotype" w:eastAsia="Times New Roman" w:cs="Times New Roman"/>
          <w:kern w:val="0"/>
          <w14:ligatures w14:val="none"/>
        </w:rPr>
        <w:t>two</w:t>
      </w:r>
      <w:r w:rsidRPr="00A95893" w:rsidR="00AE031C">
        <w:rPr>
          <w:rFonts w:ascii="Palatino Linotype" w:hAnsi="Palatino Linotype" w:eastAsia="Times New Roman" w:cs="Times New Roman"/>
          <w:kern w:val="0"/>
          <w14:ligatures w14:val="none"/>
        </w:rPr>
        <w:t xml:space="preserve"> </w:t>
      </w:r>
      <w:r w:rsidRPr="00A95893" w:rsidR="003801E3">
        <w:rPr>
          <w:rFonts w:ascii="Palatino Linotype" w:hAnsi="Palatino Linotype" w:eastAsia="Times New Roman" w:cs="Times New Roman"/>
          <w:kern w:val="0"/>
          <w14:ligatures w14:val="none"/>
        </w:rPr>
        <w:t>R</w:t>
      </w:r>
      <w:r w:rsidRPr="00A95893" w:rsidR="00156A1C">
        <w:rPr>
          <w:rFonts w:ascii="Palatino Linotype" w:hAnsi="Palatino Linotype" w:eastAsia="Times New Roman" w:cs="Times New Roman"/>
          <w:kern w:val="0"/>
          <w14:ligatures w14:val="none"/>
        </w:rPr>
        <w:t>A</w:t>
      </w:r>
      <w:r w:rsidRPr="00A95893" w:rsidR="00BB4AE5">
        <w:rPr>
          <w:rFonts w:ascii="Palatino Linotype" w:hAnsi="Palatino Linotype" w:eastAsia="Times New Roman" w:cs="Times New Roman"/>
          <w:kern w:val="0"/>
          <w14:ligatures w14:val="none"/>
        </w:rPr>
        <w:t xml:space="preserve"> </w:t>
      </w:r>
      <w:proofErr w:type="gramStart"/>
      <w:r w:rsidRPr="00A95893" w:rsidR="00BB4AE5">
        <w:rPr>
          <w:rFonts w:ascii="Palatino Linotype" w:hAnsi="Palatino Linotype" w:eastAsia="Times New Roman" w:cs="Times New Roman"/>
          <w:kern w:val="0"/>
          <w14:ligatures w14:val="none"/>
        </w:rPr>
        <w:t>with put</w:t>
      </w:r>
      <w:proofErr w:type="gramEnd"/>
      <w:r w:rsidRPr="00A95893" w:rsidR="00BB4AE5">
        <w:rPr>
          <w:rFonts w:ascii="Palatino Linotype" w:hAnsi="Palatino Linotype" w:eastAsia="Times New Roman" w:cs="Times New Roman"/>
          <w:kern w:val="0"/>
          <w14:ligatures w14:val="none"/>
        </w:rPr>
        <w:t xml:space="preserve"> options contracts)</w:t>
      </w:r>
      <w:r w:rsidRPr="00A95893" w:rsidR="003801E3">
        <w:rPr>
          <w:rFonts w:ascii="Palatino Linotype" w:hAnsi="Palatino Linotype" w:eastAsia="Times New Roman" w:cs="Times New Roman"/>
          <w:kern w:val="0"/>
          <w14:ligatures w14:val="none"/>
        </w:rPr>
        <w:t xml:space="preserve"> </w:t>
      </w:r>
      <w:r w:rsidRPr="00A95893" w:rsidR="00782F2D">
        <w:rPr>
          <w:rFonts w:ascii="Palatino Linotype" w:hAnsi="Palatino Linotype" w:eastAsia="Times New Roman" w:cs="Times New Roman"/>
          <w:kern w:val="0"/>
          <w14:ligatures w14:val="none"/>
        </w:rPr>
        <w:t>provided</w:t>
      </w:r>
      <w:r w:rsidRPr="00A95893" w:rsidR="00AE031C">
        <w:rPr>
          <w:rFonts w:ascii="Palatino Linotype" w:hAnsi="Palatino Linotype" w:eastAsia="Times New Roman" w:cs="Times New Roman"/>
          <w:kern w:val="0"/>
          <w14:ligatures w14:val="none"/>
        </w:rPr>
        <w:t xml:space="preserve"> </w:t>
      </w:r>
      <w:proofErr w:type="gramStart"/>
      <w:r w:rsidRPr="00A95893" w:rsidR="00AE031C">
        <w:rPr>
          <w:rFonts w:ascii="Palatino Linotype" w:hAnsi="Palatino Linotype" w:eastAsia="Times New Roman" w:cs="Times New Roman"/>
          <w:kern w:val="0"/>
          <w14:ligatures w14:val="none"/>
        </w:rPr>
        <w:t>SCE</w:t>
      </w:r>
      <w:proofErr w:type="gramEnd"/>
      <w:r w:rsidRPr="00A95893" w:rsidR="00AE031C">
        <w:rPr>
          <w:rFonts w:ascii="Palatino Linotype" w:hAnsi="Palatino Linotype" w:eastAsia="Times New Roman" w:cs="Times New Roman"/>
          <w:kern w:val="0"/>
          <w14:ligatures w14:val="none"/>
        </w:rPr>
        <w:t xml:space="preserve"> the right </w:t>
      </w:r>
      <w:r w:rsidRPr="00A95893" w:rsidR="00854DD4">
        <w:rPr>
          <w:rFonts w:ascii="Palatino Linotype" w:hAnsi="Palatino Linotype" w:eastAsia="Times New Roman" w:cs="Times New Roman"/>
          <w:kern w:val="0"/>
          <w14:ligatures w14:val="none"/>
        </w:rPr>
        <w:t>(</w:t>
      </w:r>
      <w:r w:rsidRPr="00A95893" w:rsidR="00BB4AE5">
        <w:rPr>
          <w:rFonts w:ascii="Palatino Linotype" w:hAnsi="Palatino Linotype" w:eastAsia="Times New Roman" w:cs="Times New Roman"/>
          <w:kern w:val="0"/>
          <w14:ligatures w14:val="none"/>
        </w:rPr>
        <w:t>or option</w:t>
      </w:r>
      <w:r w:rsidRPr="00A95893" w:rsidR="00854DD4">
        <w:rPr>
          <w:rFonts w:ascii="Palatino Linotype" w:hAnsi="Palatino Linotype" w:eastAsia="Times New Roman" w:cs="Times New Roman"/>
          <w:kern w:val="0"/>
          <w14:ligatures w14:val="none"/>
        </w:rPr>
        <w:t>)</w:t>
      </w:r>
      <w:r w:rsidRPr="00A95893" w:rsidR="00AE031C">
        <w:rPr>
          <w:rFonts w:ascii="Palatino Linotype" w:hAnsi="Palatino Linotype" w:eastAsia="Times New Roman" w:cs="Times New Roman"/>
          <w:kern w:val="0"/>
          <w14:ligatures w14:val="none"/>
        </w:rPr>
        <w:t xml:space="preserve"> to schedule the resource in CAISO markets. These contracts also included provisions for SCE to compensate the seller for the loss of the Investment Tax Credit </w:t>
      </w:r>
      <w:r w:rsidRPr="00A95893" w:rsidR="00E015D7">
        <w:rPr>
          <w:rFonts w:ascii="Palatino Linotype" w:hAnsi="Palatino Linotype" w:eastAsia="Times New Roman" w:cs="Times New Roman"/>
          <w:kern w:val="0"/>
          <w14:ligatures w14:val="none"/>
        </w:rPr>
        <w:t>(ITC) due to</w:t>
      </w:r>
      <w:r w:rsidRPr="00A95893" w:rsidR="00AE031C">
        <w:rPr>
          <w:rFonts w:ascii="Palatino Linotype" w:hAnsi="Palatino Linotype" w:eastAsia="Times New Roman" w:cs="Times New Roman"/>
          <w:kern w:val="0"/>
          <w14:ligatures w14:val="none"/>
        </w:rPr>
        <w:t xml:space="preserve"> </w:t>
      </w:r>
      <w:r w:rsidRPr="00A95893" w:rsidR="00984412">
        <w:rPr>
          <w:rFonts w:ascii="Palatino Linotype" w:hAnsi="Palatino Linotype" w:eastAsia="Times New Roman" w:cs="Times New Roman"/>
          <w:kern w:val="0"/>
          <w14:ligatures w14:val="none"/>
        </w:rPr>
        <w:t xml:space="preserve">possible </w:t>
      </w:r>
      <w:r w:rsidRPr="00A95893" w:rsidR="00AE031C">
        <w:rPr>
          <w:rFonts w:ascii="Palatino Linotype" w:hAnsi="Palatino Linotype" w:eastAsia="Times New Roman" w:cs="Times New Roman"/>
          <w:kern w:val="0"/>
          <w14:ligatures w14:val="none"/>
        </w:rPr>
        <w:t>charging</w:t>
      </w:r>
      <w:r w:rsidRPr="00A95893" w:rsidR="00984412">
        <w:rPr>
          <w:rFonts w:ascii="Palatino Linotype" w:hAnsi="Palatino Linotype" w:eastAsia="Times New Roman" w:cs="Times New Roman"/>
          <w:kern w:val="0"/>
          <w14:ligatures w14:val="none"/>
        </w:rPr>
        <w:t xml:space="preserve"> from the</w:t>
      </w:r>
      <w:r w:rsidRPr="00A95893" w:rsidR="00E015D7">
        <w:rPr>
          <w:rFonts w:ascii="Palatino Linotype" w:hAnsi="Palatino Linotype" w:eastAsia="Times New Roman" w:cs="Times New Roman"/>
          <w:kern w:val="0"/>
          <w14:ligatures w14:val="none"/>
        </w:rPr>
        <w:t xml:space="preserve"> electric grid.</w:t>
      </w:r>
    </w:p>
    <w:p w:rsidRPr="00A95893" w:rsidR="40FEE137" w:rsidP="40FEE137" w:rsidRDefault="40FEE137" w14:paraId="6EF77D89" w14:textId="5185C9A0">
      <w:pPr>
        <w:spacing w:after="0" w:line="240" w:lineRule="auto"/>
        <w:rPr>
          <w:rFonts w:ascii="Palatino Linotype" w:hAnsi="Palatino Linotype" w:eastAsia="Times New Roman" w:cs="Times New Roman"/>
        </w:rPr>
      </w:pPr>
    </w:p>
    <w:p w:rsidRPr="00A95893" w:rsidR="00A76F4A" w:rsidP="00BE0DFA" w:rsidRDefault="00491661" w14:paraId="6B8C5E37" w14:textId="0B6055B5">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In</w:t>
      </w:r>
      <w:r w:rsidRPr="00A95893" w:rsidR="00932354">
        <w:rPr>
          <w:rFonts w:ascii="Palatino Linotype" w:hAnsi="Palatino Linotype" w:eastAsia="Times New Roman" w:cs="Times New Roman"/>
          <w:kern w:val="0"/>
          <w14:ligatures w14:val="none"/>
        </w:rPr>
        <w:t xml:space="preserve"> </w:t>
      </w:r>
      <w:bookmarkStart w:name="_Hlk197354587" w:id="1"/>
      <w:r w:rsidRPr="00A95893" w:rsidR="005153E0">
        <w:rPr>
          <w:rFonts w:ascii="Palatino Linotype" w:hAnsi="Palatino Linotype" w:eastAsia="Times New Roman" w:cs="Times New Roman"/>
          <w:kern w:val="0"/>
          <w14:ligatures w14:val="none"/>
        </w:rPr>
        <w:t xml:space="preserve">Resolution E-5101 </w:t>
      </w:r>
      <w:r w:rsidRPr="00A95893">
        <w:rPr>
          <w:rFonts w:ascii="Palatino Linotype" w:hAnsi="Palatino Linotype" w:eastAsia="Times New Roman" w:cs="Times New Roman"/>
          <w:kern w:val="0"/>
          <w14:ligatures w14:val="none"/>
        </w:rPr>
        <w:t xml:space="preserve">the Commission approved the </w:t>
      </w:r>
      <w:r w:rsidRPr="00A95893" w:rsidR="009851BB">
        <w:rPr>
          <w:rFonts w:ascii="Palatino Linotype" w:hAnsi="Palatino Linotype" w:eastAsia="Times New Roman" w:cs="Times New Roman"/>
          <w:kern w:val="0"/>
          <w14:ligatures w14:val="none"/>
        </w:rPr>
        <w:t xml:space="preserve">seven contracts </w:t>
      </w:r>
      <w:r w:rsidRPr="00A95893" w:rsidR="00DD1AD0">
        <w:rPr>
          <w:rFonts w:ascii="Palatino Linotype" w:hAnsi="Palatino Linotype" w:eastAsia="Times New Roman" w:cs="Times New Roman"/>
          <w:kern w:val="0"/>
          <w14:ligatures w14:val="none"/>
        </w:rPr>
        <w:t xml:space="preserve">but </w:t>
      </w:r>
      <w:r w:rsidRPr="00A95893" w:rsidR="005153E0">
        <w:rPr>
          <w:rFonts w:ascii="Palatino Linotype" w:hAnsi="Palatino Linotype" w:eastAsia="Times New Roman" w:cs="Times New Roman"/>
          <w:kern w:val="0"/>
          <w14:ligatures w14:val="none"/>
        </w:rPr>
        <w:t xml:space="preserve">expressed concern about the </w:t>
      </w:r>
      <w:r w:rsidRPr="00A95893" w:rsidR="00A70F5F">
        <w:rPr>
          <w:rFonts w:ascii="Palatino Linotype" w:hAnsi="Palatino Linotype" w:eastAsia="Times New Roman" w:cs="Times New Roman"/>
          <w:kern w:val="0"/>
          <w14:ligatures w14:val="none"/>
        </w:rPr>
        <w:t>uncertainty</w:t>
      </w:r>
      <w:r w:rsidRPr="00A95893" w:rsidR="005153E0">
        <w:rPr>
          <w:rFonts w:ascii="Palatino Linotype" w:hAnsi="Palatino Linotype" w:eastAsia="Times New Roman" w:cs="Times New Roman"/>
          <w:kern w:val="0"/>
          <w14:ligatures w14:val="none"/>
        </w:rPr>
        <w:t xml:space="preserve"> of ITC</w:t>
      </w:r>
      <w:r w:rsidRPr="00A95893" w:rsidR="00E015D7">
        <w:rPr>
          <w:rFonts w:ascii="Palatino Linotype" w:hAnsi="Palatino Linotype" w:eastAsia="Times New Roman" w:cs="Times New Roman"/>
          <w:kern w:val="0"/>
          <w14:ligatures w14:val="none"/>
        </w:rPr>
        <w:t xml:space="preserve"> </w:t>
      </w:r>
      <w:r w:rsidRPr="00A95893" w:rsidR="005578CF">
        <w:rPr>
          <w:rFonts w:ascii="Palatino Linotype" w:hAnsi="Palatino Linotype" w:eastAsia="Times New Roman" w:cs="Times New Roman"/>
          <w:kern w:val="0"/>
          <w14:ligatures w14:val="none"/>
        </w:rPr>
        <w:t>and possible</w:t>
      </w:r>
      <w:r w:rsidRPr="00A95893" w:rsidR="004D1E53">
        <w:rPr>
          <w:rFonts w:ascii="Palatino Linotype" w:hAnsi="Palatino Linotype" w:eastAsia="Times New Roman" w:cs="Times New Roman"/>
          <w:kern w:val="0"/>
          <w14:ligatures w14:val="none"/>
        </w:rPr>
        <w:t xml:space="preserve"> </w:t>
      </w:r>
      <w:r w:rsidRPr="00A95893" w:rsidR="006A031E">
        <w:rPr>
          <w:rFonts w:ascii="Palatino Linotype" w:hAnsi="Palatino Linotype" w:eastAsia="Times New Roman" w:cs="Times New Roman"/>
          <w:kern w:val="0"/>
          <w14:ligatures w14:val="none"/>
        </w:rPr>
        <w:t>Grid Charging Fees</w:t>
      </w:r>
      <w:r w:rsidRPr="00A95893" w:rsidR="000E2A2D">
        <w:rPr>
          <w:rFonts w:ascii="Palatino Linotype" w:hAnsi="Palatino Linotype" w:eastAsia="Times New Roman" w:cs="Times New Roman"/>
          <w:kern w:val="0"/>
          <w14:ligatures w14:val="none"/>
        </w:rPr>
        <w:t xml:space="preserve"> associated with the five co-located </w:t>
      </w:r>
      <w:r w:rsidRPr="00A95893" w:rsidR="00F95392">
        <w:rPr>
          <w:rFonts w:ascii="Palatino Linotype" w:hAnsi="Palatino Linotype" w:eastAsia="Times New Roman" w:cs="Times New Roman"/>
          <w:kern w:val="0"/>
          <w14:ligatures w14:val="none"/>
        </w:rPr>
        <w:t>resource contracts</w:t>
      </w:r>
      <w:r w:rsidRPr="00A95893" w:rsidR="004D1E53">
        <w:rPr>
          <w:rFonts w:ascii="Palatino Linotype" w:hAnsi="Palatino Linotype" w:eastAsia="Times New Roman" w:cs="Times New Roman"/>
          <w:kern w:val="0"/>
          <w14:ligatures w14:val="none"/>
        </w:rPr>
        <w:t>.</w:t>
      </w:r>
      <w:bookmarkEnd w:id="1"/>
      <w:r w:rsidRPr="00A95893" w:rsidR="004D1E53">
        <w:rPr>
          <w:rStyle w:val="FootnoteReference"/>
          <w:rFonts w:ascii="Palatino Linotype" w:hAnsi="Palatino Linotype" w:eastAsia="Times New Roman" w:cs="Times New Roman"/>
          <w:kern w:val="0"/>
          <w14:ligatures w14:val="none"/>
        </w:rPr>
        <w:footnoteReference w:id="2"/>
      </w:r>
      <w:r w:rsidRPr="00A95893" w:rsidR="004D1E53">
        <w:rPr>
          <w:rFonts w:ascii="Palatino Linotype" w:hAnsi="Palatino Linotype" w:eastAsia="Times New Roman" w:cs="Times New Roman"/>
          <w:kern w:val="0"/>
          <w14:ligatures w14:val="none"/>
        </w:rPr>
        <w:t xml:space="preserve">  </w:t>
      </w:r>
      <w:r w:rsidRPr="00A95893" w:rsidR="00106F4D">
        <w:rPr>
          <w:rFonts w:ascii="Palatino Linotype" w:hAnsi="Palatino Linotype" w:eastAsia="Times New Roman" w:cs="Times New Roman"/>
          <w:kern w:val="0"/>
          <w14:ligatures w14:val="none"/>
        </w:rPr>
        <w:t xml:space="preserve">To address this concern </w:t>
      </w:r>
      <w:r w:rsidRPr="00A95893" w:rsidR="00BE0DFA">
        <w:rPr>
          <w:rFonts w:ascii="Palatino Linotype" w:hAnsi="Palatino Linotype" w:eastAsia="Times New Roman" w:cs="Times New Roman"/>
          <w:kern w:val="0"/>
          <w14:ligatures w14:val="none"/>
        </w:rPr>
        <w:t>Resolution</w:t>
      </w:r>
      <w:r w:rsidRPr="00A95893" w:rsidR="007D6895">
        <w:rPr>
          <w:rFonts w:ascii="Palatino Linotype" w:hAnsi="Palatino Linotype" w:eastAsia="Times New Roman" w:cs="Times New Roman"/>
          <w:kern w:val="0"/>
          <w14:ligatures w14:val="none"/>
        </w:rPr>
        <w:t xml:space="preserve"> E-5101</w:t>
      </w:r>
      <w:r w:rsidRPr="00A95893" w:rsidR="00BE0DFA">
        <w:rPr>
          <w:rFonts w:ascii="Palatino Linotype" w:hAnsi="Palatino Linotype" w:eastAsia="Times New Roman" w:cs="Times New Roman"/>
          <w:kern w:val="0"/>
          <w14:ligatures w14:val="none"/>
        </w:rPr>
        <w:t xml:space="preserve"> directed SCE </w:t>
      </w:r>
      <w:r w:rsidRPr="00A95893" w:rsidR="00A06BA6">
        <w:rPr>
          <w:rFonts w:ascii="Palatino Linotype" w:hAnsi="Palatino Linotype" w:eastAsia="Times New Roman" w:cs="Times New Roman"/>
          <w:kern w:val="0"/>
          <w14:ligatures w14:val="none"/>
        </w:rPr>
        <w:t xml:space="preserve">to </w:t>
      </w:r>
      <w:r w:rsidRPr="00A95893" w:rsidR="00BE0DFA">
        <w:rPr>
          <w:rFonts w:ascii="Palatino Linotype" w:hAnsi="Palatino Linotype" w:eastAsia="Times New Roman" w:cs="Times New Roman"/>
          <w:kern w:val="0"/>
          <w14:ligatures w14:val="none"/>
        </w:rPr>
        <w:t xml:space="preserve">provide </w:t>
      </w:r>
      <w:r w:rsidRPr="00A95893" w:rsidR="00BA5C00">
        <w:rPr>
          <w:rFonts w:ascii="Palatino Linotype" w:hAnsi="Palatino Linotype" w:eastAsia="Times New Roman" w:cs="Times New Roman"/>
          <w:kern w:val="0"/>
          <w14:ligatures w14:val="none"/>
        </w:rPr>
        <w:t xml:space="preserve">information on </w:t>
      </w:r>
      <w:r w:rsidRPr="00A95893" w:rsidR="00FC17B3">
        <w:rPr>
          <w:rFonts w:ascii="Palatino Linotype" w:hAnsi="Palatino Linotype" w:eastAsia="Times New Roman" w:cs="Times New Roman"/>
          <w:kern w:val="0"/>
          <w14:ligatures w14:val="none"/>
        </w:rPr>
        <w:t xml:space="preserve">the </w:t>
      </w:r>
      <w:r w:rsidRPr="00A95893" w:rsidR="00BA5C00">
        <w:rPr>
          <w:rFonts w:ascii="Palatino Linotype" w:hAnsi="Palatino Linotype" w:eastAsia="Times New Roman" w:cs="Times New Roman"/>
          <w:kern w:val="0"/>
          <w14:ligatures w14:val="none"/>
        </w:rPr>
        <w:t xml:space="preserve">renewable charging status, </w:t>
      </w:r>
      <w:r w:rsidRPr="00A95893" w:rsidR="0082430E">
        <w:rPr>
          <w:rFonts w:ascii="Palatino Linotype" w:hAnsi="Palatino Linotype" w:eastAsia="Times New Roman" w:cs="Times New Roman"/>
          <w:kern w:val="0"/>
          <w14:ligatures w14:val="none"/>
        </w:rPr>
        <w:t>g</w:t>
      </w:r>
      <w:r w:rsidRPr="00A95893" w:rsidR="00BA5C00">
        <w:rPr>
          <w:rFonts w:ascii="Palatino Linotype" w:hAnsi="Palatino Linotype" w:eastAsia="Times New Roman" w:cs="Times New Roman"/>
          <w:kern w:val="0"/>
          <w14:ligatures w14:val="none"/>
        </w:rPr>
        <w:t xml:space="preserve">rid </w:t>
      </w:r>
      <w:r w:rsidRPr="00A95893" w:rsidR="0082430E">
        <w:rPr>
          <w:rFonts w:ascii="Palatino Linotype" w:hAnsi="Palatino Linotype" w:eastAsia="Times New Roman" w:cs="Times New Roman"/>
          <w:kern w:val="0"/>
          <w14:ligatures w14:val="none"/>
        </w:rPr>
        <w:t>c</w:t>
      </w:r>
      <w:r w:rsidRPr="00A95893" w:rsidR="00BA5C00">
        <w:rPr>
          <w:rFonts w:ascii="Palatino Linotype" w:hAnsi="Palatino Linotype" w:eastAsia="Times New Roman" w:cs="Times New Roman"/>
          <w:kern w:val="0"/>
          <w14:ligatures w14:val="none"/>
        </w:rPr>
        <w:t xml:space="preserve">harging </w:t>
      </w:r>
      <w:r w:rsidRPr="00A95893" w:rsidR="0082430E">
        <w:rPr>
          <w:rFonts w:ascii="Palatino Linotype" w:hAnsi="Palatino Linotype" w:eastAsia="Times New Roman" w:cs="Times New Roman"/>
          <w:kern w:val="0"/>
          <w14:ligatures w14:val="none"/>
        </w:rPr>
        <w:t>f</w:t>
      </w:r>
      <w:r w:rsidRPr="00A95893" w:rsidR="00BA5C00">
        <w:rPr>
          <w:rFonts w:ascii="Palatino Linotype" w:hAnsi="Palatino Linotype" w:eastAsia="Times New Roman" w:cs="Times New Roman"/>
          <w:kern w:val="0"/>
          <w14:ligatures w14:val="none"/>
        </w:rPr>
        <w:t xml:space="preserve">ees and other costs and revenues unique to </w:t>
      </w:r>
      <w:r w:rsidRPr="00A95893" w:rsidR="00FC17B3">
        <w:rPr>
          <w:rFonts w:ascii="Palatino Linotype" w:hAnsi="Palatino Linotype" w:eastAsia="Times New Roman" w:cs="Times New Roman"/>
          <w:kern w:val="0"/>
          <w14:ligatures w14:val="none"/>
        </w:rPr>
        <w:t xml:space="preserve">the five </w:t>
      </w:r>
      <w:r w:rsidRPr="00A95893" w:rsidR="00BA5C00">
        <w:rPr>
          <w:rFonts w:ascii="Palatino Linotype" w:hAnsi="Palatino Linotype" w:eastAsia="Times New Roman" w:cs="Times New Roman"/>
          <w:kern w:val="0"/>
          <w14:ligatures w14:val="none"/>
        </w:rPr>
        <w:t xml:space="preserve">co-located resources </w:t>
      </w:r>
      <w:r w:rsidRPr="00A95893" w:rsidR="00BE0DFA">
        <w:rPr>
          <w:rFonts w:ascii="Palatino Linotype" w:hAnsi="Palatino Linotype" w:eastAsia="Times New Roman" w:cs="Times New Roman"/>
          <w:kern w:val="0"/>
          <w14:ligatures w14:val="none"/>
        </w:rPr>
        <w:t>annually via a Tier 1 advice letter</w:t>
      </w:r>
      <w:r w:rsidRPr="00A95893" w:rsidR="00D71D9E">
        <w:rPr>
          <w:rFonts w:ascii="Palatino Linotype" w:hAnsi="Palatino Linotype" w:eastAsia="Times New Roman" w:cs="Times New Roman"/>
          <w:kern w:val="0"/>
          <w14:ligatures w14:val="none"/>
        </w:rPr>
        <w:t>; which expires in 2028</w:t>
      </w:r>
      <w:r w:rsidRPr="00A95893" w:rsidR="00BE0DFA">
        <w:rPr>
          <w:rFonts w:ascii="Palatino Linotype" w:hAnsi="Palatino Linotype" w:eastAsia="Times New Roman" w:cs="Times New Roman"/>
          <w:kern w:val="0"/>
          <w14:ligatures w14:val="none"/>
        </w:rPr>
        <w:t>.</w:t>
      </w:r>
      <w:r w:rsidRPr="00A95893" w:rsidR="006D5EBB">
        <w:rPr>
          <w:rStyle w:val="FootnoteReference"/>
          <w:rFonts w:ascii="Palatino Linotype" w:hAnsi="Palatino Linotype" w:eastAsia="Times New Roman" w:cs="Times New Roman"/>
          <w:kern w:val="0"/>
          <w14:ligatures w14:val="none"/>
        </w:rPr>
        <w:footnoteReference w:id="3"/>
      </w:r>
    </w:p>
    <w:p w:rsidRPr="00A95893" w:rsidR="00EE12A5" w:rsidP="00BE0DFA" w:rsidRDefault="00EE12A5" w14:paraId="79C7EE7A" w14:textId="77777777">
      <w:pPr>
        <w:spacing w:after="0" w:line="240" w:lineRule="auto"/>
        <w:rPr>
          <w:rFonts w:ascii="Palatino Linotype" w:hAnsi="Palatino Linotype" w:eastAsia="Times New Roman" w:cs="Times New Roman"/>
          <w:kern w:val="0"/>
          <w14:ligatures w14:val="none"/>
        </w:rPr>
      </w:pPr>
    </w:p>
    <w:p w:rsidRPr="00A95893" w:rsidR="00EE12A5" w:rsidP="00BE0DFA" w:rsidRDefault="00EE12A5" w14:paraId="640EF5BC" w14:textId="7EEBA6CD">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On February 3, 2025, SCE filed</w:t>
      </w:r>
      <w:r w:rsidRPr="00A95893" w:rsidR="00E66A3D">
        <w:rPr>
          <w:rFonts w:ascii="Palatino Linotype" w:hAnsi="Palatino Linotype" w:eastAsia="Times New Roman" w:cs="Times New Roman"/>
          <w:kern w:val="0"/>
          <w14:ligatures w14:val="none"/>
        </w:rPr>
        <w:t xml:space="preserve"> </w:t>
      </w:r>
      <w:r w:rsidRPr="00A95893" w:rsidR="004A0542">
        <w:rPr>
          <w:rFonts w:ascii="Palatino Linotype" w:hAnsi="Palatino Linotype" w:eastAsia="Times New Roman" w:cs="Times New Roman"/>
          <w:kern w:val="0"/>
          <w14:ligatures w14:val="none"/>
        </w:rPr>
        <w:t xml:space="preserve">AL </w:t>
      </w:r>
      <w:r w:rsidRPr="00A95893">
        <w:rPr>
          <w:rFonts w:ascii="Palatino Linotype" w:hAnsi="Palatino Linotype" w:eastAsia="Times New Roman" w:cs="Times New Roman"/>
          <w:kern w:val="0"/>
          <w14:ligatures w14:val="none"/>
        </w:rPr>
        <w:t xml:space="preserve"> 5471-E </w:t>
      </w:r>
      <w:r w:rsidRPr="00A95893" w:rsidR="00960E64">
        <w:rPr>
          <w:rFonts w:ascii="Palatino Linotype" w:hAnsi="Palatino Linotype" w:eastAsia="Times New Roman" w:cs="Times New Roman"/>
          <w:kern w:val="0"/>
          <w14:ligatures w14:val="none"/>
        </w:rPr>
        <w:t xml:space="preserve">which included </w:t>
      </w:r>
      <w:r w:rsidRPr="00A95893" w:rsidR="00986BA9">
        <w:rPr>
          <w:rFonts w:ascii="Palatino Linotype" w:hAnsi="Palatino Linotype" w:eastAsia="Times New Roman" w:cs="Times New Roman"/>
          <w:kern w:val="0"/>
          <w14:ligatures w14:val="none"/>
        </w:rPr>
        <w:t>the</w:t>
      </w:r>
      <w:r w:rsidRPr="00A95893" w:rsidR="00960E64">
        <w:rPr>
          <w:rFonts w:ascii="Palatino Linotype" w:hAnsi="Palatino Linotype" w:eastAsia="Times New Roman" w:cs="Times New Roman"/>
          <w:kern w:val="0"/>
          <w14:ligatures w14:val="none"/>
        </w:rPr>
        <w:t xml:space="preserve"> </w:t>
      </w:r>
      <w:r w:rsidRPr="00A95893">
        <w:rPr>
          <w:rFonts w:ascii="Palatino Linotype" w:hAnsi="Palatino Linotype" w:eastAsia="Times New Roman" w:cs="Times New Roman"/>
          <w:kern w:val="0"/>
          <w14:ligatures w14:val="none"/>
        </w:rPr>
        <w:t>annual report</w:t>
      </w:r>
      <w:r w:rsidRPr="00A95893" w:rsidR="00042033">
        <w:rPr>
          <w:rFonts w:ascii="Palatino Linotype" w:hAnsi="Palatino Linotype" w:eastAsia="Times New Roman" w:cs="Times New Roman"/>
          <w:kern w:val="0"/>
          <w14:ligatures w14:val="none"/>
        </w:rPr>
        <w:t xml:space="preserve"> required by</w:t>
      </w:r>
      <w:r w:rsidRPr="00A95893" w:rsidR="003549B4">
        <w:rPr>
          <w:rFonts w:ascii="Palatino Linotype" w:hAnsi="Palatino Linotype" w:eastAsia="Times New Roman" w:cs="Times New Roman"/>
          <w:kern w:val="0"/>
          <w14:ligatures w14:val="none"/>
        </w:rPr>
        <w:t xml:space="preserve"> </w:t>
      </w:r>
      <w:r w:rsidRPr="00A95893" w:rsidDel="00FC17B3" w:rsidR="003549B4">
        <w:rPr>
          <w:rFonts w:ascii="Palatino Linotype" w:hAnsi="Palatino Linotype" w:eastAsia="Times New Roman" w:cs="Times New Roman"/>
          <w:kern w:val="0"/>
          <w14:ligatures w14:val="none"/>
        </w:rPr>
        <w:t>r</w:t>
      </w:r>
      <w:r w:rsidRPr="00A95893" w:rsidR="003549B4">
        <w:rPr>
          <w:rFonts w:ascii="Palatino Linotype" w:hAnsi="Palatino Linotype" w:eastAsia="Times New Roman" w:cs="Times New Roman"/>
          <w:kern w:val="0"/>
          <w14:ligatures w14:val="none"/>
        </w:rPr>
        <w:t>esolution E-5101</w:t>
      </w:r>
      <w:r w:rsidRPr="00A95893" w:rsidR="00E1178C">
        <w:rPr>
          <w:rFonts w:ascii="Palatino Linotype" w:hAnsi="Palatino Linotype" w:eastAsia="Times New Roman" w:cs="Times New Roman"/>
          <w:kern w:val="0"/>
          <w14:ligatures w14:val="none"/>
        </w:rPr>
        <w:t>.</w:t>
      </w:r>
      <w:r w:rsidRPr="00A95893" w:rsidR="00960E64">
        <w:rPr>
          <w:rFonts w:ascii="Palatino Linotype" w:hAnsi="Palatino Linotype" w:eastAsia="Times New Roman" w:cs="Times New Roman"/>
          <w:kern w:val="0"/>
          <w14:ligatures w14:val="none"/>
        </w:rPr>
        <w:t xml:space="preserve"> </w:t>
      </w:r>
    </w:p>
    <w:p w:rsidRPr="00A95893" w:rsidR="00515169" w:rsidP="00BE0DFA" w:rsidRDefault="00515169" w14:paraId="68561711" w14:textId="77777777">
      <w:pPr>
        <w:spacing w:after="0" w:line="240" w:lineRule="auto"/>
        <w:rPr>
          <w:rFonts w:ascii="Palatino Linotype" w:hAnsi="Palatino Linotype" w:eastAsia="Palatino Linotype" w:cs="Times New Roman"/>
          <w:b/>
          <w:kern w:val="0"/>
          <w:u w:val="single"/>
          <w14:ligatures w14:val="none"/>
        </w:rPr>
      </w:pPr>
    </w:p>
    <w:p w:rsidRPr="00A95893" w:rsidR="00A76F4A" w:rsidP="00A76F4A" w:rsidRDefault="00A76F4A" w14:paraId="030741A5"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t>Notice</w:t>
      </w:r>
    </w:p>
    <w:p w:rsidRPr="00A95893" w:rsidR="00A76F4A" w:rsidP="00A76F4A" w:rsidRDefault="00A76F4A" w14:paraId="5E7465D3" w14:textId="18312340">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Notice of AL </w:t>
      </w:r>
      <w:r w:rsidRPr="00A95893" w:rsidR="004A0542">
        <w:rPr>
          <w:rFonts w:ascii="Palatino Linotype" w:hAnsi="Palatino Linotype" w:eastAsia="Palatino Linotype" w:cs="Times New Roman"/>
          <w:kern w:val="0"/>
          <w14:ligatures w14:val="none"/>
        </w:rPr>
        <w:t>5471-E</w:t>
      </w:r>
      <w:r w:rsidRPr="00A95893">
        <w:rPr>
          <w:rFonts w:ascii="Palatino Linotype" w:hAnsi="Palatino Linotype" w:eastAsia="Palatino Linotype" w:cs="Times New Roman"/>
          <w:kern w:val="0"/>
          <w14:ligatures w14:val="none"/>
        </w:rPr>
        <w:t xml:space="preserve"> was made by publication in the Commission’s Daily Calendar.  </w:t>
      </w:r>
      <w:r w:rsidRPr="00A95893" w:rsidR="00B52542">
        <w:rPr>
          <w:rFonts w:ascii="Palatino Linotype" w:hAnsi="Palatino Linotype" w:eastAsia="Palatino Linotype" w:cs="Times New Roman"/>
          <w:kern w:val="0"/>
          <w14:ligatures w14:val="none"/>
        </w:rPr>
        <w:t>SCE</w:t>
      </w:r>
      <w:r w:rsidRPr="00A95893">
        <w:rPr>
          <w:rFonts w:ascii="Palatino Linotype" w:hAnsi="Palatino Linotype" w:eastAsia="Palatino Linotype" w:cs="Times New Roman"/>
          <w:kern w:val="0"/>
          <w14:ligatures w14:val="none"/>
        </w:rPr>
        <w:t xml:space="preserve"> states that a copy of the </w:t>
      </w:r>
      <w:r w:rsidRPr="00A95893" w:rsidR="00DF25D9">
        <w:rPr>
          <w:rFonts w:ascii="Palatino Linotype" w:hAnsi="Palatino Linotype" w:eastAsia="Palatino Linotype" w:cs="Times New Roman"/>
          <w:kern w:val="0"/>
          <w14:ligatures w14:val="none"/>
        </w:rPr>
        <w:t>AL</w:t>
      </w:r>
      <w:r w:rsidRPr="00A95893">
        <w:rPr>
          <w:rFonts w:ascii="Palatino Linotype" w:hAnsi="Palatino Linotype" w:eastAsia="Palatino Linotype" w:cs="Times New Roman"/>
          <w:kern w:val="0"/>
          <w14:ligatures w14:val="none"/>
        </w:rPr>
        <w:t xml:space="preserve"> was mailed and distributed in accordance with Section 4 of General Order 96-B. </w:t>
      </w:r>
    </w:p>
    <w:p w:rsidRPr="00A95893" w:rsidR="00A76F4A" w:rsidP="00A76F4A" w:rsidRDefault="00A76F4A" w14:paraId="5A4FADB1"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3DC7474D"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t>Protests</w:t>
      </w:r>
    </w:p>
    <w:p w:rsidRPr="00A95893" w:rsidR="00A76F4A" w:rsidP="00A76F4A" w:rsidRDefault="00A76F4A" w14:paraId="50BAB9F4" w14:textId="1E7B93B6">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 </w:t>
      </w:r>
      <w:r w:rsidRPr="00A95893" w:rsidR="00DF762B">
        <w:rPr>
          <w:rFonts w:ascii="Palatino Linotype" w:hAnsi="Palatino Linotype" w:eastAsia="Palatino Linotype" w:cs="Times New Roman"/>
          <w:kern w:val="0"/>
          <w14:ligatures w14:val="none"/>
        </w:rPr>
        <w:t>SCE</w:t>
      </w:r>
      <w:r w:rsidRPr="00A95893" w:rsidR="00535156">
        <w:rPr>
          <w:rFonts w:ascii="Palatino Linotype" w:hAnsi="Palatino Linotype" w:eastAsia="Palatino Linotype" w:cs="Times New Roman"/>
          <w:kern w:val="0"/>
          <w14:ligatures w14:val="none"/>
        </w:rPr>
        <w:t xml:space="preserve"> </w:t>
      </w:r>
      <w:r w:rsidRPr="00A95893" w:rsidR="003013AB">
        <w:rPr>
          <w:rFonts w:ascii="Palatino Linotype" w:hAnsi="Palatino Linotype" w:eastAsia="Palatino Linotype" w:cs="Times New Roman"/>
          <w:kern w:val="0"/>
          <w14:ligatures w14:val="none"/>
        </w:rPr>
        <w:t>AL</w:t>
      </w:r>
      <w:r w:rsidRPr="00A95893" w:rsidR="00535156">
        <w:rPr>
          <w:rFonts w:ascii="Palatino Linotype" w:hAnsi="Palatino Linotype" w:eastAsia="Palatino Linotype" w:cs="Times New Roman"/>
          <w:kern w:val="0"/>
          <w14:ligatures w14:val="none"/>
        </w:rPr>
        <w:t xml:space="preserve"> 5471</w:t>
      </w:r>
      <w:r w:rsidRPr="00A95893" w:rsidR="00185B23">
        <w:rPr>
          <w:rFonts w:ascii="Palatino Linotype" w:hAnsi="Palatino Linotype" w:eastAsia="Palatino Linotype" w:cs="Times New Roman"/>
          <w:kern w:val="0"/>
          <w14:ligatures w14:val="none"/>
        </w:rPr>
        <w:t>-</w:t>
      </w:r>
      <w:r w:rsidRPr="00A95893" w:rsidR="00535156">
        <w:rPr>
          <w:rFonts w:ascii="Palatino Linotype" w:hAnsi="Palatino Linotype" w:eastAsia="Palatino Linotype" w:cs="Times New Roman"/>
          <w:kern w:val="0"/>
          <w14:ligatures w14:val="none"/>
        </w:rPr>
        <w:t>E</w:t>
      </w:r>
      <w:r w:rsidRPr="00A95893">
        <w:rPr>
          <w:rFonts w:ascii="Palatino Linotype" w:hAnsi="Palatino Linotype" w:eastAsia="Palatino Linotype" w:cs="Times New Roman"/>
          <w:kern w:val="0"/>
          <w14:ligatures w14:val="none"/>
        </w:rPr>
        <w:t xml:space="preserve"> was not protested.  </w:t>
      </w:r>
    </w:p>
    <w:p w:rsidRPr="00A95893" w:rsidR="00A76F4A" w:rsidP="00A76F4A" w:rsidRDefault="00A76F4A" w14:paraId="267CA3D4"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52F8DB7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t>Discussion</w:t>
      </w:r>
    </w:p>
    <w:p w:rsidRPr="00A95893" w:rsidR="00530650" w:rsidP="00A76F4A" w:rsidRDefault="00277698" w14:paraId="13585213" w14:textId="2F43C289">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We</w:t>
      </w:r>
      <w:r w:rsidRPr="00A95893" w:rsidR="00CA05F8">
        <w:rPr>
          <w:rFonts w:ascii="Palatino Linotype" w:hAnsi="Palatino Linotype" w:eastAsia="Times New Roman" w:cs="Times New Roman"/>
          <w:kern w:val="0"/>
          <w14:ligatures w14:val="none"/>
        </w:rPr>
        <w:t xml:space="preserve"> </w:t>
      </w:r>
      <w:r w:rsidRPr="00A95893" w:rsidR="00FB3C08">
        <w:rPr>
          <w:rFonts w:ascii="Palatino Linotype" w:hAnsi="Palatino Linotype" w:eastAsia="Times New Roman" w:cs="Times New Roman"/>
          <w:kern w:val="0"/>
          <w14:ligatures w14:val="none"/>
        </w:rPr>
        <w:t>ha</w:t>
      </w:r>
      <w:r w:rsidRPr="00A95893">
        <w:rPr>
          <w:rFonts w:ascii="Palatino Linotype" w:hAnsi="Palatino Linotype" w:eastAsia="Times New Roman" w:cs="Times New Roman"/>
          <w:kern w:val="0"/>
          <w14:ligatures w14:val="none"/>
        </w:rPr>
        <w:t>ve</w:t>
      </w:r>
      <w:r w:rsidRPr="00A95893" w:rsidR="00FB3C08">
        <w:rPr>
          <w:rFonts w:ascii="Palatino Linotype" w:hAnsi="Palatino Linotype" w:eastAsia="Times New Roman" w:cs="Times New Roman"/>
          <w:kern w:val="0"/>
          <w14:ligatures w14:val="none"/>
        </w:rPr>
        <w:t xml:space="preserve"> </w:t>
      </w:r>
      <w:r w:rsidRPr="00A95893" w:rsidR="00CA05F8">
        <w:rPr>
          <w:rFonts w:ascii="Palatino Linotype" w:hAnsi="Palatino Linotype" w:eastAsia="Times New Roman" w:cs="Times New Roman"/>
          <w:kern w:val="0"/>
          <w14:ligatures w14:val="none"/>
        </w:rPr>
        <w:t xml:space="preserve">reviewed the annual report </w:t>
      </w:r>
      <w:r w:rsidRPr="00A95893" w:rsidR="000E3A4C">
        <w:rPr>
          <w:rFonts w:ascii="Palatino Linotype" w:hAnsi="Palatino Linotype" w:eastAsia="Times New Roman" w:cs="Times New Roman"/>
          <w:kern w:val="0"/>
          <w14:ligatures w14:val="none"/>
        </w:rPr>
        <w:t>submitted in AL</w:t>
      </w:r>
      <w:r w:rsidRPr="00A95893" w:rsidR="00F372EB">
        <w:rPr>
          <w:rFonts w:ascii="Palatino Linotype" w:hAnsi="Palatino Linotype" w:eastAsia="Times New Roman" w:cs="Times New Roman"/>
          <w:kern w:val="0"/>
          <w14:ligatures w14:val="none"/>
        </w:rPr>
        <w:t xml:space="preserve"> </w:t>
      </w:r>
      <w:r w:rsidRPr="00A95893" w:rsidR="000E3A4C">
        <w:rPr>
          <w:rFonts w:ascii="Palatino Linotype" w:hAnsi="Palatino Linotype" w:eastAsia="Times New Roman" w:cs="Times New Roman"/>
          <w:kern w:val="0"/>
          <w14:ligatures w14:val="none"/>
        </w:rPr>
        <w:t xml:space="preserve">5471-E </w:t>
      </w:r>
      <w:r w:rsidRPr="00A95893" w:rsidR="00CA05F8">
        <w:rPr>
          <w:rFonts w:ascii="Palatino Linotype" w:hAnsi="Palatino Linotype" w:eastAsia="Times New Roman" w:cs="Times New Roman"/>
          <w:kern w:val="0"/>
          <w14:ligatures w14:val="none"/>
        </w:rPr>
        <w:t>and</w:t>
      </w:r>
      <w:r w:rsidRPr="00A95893" w:rsidR="0064139D">
        <w:rPr>
          <w:rFonts w:ascii="Palatino Linotype" w:hAnsi="Palatino Linotype" w:eastAsia="Times New Roman" w:cs="Times New Roman"/>
          <w:kern w:val="0"/>
          <w14:ligatures w14:val="none"/>
        </w:rPr>
        <w:t xml:space="preserve"> </w:t>
      </w:r>
      <w:r w:rsidRPr="00A95893" w:rsidR="00CA05F8">
        <w:rPr>
          <w:rFonts w:ascii="Palatino Linotype" w:hAnsi="Palatino Linotype" w:eastAsia="Times New Roman" w:cs="Times New Roman"/>
          <w:kern w:val="0"/>
          <w14:ligatures w14:val="none"/>
        </w:rPr>
        <w:t>determine</w:t>
      </w:r>
      <w:r w:rsidRPr="00A95893" w:rsidR="00B946C8">
        <w:rPr>
          <w:rFonts w:ascii="Palatino Linotype" w:hAnsi="Palatino Linotype" w:eastAsia="Times New Roman" w:cs="Times New Roman"/>
          <w:kern w:val="0"/>
          <w14:ligatures w14:val="none"/>
        </w:rPr>
        <w:t xml:space="preserve"> that</w:t>
      </w:r>
      <w:r w:rsidRPr="00A95893" w:rsidR="00CA05F8">
        <w:rPr>
          <w:rFonts w:ascii="Palatino Linotype" w:hAnsi="Palatino Linotype" w:eastAsia="Times New Roman" w:cs="Times New Roman"/>
          <w:kern w:val="0"/>
          <w14:ligatures w14:val="none"/>
        </w:rPr>
        <w:t xml:space="preserve"> it </w:t>
      </w:r>
      <w:r w:rsidRPr="00A95893" w:rsidR="004007A5">
        <w:rPr>
          <w:rFonts w:ascii="Palatino Linotype" w:hAnsi="Palatino Linotype" w:eastAsia="Times New Roman" w:cs="Times New Roman"/>
          <w:kern w:val="0"/>
          <w14:ligatures w14:val="none"/>
        </w:rPr>
        <w:t>meets</w:t>
      </w:r>
      <w:r w:rsidRPr="00A95893" w:rsidR="00CA05F8">
        <w:rPr>
          <w:rFonts w:ascii="Palatino Linotype" w:hAnsi="Palatino Linotype" w:eastAsia="Times New Roman" w:cs="Times New Roman"/>
          <w:kern w:val="0"/>
          <w14:ligatures w14:val="none"/>
        </w:rPr>
        <w:t xml:space="preserve"> the compliance</w:t>
      </w:r>
      <w:r w:rsidRPr="00A95893" w:rsidR="004007A5">
        <w:rPr>
          <w:rFonts w:ascii="Palatino Linotype" w:hAnsi="Palatino Linotype" w:eastAsia="Times New Roman" w:cs="Times New Roman"/>
          <w:kern w:val="0"/>
          <w14:ligatures w14:val="none"/>
        </w:rPr>
        <w:t xml:space="preserve"> requirements </w:t>
      </w:r>
      <w:r w:rsidRPr="00A95893" w:rsidR="00EF5183">
        <w:rPr>
          <w:rFonts w:ascii="Palatino Linotype" w:hAnsi="Palatino Linotype" w:eastAsia="Times New Roman" w:cs="Times New Roman"/>
          <w:kern w:val="0"/>
          <w14:ligatures w14:val="none"/>
        </w:rPr>
        <w:t>directed</w:t>
      </w:r>
      <w:r w:rsidRPr="00A95893" w:rsidR="00CA05F8">
        <w:rPr>
          <w:rFonts w:ascii="Palatino Linotype" w:hAnsi="Palatino Linotype" w:eastAsia="Times New Roman" w:cs="Times New Roman"/>
          <w:kern w:val="0"/>
          <w14:ligatures w14:val="none"/>
        </w:rPr>
        <w:t xml:space="preserve"> </w:t>
      </w:r>
      <w:r w:rsidRPr="00A95893" w:rsidR="002D5387">
        <w:rPr>
          <w:rFonts w:ascii="Palatino Linotype" w:hAnsi="Palatino Linotype" w:eastAsia="Times New Roman" w:cs="Times New Roman"/>
          <w:kern w:val="0"/>
          <w14:ligatures w14:val="none"/>
        </w:rPr>
        <w:t xml:space="preserve">by </w:t>
      </w:r>
      <w:r w:rsidRPr="00A95893" w:rsidR="0027451B">
        <w:rPr>
          <w:rFonts w:ascii="Palatino Linotype" w:hAnsi="Palatino Linotype" w:eastAsia="Times New Roman" w:cs="Times New Roman"/>
          <w:kern w:val="0"/>
          <w14:ligatures w14:val="none"/>
        </w:rPr>
        <w:t>R</w:t>
      </w:r>
      <w:r w:rsidRPr="00A95893" w:rsidR="00CA05F8">
        <w:rPr>
          <w:rFonts w:ascii="Palatino Linotype" w:hAnsi="Palatino Linotype" w:eastAsia="Times New Roman" w:cs="Times New Roman"/>
          <w:kern w:val="0"/>
          <w14:ligatures w14:val="none"/>
        </w:rPr>
        <w:t>esolution</w:t>
      </w:r>
      <w:r w:rsidRPr="00A95893" w:rsidR="000E3A4C">
        <w:rPr>
          <w:rFonts w:ascii="Palatino Linotype" w:hAnsi="Palatino Linotype" w:eastAsia="Times New Roman" w:cs="Times New Roman"/>
          <w:kern w:val="0"/>
          <w14:ligatures w14:val="none"/>
        </w:rPr>
        <w:t xml:space="preserve"> E-5101.  </w:t>
      </w:r>
    </w:p>
    <w:p w:rsidRPr="00A95893" w:rsidR="001078D8" w:rsidP="00A76F4A" w:rsidRDefault="001078D8" w14:paraId="278497C6" w14:textId="77777777">
      <w:pPr>
        <w:spacing w:after="0" w:line="240" w:lineRule="auto"/>
        <w:rPr>
          <w:rFonts w:ascii="Palatino Linotype" w:hAnsi="Palatino Linotype" w:eastAsia="Times New Roman" w:cs="Times New Roman"/>
          <w:kern w:val="0"/>
          <w14:ligatures w14:val="none"/>
        </w:rPr>
      </w:pPr>
    </w:p>
    <w:p w:rsidRPr="00A95893" w:rsidR="00F63DD4" w:rsidP="00A76F4A" w:rsidRDefault="001078D8" w14:paraId="366653FB" w14:textId="4ED3E929">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lastRenderedPageBreak/>
        <w:t>The five</w:t>
      </w:r>
      <w:r w:rsidRPr="00A95893" w:rsidR="00AE031C">
        <w:rPr>
          <w:rFonts w:ascii="Palatino Linotype" w:hAnsi="Palatino Linotype" w:eastAsia="Times New Roman" w:cs="Times New Roman"/>
          <w:kern w:val="0"/>
          <w14:ligatures w14:val="none"/>
        </w:rPr>
        <w:t xml:space="preserve"> co-located</w:t>
      </w:r>
      <w:r w:rsidRPr="00A95893">
        <w:rPr>
          <w:rFonts w:ascii="Palatino Linotype" w:hAnsi="Palatino Linotype" w:eastAsia="Times New Roman" w:cs="Times New Roman"/>
          <w:kern w:val="0"/>
          <w14:ligatures w14:val="none"/>
        </w:rPr>
        <w:t xml:space="preserve"> contracts </w:t>
      </w:r>
      <w:r w:rsidRPr="00A95893" w:rsidR="003013AB">
        <w:rPr>
          <w:rFonts w:ascii="Palatino Linotype" w:hAnsi="Palatino Linotype" w:eastAsia="Times New Roman" w:cs="Times New Roman"/>
          <w:kern w:val="0"/>
          <w14:ligatures w14:val="none"/>
        </w:rPr>
        <w:t>approved in</w:t>
      </w:r>
      <w:r w:rsidRPr="00A95893" w:rsidR="00145AEA">
        <w:rPr>
          <w:rFonts w:ascii="Palatino Linotype" w:hAnsi="Palatino Linotype" w:eastAsia="Times New Roman" w:cs="Times New Roman"/>
          <w:kern w:val="0"/>
          <w14:ligatures w14:val="none"/>
        </w:rPr>
        <w:t xml:space="preserve"> E-5101 include</w:t>
      </w:r>
      <w:r w:rsidRPr="00A95893" w:rsidR="003013AB">
        <w:rPr>
          <w:rFonts w:ascii="Palatino Linotype" w:hAnsi="Palatino Linotype" w:eastAsia="Times New Roman" w:cs="Times New Roman"/>
          <w:kern w:val="0"/>
          <w14:ligatures w14:val="none"/>
        </w:rPr>
        <w:t xml:space="preserve"> </w:t>
      </w:r>
      <w:r w:rsidRPr="00A95893" w:rsidR="00D616AC">
        <w:rPr>
          <w:rFonts w:ascii="Palatino Linotype" w:hAnsi="Palatino Linotype" w:eastAsia="Times New Roman" w:cs="Times New Roman"/>
          <w:kern w:val="0"/>
          <w14:ligatures w14:val="none"/>
        </w:rPr>
        <w:t>provisions</w:t>
      </w:r>
      <w:r w:rsidRPr="00A95893" w:rsidR="007D137E">
        <w:rPr>
          <w:rFonts w:ascii="Palatino Linotype" w:hAnsi="Palatino Linotype" w:eastAsia="Times New Roman" w:cs="Times New Roman"/>
          <w:kern w:val="0"/>
          <w14:ligatures w14:val="none"/>
        </w:rPr>
        <w:t xml:space="preserve"> </w:t>
      </w:r>
      <w:r w:rsidRPr="00A95893" w:rsidR="00B375F7">
        <w:rPr>
          <w:rFonts w:ascii="Palatino Linotype" w:hAnsi="Palatino Linotype" w:eastAsia="Times New Roman" w:cs="Times New Roman"/>
          <w:kern w:val="0"/>
          <w14:ligatures w14:val="none"/>
        </w:rPr>
        <w:t>specif</w:t>
      </w:r>
      <w:r w:rsidRPr="00A95893" w:rsidR="00B92C20">
        <w:rPr>
          <w:rFonts w:ascii="Palatino Linotype" w:hAnsi="Palatino Linotype" w:eastAsia="Times New Roman" w:cs="Times New Roman"/>
          <w:kern w:val="0"/>
          <w14:ligatures w14:val="none"/>
        </w:rPr>
        <w:t>y</w:t>
      </w:r>
      <w:r w:rsidRPr="00A95893" w:rsidR="007F7D91">
        <w:rPr>
          <w:rFonts w:ascii="Palatino Linotype" w:hAnsi="Palatino Linotype" w:eastAsia="Times New Roman" w:cs="Times New Roman"/>
          <w:kern w:val="0"/>
          <w14:ligatures w14:val="none"/>
        </w:rPr>
        <w:t>ing</w:t>
      </w:r>
      <w:r w:rsidRPr="00A95893" w:rsidR="00B375F7">
        <w:rPr>
          <w:rFonts w:ascii="Palatino Linotype" w:hAnsi="Palatino Linotype" w:eastAsia="Times New Roman" w:cs="Times New Roman"/>
          <w:kern w:val="0"/>
          <w14:ligatures w14:val="none"/>
        </w:rPr>
        <w:t xml:space="preserve"> that</w:t>
      </w:r>
      <w:r w:rsidRPr="00A95893" w:rsidR="00F70C0E">
        <w:rPr>
          <w:rFonts w:ascii="Palatino Linotype" w:hAnsi="Palatino Linotype" w:eastAsia="Times New Roman" w:cs="Times New Roman"/>
          <w:kern w:val="0"/>
          <w14:ligatures w14:val="none"/>
        </w:rPr>
        <w:t xml:space="preserve"> if the project </w:t>
      </w:r>
      <w:r w:rsidRPr="00A95893" w:rsidR="001B1502">
        <w:rPr>
          <w:rFonts w:ascii="Palatino Linotype" w:hAnsi="Palatino Linotype" w:eastAsia="Times New Roman" w:cs="Times New Roman"/>
          <w:kern w:val="0"/>
          <w14:ligatures w14:val="none"/>
        </w:rPr>
        <w:t>fails</w:t>
      </w:r>
      <w:r w:rsidRPr="00A95893" w:rsidR="00572B54">
        <w:rPr>
          <w:rFonts w:ascii="Palatino Linotype" w:hAnsi="Palatino Linotype" w:eastAsia="Times New Roman" w:cs="Times New Roman"/>
          <w:kern w:val="0"/>
          <w14:ligatures w14:val="none"/>
        </w:rPr>
        <w:t xml:space="preserve"> to</w:t>
      </w:r>
      <w:r w:rsidRPr="00A95893" w:rsidR="00F70C0E">
        <w:rPr>
          <w:rFonts w:ascii="Palatino Linotype" w:hAnsi="Palatino Linotype" w:eastAsia="Times New Roman" w:cs="Times New Roman"/>
          <w:kern w:val="0"/>
          <w14:ligatures w14:val="none"/>
        </w:rPr>
        <w:t xml:space="preserve"> receive the full </w:t>
      </w:r>
      <w:r w:rsidRPr="00A95893" w:rsidR="00352ED4">
        <w:rPr>
          <w:rFonts w:ascii="Palatino Linotype" w:hAnsi="Palatino Linotype" w:eastAsia="Times New Roman" w:cs="Times New Roman"/>
          <w:kern w:val="0"/>
          <w14:ligatures w14:val="none"/>
        </w:rPr>
        <w:t>ITC</w:t>
      </w:r>
      <w:r w:rsidRPr="00A95893" w:rsidR="00AC4330">
        <w:rPr>
          <w:rFonts w:ascii="Palatino Linotype" w:hAnsi="Palatino Linotype" w:eastAsia="Times New Roman" w:cs="Times New Roman"/>
          <w:kern w:val="0"/>
          <w14:ligatures w14:val="none"/>
        </w:rPr>
        <w:t xml:space="preserve"> </w:t>
      </w:r>
      <w:r w:rsidRPr="00A95893" w:rsidR="00F70C0E">
        <w:rPr>
          <w:rFonts w:ascii="Palatino Linotype" w:hAnsi="Palatino Linotype" w:eastAsia="Times New Roman" w:cs="Times New Roman"/>
          <w:kern w:val="0"/>
          <w14:ligatures w14:val="none"/>
        </w:rPr>
        <w:t>due to actions</w:t>
      </w:r>
      <w:r w:rsidRPr="00A95893" w:rsidR="002175F2">
        <w:rPr>
          <w:rFonts w:ascii="Palatino Linotype" w:hAnsi="Palatino Linotype" w:eastAsia="Times New Roman" w:cs="Times New Roman"/>
          <w:kern w:val="0"/>
          <w14:ligatures w14:val="none"/>
        </w:rPr>
        <w:t xml:space="preserve"> taken by SCE</w:t>
      </w:r>
      <w:r w:rsidRPr="00A95893" w:rsidR="00AC4330">
        <w:rPr>
          <w:rFonts w:ascii="Palatino Linotype" w:hAnsi="Palatino Linotype" w:eastAsia="Times New Roman" w:cs="Times New Roman"/>
          <w:kern w:val="0"/>
          <w14:ligatures w14:val="none"/>
        </w:rPr>
        <w:t xml:space="preserve"> </w:t>
      </w:r>
      <w:r w:rsidRPr="00A95893" w:rsidR="00F02B30">
        <w:rPr>
          <w:rFonts w:ascii="Palatino Linotype" w:hAnsi="Palatino Linotype" w:eastAsia="Times New Roman" w:cs="Times New Roman"/>
          <w:kern w:val="0"/>
          <w14:ligatures w14:val="none"/>
        </w:rPr>
        <w:t>– such as</w:t>
      </w:r>
      <w:r w:rsidRPr="00A95893" w:rsidR="00805D1F">
        <w:rPr>
          <w:rFonts w:ascii="Palatino Linotype" w:hAnsi="Palatino Linotype" w:eastAsia="Times New Roman" w:cs="Times New Roman"/>
          <w:kern w:val="0"/>
          <w14:ligatures w14:val="none"/>
        </w:rPr>
        <w:t xml:space="preserve"> </w:t>
      </w:r>
      <w:r w:rsidRPr="00A95893" w:rsidR="00AC4330">
        <w:rPr>
          <w:rFonts w:ascii="Palatino Linotype" w:hAnsi="Palatino Linotype" w:eastAsia="Times New Roman" w:cs="Times New Roman"/>
          <w:kern w:val="0"/>
          <w14:ligatures w14:val="none"/>
        </w:rPr>
        <w:t xml:space="preserve">charging from the grid instead of the </w:t>
      </w:r>
      <w:r w:rsidRPr="00A95893" w:rsidR="009305AB">
        <w:rPr>
          <w:rFonts w:ascii="Palatino Linotype" w:hAnsi="Palatino Linotype" w:eastAsia="Times New Roman" w:cs="Times New Roman"/>
          <w:kern w:val="0"/>
          <w14:ligatures w14:val="none"/>
        </w:rPr>
        <w:t xml:space="preserve">co-located </w:t>
      </w:r>
      <w:r w:rsidRPr="00A95893" w:rsidR="00AC4330">
        <w:rPr>
          <w:rFonts w:ascii="Palatino Linotype" w:hAnsi="Palatino Linotype" w:eastAsia="Times New Roman" w:cs="Times New Roman"/>
          <w:kern w:val="0"/>
          <w14:ligatures w14:val="none"/>
        </w:rPr>
        <w:t>renewable resource</w:t>
      </w:r>
      <w:r w:rsidRPr="00A95893" w:rsidR="00771372">
        <w:rPr>
          <w:rFonts w:ascii="Palatino Linotype" w:hAnsi="Palatino Linotype" w:eastAsia="Times New Roman" w:cs="Times New Roman"/>
          <w:kern w:val="0"/>
          <w14:ligatures w14:val="none"/>
        </w:rPr>
        <w:t xml:space="preserve"> – </w:t>
      </w:r>
      <w:r w:rsidRPr="00A95893" w:rsidR="00AA1017">
        <w:rPr>
          <w:rFonts w:ascii="Palatino Linotype" w:hAnsi="Palatino Linotype" w:eastAsia="Times New Roman" w:cs="Times New Roman"/>
          <w:kern w:val="0"/>
          <w14:ligatures w14:val="none"/>
        </w:rPr>
        <w:t>the seller</w:t>
      </w:r>
      <w:r w:rsidRPr="00A95893" w:rsidR="00CC63FF">
        <w:rPr>
          <w:rFonts w:ascii="Palatino Linotype" w:hAnsi="Palatino Linotype" w:eastAsia="Times New Roman" w:cs="Times New Roman"/>
          <w:kern w:val="0"/>
          <w14:ligatures w14:val="none"/>
        </w:rPr>
        <w:t xml:space="preserve"> will</w:t>
      </w:r>
      <w:r w:rsidRPr="00A95893" w:rsidR="002E2099">
        <w:rPr>
          <w:rFonts w:ascii="Palatino Linotype" w:hAnsi="Palatino Linotype" w:eastAsia="Times New Roman" w:cs="Times New Roman"/>
          <w:kern w:val="0"/>
          <w14:ligatures w14:val="none"/>
        </w:rPr>
        <w:t xml:space="preserve"> be</w:t>
      </w:r>
      <w:r w:rsidRPr="00A95893" w:rsidR="00AA1017">
        <w:rPr>
          <w:rFonts w:ascii="Palatino Linotype" w:hAnsi="Palatino Linotype" w:eastAsia="Times New Roman" w:cs="Times New Roman"/>
          <w:kern w:val="0"/>
          <w14:ligatures w14:val="none"/>
        </w:rPr>
        <w:t xml:space="preserve"> made </w:t>
      </w:r>
      <w:r w:rsidRPr="00A95893" w:rsidR="00AC4330">
        <w:rPr>
          <w:rFonts w:ascii="Palatino Linotype" w:hAnsi="Palatino Linotype" w:eastAsia="Times New Roman" w:cs="Times New Roman"/>
          <w:kern w:val="0"/>
          <w14:ligatures w14:val="none"/>
        </w:rPr>
        <w:t>whole for the</w:t>
      </w:r>
      <w:r w:rsidRPr="00A95893" w:rsidR="006248B1">
        <w:rPr>
          <w:rFonts w:ascii="Palatino Linotype" w:hAnsi="Palatino Linotype" w:eastAsia="Times New Roman" w:cs="Times New Roman"/>
          <w:kern w:val="0"/>
          <w14:ligatures w14:val="none"/>
        </w:rPr>
        <w:t xml:space="preserve"> resulting</w:t>
      </w:r>
      <w:r w:rsidRPr="00A95893" w:rsidR="00AC4330">
        <w:rPr>
          <w:rFonts w:ascii="Palatino Linotype" w:hAnsi="Palatino Linotype" w:eastAsia="Times New Roman" w:cs="Times New Roman"/>
          <w:kern w:val="0"/>
          <w14:ligatures w14:val="none"/>
        </w:rPr>
        <w:t xml:space="preserve"> loss of the ITC.</w:t>
      </w:r>
      <w:r w:rsidRPr="00A95893" w:rsidR="00D77C16">
        <w:rPr>
          <w:rFonts w:ascii="Palatino Linotype" w:hAnsi="Palatino Linotype" w:eastAsia="Times New Roman" w:cs="Times New Roman"/>
          <w:kern w:val="0"/>
          <w14:ligatures w14:val="none"/>
        </w:rPr>
        <w:t xml:space="preserve">  </w:t>
      </w:r>
      <w:r w:rsidRPr="00A95893" w:rsidR="00FC6AFB">
        <w:rPr>
          <w:rFonts w:ascii="Palatino Linotype" w:hAnsi="Palatino Linotype" w:eastAsia="Times New Roman" w:cs="Times New Roman"/>
          <w:kern w:val="0"/>
          <w14:ligatures w14:val="none"/>
        </w:rPr>
        <w:t xml:space="preserve">In </w:t>
      </w:r>
      <w:r w:rsidRPr="00A95893" w:rsidR="00BB229B">
        <w:rPr>
          <w:rFonts w:ascii="Palatino Linotype" w:hAnsi="Palatino Linotype" w:eastAsia="Times New Roman" w:cs="Times New Roman"/>
          <w:kern w:val="0"/>
          <w14:ligatures w14:val="none"/>
        </w:rPr>
        <w:t>R</w:t>
      </w:r>
      <w:r w:rsidRPr="00A95893" w:rsidR="00FC6AFB">
        <w:rPr>
          <w:rFonts w:ascii="Palatino Linotype" w:hAnsi="Palatino Linotype" w:eastAsia="Times New Roman" w:cs="Times New Roman"/>
          <w:kern w:val="0"/>
          <w14:ligatures w14:val="none"/>
        </w:rPr>
        <w:t>esolution E-</w:t>
      </w:r>
      <w:r w:rsidRPr="00A95893" w:rsidR="00B75F63">
        <w:rPr>
          <w:rFonts w:ascii="Palatino Linotype" w:hAnsi="Palatino Linotype" w:eastAsia="Times New Roman" w:cs="Times New Roman"/>
          <w:kern w:val="0"/>
          <w14:ligatures w14:val="none"/>
        </w:rPr>
        <w:t>5101, t</w:t>
      </w:r>
      <w:r w:rsidRPr="00A95893" w:rsidR="00D8190E">
        <w:rPr>
          <w:rFonts w:ascii="Palatino Linotype" w:hAnsi="Palatino Linotype" w:eastAsia="Times New Roman" w:cs="Times New Roman"/>
          <w:kern w:val="0"/>
          <w14:ligatures w14:val="none"/>
        </w:rPr>
        <w:t xml:space="preserve">he Commission </w:t>
      </w:r>
      <w:r w:rsidRPr="00A95893" w:rsidR="006248B1">
        <w:rPr>
          <w:rFonts w:ascii="Palatino Linotype" w:hAnsi="Palatino Linotype" w:eastAsia="Times New Roman" w:cs="Times New Roman"/>
          <w:kern w:val="0"/>
          <w14:ligatures w14:val="none"/>
        </w:rPr>
        <w:t xml:space="preserve">noted </w:t>
      </w:r>
      <w:r w:rsidRPr="00A95893" w:rsidR="000D4BA3">
        <w:rPr>
          <w:rFonts w:ascii="Palatino Linotype" w:hAnsi="Palatino Linotype" w:eastAsia="Times New Roman" w:cs="Times New Roman"/>
          <w:kern w:val="0"/>
          <w14:ligatures w14:val="none"/>
        </w:rPr>
        <w:t>that</w:t>
      </w:r>
      <w:r w:rsidRPr="00A95893" w:rsidR="00F63DD4">
        <w:rPr>
          <w:rFonts w:ascii="Palatino Linotype" w:hAnsi="Palatino Linotype" w:eastAsia="Times New Roman" w:cs="Times New Roman"/>
          <w:kern w:val="0"/>
          <w14:ligatures w14:val="none"/>
        </w:rPr>
        <w:t>:</w:t>
      </w:r>
    </w:p>
    <w:p w:rsidRPr="00A95893" w:rsidR="00F63DD4" w:rsidP="00107DC7" w:rsidRDefault="00F63DD4" w14:paraId="7BE47715" w14:textId="4102991D">
      <w:pPr>
        <w:spacing w:after="0" w:line="240" w:lineRule="auto"/>
        <w:ind w:left="720" w:right="81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SCE was offered other contract forms with varying levels of renewable charging requirements but determined that the 100% renewable charging level mandated in the chosen contracts was the best option.  The uncertainty of the ITC must be recognized. We do not question </w:t>
      </w:r>
      <w:r w:rsidR="00A95893">
        <w:rPr>
          <w:rFonts w:ascii="Palatino Linotype" w:hAnsi="Palatino Linotype" w:eastAsia="Times New Roman" w:cs="Times New Roman"/>
          <w:kern w:val="0"/>
          <w14:ligatures w14:val="none"/>
        </w:rPr>
        <w:br/>
      </w:r>
      <w:r w:rsidRPr="00A95893">
        <w:rPr>
          <w:rFonts w:ascii="Palatino Linotype" w:hAnsi="Palatino Linotype" w:eastAsia="Times New Roman" w:cs="Times New Roman"/>
          <w:kern w:val="0"/>
          <w14:ligatures w14:val="none"/>
        </w:rPr>
        <w:t>SCE’s decision that the 100% renewable charging contract was the appropriate selection at this time, but we also recognize that changing conditions in the future could alter the path of price and energy use expectations.</w:t>
      </w:r>
      <w:r w:rsidRPr="00A95893">
        <w:rPr>
          <w:rStyle w:val="FootnoteReference"/>
          <w:rFonts w:ascii="Palatino Linotype" w:hAnsi="Palatino Linotype" w:eastAsia="Times New Roman" w:cs="Times New Roman"/>
          <w:kern w:val="0"/>
          <w14:ligatures w14:val="none"/>
        </w:rPr>
        <w:footnoteReference w:id="4"/>
      </w:r>
    </w:p>
    <w:p w:rsidRPr="00A95893" w:rsidR="00E26B70" w:rsidP="00A76F4A" w:rsidRDefault="00E26B70" w14:paraId="4502202A" w14:textId="77777777">
      <w:pPr>
        <w:spacing w:after="0" w:line="240" w:lineRule="auto"/>
        <w:rPr>
          <w:rFonts w:ascii="Palatino Linotype" w:hAnsi="Palatino Linotype" w:eastAsia="Times New Roman" w:cs="Times New Roman"/>
          <w:kern w:val="0"/>
          <w14:ligatures w14:val="none"/>
        </w:rPr>
      </w:pPr>
    </w:p>
    <w:p w:rsidRPr="00A95893" w:rsidR="00107DC7" w:rsidP="00A76F4A" w:rsidRDefault="007D0C10" w14:paraId="44F39BFD" w14:textId="52842F75">
      <w:pPr>
        <w:spacing w:after="0" w:line="240" w:lineRule="auto"/>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Further Resolution E-5101 concluded that: </w:t>
      </w:r>
    </w:p>
    <w:p w:rsidRPr="00A95893" w:rsidR="001078D8" w:rsidP="00107DC7" w:rsidRDefault="002911B7" w14:paraId="33EC6DD4" w14:textId="341D7E56">
      <w:pPr>
        <w:spacing w:after="0" w:line="240" w:lineRule="auto"/>
        <w:ind w:left="720" w:right="63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[u]</w:t>
      </w:r>
      <w:r w:rsidRPr="00A95893" w:rsidR="00E024ED">
        <w:rPr>
          <w:rFonts w:ascii="Palatino Linotype" w:hAnsi="Palatino Linotype" w:eastAsia="Times New Roman" w:cs="Times New Roman"/>
          <w:kern w:val="0"/>
          <w14:ligatures w14:val="none"/>
        </w:rPr>
        <w:t xml:space="preserve">se of the Federal Investment Tax Credit allows for substantial potential cost savings. Given the current uncertain nature of renewable </w:t>
      </w:r>
      <w:proofErr w:type="gramStart"/>
      <w:r w:rsidRPr="00A95893" w:rsidR="00E024ED">
        <w:rPr>
          <w:rFonts w:ascii="Palatino Linotype" w:hAnsi="Palatino Linotype" w:eastAsia="Times New Roman" w:cs="Times New Roman"/>
          <w:kern w:val="0"/>
          <w14:ligatures w14:val="none"/>
        </w:rPr>
        <w:t>charging</w:t>
      </w:r>
      <w:proofErr w:type="gramEnd"/>
      <w:r w:rsidRPr="00A95893" w:rsidR="00E024ED">
        <w:rPr>
          <w:rFonts w:ascii="Palatino Linotype" w:hAnsi="Palatino Linotype" w:eastAsia="Times New Roman" w:cs="Times New Roman"/>
          <w:kern w:val="0"/>
          <w14:ligatures w14:val="none"/>
        </w:rPr>
        <w:t xml:space="preserve"> the Commission finds it reasonable to monitor the status of renewable charging </w:t>
      </w:r>
      <w:proofErr w:type="gramStart"/>
      <w:r w:rsidRPr="00A95893" w:rsidR="00E024ED">
        <w:rPr>
          <w:rFonts w:ascii="Palatino Linotype" w:hAnsi="Palatino Linotype" w:eastAsia="Times New Roman" w:cs="Times New Roman"/>
          <w:kern w:val="0"/>
          <w14:ligatures w14:val="none"/>
        </w:rPr>
        <w:t>through the use of</w:t>
      </w:r>
      <w:proofErr w:type="gramEnd"/>
      <w:r w:rsidRPr="00A95893" w:rsidR="00E024ED">
        <w:rPr>
          <w:rFonts w:ascii="Palatino Linotype" w:hAnsi="Palatino Linotype" w:eastAsia="Times New Roman" w:cs="Times New Roman"/>
          <w:kern w:val="0"/>
          <w14:ligatures w14:val="none"/>
        </w:rPr>
        <w:t xml:space="preserve"> a</w:t>
      </w:r>
      <w:r w:rsidRPr="00A95893" w:rsidR="009B01C0">
        <w:rPr>
          <w:rFonts w:ascii="Palatino Linotype" w:hAnsi="Palatino Linotype"/>
        </w:rPr>
        <w:t xml:space="preserve"> </w:t>
      </w:r>
      <w:r w:rsidRPr="00A95893" w:rsidR="009B01C0">
        <w:rPr>
          <w:rFonts w:ascii="Palatino Linotype" w:hAnsi="Palatino Linotype" w:eastAsia="Times New Roman" w:cs="Times New Roman"/>
          <w:kern w:val="0"/>
          <w14:ligatures w14:val="none"/>
        </w:rPr>
        <w:t>Tier 1 Advice Letter submitted annually by the IOU that has procured capacity from a hybrid resource dependent on the ITC.</w:t>
      </w:r>
      <w:r w:rsidRPr="00A95893" w:rsidR="00107DC7">
        <w:rPr>
          <w:rStyle w:val="FootnoteReference"/>
          <w:rFonts w:ascii="Palatino Linotype" w:hAnsi="Palatino Linotype" w:eastAsia="Times New Roman" w:cs="Times New Roman"/>
          <w:kern w:val="0"/>
          <w14:ligatures w14:val="none"/>
        </w:rPr>
        <w:footnoteReference w:id="5"/>
      </w:r>
    </w:p>
    <w:p w:rsidRPr="00A95893" w:rsidR="00E26B70" w:rsidP="00A76F4A" w:rsidRDefault="00E26B70" w14:paraId="4555D8C6" w14:textId="77777777">
      <w:pPr>
        <w:spacing w:after="0" w:line="240" w:lineRule="auto"/>
        <w:rPr>
          <w:rFonts w:ascii="Palatino Linotype" w:hAnsi="Palatino Linotype" w:eastAsia="Times New Roman" w:cs="Times New Roman"/>
          <w:kern w:val="0"/>
          <w14:ligatures w14:val="none"/>
        </w:rPr>
      </w:pPr>
    </w:p>
    <w:p w:rsidRPr="00A95893" w:rsidR="00A30F43" w:rsidP="00A76F4A" w:rsidRDefault="006E6057" w14:paraId="5666AFD2" w14:textId="6D7015C7">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Times New Roman" w:cs="Times New Roman"/>
          <w:kern w:val="0"/>
          <w14:ligatures w14:val="none"/>
        </w:rPr>
        <w:t>In 2020,</w:t>
      </w:r>
      <w:r w:rsidRPr="00A95893" w:rsidR="00EB7EE2">
        <w:rPr>
          <w:rFonts w:ascii="Palatino Linotype" w:hAnsi="Palatino Linotype" w:eastAsia="Times New Roman" w:cs="Times New Roman"/>
          <w:kern w:val="0"/>
          <w14:ligatures w14:val="none"/>
        </w:rPr>
        <w:t xml:space="preserve"> </w:t>
      </w:r>
      <w:r w:rsidRPr="00A95893">
        <w:rPr>
          <w:rFonts w:ascii="Palatino Linotype" w:hAnsi="Palatino Linotype" w:eastAsia="Times New Roman" w:cs="Times New Roman"/>
          <w:kern w:val="0"/>
          <w14:ligatures w14:val="none"/>
        </w:rPr>
        <w:t xml:space="preserve">co-located </w:t>
      </w:r>
      <w:r w:rsidRPr="00A95893" w:rsidR="00DC3949">
        <w:rPr>
          <w:rFonts w:ascii="Palatino Linotype" w:hAnsi="Palatino Linotype" w:eastAsia="Times New Roman" w:cs="Times New Roman"/>
          <w:kern w:val="0"/>
          <w14:ligatures w14:val="none"/>
        </w:rPr>
        <w:t xml:space="preserve">resources </w:t>
      </w:r>
      <w:r w:rsidRPr="00A95893" w:rsidR="0071411C">
        <w:rPr>
          <w:rFonts w:ascii="Palatino Linotype" w:hAnsi="Palatino Linotype" w:eastAsia="Times New Roman" w:cs="Times New Roman"/>
          <w:kern w:val="0"/>
          <w14:ligatures w14:val="none"/>
        </w:rPr>
        <w:t>were a new deve</w:t>
      </w:r>
      <w:r w:rsidRPr="00A95893" w:rsidR="00B731CA">
        <w:rPr>
          <w:rFonts w:ascii="Palatino Linotype" w:hAnsi="Palatino Linotype" w:eastAsia="Times New Roman" w:cs="Times New Roman"/>
          <w:kern w:val="0"/>
          <w14:ligatures w14:val="none"/>
        </w:rPr>
        <w:t>lopment</w:t>
      </w:r>
      <w:r w:rsidRPr="00A95893" w:rsidR="00260568">
        <w:rPr>
          <w:rFonts w:ascii="Palatino Linotype" w:hAnsi="Palatino Linotype" w:eastAsia="Times New Roman" w:cs="Times New Roman"/>
          <w:kern w:val="0"/>
          <w14:ligatures w14:val="none"/>
        </w:rPr>
        <w:t xml:space="preserve"> in the resource mix</w:t>
      </w:r>
      <w:r w:rsidRPr="00A95893" w:rsidR="00BD3490">
        <w:rPr>
          <w:rFonts w:ascii="Palatino Linotype" w:hAnsi="Palatino Linotype" w:eastAsia="Times New Roman" w:cs="Times New Roman"/>
          <w:kern w:val="0"/>
          <w14:ligatures w14:val="none"/>
        </w:rPr>
        <w:t xml:space="preserve">, and </w:t>
      </w:r>
      <w:r w:rsidRPr="00A95893" w:rsidR="00080373">
        <w:rPr>
          <w:rFonts w:ascii="Palatino Linotype" w:hAnsi="Palatino Linotype" w:eastAsia="Times New Roman" w:cs="Times New Roman"/>
          <w:kern w:val="0"/>
          <w14:ligatures w14:val="none"/>
        </w:rPr>
        <w:t xml:space="preserve">the impact </w:t>
      </w:r>
      <w:r w:rsidRPr="00A95893" w:rsidR="00A60608">
        <w:rPr>
          <w:rFonts w:ascii="Palatino Linotype" w:hAnsi="Palatino Linotype" w:eastAsia="Times New Roman" w:cs="Times New Roman"/>
          <w:kern w:val="0"/>
          <w14:ligatures w14:val="none"/>
        </w:rPr>
        <w:t xml:space="preserve">of their </w:t>
      </w:r>
      <w:r w:rsidRPr="00A95893" w:rsidR="00D24489">
        <w:rPr>
          <w:rFonts w:ascii="Palatino Linotype" w:hAnsi="Palatino Linotype" w:eastAsia="Times New Roman" w:cs="Times New Roman"/>
          <w:kern w:val="0"/>
          <w14:ligatures w14:val="none"/>
        </w:rPr>
        <w:t>operation on ITC</w:t>
      </w:r>
      <w:r w:rsidRPr="00A95893" w:rsidR="00607593">
        <w:rPr>
          <w:rFonts w:ascii="Palatino Linotype" w:hAnsi="Palatino Linotype" w:eastAsia="Times New Roman" w:cs="Times New Roman"/>
          <w:kern w:val="0"/>
          <w14:ligatures w14:val="none"/>
        </w:rPr>
        <w:t xml:space="preserve"> </w:t>
      </w:r>
      <w:proofErr w:type="gramStart"/>
      <w:r w:rsidRPr="00A95893" w:rsidR="00607593">
        <w:rPr>
          <w:rFonts w:ascii="Palatino Linotype" w:hAnsi="Palatino Linotype" w:eastAsia="Times New Roman" w:cs="Times New Roman"/>
          <w:kern w:val="0"/>
          <w14:ligatures w14:val="none"/>
        </w:rPr>
        <w:t>eligibility</w:t>
      </w:r>
      <w:proofErr w:type="gramEnd"/>
      <w:r w:rsidRPr="00A95893" w:rsidR="00607593">
        <w:rPr>
          <w:rFonts w:ascii="Palatino Linotype" w:hAnsi="Palatino Linotype" w:eastAsia="Times New Roman" w:cs="Times New Roman"/>
          <w:kern w:val="0"/>
          <w14:ligatures w14:val="none"/>
        </w:rPr>
        <w:t xml:space="preserve"> </w:t>
      </w:r>
      <w:r w:rsidRPr="00A95893" w:rsidR="001D7413">
        <w:rPr>
          <w:rFonts w:ascii="Palatino Linotype" w:hAnsi="Palatino Linotype" w:eastAsia="Times New Roman" w:cs="Times New Roman"/>
          <w:kern w:val="0"/>
          <w14:ligatures w14:val="none"/>
        </w:rPr>
        <w:t xml:space="preserve">was </w:t>
      </w:r>
      <w:r w:rsidRPr="00A95893" w:rsidR="0069484F">
        <w:rPr>
          <w:rFonts w:ascii="Palatino Linotype" w:hAnsi="Palatino Linotype" w:eastAsia="Times New Roman" w:cs="Times New Roman"/>
          <w:kern w:val="0"/>
          <w14:ligatures w14:val="none"/>
        </w:rPr>
        <w:t>uncertain</w:t>
      </w:r>
      <w:r w:rsidRPr="00A95893" w:rsidR="00BB3132">
        <w:rPr>
          <w:rFonts w:ascii="Palatino Linotype" w:hAnsi="Palatino Linotype" w:eastAsia="Times New Roman" w:cs="Times New Roman"/>
          <w:kern w:val="0"/>
          <w14:ligatures w14:val="none"/>
        </w:rPr>
        <w:t>.</w:t>
      </w:r>
      <w:r w:rsidRPr="00A95893" w:rsidR="00174CFC">
        <w:rPr>
          <w:rFonts w:ascii="Palatino Linotype" w:hAnsi="Palatino Linotype" w:eastAsia="Times New Roman" w:cs="Times New Roman"/>
          <w:kern w:val="0"/>
          <w14:ligatures w14:val="none"/>
        </w:rPr>
        <w:t xml:space="preserve"> </w:t>
      </w:r>
      <w:r w:rsidRPr="00A95893" w:rsidR="00BD053D">
        <w:rPr>
          <w:rFonts w:ascii="Palatino Linotype" w:hAnsi="Palatino Linotype" w:eastAsia="Times New Roman" w:cs="Times New Roman"/>
          <w:kern w:val="0"/>
          <w14:ligatures w14:val="none"/>
        </w:rPr>
        <w:t xml:space="preserve"> </w:t>
      </w:r>
      <w:r w:rsidRPr="00A95893" w:rsidR="00B727C0">
        <w:rPr>
          <w:rFonts w:ascii="Palatino Linotype" w:hAnsi="Palatino Linotype" w:eastAsia="Times New Roman" w:cs="Times New Roman"/>
          <w:kern w:val="0"/>
          <w14:ligatures w14:val="none"/>
        </w:rPr>
        <w:t>S</w:t>
      </w:r>
      <w:r w:rsidRPr="00A95893" w:rsidR="005F63B0">
        <w:rPr>
          <w:rFonts w:ascii="Palatino Linotype" w:hAnsi="Palatino Linotype" w:eastAsia="Times New Roman" w:cs="Times New Roman"/>
          <w:kern w:val="0"/>
          <w14:ligatures w14:val="none"/>
        </w:rPr>
        <w:t>ince</w:t>
      </w:r>
      <w:r w:rsidRPr="00A95893" w:rsidR="005A0613">
        <w:rPr>
          <w:rFonts w:ascii="Palatino Linotype" w:hAnsi="Palatino Linotype" w:eastAsia="Times New Roman" w:cs="Times New Roman"/>
          <w:kern w:val="0"/>
          <w14:ligatures w14:val="none"/>
        </w:rPr>
        <w:t xml:space="preserve"> August 2021, </w:t>
      </w:r>
      <w:r w:rsidRPr="00A95893" w:rsidR="00C61C02">
        <w:rPr>
          <w:rFonts w:ascii="Palatino Linotype" w:hAnsi="Palatino Linotype" w:eastAsia="Times New Roman" w:cs="Times New Roman"/>
          <w:kern w:val="0"/>
          <w14:ligatures w14:val="none"/>
        </w:rPr>
        <w:t xml:space="preserve">each of the five </w:t>
      </w:r>
      <w:r w:rsidRPr="00A95893" w:rsidR="00031352">
        <w:rPr>
          <w:rFonts w:ascii="Palatino Linotype" w:hAnsi="Palatino Linotype" w:eastAsia="Times New Roman" w:cs="Times New Roman"/>
          <w:kern w:val="0"/>
          <w14:ligatures w14:val="none"/>
        </w:rPr>
        <w:t>contracts</w:t>
      </w:r>
      <w:r w:rsidRPr="00A95893" w:rsidR="00F149A3">
        <w:rPr>
          <w:rFonts w:ascii="Palatino Linotype" w:hAnsi="Palatino Linotype" w:eastAsia="Times New Roman" w:cs="Times New Roman"/>
          <w:kern w:val="0"/>
          <w14:ligatures w14:val="none"/>
        </w:rPr>
        <w:t xml:space="preserve"> has </w:t>
      </w:r>
      <w:r w:rsidRPr="00A95893" w:rsidR="00B56AFB">
        <w:rPr>
          <w:rFonts w:ascii="Palatino Linotype" w:hAnsi="Palatino Linotype" w:eastAsia="Times New Roman" w:cs="Times New Roman"/>
          <w:kern w:val="0"/>
          <w14:ligatures w14:val="none"/>
        </w:rPr>
        <w:t xml:space="preserve">incurred </w:t>
      </w:r>
      <w:r w:rsidRPr="00A95893" w:rsidR="005A0613">
        <w:rPr>
          <w:rFonts w:ascii="Palatino Linotype" w:hAnsi="Palatino Linotype" w:eastAsia="Times New Roman" w:cs="Times New Roman"/>
          <w:kern w:val="0"/>
          <w14:ligatures w14:val="none"/>
        </w:rPr>
        <w:t>only two Grid Charging Fee</w:t>
      </w:r>
      <w:r w:rsidRPr="00A95893" w:rsidR="00750AB3">
        <w:rPr>
          <w:rFonts w:ascii="Palatino Linotype" w:hAnsi="Palatino Linotype" w:eastAsia="Times New Roman" w:cs="Times New Roman"/>
          <w:kern w:val="0"/>
          <w14:ligatures w14:val="none"/>
        </w:rPr>
        <w:t>s</w:t>
      </w:r>
      <w:r w:rsidRPr="00A95893" w:rsidR="00A313F5">
        <w:rPr>
          <w:rFonts w:ascii="Palatino Linotype" w:hAnsi="Palatino Linotype" w:eastAsia="Times New Roman" w:cs="Times New Roman"/>
          <w:kern w:val="0"/>
          <w14:ligatures w14:val="none"/>
        </w:rPr>
        <w:t xml:space="preserve"> events</w:t>
      </w:r>
      <w:r w:rsidRPr="00A95893" w:rsidR="00750AB3">
        <w:rPr>
          <w:rFonts w:ascii="Palatino Linotype" w:hAnsi="Palatino Linotype" w:eastAsia="Times New Roman" w:cs="Times New Roman"/>
          <w:kern w:val="0"/>
          <w14:ligatures w14:val="none"/>
        </w:rPr>
        <w:t>, with an average</w:t>
      </w:r>
      <w:r w:rsidRPr="00A95893" w:rsidR="00B31DD6">
        <w:rPr>
          <w:rFonts w:ascii="Palatino Linotype" w:hAnsi="Palatino Linotype" w:eastAsia="Times New Roman" w:cs="Times New Roman"/>
          <w:kern w:val="0"/>
          <w14:ligatures w14:val="none"/>
        </w:rPr>
        <w:t xml:space="preserve"> cost</w:t>
      </w:r>
      <w:r w:rsidRPr="00A95893" w:rsidR="00750AB3">
        <w:rPr>
          <w:rFonts w:ascii="Palatino Linotype" w:hAnsi="Palatino Linotype" w:eastAsia="Times New Roman" w:cs="Times New Roman"/>
          <w:kern w:val="0"/>
          <w14:ligatures w14:val="none"/>
        </w:rPr>
        <w:t xml:space="preserve"> of </w:t>
      </w:r>
      <w:r w:rsidRPr="00A95893" w:rsidR="00C0732C">
        <w:rPr>
          <w:rFonts w:ascii="Palatino Linotype" w:hAnsi="Palatino Linotype" w:eastAsia="Times New Roman" w:cs="Times New Roman"/>
          <w:kern w:val="0"/>
          <w14:ligatures w14:val="none"/>
        </w:rPr>
        <w:t>$</w:t>
      </w:r>
      <w:r w:rsidRPr="00A95893" w:rsidR="00B0342E">
        <w:rPr>
          <w:rFonts w:ascii="Palatino Linotype" w:hAnsi="Palatino Linotype" w:eastAsia="Times New Roman" w:cs="Times New Roman"/>
          <w:kern w:val="0"/>
          <w14:ligatures w14:val="none"/>
        </w:rPr>
        <w:t>1.4</w:t>
      </w:r>
      <w:r w:rsidRPr="00A95893" w:rsidR="00001DE2">
        <w:rPr>
          <w:rFonts w:ascii="Palatino Linotype" w:hAnsi="Palatino Linotype" w:eastAsia="Times New Roman" w:cs="Times New Roman"/>
          <w:kern w:val="0"/>
          <w14:ligatures w14:val="none"/>
        </w:rPr>
        <w:t>7 million</w:t>
      </w:r>
      <w:r w:rsidRPr="00A95893" w:rsidR="00CC5770">
        <w:rPr>
          <w:rFonts w:ascii="Palatino Linotype" w:hAnsi="Palatino Linotype" w:eastAsia="Times New Roman" w:cs="Times New Roman"/>
          <w:kern w:val="0"/>
          <w14:ligatures w14:val="none"/>
        </w:rPr>
        <w:t xml:space="preserve"> per instance.</w:t>
      </w:r>
      <w:r w:rsidRPr="00A95893" w:rsidR="00AA0D72">
        <w:rPr>
          <w:rFonts w:ascii="Palatino Linotype" w:hAnsi="Palatino Linotype" w:eastAsia="Times New Roman" w:cs="Times New Roman"/>
          <w:kern w:val="0"/>
          <w14:ligatures w14:val="none"/>
        </w:rPr>
        <w:t xml:space="preserve">  This </w:t>
      </w:r>
      <w:r w:rsidRPr="00A95893" w:rsidR="002D233E">
        <w:rPr>
          <w:rFonts w:ascii="Palatino Linotype" w:hAnsi="Palatino Linotype" w:eastAsia="Times New Roman" w:cs="Times New Roman"/>
          <w:kern w:val="0"/>
          <w14:ligatures w14:val="none"/>
        </w:rPr>
        <w:t>amount</w:t>
      </w:r>
      <w:r w:rsidRPr="00A95893" w:rsidR="00200840">
        <w:rPr>
          <w:rFonts w:ascii="Palatino Linotype" w:hAnsi="Palatino Linotype" w:eastAsia="Times New Roman" w:cs="Times New Roman"/>
          <w:kern w:val="0"/>
          <w14:ligatures w14:val="none"/>
        </w:rPr>
        <w:t xml:space="preserve"> is</w:t>
      </w:r>
      <w:r w:rsidRPr="00A95893" w:rsidR="002D233E">
        <w:rPr>
          <w:rFonts w:ascii="Palatino Linotype" w:hAnsi="Palatino Linotype" w:eastAsia="Times New Roman" w:cs="Times New Roman"/>
          <w:kern w:val="0"/>
          <w14:ligatures w14:val="none"/>
        </w:rPr>
        <w:t xml:space="preserve"> </w:t>
      </w:r>
      <w:r w:rsidRPr="00A95893" w:rsidR="00AA0D72">
        <w:rPr>
          <w:rFonts w:ascii="Palatino Linotype" w:hAnsi="Palatino Linotype" w:eastAsia="Times New Roman" w:cs="Times New Roman"/>
          <w:kern w:val="0"/>
          <w14:ligatures w14:val="none"/>
        </w:rPr>
        <w:t xml:space="preserve">not significant enough to </w:t>
      </w:r>
      <w:r w:rsidRPr="00A95893" w:rsidR="0049290D">
        <w:rPr>
          <w:rFonts w:ascii="Palatino Linotype" w:hAnsi="Palatino Linotype" w:eastAsia="Times New Roman" w:cs="Times New Roman"/>
          <w:kern w:val="0"/>
          <w14:ligatures w14:val="none"/>
        </w:rPr>
        <w:t>affect the overal</w:t>
      </w:r>
      <w:r w:rsidRPr="00A95893" w:rsidR="00062E5C">
        <w:rPr>
          <w:rFonts w:ascii="Palatino Linotype" w:hAnsi="Palatino Linotype" w:eastAsia="Times New Roman" w:cs="Times New Roman"/>
          <w:kern w:val="0"/>
          <w14:ligatures w14:val="none"/>
        </w:rPr>
        <w:t>l</w:t>
      </w:r>
      <w:r w:rsidRPr="00A95893" w:rsidR="0049290D">
        <w:rPr>
          <w:rFonts w:ascii="Palatino Linotype" w:hAnsi="Palatino Linotype" w:eastAsia="Times New Roman" w:cs="Times New Roman"/>
          <w:kern w:val="0"/>
          <w14:ligatures w14:val="none"/>
        </w:rPr>
        <w:t xml:space="preserve"> </w:t>
      </w:r>
      <w:r w:rsidRPr="00A95893" w:rsidR="00AA0D72">
        <w:rPr>
          <w:rFonts w:ascii="Palatino Linotype" w:hAnsi="Palatino Linotype" w:eastAsia="Times New Roman" w:cs="Times New Roman"/>
          <w:kern w:val="0"/>
          <w14:ligatures w14:val="none"/>
        </w:rPr>
        <w:t xml:space="preserve">cost effectiveness of </w:t>
      </w:r>
      <w:r w:rsidRPr="00A95893" w:rsidR="00062E5C">
        <w:rPr>
          <w:rFonts w:ascii="Palatino Linotype" w:hAnsi="Palatino Linotype" w:eastAsia="Times New Roman" w:cs="Times New Roman"/>
          <w:kern w:val="0"/>
          <w14:ligatures w14:val="none"/>
        </w:rPr>
        <w:t xml:space="preserve">the </w:t>
      </w:r>
      <w:r w:rsidRPr="00A95893" w:rsidR="00AA0D72">
        <w:rPr>
          <w:rFonts w:ascii="Palatino Linotype" w:hAnsi="Palatino Linotype" w:eastAsia="Times New Roman" w:cs="Times New Roman"/>
          <w:kern w:val="0"/>
          <w14:ligatures w14:val="none"/>
        </w:rPr>
        <w:t>contract</w:t>
      </w:r>
      <w:r w:rsidRPr="00A95893" w:rsidR="00505763">
        <w:rPr>
          <w:rFonts w:ascii="Palatino Linotype" w:hAnsi="Palatino Linotype" w:eastAsia="Times New Roman" w:cs="Times New Roman"/>
          <w:kern w:val="0"/>
          <w14:ligatures w14:val="none"/>
        </w:rPr>
        <w:t>s</w:t>
      </w:r>
      <w:r w:rsidRPr="00A95893" w:rsidR="00AA0D72">
        <w:rPr>
          <w:rFonts w:ascii="Palatino Linotype" w:hAnsi="Palatino Linotype" w:eastAsia="Times New Roman" w:cs="Times New Roman"/>
          <w:kern w:val="0"/>
          <w14:ligatures w14:val="none"/>
        </w:rPr>
        <w:t>.</w:t>
      </w:r>
      <w:r w:rsidRPr="00A95893" w:rsidR="007B2C30">
        <w:rPr>
          <w:rFonts w:ascii="Palatino Linotype" w:hAnsi="Palatino Linotype" w:eastAsia="Times New Roman" w:cs="Times New Roman"/>
          <w:kern w:val="0"/>
          <w14:ligatures w14:val="none"/>
        </w:rPr>
        <w:t xml:space="preserve">  </w:t>
      </w:r>
      <w:r w:rsidRPr="00A95893" w:rsidR="007438F2">
        <w:rPr>
          <w:rFonts w:ascii="Palatino Linotype" w:hAnsi="Palatino Linotype" w:eastAsia="Times New Roman" w:cs="Times New Roman"/>
          <w:kern w:val="0"/>
          <w14:ligatures w14:val="none"/>
        </w:rPr>
        <w:t xml:space="preserve">Further, </w:t>
      </w:r>
      <w:r w:rsidRPr="00A95893" w:rsidR="00875CFF">
        <w:rPr>
          <w:rFonts w:ascii="Palatino Linotype" w:hAnsi="Palatino Linotype" w:eastAsia="Times New Roman" w:cs="Times New Roman"/>
          <w:kern w:val="0"/>
          <w14:ligatures w14:val="none"/>
        </w:rPr>
        <w:t>t</w:t>
      </w:r>
      <w:r w:rsidRPr="00A95893" w:rsidR="007B2C30">
        <w:rPr>
          <w:rFonts w:ascii="Palatino Linotype" w:hAnsi="Palatino Linotype" w:eastAsia="Times New Roman" w:cs="Times New Roman"/>
          <w:kern w:val="0"/>
          <w14:ligatures w14:val="none"/>
        </w:rPr>
        <w:t xml:space="preserve">he passage of the Inflation Reduction Act in 2022 </w:t>
      </w:r>
      <w:r w:rsidRPr="00A95893" w:rsidR="005D44F7">
        <w:rPr>
          <w:rFonts w:ascii="Palatino Linotype" w:hAnsi="Palatino Linotype" w:eastAsia="Times New Roman" w:cs="Times New Roman"/>
          <w:kern w:val="0"/>
          <w14:ligatures w14:val="none"/>
        </w:rPr>
        <w:t>allowed</w:t>
      </w:r>
      <w:r w:rsidRPr="00A95893" w:rsidR="007B2C30">
        <w:rPr>
          <w:rFonts w:ascii="Palatino Linotype" w:hAnsi="Palatino Linotype" w:eastAsia="Times New Roman" w:cs="Times New Roman"/>
          <w:kern w:val="0"/>
          <w14:ligatures w14:val="none"/>
        </w:rPr>
        <w:t xml:space="preserve"> stand-alone battery projects to </w:t>
      </w:r>
      <w:r w:rsidRPr="00A95893" w:rsidR="006C1533">
        <w:rPr>
          <w:rFonts w:ascii="Palatino Linotype" w:hAnsi="Palatino Linotype" w:eastAsia="Times New Roman" w:cs="Times New Roman"/>
          <w:kern w:val="0"/>
          <w14:ligatures w14:val="none"/>
        </w:rPr>
        <w:t xml:space="preserve">qualify for </w:t>
      </w:r>
      <w:r w:rsidRPr="00A95893" w:rsidR="007B2C30">
        <w:rPr>
          <w:rFonts w:ascii="Palatino Linotype" w:hAnsi="Palatino Linotype" w:eastAsia="Times New Roman" w:cs="Times New Roman"/>
          <w:kern w:val="0"/>
          <w14:ligatures w14:val="none"/>
        </w:rPr>
        <w:t>the ITC</w:t>
      </w:r>
      <w:r w:rsidRPr="00A95893" w:rsidR="00A265CB">
        <w:rPr>
          <w:rFonts w:ascii="Palatino Linotype" w:hAnsi="Palatino Linotype" w:eastAsia="Times New Roman" w:cs="Times New Roman"/>
          <w:kern w:val="0"/>
          <w14:ligatures w14:val="none"/>
        </w:rPr>
        <w:t xml:space="preserve">, eliminating the need for </w:t>
      </w:r>
      <w:r w:rsidRPr="00A95893" w:rsidR="007B2C30">
        <w:rPr>
          <w:rFonts w:ascii="Palatino Linotype" w:hAnsi="Palatino Linotype" w:eastAsia="Times New Roman" w:cs="Times New Roman"/>
          <w:kern w:val="0"/>
          <w14:ligatures w14:val="none"/>
        </w:rPr>
        <w:t xml:space="preserve">pairing </w:t>
      </w:r>
      <w:r w:rsidRPr="00A95893" w:rsidR="00A265CB">
        <w:rPr>
          <w:rFonts w:ascii="Palatino Linotype" w:hAnsi="Palatino Linotype" w:eastAsia="Times New Roman" w:cs="Times New Roman"/>
          <w:kern w:val="0"/>
          <w14:ligatures w14:val="none"/>
        </w:rPr>
        <w:t xml:space="preserve">with </w:t>
      </w:r>
      <w:r w:rsidRPr="00A95893" w:rsidR="007B2C30">
        <w:rPr>
          <w:rFonts w:ascii="Palatino Linotype" w:hAnsi="Palatino Linotype" w:eastAsia="Times New Roman" w:cs="Times New Roman"/>
          <w:kern w:val="0"/>
          <w14:ligatures w14:val="none"/>
        </w:rPr>
        <w:t>renewable resource</w:t>
      </w:r>
      <w:r w:rsidRPr="00A95893" w:rsidR="00A265CB">
        <w:rPr>
          <w:rFonts w:ascii="Palatino Linotype" w:hAnsi="Palatino Linotype" w:eastAsia="Times New Roman" w:cs="Times New Roman"/>
          <w:kern w:val="0"/>
          <w14:ligatures w14:val="none"/>
        </w:rPr>
        <w:t>s</w:t>
      </w:r>
      <w:r w:rsidRPr="00A95893" w:rsidR="005918FC">
        <w:rPr>
          <w:rFonts w:ascii="Palatino Linotype" w:hAnsi="Palatino Linotype" w:eastAsia="Times New Roman" w:cs="Times New Roman"/>
          <w:kern w:val="0"/>
          <w14:ligatures w14:val="none"/>
        </w:rPr>
        <w:t>.</w:t>
      </w:r>
      <w:r w:rsidRPr="00A95893" w:rsidR="005F63B0">
        <w:rPr>
          <w:rFonts w:ascii="Palatino Linotype" w:hAnsi="Palatino Linotype" w:eastAsia="Times New Roman" w:cs="Times New Roman"/>
          <w:kern w:val="0"/>
          <w14:ligatures w14:val="none"/>
        </w:rPr>
        <w:t xml:space="preserve"> </w:t>
      </w:r>
      <w:r w:rsidRPr="00A95893" w:rsidR="00174CFC">
        <w:rPr>
          <w:rFonts w:ascii="Palatino Linotype" w:hAnsi="Palatino Linotype" w:eastAsia="Times New Roman" w:cs="Times New Roman"/>
          <w:kern w:val="0"/>
          <w14:ligatures w14:val="none"/>
        </w:rPr>
        <w:t xml:space="preserve"> </w:t>
      </w:r>
      <w:r w:rsidRPr="00A95893" w:rsidR="00BB67BC">
        <w:rPr>
          <w:rFonts w:ascii="Palatino Linotype" w:hAnsi="Palatino Linotype" w:eastAsia="Times New Roman" w:cs="Times New Roman"/>
          <w:kern w:val="0"/>
          <w14:ligatures w14:val="none"/>
        </w:rPr>
        <w:t xml:space="preserve">The Commission </w:t>
      </w:r>
      <w:r w:rsidRPr="00A95893" w:rsidR="00EB6D77">
        <w:rPr>
          <w:rFonts w:ascii="Palatino Linotype" w:hAnsi="Palatino Linotype" w:eastAsia="Times New Roman" w:cs="Times New Roman"/>
          <w:kern w:val="0"/>
          <w14:ligatures w14:val="none"/>
        </w:rPr>
        <w:t xml:space="preserve">finds </w:t>
      </w:r>
      <w:r w:rsidRPr="00A95893" w:rsidR="00B812DF">
        <w:rPr>
          <w:rFonts w:ascii="Palatino Linotype" w:hAnsi="Palatino Linotype" w:eastAsia="Times New Roman" w:cs="Times New Roman"/>
          <w:kern w:val="0"/>
          <w14:ligatures w14:val="none"/>
        </w:rPr>
        <w:t xml:space="preserve">that initial </w:t>
      </w:r>
      <w:r w:rsidRPr="00A95893" w:rsidR="00BB67BC">
        <w:rPr>
          <w:rFonts w:ascii="Palatino Linotype" w:hAnsi="Palatino Linotype" w:eastAsia="Times New Roman" w:cs="Times New Roman"/>
          <w:kern w:val="0"/>
          <w14:ligatures w14:val="none"/>
        </w:rPr>
        <w:t xml:space="preserve">concerns </w:t>
      </w:r>
      <w:r w:rsidRPr="00A95893" w:rsidR="00D43AD6">
        <w:rPr>
          <w:rFonts w:ascii="Palatino Linotype" w:hAnsi="Palatino Linotype" w:eastAsia="Times New Roman" w:cs="Times New Roman"/>
          <w:kern w:val="0"/>
          <w14:ligatures w14:val="none"/>
        </w:rPr>
        <w:t>regarding these</w:t>
      </w:r>
      <w:r w:rsidRPr="00A95893" w:rsidR="00BB67BC">
        <w:rPr>
          <w:rFonts w:ascii="Palatino Linotype" w:hAnsi="Palatino Linotype" w:eastAsia="Times New Roman" w:cs="Times New Roman"/>
          <w:kern w:val="0"/>
          <w14:ligatures w14:val="none"/>
        </w:rPr>
        <w:t xml:space="preserve"> contracts </w:t>
      </w:r>
      <w:r w:rsidRPr="00A95893" w:rsidR="00930174">
        <w:rPr>
          <w:rFonts w:ascii="Palatino Linotype" w:hAnsi="Palatino Linotype" w:eastAsia="Times New Roman" w:cs="Times New Roman"/>
          <w:kern w:val="0"/>
          <w14:ligatures w14:val="none"/>
        </w:rPr>
        <w:t>have</w:t>
      </w:r>
      <w:r w:rsidRPr="00A95893" w:rsidR="00BB67BC">
        <w:rPr>
          <w:rFonts w:ascii="Palatino Linotype" w:hAnsi="Palatino Linotype" w:eastAsia="Times New Roman" w:cs="Times New Roman"/>
          <w:kern w:val="0"/>
          <w14:ligatures w14:val="none"/>
        </w:rPr>
        <w:t xml:space="preserve"> not materialized</w:t>
      </w:r>
      <w:r w:rsidRPr="00A95893" w:rsidR="00B812DF">
        <w:rPr>
          <w:rFonts w:ascii="Palatino Linotype" w:hAnsi="Palatino Linotype" w:eastAsia="Times New Roman" w:cs="Times New Roman"/>
          <w:kern w:val="0"/>
          <w14:ligatures w14:val="none"/>
        </w:rPr>
        <w:t>,</w:t>
      </w:r>
      <w:r w:rsidRPr="00A95893" w:rsidR="00BB67BC">
        <w:rPr>
          <w:rFonts w:ascii="Palatino Linotype" w:hAnsi="Palatino Linotype" w:eastAsia="Times New Roman" w:cs="Times New Roman"/>
          <w:kern w:val="0"/>
          <w14:ligatures w14:val="none"/>
        </w:rPr>
        <w:t xml:space="preserve"> </w:t>
      </w:r>
      <w:r w:rsidRPr="00A95893" w:rsidR="005D44F7">
        <w:rPr>
          <w:rFonts w:ascii="Palatino Linotype" w:hAnsi="Palatino Linotype" w:eastAsia="Times New Roman" w:cs="Times New Roman"/>
          <w:kern w:val="0"/>
          <w14:ligatures w14:val="none"/>
        </w:rPr>
        <w:t>and current ITC</w:t>
      </w:r>
      <w:r w:rsidRPr="00A95893" w:rsidR="001A5F3C">
        <w:rPr>
          <w:rFonts w:ascii="Palatino Linotype" w:hAnsi="Palatino Linotype" w:eastAsia="Times New Roman" w:cs="Times New Roman"/>
          <w:kern w:val="0"/>
          <w14:ligatures w14:val="none"/>
        </w:rPr>
        <w:t xml:space="preserve"> rules</w:t>
      </w:r>
      <w:r w:rsidRPr="00A95893" w:rsidR="005D44F7">
        <w:rPr>
          <w:rFonts w:ascii="Palatino Linotype" w:hAnsi="Palatino Linotype" w:eastAsia="Times New Roman" w:cs="Times New Roman"/>
          <w:kern w:val="0"/>
          <w14:ligatures w14:val="none"/>
        </w:rPr>
        <w:t xml:space="preserve"> </w:t>
      </w:r>
      <w:r w:rsidRPr="00A95893" w:rsidR="009009AE">
        <w:rPr>
          <w:rFonts w:ascii="Palatino Linotype" w:hAnsi="Palatino Linotype" w:eastAsia="Times New Roman" w:cs="Times New Roman"/>
          <w:kern w:val="0"/>
          <w14:ligatures w14:val="none"/>
        </w:rPr>
        <w:t xml:space="preserve">support </w:t>
      </w:r>
      <w:r w:rsidRPr="00A95893" w:rsidR="00061BCF">
        <w:rPr>
          <w:rFonts w:ascii="Palatino Linotype" w:hAnsi="Palatino Linotype" w:eastAsia="Times New Roman" w:cs="Times New Roman"/>
          <w:kern w:val="0"/>
          <w14:ligatures w14:val="none"/>
        </w:rPr>
        <w:t xml:space="preserve">stand-alone </w:t>
      </w:r>
      <w:r w:rsidRPr="00A95893" w:rsidDel="009009AE" w:rsidR="00061BCF">
        <w:rPr>
          <w:rFonts w:ascii="Palatino Linotype" w:hAnsi="Palatino Linotype" w:eastAsia="Times New Roman" w:cs="Times New Roman"/>
          <w:kern w:val="0"/>
          <w14:ligatures w14:val="none"/>
        </w:rPr>
        <w:t xml:space="preserve">battery </w:t>
      </w:r>
      <w:r w:rsidRPr="00A95893" w:rsidR="009009AE">
        <w:rPr>
          <w:rFonts w:ascii="Palatino Linotype" w:hAnsi="Palatino Linotype" w:eastAsia="Times New Roman" w:cs="Times New Roman"/>
          <w:kern w:val="0"/>
          <w14:ligatures w14:val="none"/>
        </w:rPr>
        <w:t>storage</w:t>
      </w:r>
      <w:r w:rsidRPr="00A95893" w:rsidR="00BB67BC">
        <w:rPr>
          <w:rFonts w:ascii="Palatino Linotype" w:hAnsi="Palatino Linotype" w:eastAsia="Times New Roman" w:cs="Times New Roman"/>
          <w:kern w:val="0"/>
          <w14:ligatures w14:val="none"/>
        </w:rPr>
        <w:t xml:space="preserve">.  </w:t>
      </w:r>
      <w:r w:rsidRPr="00A95893" w:rsidR="00C73B46">
        <w:rPr>
          <w:rFonts w:ascii="Palatino Linotype" w:hAnsi="Palatino Linotype" w:eastAsia="Times New Roman" w:cs="Times New Roman"/>
          <w:kern w:val="0"/>
          <w14:ligatures w14:val="none"/>
        </w:rPr>
        <w:t>As a result</w:t>
      </w:r>
      <w:r w:rsidRPr="00A95893" w:rsidR="006C13F5">
        <w:rPr>
          <w:rFonts w:ascii="Palatino Linotype" w:hAnsi="Palatino Linotype" w:eastAsia="Times New Roman" w:cs="Times New Roman"/>
          <w:kern w:val="0"/>
          <w14:ligatures w14:val="none"/>
        </w:rPr>
        <w:t xml:space="preserve">, </w:t>
      </w:r>
      <w:r w:rsidRPr="00A95893" w:rsidR="004E36C2">
        <w:rPr>
          <w:rFonts w:ascii="Palatino Linotype" w:hAnsi="Palatino Linotype" w:eastAsia="Times New Roman" w:cs="Times New Roman"/>
          <w:kern w:val="0"/>
          <w14:ligatures w14:val="none"/>
        </w:rPr>
        <w:t>the</w:t>
      </w:r>
      <w:r w:rsidRPr="00A95893" w:rsidR="006C13F5">
        <w:rPr>
          <w:rFonts w:ascii="Palatino Linotype" w:hAnsi="Palatino Linotype" w:eastAsia="Times New Roman" w:cs="Times New Roman"/>
          <w:kern w:val="0"/>
          <w14:ligatures w14:val="none"/>
        </w:rPr>
        <w:t xml:space="preserve"> annual reporting requirement is</w:t>
      </w:r>
      <w:r w:rsidRPr="00A95893" w:rsidR="002C79A7">
        <w:rPr>
          <w:rFonts w:ascii="Palatino Linotype" w:hAnsi="Palatino Linotype" w:eastAsia="Times New Roman" w:cs="Times New Roman"/>
          <w:kern w:val="0"/>
          <w14:ligatures w14:val="none"/>
        </w:rPr>
        <w:t xml:space="preserve"> no longer necessary </w:t>
      </w:r>
      <w:r w:rsidRPr="00A95893" w:rsidR="00B56C06">
        <w:rPr>
          <w:rFonts w:ascii="Palatino Linotype" w:hAnsi="Palatino Linotype" w:eastAsia="Times New Roman" w:cs="Times New Roman"/>
          <w:kern w:val="0"/>
          <w14:ligatures w14:val="none"/>
        </w:rPr>
        <w:t>and is hereby discontinued</w:t>
      </w:r>
      <w:r w:rsidRPr="00A95893" w:rsidR="006C13F5">
        <w:rPr>
          <w:rFonts w:ascii="Palatino Linotype" w:hAnsi="Palatino Linotype" w:eastAsia="Times New Roman" w:cs="Times New Roman"/>
          <w:kern w:val="0"/>
          <w14:ligatures w14:val="none"/>
        </w:rPr>
        <w:t>.</w:t>
      </w:r>
    </w:p>
    <w:p w:rsidRPr="00A95893" w:rsidR="00A30F43" w:rsidP="00A76F4A" w:rsidRDefault="00A30F43" w14:paraId="43F382A1"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5B774C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lastRenderedPageBreak/>
        <w:t>Comments</w:t>
      </w:r>
    </w:p>
    <w:p w:rsidRPr="00A95893" w:rsidR="00A76F4A" w:rsidP="00A76F4A" w:rsidRDefault="00A76F4A" w14:paraId="5856CC6E" w14:textId="77777777">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A95893"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73D79B48" w14:textId="77777777">
      <w:p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 xml:space="preserve">The 30-day review and 20-day comment period for the draft of this resolution was neither waived nor reduced.  Accordingly, this draft resolution was mailed to parties for </w:t>
      </w:r>
      <w:proofErr w:type="gramStart"/>
      <w:r w:rsidRPr="00A95893">
        <w:rPr>
          <w:rFonts w:ascii="Palatino Linotype" w:hAnsi="Palatino Linotype" w:eastAsia="Palatino Linotype" w:cs="Times New Roman"/>
          <w:kern w:val="0"/>
          <w14:ligatures w14:val="none"/>
        </w:rPr>
        <w:t>comments, and</w:t>
      </w:r>
      <w:proofErr w:type="gramEnd"/>
      <w:r w:rsidRPr="00A95893">
        <w:rPr>
          <w:rFonts w:ascii="Palatino Linotype" w:hAnsi="Palatino Linotype" w:eastAsia="Palatino Linotype" w:cs="Times New Roman"/>
          <w:kern w:val="0"/>
          <w14:ligatures w14:val="none"/>
        </w:rPr>
        <w:t xml:space="preserve"> will be placed on the Commission's agenda no earlier than 30 days from today.</w:t>
      </w:r>
    </w:p>
    <w:p w:rsidRPr="00A95893" w:rsidR="00A76F4A" w:rsidP="00A76F4A" w:rsidRDefault="00A76F4A" w14:paraId="316D0355"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A95893">
        <w:rPr>
          <w:rFonts w:ascii="Palatino Linotype" w:hAnsi="Palatino Linotype" w:eastAsia="Palatino Linotype" w:cs="Times New Roman"/>
          <w:b/>
          <w:caps/>
          <w:kern w:val="28"/>
          <w:u w:val="single"/>
          <w14:ligatures w14:val="none"/>
        </w:rPr>
        <w:t>Findings AND CONCLUSIONS</w:t>
      </w:r>
    </w:p>
    <w:p w:rsidRPr="00A95893" w:rsidR="003430B7" w:rsidP="00637C9F" w:rsidRDefault="00637C9F" w14:paraId="07C82F9E" w14:textId="0A76F64A">
      <w:pPr>
        <w:pStyle w:val="ListParagraph"/>
        <w:numPr>
          <w:ilvl w:val="0"/>
          <w:numId w:val="1"/>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Resolution</w:t>
      </w:r>
      <w:r w:rsidRPr="00A95893" w:rsidR="00925DC7">
        <w:rPr>
          <w:rFonts w:ascii="Palatino Linotype" w:hAnsi="Palatino Linotype" w:eastAsia="Times New Roman" w:cs="Times New Roman"/>
          <w:kern w:val="0"/>
          <w14:ligatures w14:val="none"/>
        </w:rPr>
        <w:t xml:space="preserve"> E-5101 required SCE to </w:t>
      </w:r>
      <w:r w:rsidRPr="00A95893" w:rsidR="009C3AAA">
        <w:rPr>
          <w:rFonts w:ascii="Palatino Linotype" w:hAnsi="Palatino Linotype" w:eastAsia="Times New Roman" w:cs="Times New Roman"/>
          <w:kern w:val="0"/>
          <w14:ligatures w14:val="none"/>
        </w:rPr>
        <w:t xml:space="preserve">file a Tier 1 advice letter annually to advise the Commission of renewable charging status, </w:t>
      </w:r>
      <w:r w:rsidRPr="00A95893" w:rsidR="00CF005F">
        <w:rPr>
          <w:rFonts w:ascii="Palatino Linotype" w:hAnsi="Palatino Linotype" w:eastAsia="Times New Roman" w:cs="Times New Roman"/>
          <w:kern w:val="0"/>
          <w14:ligatures w14:val="none"/>
        </w:rPr>
        <w:t>g</w:t>
      </w:r>
      <w:r w:rsidRPr="00A95893" w:rsidR="009C3AAA">
        <w:rPr>
          <w:rFonts w:ascii="Palatino Linotype" w:hAnsi="Palatino Linotype" w:eastAsia="Times New Roman" w:cs="Times New Roman"/>
          <w:kern w:val="0"/>
          <w14:ligatures w14:val="none"/>
        </w:rPr>
        <w:t xml:space="preserve">rid </w:t>
      </w:r>
      <w:r w:rsidRPr="00A95893" w:rsidR="00CF005F">
        <w:rPr>
          <w:rFonts w:ascii="Palatino Linotype" w:hAnsi="Palatino Linotype" w:eastAsia="Times New Roman" w:cs="Times New Roman"/>
          <w:kern w:val="0"/>
          <w14:ligatures w14:val="none"/>
        </w:rPr>
        <w:t>c</w:t>
      </w:r>
      <w:r w:rsidRPr="00A95893" w:rsidR="009C3AAA">
        <w:rPr>
          <w:rFonts w:ascii="Palatino Linotype" w:hAnsi="Palatino Linotype" w:eastAsia="Times New Roman" w:cs="Times New Roman"/>
          <w:kern w:val="0"/>
          <w14:ligatures w14:val="none"/>
        </w:rPr>
        <w:t xml:space="preserve">harging </w:t>
      </w:r>
      <w:r w:rsidRPr="00A95893" w:rsidR="00CF005F">
        <w:rPr>
          <w:rFonts w:ascii="Palatino Linotype" w:hAnsi="Palatino Linotype" w:eastAsia="Times New Roman" w:cs="Times New Roman"/>
          <w:kern w:val="0"/>
          <w14:ligatures w14:val="none"/>
        </w:rPr>
        <w:t>f</w:t>
      </w:r>
      <w:r w:rsidRPr="00A95893" w:rsidR="009C3AAA">
        <w:rPr>
          <w:rFonts w:ascii="Palatino Linotype" w:hAnsi="Palatino Linotype" w:eastAsia="Times New Roman" w:cs="Times New Roman"/>
          <w:kern w:val="0"/>
          <w14:ligatures w14:val="none"/>
        </w:rPr>
        <w:t>ees and other costs and revenues unique to co-located resources</w:t>
      </w:r>
      <w:r w:rsidRPr="00A95893">
        <w:rPr>
          <w:rFonts w:ascii="Palatino Linotype" w:hAnsi="Palatino Linotype" w:eastAsia="Times New Roman" w:cs="Times New Roman"/>
          <w:kern w:val="0"/>
          <w14:ligatures w14:val="none"/>
        </w:rPr>
        <w:t xml:space="preserve">. </w:t>
      </w:r>
    </w:p>
    <w:p w:rsidRPr="00A95893" w:rsidR="003430B7" w:rsidP="0054200E" w:rsidRDefault="00223D19" w14:paraId="13559C18" w14:textId="4D4C7810">
      <w:pPr>
        <w:pStyle w:val="ListParagraph"/>
        <w:numPr>
          <w:ilvl w:val="0"/>
          <w:numId w:val="1"/>
        </w:numPr>
        <w:spacing w:after="0" w:line="240" w:lineRule="auto"/>
        <w:ind w:right="720"/>
        <w:rPr>
          <w:rFonts w:ascii="Palatino Linotype" w:hAnsi="Palatino Linotype" w:eastAsia="Times New Roman" w:cs="Times New Roman"/>
          <w:kern w:val="0"/>
          <w14:ligatures w14:val="none"/>
        </w:rPr>
      </w:pPr>
      <w:r w:rsidRPr="00A95893">
        <w:rPr>
          <w:rFonts w:ascii="Palatino Linotype" w:hAnsi="Palatino Linotype" w:eastAsia="Times New Roman" w:cs="Times New Roman"/>
          <w:kern w:val="0"/>
          <w14:ligatures w14:val="none"/>
        </w:rPr>
        <w:t xml:space="preserve">On February 3, 2025, SCE filed AL  5471-E which included </w:t>
      </w:r>
      <w:r w:rsidRPr="00A95893" w:rsidR="00D43AD6">
        <w:rPr>
          <w:rFonts w:ascii="Palatino Linotype" w:hAnsi="Palatino Linotype" w:eastAsia="Times New Roman" w:cs="Times New Roman"/>
          <w:kern w:val="0"/>
          <w14:ligatures w14:val="none"/>
        </w:rPr>
        <w:t>the</w:t>
      </w:r>
      <w:r w:rsidRPr="00A95893">
        <w:rPr>
          <w:rFonts w:ascii="Palatino Linotype" w:hAnsi="Palatino Linotype" w:eastAsia="Times New Roman" w:cs="Times New Roman"/>
          <w:kern w:val="0"/>
          <w14:ligatures w14:val="none"/>
        </w:rPr>
        <w:t xml:space="preserve"> annual report required by resolution E-5101</w:t>
      </w:r>
      <w:r w:rsidRPr="00A95893" w:rsidR="0054200E">
        <w:rPr>
          <w:rFonts w:ascii="Palatino Linotype" w:hAnsi="Palatino Linotype" w:eastAsia="Times New Roman" w:cs="Times New Roman"/>
          <w:kern w:val="0"/>
          <w14:ligatures w14:val="none"/>
        </w:rPr>
        <w:t>.</w:t>
      </w:r>
    </w:p>
    <w:p w:rsidRPr="00A95893" w:rsidR="006D0295" w:rsidP="00A76F4A" w:rsidRDefault="008342D0" w14:paraId="4A30E437" w14:textId="2E26FCCB">
      <w:pPr>
        <w:numPr>
          <w:ilvl w:val="0"/>
          <w:numId w:val="1"/>
        </w:num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SCE’s AL5471</w:t>
      </w:r>
      <w:r w:rsidRPr="00A95893" w:rsidR="00981FE7">
        <w:rPr>
          <w:rFonts w:ascii="Palatino Linotype" w:hAnsi="Palatino Linotype" w:eastAsia="Palatino Linotype" w:cs="Times New Roman"/>
          <w:kern w:val="0"/>
          <w14:ligatures w14:val="none"/>
        </w:rPr>
        <w:t>-</w:t>
      </w:r>
      <w:r w:rsidRPr="00A95893">
        <w:rPr>
          <w:rFonts w:ascii="Palatino Linotype" w:hAnsi="Palatino Linotype" w:eastAsia="Palatino Linotype" w:cs="Times New Roman"/>
          <w:kern w:val="0"/>
          <w14:ligatures w14:val="none"/>
        </w:rPr>
        <w:t xml:space="preserve">E meets the </w:t>
      </w:r>
      <w:r w:rsidRPr="00A95893" w:rsidR="00223D19">
        <w:rPr>
          <w:rFonts w:ascii="Palatino Linotype" w:hAnsi="Palatino Linotype" w:eastAsia="Palatino Linotype" w:cs="Times New Roman"/>
          <w:kern w:val="0"/>
          <w14:ligatures w14:val="none"/>
        </w:rPr>
        <w:t>compliance</w:t>
      </w:r>
      <w:r w:rsidRPr="00A95893">
        <w:rPr>
          <w:rFonts w:ascii="Palatino Linotype" w:hAnsi="Palatino Linotype" w:eastAsia="Palatino Linotype" w:cs="Times New Roman"/>
          <w:kern w:val="0"/>
          <w14:ligatures w14:val="none"/>
        </w:rPr>
        <w:t xml:space="preserve"> requirements </w:t>
      </w:r>
      <w:r w:rsidRPr="00A95893" w:rsidR="005E6C61">
        <w:rPr>
          <w:rFonts w:ascii="Palatino Linotype" w:hAnsi="Palatino Linotype" w:eastAsia="Palatino Linotype" w:cs="Times New Roman"/>
          <w:kern w:val="0"/>
          <w14:ligatures w14:val="none"/>
        </w:rPr>
        <w:t>directed by R</w:t>
      </w:r>
      <w:r w:rsidRPr="00A95893">
        <w:rPr>
          <w:rFonts w:ascii="Palatino Linotype" w:hAnsi="Palatino Linotype" w:eastAsia="Palatino Linotype" w:cs="Times New Roman"/>
          <w:kern w:val="0"/>
          <w14:ligatures w14:val="none"/>
        </w:rPr>
        <w:t xml:space="preserve">esolution </w:t>
      </w:r>
      <w:r w:rsidRPr="00A95893" w:rsidR="000358CD">
        <w:rPr>
          <w:rFonts w:ascii="Palatino Linotype" w:hAnsi="Palatino Linotype" w:eastAsia="Palatino Linotype" w:cs="Times New Roman"/>
          <w:kern w:val="0"/>
          <w14:ligatures w14:val="none"/>
        </w:rPr>
        <w:t>E-5101.</w:t>
      </w:r>
      <w:r w:rsidRPr="00A95893" w:rsidR="00223D19">
        <w:rPr>
          <w:rFonts w:ascii="Palatino Linotype" w:hAnsi="Palatino Linotype" w:eastAsia="Times New Roman" w:cs="Times New Roman"/>
          <w:kern w:val="0"/>
          <w14:ligatures w14:val="none"/>
        </w:rPr>
        <w:t xml:space="preserve"> </w:t>
      </w:r>
    </w:p>
    <w:p w:rsidRPr="00A95893" w:rsidR="00277698" w:rsidP="00A76F4A" w:rsidRDefault="00277698" w14:paraId="1E3FAE37" w14:textId="2BB35007">
      <w:pPr>
        <w:numPr>
          <w:ilvl w:val="0"/>
          <w:numId w:val="1"/>
        </w:num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Times New Roman" w:cs="Times New Roman"/>
          <w:kern w:val="0"/>
          <w14:ligatures w14:val="none"/>
        </w:rPr>
        <w:t>Initial concerns regarding these</w:t>
      </w:r>
      <w:r w:rsidRPr="00A95893" w:rsidR="00422D20">
        <w:rPr>
          <w:rFonts w:ascii="Palatino Linotype" w:hAnsi="Palatino Linotype" w:eastAsia="Times New Roman" w:cs="Times New Roman"/>
          <w:kern w:val="0"/>
          <w14:ligatures w14:val="none"/>
        </w:rPr>
        <w:t xml:space="preserve"> co-located resource</w:t>
      </w:r>
      <w:r w:rsidRPr="00A95893">
        <w:rPr>
          <w:rFonts w:ascii="Palatino Linotype" w:hAnsi="Palatino Linotype" w:eastAsia="Times New Roman" w:cs="Times New Roman"/>
          <w:kern w:val="0"/>
          <w14:ligatures w14:val="none"/>
        </w:rPr>
        <w:t xml:space="preserve"> contracts have not materialized</w:t>
      </w:r>
      <w:r w:rsidRPr="00A95893" w:rsidR="00422D20">
        <w:rPr>
          <w:rFonts w:ascii="Palatino Linotype" w:hAnsi="Palatino Linotype" w:eastAsia="Times New Roman" w:cs="Times New Roman"/>
          <w:kern w:val="0"/>
          <w14:ligatures w14:val="none"/>
        </w:rPr>
        <w:t>.</w:t>
      </w:r>
    </w:p>
    <w:p w:rsidRPr="00A95893" w:rsidR="00A76F4A" w:rsidP="0054200E" w:rsidRDefault="00723948" w14:paraId="4E259DF0" w14:textId="36D0C85B">
      <w:pPr>
        <w:numPr>
          <w:ilvl w:val="0"/>
          <w:numId w:val="1"/>
        </w:numPr>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The annual reporting requirement directed by Resolution E-5101, is no longer necessary.</w:t>
      </w:r>
    </w:p>
    <w:p w:rsidRPr="00A95893" w:rsidR="00A95893" w:rsidP="00A95893" w:rsidRDefault="00A95893" w14:paraId="2B072376" w14:textId="77777777">
      <w:pPr>
        <w:spacing w:after="0" w:line="240" w:lineRule="auto"/>
        <w:rPr>
          <w:rFonts w:ascii="Palatino Linotype" w:hAnsi="Palatino Linotype" w:eastAsia="Palatino Linotype" w:cs="Times New Roman"/>
          <w:kern w:val="0"/>
          <w14:ligatures w14:val="none"/>
        </w:rPr>
      </w:pPr>
    </w:p>
    <w:p w:rsidRPr="00A95893" w:rsidR="00A76F4A" w:rsidP="00A76F4A" w:rsidRDefault="00A76F4A" w14:paraId="215FEFC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proofErr w:type="gramStart"/>
      <w:r w:rsidRPr="00A95893">
        <w:rPr>
          <w:rFonts w:ascii="Palatino Linotype" w:hAnsi="Palatino Linotype" w:eastAsia="Palatino Linotype" w:cs="Times New Roman"/>
          <w:b/>
          <w:caps/>
          <w:kern w:val="28"/>
          <w:u w:val="single"/>
          <w14:ligatures w14:val="none"/>
        </w:rPr>
        <w:t>Therefore</w:t>
      </w:r>
      <w:proofErr w:type="gramEnd"/>
      <w:r w:rsidRPr="00A95893">
        <w:rPr>
          <w:rFonts w:ascii="Palatino Linotype" w:hAnsi="Palatino Linotype" w:eastAsia="Palatino Linotype" w:cs="Times New Roman"/>
          <w:b/>
          <w:caps/>
          <w:kern w:val="28"/>
          <w:u w:val="single"/>
          <w14:ligatures w14:val="none"/>
        </w:rPr>
        <w:t xml:space="preserve"> it is ordered that:</w:t>
      </w:r>
    </w:p>
    <w:p w:rsidRPr="00A95893" w:rsidR="00A76F4A" w:rsidP="00A76F4A" w:rsidRDefault="00DD2B9A" w14:paraId="787F3235" w14:textId="7AF70C50">
      <w:pPr>
        <w:numPr>
          <w:ilvl w:val="0"/>
          <w:numId w:val="2"/>
        </w:numPr>
        <w:spacing w:after="0" w:line="240" w:lineRule="auto"/>
        <w:rPr>
          <w:rFonts w:ascii="Palatino Linotype" w:hAnsi="Palatino Linotype" w:eastAsia="Palatino Linotype" w:cs="Times New Roman"/>
          <w:snapToGrid w:val="0"/>
          <w:kern w:val="0"/>
          <w14:ligatures w14:val="none"/>
        </w:rPr>
      </w:pPr>
      <w:r w:rsidRPr="00A95893">
        <w:rPr>
          <w:rFonts w:ascii="Palatino Linotype" w:hAnsi="Palatino Linotype" w:eastAsia="Palatino Linotype" w:cs="Times New Roman"/>
          <w:snapToGrid w:val="0"/>
          <w:kern w:val="0"/>
          <w14:ligatures w14:val="none"/>
        </w:rPr>
        <w:t xml:space="preserve">SCE is no longer required to file the annual report as previously required in </w:t>
      </w:r>
      <w:r w:rsidRPr="00A95893" w:rsidR="00723948">
        <w:rPr>
          <w:rFonts w:ascii="Palatino Linotype" w:hAnsi="Palatino Linotype" w:eastAsia="Palatino Linotype" w:cs="Times New Roman"/>
          <w:snapToGrid w:val="0"/>
          <w:kern w:val="0"/>
          <w14:ligatures w14:val="none"/>
        </w:rPr>
        <w:t>R</w:t>
      </w:r>
      <w:r w:rsidRPr="00A95893" w:rsidR="00D152A3">
        <w:rPr>
          <w:rFonts w:ascii="Palatino Linotype" w:hAnsi="Palatino Linotype" w:eastAsia="Palatino Linotype" w:cs="Times New Roman"/>
          <w:snapToGrid w:val="0"/>
          <w:kern w:val="0"/>
          <w14:ligatures w14:val="none"/>
        </w:rPr>
        <w:t>esolution E-5101.</w:t>
      </w:r>
    </w:p>
    <w:p w:rsidRPr="00A95893" w:rsidR="00A76F4A" w:rsidP="00A76F4A" w:rsidRDefault="00A76F4A" w14:paraId="2F730BE1"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A95893" w:rsidR="00D152A3" w:rsidP="00A76F4A" w:rsidRDefault="00D152A3" w14:paraId="33560D1E"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A95893"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A95893">
        <w:rPr>
          <w:rFonts w:ascii="Palatino Linotype" w:hAnsi="Palatino Linotype" w:eastAsia="Palatino Linotype" w:cs="Times New Roman"/>
          <w:kern w:val="0"/>
          <w14:ligatures w14:val="none"/>
        </w:rPr>
        <w:t>This Resolution is effective today.</w:t>
      </w:r>
    </w:p>
    <w:p w:rsidRPr="00A95893" w:rsidR="00A76F4A" w:rsidP="251370F6" w:rsidRDefault="00A76F4A" w14:paraId="6FDD03B7" w14:textId="77777777">
      <w:pPr>
        <w:keepNext/>
        <w:tabs>
          <w:tab w:val="left" w:pos="720"/>
          <w:tab w:val="left" w:pos="1296"/>
          <w:tab w:val="left" w:pos="2016"/>
          <w:tab w:val="left" w:pos="2736"/>
          <w:tab w:val="left" w:pos="3456"/>
          <w:tab w:val="left" w:pos="4176"/>
          <w:tab w:val="left" w:pos="4500"/>
        </w:tabs>
        <w:spacing w:after="0" w:line="240" w:lineRule="auto"/>
        <w:rPr>
          <w:rFonts w:ascii="Palatino Linotype" w:hAnsi="Palatino Linotype" w:eastAsia="Palatino Linotype" w:cs="Times New Roman"/>
          <w:kern w:val="0"/>
          <w14:ligatures w14:val="none"/>
        </w:rPr>
      </w:pPr>
    </w:p>
    <w:p w:rsidRPr="00A95893"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A95893" w:rsidR="00A76F4A" w:rsidP="00A76F4A" w:rsidRDefault="00A76F4A" w14:paraId="203AD159" w14:textId="7539F357">
      <w:pPr>
        <w:pStyle w:val="10sp0"/>
        <w:spacing w:after="480"/>
        <w:rPr>
          <w:rFonts w:ascii="Palatino Linotype" w:hAnsi="Palatino Linotype"/>
          <w:szCs w:val="24"/>
        </w:rPr>
      </w:pPr>
      <w:r w:rsidRPr="00A95893">
        <w:rPr>
          <w:rFonts w:ascii="Palatino Linotype" w:hAnsi="Palatino Linotype"/>
          <w:szCs w:val="24"/>
        </w:rPr>
        <w:t xml:space="preserve">The foregoing resolution was duly introduced, passed and adopted at a conference of the Public Utilities Commission of the State of California held on </w:t>
      </w:r>
      <w:r w:rsidRPr="00A95893" w:rsidR="00E82164">
        <w:rPr>
          <w:rFonts w:ascii="Palatino Linotype" w:hAnsi="Palatino Linotype"/>
          <w:szCs w:val="24"/>
        </w:rPr>
        <w:t>August 14, 2025</w:t>
      </w:r>
      <w:r w:rsidRPr="00A95893">
        <w:rPr>
          <w:rFonts w:ascii="Palatino Linotype" w:hAnsi="Palatino Linotype"/>
          <w:szCs w:val="24"/>
        </w:rPr>
        <w:t xml:space="preserve">; the following Commissioners </w:t>
      </w:r>
      <w:proofErr w:type="gramStart"/>
      <w:r w:rsidRPr="00A95893">
        <w:rPr>
          <w:rFonts w:ascii="Palatino Linotype" w:hAnsi="Palatino Linotype"/>
          <w:szCs w:val="24"/>
        </w:rPr>
        <w:t>voting</w:t>
      </w:r>
      <w:proofErr w:type="gramEnd"/>
      <w:r w:rsidRPr="00A95893">
        <w:rPr>
          <w:rFonts w:ascii="Palatino Linotype" w:hAnsi="Palatino Linotype"/>
          <w:szCs w:val="24"/>
        </w:rPr>
        <w:t xml:space="preserve"> favorably thereon:</w:t>
      </w:r>
    </w:p>
    <w:p w:rsidRPr="00A95893" w:rsidR="00A76F4A" w:rsidP="4B8EF7B2" w:rsidRDefault="542AC687" w14:paraId="6E385009" w14:textId="75CDA1A6">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A95893">
        <w:rPr>
          <w:rFonts w:ascii="Palatino Linotype" w:hAnsi="Palatino Linotype" w:eastAsia="Palatino Linotype" w:cs="Times New Roman"/>
        </w:rPr>
        <w:lastRenderedPageBreak/>
        <w:t xml:space="preserve">Commissioner Signature blocks to be added </w:t>
      </w:r>
    </w:p>
    <w:p w:rsidRPr="00A95893" w:rsidR="00A76F4A" w:rsidP="4B8EF7B2" w:rsidRDefault="542AC687" w14:paraId="6FDD2628" w14:textId="21A4F054">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A95893">
        <w:rPr>
          <w:rFonts w:ascii="Palatino Linotype" w:hAnsi="Palatino Linotype" w:eastAsia="Palatino Linotype" w:cs="Times New Roman"/>
        </w:rPr>
        <w:t>upon adoption of the resolution</w:t>
      </w:r>
    </w:p>
    <w:p w:rsidRPr="00A95893" w:rsidR="00A76F4A" w:rsidP="00A76F4A" w:rsidRDefault="00A76F4A" w14:paraId="0B7DFB9B" w14:textId="1BDC677F">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A95893"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A95893" w:rsidR="00A76F4A" w:rsidP="00A76F4A" w:rsidRDefault="00A76F4A" w14:paraId="1BFDA168" w14:textId="4B0EDC55">
      <w:pPr>
        <w:keepNext/>
        <w:spacing w:after="0" w:line="240" w:lineRule="auto"/>
        <w:rPr>
          <w:rFonts w:ascii="Palatino Linotype" w:hAnsi="Palatino Linotype" w:eastAsia="Palatino Linotype" w:cs="Times New Roman"/>
        </w:rPr>
      </w:pPr>
      <w:r w:rsidRPr="00A95893">
        <w:rPr>
          <w:rFonts w:ascii="Palatino Linotype" w:hAnsi="Palatino Linotype" w:eastAsia="Palatino Linotype" w:cs="Times New Roman"/>
        </w:rPr>
        <w:t xml:space="preserve">Dated </w:t>
      </w:r>
      <w:r w:rsidRPr="00A95893" w:rsidR="00E82164">
        <w:rPr>
          <w:rFonts w:ascii="Palatino Linotype" w:hAnsi="Palatino Linotype" w:eastAsia="Palatino Linotype" w:cs="Times New Roman"/>
        </w:rPr>
        <w:t>August 14, 2025</w:t>
      </w:r>
      <w:r w:rsidRPr="00A95893">
        <w:rPr>
          <w:rFonts w:ascii="Palatino Linotype" w:hAnsi="Palatino Linotype" w:eastAsia="Palatino Linotype" w:cs="Times New Roman"/>
        </w:rPr>
        <w:t xml:space="preserve">, </w:t>
      </w:r>
      <w:proofErr w:type="gramStart"/>
      <w:r w:rsidRPr="00A95893">
        <w:rPr>
          <w:rFonts w:ascii="Palatino Linotype" w:hAnsi="Palatino Linotype" w:eastAsia="Palatino Linotype" w:cs="Times New Roman"/>
        </w:rPr>
        <w:t>at</w:t>
      </w:r>
      <w:proofErr w:type="gramEnd"/>
      <w:r w:rsidRPr="00A95893">
        <w:rPr>
          <w:rFonts w:ascii="Palatino Linotype" w:hAnsi="Palatino Linotype" w:eastAsia="Palatino Linotype" w:cs="Times New Roman"/>
        </w:rPr>
        <w:t xml:space="preserve"> </w:t>
      </w:r>
      <w:r w:rsidRPr="00A95893" w:rsidR="00E82164">
        <w:rPr>
          <w:rFonts w:ascii="Palatino Linotype" w:hAnsi="Palatino Linotype" w:eastAsia="Palatino Linotype" w:cs="Times New Roman"/>
        </w:rPr>
        <w:t>Sacramento</w:t>
      </w:r>
      <w:r w:rsidRPr="00A95893">
        <w:rPr>
          <w:rFonts w:ascii="Palatino Linotype" w:hAnsi="Palatino Linotype" w:eastAsia="Palatino Linotype" w:cs="Times New Roman"/>
        </w:rPr>
        <w:t>, California</w:t>
      </w:r>
      <w:r w:rsidRPr="00A95893" w:rsidR="00E82164">
        <w:rPr>
          <w:rFonts w:ascii="Palatino Linotype" w:hAnsi="Palatino Linotype" w:eastAsia="Palatino Linotype" w:cs="Times New Roman"/>
        </w:rPr>
        <w:t>.</w:t>
      </w:r>
      <w:r w:rsidRPr="00A95893">
        <w:rPr>
          <w:rFonts w:ascii="Palatino Linotype" w:hAnsi="Palatino Linotype"/>
        </w:rPr>
        <w:tab/>
      </w:r>
    </w:p>
    <w:p w:rsidRPr="00A95893" w:rsidR="00A76F4A" w:rsidP="00A76F4A" w:rsidRDefault="00A76F4A" w14:paraId="6C25D2B1" w14:textId="77777777">
      <w:pPr>
        <w:keepNext/>
        <w:spacing w:after="0" w:line="240" w:lineRule="auto"/>
        <w:rPr>
          <w:rFonts w:ascii="Palatino Linotype" w:hAnsi="Palatino Linotype" w:eastAsia="Palatino Linotype" w:cs="Times New Roman"/>
        </w:rPr>
      </w:pPr>
    </w:p>
    <w:p w:rsidRPr="00A95893" w:rsidR="00A76F4A" w:rsidP="00A76F4A" w:rsidRDefault="00A76F4A" w14:paraId="0210CE2F" w14:textId="77777777">
      <w:pPr>
        <w:keepNext/>
        <w:spacing w:after="0" w:line="240" w:lineRule="auto"/>
        <w:rPr>
          <w:rFonts w:ascii="Palatino Linotype" w:hAnsi="Palatino Linotype" w:eastAsia="Palatino Linotype" w:cs="Times New Roman"/>
        </w:rPr>
      </w:pPr>
    </w:p>
    <w:p w:rsidRPr="00A95893" w:rsidR="00A76F4A" w:rsidP="00A76F4A" w:rsidRDefault="00A76F4A" w14:paraId="59C29A8B" w14:textId="77777777">
      <w:pPr>
        <w:keepNext/>
        <w:spacing w:after="0" w:line="240" w:lineRule="auto"/>
        <w:rPr>
          <w:rFonts w:ascii="Palatino Linotype" w:hAnsi="Palatino Linotype" w:eastAsia="Palatino Linotype" w:cs="Times New Roman"/>
        </w:rPr>
      </w:pPr>
    </w:p>
    <w:p w:rsidRPr="00A95893" w:rsidR="00A76F4A" w:rsidP="00A76F4A" w:rsidRDefault="00A76F4A" w14:paraId="19AFAC8E" w14:textId="77777777">
      <w:pPr>
        <w:keepNext/>
        <w:spacing w:after="0" w:line="240" w:lineRule="auto"/>
        <w:rPr>
          <w:rFonts w:ascii="Palatino Linotype" w:hAnsi="Palatino Linotype" w:eastAsia="Palatino Linotype" w:cs="Times New Roman"/>
        </w:rPr>
      </w:pPr>
    </w:p>
    <w:p w:rsidRPr="00A95893" w:rsidR="00A76F4A" w:rsidP="00E851DF" w:rsidRDefault="00A76F4A" w14:paraId="1FD216D4" w14:textId="77777777">
      <w:pPr>
        <w:keepNext/>
        <w:spacing w:after="0" w:line="240" w:lineRule="auto"/>
        <w:rPr>
          <w:rFonts w:ascii="Palatino Linotype" w:hAnsi="Palatino Linotype"/>
        </w:rPr>
      </w:pPr>
    </w:p>
    <w:sectPr w:rsidRPr="00A95893" w:rsidR="00A76F4A" w:rsidSect="00750E9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C971" w14:textId="77777777" w:rsidR="00D03761" w:rsidRDefault="00D03761" w:rsidP="00A76F4A">
      <w:pPr>
        <w:spacing w:after="0" w:line="240" w:lineRule="auto"/>
      </w:pPr>
      <w:r>
        <w:separator/>
      </w:r>
    </w:p>
  </w:endnote>
  <w:endnote w:type="continuationSeparator" w:id="0">
    <w:p w14:paraId="2AF710FA" w14:textId="77777777" w:rsidR="00D03761" w:rsidRDefault="00D03761" w:rsidP="00A76F4A">
      <w:pPr>
        <w:spacing w:after="0" w:line="240" w:lineRule="auto"/>
      </w:pPr>
      <w:r>
        <w:continuationSeparator/>
      </w:r>
    </w:p>
  </w:endnote>
  <w:endnote w:type="continuationNotice" w:id="1">
    <w:p w14:paraId="02AC3806" w14:textId="77777777" w:rsidR="00D03761" w:rsidRDefault="00D03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variable"/>
    <w:sig w:usb0="20000A87" w:usb1="08000000" w:usb2="00000008" w:usb3="00000000" w:csb0="00000105"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0D8786F3" w14:textId="5C6D8969"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783E552" w14:textId="4F40B16E" w:rsidR="004A7A4C" w:rsidRPr="004A7A4C" w:rsidRDefault="000D0F63" w:rsidP="000D0F63">
        <w:pPr>
          <w:pStyle w:val="Footer"/>
          <w:rPr>
            <w:rFonts w:ascii="Palatino Linotype" w:hAnsi="Palatino Linotype"/>
          </w:rPr>
        </w:pPr>
        <w:r w:rsidRPr="000D0F63">
          <w:rPr>
            <w:rFonts w:ascii="Tahoma" w:hAnsi="Tahoma" w:cs="Tahoma"/>
            <w:sz w:val="20"/>
            <w:szCs w:val="20"/>
          </w:rPr>
          <w:t>572694304</w:t>
        </w:r>
        <w:r w:rsidRPr="000D0F63">
          <w:rPr>
            <w:rFonts w:ascii="Tahoma" w:hAnsi="Tahoma" w:cs="Tahoma"/>
            <w:sz w:val="18"/>
          </w:rPr>
          <w:t>  </w:t>
        </w:r>
        <w:r>
          <w:rPr>
            <w:rFonts w:ascii="Tahoma" w:hAnsi="Tahoma" w:cs="Tahoma"/>
            <w:sz w:val="18"/>
          </w:rPr>
          <w:t xml:space="preserve"> </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8E24" w14:textId="77777777" w:rsidR="00D03761" w:rsidRDefault="00D03761" w:rsidP="00A76F4A">
      <w:pPr>
        <w:spacing w:after="0" w:line="240" w:lineRule="auto"/>
      </w:pPr>
      <w:r>
        <w:separator/>
      </w:r>
    </w:p>
  </w:footnote>
  <w:footnote w:type="continuationSeparator" w:id="0">
    <w:p w14:paraId="536C8B7D" w14:textId="77777777" w:rsidR="00D03761" w:rsidRDefault="00D03761" w:rsidP="00A76F4A">
      <w:pPr>
        <w:spacing w:after="0" w:line="240" w:lineRule="auto"/>
      </w:pPr>
      <w:r>
        <w:continuationSeparator/>
      </w:r>
    </w:p>
  </w:footnote>
  <w:footnote w:type="continuationNotice" w:id="1">
    <w:p w14:paraId="018ABEA1" w14:textId="77777777" w:rsidR="00D03761" w:rsidRDefault="00D03761">
      <w:pPr>
        <w:spacing w:after="0" w:line="240" w:lineRule="auto"/>
      </w:pPr>
    </w:p>
  </w:footnote>
  <w:footnote w:id="2">
    <w:p w14:paraId="1D711EA2" w14:textId="0C8A7B09" w:rsidR="004D1E53" w:rsidRPr="00E82164" w:rsidRDefault="004D1E53">
      <w:pPr>
        <w:pStyle w:val="FootnoteText"/>
        <w:rPr>
          <w:rFonts w:ascii="Palatino Linotype" w:hAnsi="Palatino Linotype"/>
        </w:rPr>
      </w:pPr>
      <w:r w:rsidRPr="00E82164">
        <w:rPr>
          <w:rStyle w:val="FootnoteReference"/>
          <w:rFonts w:ascii="Palatino Linotype" w:hAnsi="Palatino Linotype"/>
        </w:rPr>
        <w:footnoteRef/>
      </w:r>
      <w:r w:rsidRPr="00E82164">
        <w:rPr>
          <w:rFonts w:ascii="Palatino Linotype" w:hAnsi="Palatino Linotype"/>
        </w:rPr>
        <w:t xml:space="preserve"> Resolution </w:t>
      </w:r>
      <w:r w:rsidR="005D50B3" w:rsidRPr="00E82164">
        <w:rPr>
          <w:rFonts w:ascii="Palatino Linotype" w:hAnsi="Palatino Linotype"/>
        </w:rPr>
        <w:t>E-5101 at 15.</w:t>
      </w:r>
    </w:p>
  </w:footnote>
  <w:footnote w:id="3">
    <w:p w14:paraId="109A8F69" w14:textId="4DCB1192" w:rsidR="006D5EBB" w:rsidRPr="00E82164" w:rsidRDefault="006D5EBB">
      <w:pPr>
        <w:pStyle w:val="FootnoteText"/>
        <w:rPr>
          <w:rFonts w:ascii="Palatino Linotype" w:hAnsi="Palatino Linotype"/>
        </w:rPr>
      </w:pPr>
      <w:r w:rsidRPr="00E82164">
        <w:rPr>
          <w:rStyle w:val="FootnoteReference"/>
          <w:rFonts w:ascii="Palatino Linotype" w:hAnsi="Palatino Linotype"/>
        </w:rPr>
        <w:footnoteRef/>
      </w:r>
      <w:r w:rsidRPr="00E82164">
        <w:rPr>
          <w:rFonts w:ascii="Palatino Linotype" w:hAnsi="Palatino Linotype"/>
        </w:rPr>
        <w:t xml:space="preserve"> Resolution E-5101</w:t>
      </w:r>
      <w:r w:rsidR="00336AF6" w:rsidRPr="00E82164">
        <w:rPr>
          <w:rFonts w:ascii="Palatino Linotype" w:hAnsi="Palatino Linotype"/>
        </w:rPr>
        <w:t xml:space="preserve"> at 15 and</w:t>
      </w:r>
      <w:r w:rsidRPr="00E82164">
        <w:rPr>
          <w:rFonts w:ascii="Palatino Linotype" w:hAnsi="Palatino Linotype"/>
        </w:rPr>
        <w:t xml:space="preserve"> ordering paragraph 3.</w:t>
      </w:r>
    </w:p>
  </w:footnote>
  <w:footnote w:id="4">
    <w:p w14:paraId="02D472DB" w14:textId="2E913BEC" w:rsidR="00F63DD4" w:rsidRPr="00E82164" w:rsidRDefault="00F63DD4">
      <w:pPr>
        <w:pStyle w:val="FootnoteText"/>
        <w:rPr>
          <w:rFonts w:ascii="Palatino Linotype" w:hAnsi="Palatino Linotype"/>
        </w:rPr>
      </w:pPr>
      <w:r w:rsidRPr="00E82164">
        <w:rPr>
          <w:rStyle w:val="FootnoteReference"/>
          <w:rFonts w:ascii="Palatino Linotype" w:hAnsi="Palatino Linotype"/>
        </w:rPr>
        <w:footnoteRef/>
      </w:r>
      <w:r w:rsidRPr="00E82164">
        <w:rPr>
          <w:rFonts w:ascii="Palatino Linotype" w:hAnsi="Palatino Linotype"/>
        </w:rPr>
        <w:t xml:space="preserve"> </w:t>
      </w:r>
      <w:r w:rsidR="0052486F" w:rsidRPr="00E82164">
        <w:rPr>
          <w:rFonts w:ascii="Palatino Linotype" w:hAnsi="Palatino Linotype"/>
        </w:rPr>
        <w:t>Resolution E-5101 at 15.</w:t>
      </w:r>
    </w:p>
  </w:footnote>
  <w:footnote w:id="5">
    <w:p w14:paraId="684B51B7" w14:textId="1AA411D5" w:rsidR="00107DC7" w:rsidRPr="00E82164" w:rsidRDefault="00107DC7">
      <w:pPr>
        <w:pStyle w:val="FootnoteText"/>
        <w:rPr>
          <w:rFonts w:ascii="Palatino Linotype" w:hAnsi="Palatino Linotype"/>
        </w:rPr>
      </w:pPr>
      <w:r w:rsidRPr="00E82164">
        <w:rPr>
          <w:rStyle w:val="FootnoteReference"/>
          <w:rFonts w:ascii="Palatino Linotype" w:hAnsi="Palatino Linotype"/>
        </w:rPr>
        <w:footnoteRef/>
      </w:r>
      <w:r w:rsidRPr="00E82164">
        <w:rPr>
          <w:rFonts w:ascii="Palatino Linotype" w:hAnsi="Palatino Linotype"/>
        </w:rPr>
        <w:t xml:space="preserve"> Resolution E-5101 at 1</w:t>
      </w:r>
      <w:r w:rsidR="005444ED" w:rsidRPr="00E82164">
        <w:rPr>
          <w:rFonts w:ascii="Palatino Linotype" w:hAnsi="Palatino Linotype"/>
        </w:rPr>
        <w:t>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280" w14:textId="705F59AC" w:rsidR="00A76F4A" w:rsidRDefault="008213BB" w:rsidP="00CA3D13">
    <w:pPr>
      <w:pStyle w:val="Header"/>
      <w:tabs>
        <w:tab w:val="clear" w:pos="9360"/>
        <w:tab w:val="right" w:pos="9000"/>
      </w:tabs>
      <w:rPr>
        <w:rFonts w:ascii="Palatino Linotype" w:hAnsi="Palatino Linotype"/>
      </w:rPr>
    </w:pPr>
    <w:r>
      <w:rPr>
        <w:rFonts w:ascii="Palatino Linotype" w:hAnsi="Palatino Linotype"/>
      </w:rPr>
      <w:t>E</w:t>
    </w:r>
    <w:r w:rsidR="00744E0E">
      <w:rPr>
        <w:rFonts w:ascii="Palatino Linotype" w:hAnsi="Palatino Linotype"/>
      </w:rPr>
      <w:t>NERGY</w:t>
    </w:r>
    <w:r>
      <w:rPr>
        <w:rFonts w:ascii="Palatino Linotype" w:hAnsi="Palatino Linotype"/>
      </w:rPr>
      <w:t xml:space="preserve">/Resolution </w:t>
    </w:r>
    <w:r w:rsidR="00F34670">
      <w:rPr>
        <w:rFonts w:ascii="Palatino Linotype" w:hAnsi="Palatino Linotype"/>
      </w:rPr>
      <w:t>E</w:t>
    </w:r>
    <w:r w:rsidR="002C0A0C">
      <w:rPr>
        <w:rFonts w:ascii="Palatino Linotype" w:hAnsi="Palatino Linotype"/>
      </w:rPr>
      <w:t>-</w:t>
    </w:r>
    <w:r w:rsidR="00F34670">
      <w:rPr>
        <w:rFonts w:ascii="Palatino Linotype" w:hAnsi="Palatino Linotype"/>
      </w:rPr>
      <w:t>5407</w:t>
    </w:r>
    <w:r w:rsidR="004255F8">
      <w:tab/>
    </w:r>
    <w:r w:rsidR="00E82164">
      <w:t>DRAFT</w:t>
    </w:r>
    <w:r w:rsidR="004255F8">
      <w:tab/>
    </w:r>
    <w:r w:rsidR="005E3C11">
      <w:rPr>
        <w:rFonts w:ascii="Palatino Linotype" w:hAnsi="Palatino Linotype"/>
      </w:rPr>
      <w:t xml:space="preserve">August 14, </w:t>
    </w:r>
    <w:r w:rsidR="00E82164">
      <w:rPr>
        <w:rFonts w:ascii="Palatino Linotype" w:hAnsi="Palatino Linotype"/>
      </w:rPr>
      <w:t>2025</w:t>
    </w:r>
  </w:p>
  <w:p w14:paraId="52548ECE" w14:textId="4D199AA7" w:rsidR="008213BB" w:rsidRDefault="00F34670" w:rsidP="00CA3D13">
    <w:pPr>
      <w:pStyle w:val="Header"/>
      <w:rPr>
        <w:rFonts w:ascii="Palatino Linotype" w:hAnsi="Palatino Linotype"/>
      </w:rPr>
    </w:pPr>
    <w:r>
      <w:rPr>
        <w:rFonts w:ascii="Palatino Linotype" w:hAnsi="Palatino Linotype"/>
      </w:rPr>
      <w:t>SCE</w:t>
    </w:r>
    <w:r w:rsidR="00E82164">
      <w:rPr>
        <w:rFonts w:ascii="Palatino Linotype" w:hAnsi="Palatino Linotype"/>
      </w:rPr>
      <w:t xml:space="preserve"> AL</w:t>
    </w:r>
    <w:r w:rsidR="002C0A0C">
      <w:rPr>
        <w:rFonts w:ascii="Palatino Linotype" w:hAnsi="Palatino Linotype"/>
      </w:rPr>
      <w:t>5471E</w:t>
    </w:r>
    <w:r w:rsidR="00E82164">
      <w:rPr>
        <w:rFonts w:ascii="Palatino Linotype" w:hAnsi="Palatino Linotype"/>
      </w:rPr>
      <w:t>/PN3</w:t>
    </w:r>
  </w:p>
  <w:p w14:paraId="2C467307" w14:textId="77777777" w:rsidR="00E82164" w:rsidRPr="002A1AD8" w:rsidRDefault="00E82164" w:rsidP="00CA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BBB" w14:textId="775E2A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2"/>
  </w:num>
  <w:num w:numId="2" w16cid:durableId="1991593136">
    <w:abstractNumId w:val="0"/>
  </w:num>
  <w:num w:numId="3" w16cid:durableId="1754620235">
    <w:abstractNumId w:val="1"/>
  </w:num>
  <w:num w:numId="4" w16cid:durableId="969365539">
    <w:abstractNumId w:val="4"/>
  </w:num>
  <w:num w:numId="5" w16cid:durableId="468133998">
    <w:abstractNumId w:val="3"/>
  </w:num>
  <w:num w:numId="6" w16cid:durableId="426273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1DE2"/>
    <w:rsid w:val="000021F0"/>
    <w:rsid w:val="00016180"/>
    <w:rsid w:val="000179A2"/>
    <w:rsid w:val="00023538"/>
    <w:rsid w:val="00025257"/>
    <w:rsid w:val="000264A9"/>
    <w:rsid w:val="00030604"/>
    <w:rsid w:val="00031352"/>
    <w:rsid w:val="00031508"/>
    <w:rsid w:val="000358CD"/>
    <w:rsid w:val="00042033"/>
    <w:rsid w:val="00042FBB"/>
    <w:rsid w:val="00046697"/>
    <w:rsid w:val="00051AAB"/>
    <w:rsid w:val="00053941"/>
    <w:rsid w:val="00054D11"/>
    <w:rsid w:val="00057266"/>
    <w:rsid w:val="00061BCF"/>
    <w:rsid w:val="00062BD2"/>
    <w:rsid w:val="00062E5C"/>
    <w:rsid w:val="000676E2"/>
    <w:rsid w:val="00076B20"/>
    <w:rsid w:val="00080373"/>
    <w:rsid w:val="00080AE0"/>
    <w:rsid w:val="00080C5F"/>
    <w:rsid w:val="00083D92"/>
    <w:rsid w:val="00087DEC"/>
    <w:rsid w:val="000937B3"/>
    <w:rsid w:val="00095488"/>
    <w:rsid w:val="00097113"/>
    <w:rsid w:val="000A227B"/>
    <w:rsid w:val="000A3C2C"/>
    <w:rsid w:val="000A54AC"/>
    <w:rsid w:val="000A5D2F"/>
    <w:rsid w:val="000B2306"/>
    <w:rsid w:val="000B48FD"/>
    <w:rsid w:val="000B66FB"/>
    <w:rsid w:val="000D0055"/>
    <w:rsid w:val="000D0F63"/>
    <w:rsid w:val="000D2068"/>
    <w:rsid w:val="000D2491"/>
    <w:rsid w:val="000D4BA3"/>
    <w:rsid w:val="000E2A2D"/>
    <w:rsid w:val="000E3A4C"/>
    <w:rsid w:val="000F546C"/>
    <w:rsid w:val="000F6161"/>
    <w:rsid w:val="000F71AF"/>
    <w:rsid w:val="000F78DE"/>
    <w:rsid w:val="001031ED"/>
    <w:rsid w:val="00106F4D"/>
    <w:rsid w:val="001078D8"/>
    <w:rsid w:val="00107DC7"/>
    <w:rsid w:val="0011165A"/>
    <w:rsid w:val="0011265C"/>
    <w:rsid w:val="00124302"/>
    <w:rsid w:val="0012723B"/>
    <w:rsid w:val="001304B6"/>
    <w:rsid w:val="001317EC"/>
    <w:rsid w:val="00133738"/>
    <w:rsid w:val="00133876"/>
    <w:rsid w:val="001360A8"/>
    <w:rsid w:val="001413FC"/>
    <w:rsid w:val="00142912"/>
    <w:rsid w:val="001435A8"/>
    <w:rsid w:val="00145AEA"/>
    <w:rsid w:val="00156A1C"/>
    <w:rsid w:val="0016276B"/>
    <w:rsid w:val="001648BC"/>
    <w:rsid w:val="00165F9B"/>
    <w:rsid w:val="00171462"/>
    <w:rsid w:val="00174CFC"/>
    <w:rsid w:val="001834BA"/>
    <w:rsid w:val="00185B23"/>
    <w:rsid w:val="0019723D"/>
    <w:rsid w:val="001A5F3C"/>
    <w:rsid w:val="001A7BF3"/>
    <w:rsid w:val="001B09FA"/>
    <w:rsid w:val="001B1502"/>
    <w:rsid w:val="001B302E"/>
    <w:rsid w:val="001B492A"/>
    <w:rsid w:val="001B5B74"/>
    <w:rsid w:val="001B710D"/>
    <w:rsid w:val="001C5D12"/>
    <w:rsid w:val="001D1E7F"/>
    <w:rsid w:val="001D2E72"/>
    <w:rsid w:val="001D7413"/>
    <w:rsid w:val="001E615D"/>
    <w:rsid w:val="00200840"/>
    <w:rsid w:val="00204B1B"/>
    <w:rsid w:val="002062DF"/>
    <w:rsid w:val="002110A0"/>
    <w:rsid w:val="00212183"/>
    <w:rsid w:val="002121EC"/>
    <w:rsid w:val="00214A9E"/>
    <w:rsid w:val="00216DB6"/>
    <w:rsid w:val="002175F2"/>
    <w:rsid w:val="00223D19"/>
    <w:rsid w:val="00226DD7"/>
    <w:rsid w:val="00232022"/>
    <w:rsid w:val="00244BB4"/>
    <w:rsid w:val="002514A5"/>
    <w:rsid w:val="00252B08"/>
    <w:rsid w:val="00253185"/>
    <w:rsid w:val="00254F84"/>
    <w:rsid w:val="00260568"/>
    <w:rsid w:val="00266C6D"/>
    <w:rsid w:val="00267AD8"/>
    <w:rsid w:val="00272E24"/>
    <w:rsid w:val="0027451B"/>
    <w:rsid w:val="0027698C"/>
    <w:rsid w:val="00277698"/>
    <w:rsid w:val="002820D2"/>
    <w:rsid w:val="002826BC"/>
    <w:rsid w:val="00282C77"/>
    <w:rsid w:val="00283248"/>
    <w:rsid w:val="002911B7"/>
    <w:rsid w:val="00292B82"/>
    <w:rsid w:val="00294657"/>
    <w:rsid w:val="002947FD"/>
    <w:rsid w:val="002961FD"/>
    <w:rsid w:val="00296736"/>
    <w:rsid w:val="00297BA6"/>
    <w:rsid w:val="002A109C"/>
    <w:rsid w:val="002C0A0C"/>
    <w:rsid w:val="002C12DA"/>
    <w:rsid w:val="002C1B72"/>
    <w:rsid w:val="002C4F06"/>
    <w:rsid w:val="002C78AC"/>
    <w:rsid w:val="002C79A7"/>
    <w:rsid w:val="002D233E"/>
    <w:rsid w:val="002D3F21"/>
    <w:rsid w:val="002D5387"/>
    <w:rsid w:val="002E2099"/>
    <w:rsid w:val="002E5C78"/>
    <w:rsid w:val="003013AB"/>
    <w:rsid w:val="003013D7"/>
    <w:rsid w:val="003020AD"/>
    <w:rsid w:val="00304610"/>
    <w:rsid w:val="00314AAE"/>
    <w:rsid w:val="00316E52"/>
    <w:rsid w:val="0031746C"/>
    <w:rsid w:val="0032142E"/>
    <w:rsid w:val="003275D2"/>
    <w:rsid w:val="00336AF6"/>
    <w:rsid w:val="0034057E"/>
    <w:rsid w:val="00340837"/>
    <w:rsid w:val="00342220"/>
    <w:rsid w:val="003430B7"/>
    <w:rsid w:val="00346030"/>
    <w:rsid w:val="00346CDB"/>
    <w:rsid w:val="00352ED4"/>
    <w:rsid w:val="003549B4"/>
    <w:rsid w:val="003555BC"/>
    <w:rsid w:val="003579EF"/>
    <w:rsid w:val="00373571"/>
    <w:rsid w:val="00373CC1"/>
    <w:rsid w:val="003742C5"/>
    <w:rsid w:val="00377389"/>
    <w:rsid w:val="003801E3"/>
    <w:rsid w:val="003818CB"/>
    <w:rsid w:val="003A10AF"/>
    <w:rsid w:val="003A2FC9"/>
    <w:rsid w:val="003A5AD8"/>
    <w:rsid w:val="003A7951"/>
    <w:rsid w:val="003B3064"/>
    <w:rsid w:val="003B7C0E"/>
    <w:rsid w:val="003C1571"/>
    <w:rsid w:val="003D082A"/>
    <w:rsid w:val="003E05AC"/>
    <w:rsid w:val="003E14BD"/>
    <w:rsid w:val="003E1814"/>
    <w:rsid w:val="003E6331"/>
    <w:rsid w:val="003F2BD4"/>
    <w:rsid w:val="00400715"/>
    <w:rsid w:val="004007A5"/>
    <w:rsid w:val="0041261B"/>
    <w:rsid w:val="00417733"/>
    <w:rsid w:val="0041796C"/>
    <w:rsid w:val="00422D20"/>
    <w:rsid w:val="00424D53"/>
    <w:rsid w:val="004255F8"/>
    <w:rsid w:val="00425615"/>
    <w:rsid w:val="00445DEC"/>
    <w:rsid w:val="004605A6"/>
    <w:rsid w:val="0047364F"/>
    <w:rsid w:val="00473945"/>
    <w:rsid w:val="004749A6"/>
    <w:rsid w:val="00476DCD"/>
    <w:rsid w:val="00480DFA"/>
    <w:rsid w:val="00482E90"/>
    <w:rsid w:val="004870ED"/>
    <w:rsid w:val="004876E1"/>
    <w:rsid w:val="00491661"/>
    <w:rsid w:val="0049290D"/>
    <w:rsid w:val="00493FE3"/>
    <w:rsid w:val="004A0542"/>
    <w:rsid w:val="004A7306"/>
    <w:rsid w:val="004A7A4C"/>
    <w:rsid w:val="004A7DF9"/>
    <w:rsid w:val="004B08DE"/>
    <w:rsid w:val="004B1B8C"/>
    <w:rsid w:val="004C0CEB"/>
    <w:rsid w:val="004C5D2F"/>
    <w:rsid w:val="004D1E53"/>
    <w:rsid w:val="004E0F78"/>
    <w:rsid w:val="004E36C2"/>
    <w:rsid w:val="004F042D"/>
    <w:rsid w:val="004F0C2F"/>
    <w:rsid w:val="004F74B1"/>
    <w:rsid w:val="00505763"/>
    <w:rsid w:val="005061AE"/>
    <w:rsid w:val="00514C21"/>
    <w:rsid w:val="00515169"/>
    <w:rsid w:val="005152D7"/>
    <w:rsid w:val="005153E0"/>
    <w:rsid w:val="0052090D"/>
    <w:rsid w:val="00521A2F"/>
    <w:rsid w:val="0052486F"/>
    <w:rsid w:val="005254BF"/>
    <w:rsid w:val="00530650"/>
    <w:rsid w:val="0053249B"/>
    <w:rsid w:val="00535156"/>
    <w:rsid w:val="0054200E"/>
    <w:rsid w:val="00542A21"/>
    <w:rsid w:val="00543048"/>
    <w:rsid w:val="005444ED"/>
    <w:rsid w:val="005450A8"/>
    <w:rsid w:val="005578CF"/>
    <w:rsid w:val="00561338"/>
    <w:rsid w:val="00565F65"/>
    <w:rsid w:val="00572B54"/>
    <w:rsid w:val="00580995"/>
    <w:rsid w:val="00580CF2"/>
    <w:rsid w:val="005874DA"/>
    <w:rsid w:val="00591747"/>
    <w:rsid w:val="005918FC"/>
    <w:rsid w:val="0059379C"/>
    <w:rsid w:val="0059612C"/>
    <w:rsid w:val="005A0613"/>
    <w:rsid w:val="005A2945"/>
    <w:rsid w:val="005A3051"/>
    <w:rsid w:val="005A4CE2"/>
    <w:rsid w:val="005B0472"/>
    <w:rsid w:val="005B170D"/>
    <w:rsid w:val="005D44F7"/>
    <w:rsid w:val="005D50B3"/>
    <w:rsid w:val="005E19B7"/>
    <w:rsid w:val="005E293B"/>
    <w:rsid w:val="005E3C11"/>
    <w:rsid w:val="005E4682"/>
    <w:rsid w:val="005E6C61"/>
    <w:rsid w:val="005F36D3"/>
    <w:rsid w:val="005F63B0"/>
    <w:rsid w:val="005F68B5"/>
    <w:rsid w:val="00607593"/>
    <w:rsid w:val="006101CB"/>
    <w:rsid w:val="0061232F"/>
    <w:rsid w:val="00612609"/>
    <w:rsid w:val="00622E8A"/>
    <w:rsid w:val="006248B1"/>
    <w:rsid w:val="00626F4A"/>
    <w:rsid w:val="00630BD3"/>
    <w:rsid w:val="00637C9F"/>
    <w:rsid w:val="0064139D"/>
    <w:rsid w:val="0064197B"/>
    <w:rsid w:val="00645CBF"/>
    <w:rsid w:val="00655602"/>
    <w:rsid w:val="00662323"/>
    <w:rsid w:val="00662B50"/>
    <w:rsid w:val="00663797"/>
    <w:rsid w:val="00664F12"/>
    <w:rsid w:val="0068001C"/>
    <w:rsid w:val="00681003"/>
    <w:rsid w:val="0068394E"/>
    <w:rsid w:val="00684413"/>
    <w:rsid w:val="006860E1"/>
    <w:rsid w:val="00686A0A"/>
    <w:rsid w:val="00691BE8"/>
    <w:rsid w:val="00692A21"/>
    <w:rsid w:val="0069484F"/>
    <w:rsid w:val="00694E29"/>
    <w:rsid w:val="00697989"/>
    <w:rsid w:val="006A031E"/>
    <w:rsid w:val="006A2901"/>
    <w:rsid w:val="006A60AC"/>
    <w:rsid w:val="006B204F"/>
    <w:rsid w:val="006C13F5"/>
    <w:rsid w:val="006C1533"/>
    <w:rsid w:val="006C15EA"/>
    <w:rsid w:val="006C380D"/>
    <w:rsid w:val="006C4D8F"/>
    <w:rsid w:val="006D0295"/>
    <w:rsid w:val="006D13F8"/>
    <w:rsid w:val="006D5EBB"/>
    <w:rsid w:val="006D7FCA"/>
    <w:rsid w:val="006E49D8"/>
    <w:rsid w:val="006E6057"/>
    <w:rsid w:val="006F0A46"/>
    <w:rsid w:val="006F5610"/>
    <w:rsid w:val="006F6523"/>
    <w:rsid w:val="006F6E46"/>
    <w:rsid w:val="0071411C"/>
    <w:rsid w:val="007156B8"/>
    <w:rsid w:val="007201D7"/>
    <w:rsid w:val="00721661"/>
    <w:rsid w:val="00723948"/>
    <w:rsid w:val="00725564"/>
    <w:rsid w:val="0073089A"/>
    <w:rsid w:val="00732EEE"/>
    <w:rsid w:val="007438F2"/>
    <w:rsid w:val="00743D16"/>
    <w:rsid w:val="00744E0E"/>
    <w:rsid w:val="00747F17"/>
    <w:rsid w:val="00750AB3"/>
    <w:rsid w:val="00750E92"/>
    <w:rsid w:val="00754ED9"/>
    <w:rsid w:val="00755C05"/>
    <w:rsid w:val="00757F0B"/>
    <w:rsid w:val="00762ACE"/>
    <w:rsid w:val="007708B1"/>
    <w:rsid w:val="00771372"/>
    <w:rsid w:val="007757E7"/>
    <w:rsid w:val="00775C28"/>
    <w:rsid w:val="007774FE"/>
    <w:rsid w:val="00782F2D"/>
    <w:rsid w:val="00793F4E"/>
    <w:rsid w:val="00794A11"/>
    <w:rsid w:val="007A0B5C"/>
    <w:rsid w:val="007A28FD"/>
    <w:rsid w:val="007A4380"/>
    <w:rsid w:val="007B1598"/>
    <w:rsid w:val="007B16E9"/>
    <w:rsid w:val="007B1897"/>
    <w:rsid w:val="007B2C30"/>
    <w:rsid w:val="007B5A65"/>
    <w:rsid w:val="007B6388"/>
    <w:rsid w:val="007C1514"/>
    <w:rsid w:val="007D0C10"/>
    <w:rsid w:val="007D1098"/>
    <w:rsid w:val="007D137E"/>
    <w:rsid w:val="007D17DF"/>
    <w:rsid w:val="007D65FD"/>
    <w:rsid w:val="007D6895"/>
    <w:rsid w:val="007E15B9"/>
    <w:rsid w:val="007E1DCD"/>
    <w:rsid w:val="007E40B4"/>
    <w:rsid w:val="007E4AE0"/>
    <w:rsid w:val="007F1E70"/>
    <w:rsid w:val="007F1F87"/>
    <w:rsid w:val="007F7D91"/>
    <w:rsid w:val="00802705"/>
    <w:rsid w:val="00805D1F"/>
    <w:rsid w:val="00811E1B"/>
    <w:rsid w:val="00813C95"/>
    <w:rsid w:val="00816B62"/>
    <w:rsid w:val="00817E0C"/>
    <w:rsid w:val="008213BB"/>
    <w:rsid w:val="00821FCB"/>
    <w:rsid w:val="00822C9E"/>
    <w:rsid w:val="0082430E"/>
    <w:rsid w:val="00825822"/>
    <w:rsid w:val="008342D0"/>
    <w:rsid w:val="008375D9"/>
    <w:rsid w:val="008401CF"/>
    <w:rsid w:val="008447EC"/>
    <w:rsid w:val="00846CF6"/>
    <w:rsid w:val="008520D7"/>
    <w:rsid w:val="00853C94"/>
    <w:rsid w:val="00854DD4"/>
    <w:rsid w:val="00855EEB"/>
    <w:rsid w:val="00857EC5"/>
    <w:rsid w:val="0086660A"/>
    <w:rsid w:val="00866B57"/>
    <w:rsid w:val="00875CFF"/>
    <w:rsid w:val="008879A4"/>
    <w:rsid w:val="008914F1"/>
    <w:rsid w:val="008A116D"/>
    <w:rsid w:val="008A4F71"/>
    <w:rsid w:val="008A5AED"/>
    <w:rsid w:val="008A6BCB"/>
    <w:rsid w:val="008B1060"/>
    <w:rsid w:val="008C0DCA"/>
    <w:rsid w:val="008C3B6C"/>
    <w:rsid w:val="008C3FE5"/>
    <w:rsid w:val="008C5268"/>
    <w:rsid w:val="008D3216"/>
    <w:rsid w:val="008D6F3E"/>
    <w:rsid w:val="008E0746"/>
    <w:rsid w:val="008E72A1"/>
    <w:rsid w:val="008F22F5"/>
    <w:rsid w:val="008F3D17"/>
    <w:rsid w:val="009009AE"/>
    <w:rsid w:val="00904EB7"/>
    <w:rsid w:val="00910357"/>
    <w:rsid w:val="00910BFE"/>
    <w:rsid w:val="009231D5"/>
    <w:rsid w:val="00925DC7"/>
    <w:rsid w:val="00930174"/>
    <w:rsid w:val="009305AB"/>
    <w:rsid w:val="00932354"/>
    <w:rsid w:val="0093768F"/>
    <w:rsid w:val="00937C60"/>
    <w:rsid w:val="009445D5"/>
    <w:rsid w:val="00960E64"/>
    <w:rsid w:val="0096788C"/>
    <w:rsid w:val="00970971"/>
    <w:rsid w:val="0097128E"/>
    <w:rsid w:val="009723F5"/>
    <w:rsid w:val="00972EFD"/>
    <w:rsid w:val="009760C8"/>
    <w:rsid w:val="00977889"/>
    <w:rsid w:val="00977DD0"/>
    <w:rsid w:val="00981FE7"/>
    <w:rsid w:val="009822B7"/>
    <w:rsid w:val="00984412"/>
    <w:rsid w:val="009851BB"/>
    <w:rsid w:val="00986BA9"/>
    <w:rsid w:val="00987C9F"/>
    <w:rsid w:val="009A0114"/>
    <w:rsid w:val="009A11A9"/>
    <w:rsid w:val="009A5E6A"/>
    <w:rsid w:val="009A7D4F"/>
    <w:rsid w:val="009B01C0"/>
    <w:rsid w:val="009B24D4"/>
    <w:rsid w:val="009B710F"/>
    <w:rsid w:val="009C3AAA"/>
    <w:rsid w:val="009C4FD8"/>
    <w:rsid w:val="009C5EE8"/>
    <w:rsid w:val="009D06E7"/>
    <w:rsid w:val="009D3DD9"/>
    <w:rsid w:val="009D5F5B"/>
    <w:rsid w:val="009E154A"/>
    <w:rsid w:val="009E7068"/>
    <w:rsid w:val="009F3C67"/>
    <w:rsid w:val="009F44F6"/>
    <w:rsid w:val="00A017D9"/>
    <w:rsid w:val="00A02816"/>
    <w:rsid w:val="00A02AAF"/>
    <w:rsid w:val="00A04844"/>
    <w:rsid w:val="00A06BA6"/>
    <w:rsid w:val="00A13ACF"/>
    <w:rsid w:val="00A15CF1"/>
    <w:rsid w:val="00A24E3D"/>
    <w:rsid w:val="00A265CB"/>
    <w:rsid w:val="00A30F43"/>
    <w:rsid w:val="00A313F5"/>
    <w:rsid w:val="00A314A9"/>
    <w:rsid w:val="00A35974"/>
    <w:rsid w:val="00A429A5"/>
    <w:rsid w:val="00A43C89"/>
    <w:rsid w:val="00A45968"/>
    <w:rsid w:val="00A465F0"/>
    <w:rsid w:val="00A47CE1"/>
    <w:rsid w:val="00A569A4"/>
    <w:rsid w:val="00A60608"/>
    <w:rsid w:val="00A60887"/>
    <w:rsid w:val="00A61316"/>
    <w:rsid w:val="00A66D78"/>
    <w:rsid w:val="00A70F5F"/>
    <w:rsid w:val="00A72DF2"/>
    <w:rsid w:val="00A76F4A"/>
    <w:rsid w:val="00A7725B"/>
    <w:rsid w:val="00A83B85"/>
    <w:rsid w:val="00A92D9F"/>
    <w:rsid w:val="00A95893"/>
    <w:rsid w:val="00AA0D72"/>
    <w:rsid w:val="00AA1017"/>
    <w:rsid w:val="00AA3574"/>
    <w:rsid w:val="00AA5D4A"/>
    <w:rsid w:val="00AB0078"/>
    <w:rsid w:val="00AB5615"/>
    <w:rsid w:val="00AC4330"/>
    <w:rsid w:val="00AC6A06"/>
    <w:rsid w:val="00AD018B"/>
    <w:rsid w:val="00AD5355"/>
    <w:rsid w:val="00AE031C"/>
    <w:rsid w:val="00AE587A"/>
    <w:rsid w:val="00AE6B7F"/>
    <w:rsid w:val="00AE7CD5"/>
    <w:rsid w:val="00AF0E64"/>
    <w:rsid w:val="00B0342E"/>
    <w:rsid w:val="00B05190"/>
    <w:rsid w:val="00B069D5"/>
    <w:rsid w:val="00B12579"/>
    <w:rsid w:val="00B14B03"/>
    <w:rsid w:val="00B15BDA"/>
    <w:rsid w:val="00B17574"/>
    <w:rsid w:val="00B212BD"/>
    <w:rsid w:val="00B30F16"/>
    <w:rsid w:val="00B31DD6"/>
    <w:rsid w:val="00B32FD8"/>
    <w:rsid w:val="00B375F7"/>
    <w:rsid w:val="00B431AF"/>
    <w:rsid w:val="00B44D6E"/>
    <w:rsid w:val="00B46017"/>
    <w:rsid w:val="00B5126D"/>
    <w:rsid w:val="00B52542"/>
    <w:rsid w:val="00B556C0"/>
    <w:rsid w:val="00B55E99"/>
    <w:rsid w:val="00B56AFB"/>
    <w:rsid w:val="00B56C06"/>
    <w:rsid w:val="00B62B2F"/>
    <w:rsid w:val="00B6539B"/>
    <w:rsid w:val="00B727C0"/>
    <w:rsid w:val="00B72987"/>
    <w:rsid w:val="00B731CA"/>
    <w:rsid w:val="00B75F63"/>
    <w:rsid w:val="00B77193"/>
    <w:rsid w:val="00B812DF"/>
    <w:rsid w:val="00B84A68"/>
    <w:rsid w:val="00B92C20"/>
    <w:rsid w:val="00B946C8"/>
    <w:rsid w:val="00B95772"/>
    <w:rsid w:val="00BA0388"/>
    <w:rsid w:val="00BA0723"/>
    <w:rsid w:val="00BA5C00"/>
    <w:rsid w:val="00BB229B"/>
    <w:rsid w:val="00BB3132"/>
    <w:rsid w:val="00BB4961"/>
    <w:rsid w:val="00BB4AE5"/>
    <w:rsid w:val="00BB56C2"/>
    <w:rsid w:val="00BB67BC"/>
    <w:rsid w:val="00BC46C7"/>
    <w:rsid w:val="00BC6C13"/>
    <w:rsid w:val="00BD053D"/>
    <w:rsid w:val="00BD117C"/>
    <w:rsid w:val="00BD3490"/>
    <w:rsid w:val="00BE0DFA"/>
    <w:rsid w:val="00BE19C5"/>
    <w:rsid w:val="00BF19BF"/>
    <w:rsid w:val="00C06AB6"/>
    <w:rsid w:val="00C0732C"/>
    <w:rsid w:val="00C07F1D"/>
    <w:rsid w:val="00C12510"/>
    <w:rsid w:val="00C251AC"/>
    <w:rsid w:val="00C36E43"/>
    <w:rsid w:val="00C36FE0"/>
    <w:rsid w:val="00C472BF"/>
    <w:rsid w:val="00C51007"/>
    <w:rsid w:val="00C52067"/>
    <w:rsid w:val="00C61C02"/>
    <w:rsid w:val="00C62257"/>
    <w:rsid w:val="00C711B0"/>
    <w:rsid w:val="00C73B46"/>
    <w:rsid w:val="00C85721"/>
    <w:rsid w:val="00C93EA8"/>
    <w:rsid w:val="00C97649"/>
    <w:rsid w:val="00CA05F8"/>
    <w:rsid w:val="00CA2AF3"/>
    <w:rsid w:val="00CA35C4"/>
    <w:rsid w:val="00CA3D13"/>
    <w:rsid w:val="00CB0C2B"/>
    <w:rsid w:val="00CB18B7"/>
    <w:rsid w:val="00CB236D"/>
    <w:rsid w:val="00CB44FA"/>
    <w:rsid w:val="00CB67A3"/>
    <w:rsid w:val="00CC5770"/>
    <w:rsid w:val="00CC5AB8"/>
    <w:rsid w:val="00CC63FF"/>
    <w:rsid w:val="00CC6905"/>
    <w:rsid w:val="00CC6C72"/>
    <w:rsid w:val="00CD087B"/>
    <w:rsid w:val="00CD6C27"/>
    <w:rsid w:val="00CD70F9"/>
    <w:rsid w:val="00CE5ED1"/>
    <w:rsid w:val="00CF005F"/>
    <w:rsid w:val="00CF7C84"/>
    <w:rsid w:val="00D02F66"/>
    <w:rsid w:val="00D03761"/>
    <w:rsid w:val="00D038D4"/>
    <w:rsid w:val="00D07BA4"/>
    <w:rsid w:val="00D14A43"/>
    <w:rsid w:val="00D152A3"/>
    <w:rsid w:val="00D156A1"/>
    <w:rsid w:val="00D2010F"/>
    <w:rsid w:val="00D24489"/>
    <w:rsid w:val="00D26BFB"/>
    <w:rsid w:val="00D32257"/>
    <w:rsid w:val="00D421DB"/>
    <w:rsid w:val="00D43641"/>
    <w:rsid w:val="00D43AD6"/>
    <w:rsid w:val="00D452FB"/>
    <w:rsid w:val="00D52ACD"/>
    <w:rsid w:val="00D52C8D"/>
    <w:rsid w:val="00D616AC"/>
    <w:rsid w:val="00D6421F"/>
    <w:rsid w:val="00D716E7"/>
    <w:rsid w:val="00D71D9E"/>
    <w:rsid w:val="00D75AE7"/>
    <w:rsid w:val="00D77C16"/>
    <w:rsid w:val="00D8190E"/>
    <w:rsid w:val="00D8549B"/>
    <w:rsid w:val="00D91220"/>
    <w:rsid w:val="00D91680"/>
    <w:rsid w:val="00D927DF"/>
    <w:rsid w:val="00D93D50"/>
    <w:rsid w:val="00DA1929"/>
    <w:rsid w:val="00DA428D"/>
    <w:rsid w:val="00DB014F"/>
    <w:rsid w:val="00DB2434"/>
    <w:rsid w:val="00DB2D17"/>
    <w:rsid w:val="00DB3342"/>
    <w:rsid w:val="00DB5094"/>
    <w:rsid w:val="00DC3949"/>
    <w:rsid w:val="00DC6B0C"/>
    <w:rsid w:val="00DD1AD0"/>
    <w:rsid w:val="00DD2B9A"/>
    <w:rsid w:val="00DD3F25"/>
    <w:rsid w:val="00DD4FA4"/>
    <w:rsid w:val="00DD61B4"/>
    <w:rsid w:val="00DE5570"/>
    <w:rsid w:val="00DF25D9"/>
    <w:rsid w:val="00DF762B"/>
    <w:rsid w:val="00E015D7"/>
    <w:rsid w:val="00E024ED"/>
    <w:rsid w:val="00E06064"/>
    <w:rsid w:val="00E06A80"/>
    <w:rsid w:val="00E07634"/>
    <w:rsid w:val="00E0794F"/>
    <w:rsid w:val="00E07D5C"/>
    <w:rsid w:val="00E1178C"/>
    <w:rsid w:val="00E171C9"/>
    <w:rsid w:val="00E2087A"/>
    <w:rsid w:val="00E22074"/>
    <w:rsid w:val="00E24033"/>
    <w:rsid w:val="00E25813"/>
    <w:rsid w:val="00E26B70"/>
    <w:rsid w:val="00E31AEC"/>
    <w:rsid w:val="00E31F82"/>
    <w:rsid w:val="00E35042"/>
    <w:rsid w:val="00E4007F"/>
    <w:rsid w:val="00E421DB"/>
    <w:rsid w:val="00E469C4"/>
    <w:rsid w:val="00E46D21"/>
    <w:rsid w:val="00E6149F"/>
    <w:rsid w:val="00E63935"/>
    <w:rsid w:val="00E66A3D"/>
    <w:rsid w:val="00E7255F"/>
    <w:rsid w:val="00E74282"/>
    <w:rsid w:val="00E82164"/>
    <w:rsid w:val="00E851DF"/>
    <w:rsid w:val="00E87139"/>
    <w:rsid w:val="00E8733C"/>
    <w:rsid w:val="00E906D0"/>
    <w:rsid w:val="00E9098E"/>
    <w:rsid w:val="00E91ED8"/>
    <w:rsid w:val="00E92B14"/>
    <w:rsid w:val="00E936E5"/>
    <w:rsid w:val="00E94380"/>
    <w:rsid w:val="00E95F94"/>
    <w:rsid w:val="00E96A7C"/>
    <w:rsid w:val="00EB479A"/>
    <w:rsid w:val="00EB510E"/>
    <w:rsid w:val="00EB6D77"/>
    <w:rsid w:val="00EB6F47"/>
    <w:rsid w:val="00EB7EE2"/>
    <w:rsid w:val="00EC6E84"/>
    <w:rsid w:val="00ED084A"/>
    <w:rsid w:val="00ED0B5A"/>
    <w:rsid w:val="00ED3F87"/>
    <w:rsid w:val="00EE12A5"/>
    <w:rsid w:val="00EE4998"/>
    <w:rsid w:val="00EF5183"/>
    <w:rsid w:val="00EF6C92"/>
    <w:rsid w:val="00EF7D8D"/>
    <w:rsid w:val="00F02B30"/>
    <w:rsid w:val="00F0347C"/>
    <w:rsid w:val="00F074F1"/>
    <w:rsid w:val="00F149A3"/>
    <w:rsid w:val="00F17565"/>
    <w:rsid w:val="00F20A83"/>
    <w:rsid w:val="00F3119F"/>
    <w:rsid w:val="00F34670"/>
    <w:rsid w:val="00F372EB"/>
    <w:rsid w:val="00F404D9"/>
    <w:rsid w:val="00F40CCF"/>
    <w:rsid w:val="00F40F9B"/>
    <w:rsid w:val="00F475E6"/>
    <w:rsid w:val="00F5393E"/>
    <w:rsid w:val="00F627AB"/>
    <w:rsid w:val="00F63DD4"/>
    <w:rsid w:val="00F70C0E"/>
    <w:rsid w:val="00F73FC2"/>
    <w:rsid w:val="00F8771B"/>
    <w:rsid w:val="00F87E36"/>
    <w:rsid w:val="00F91C2B"/>
    <w:rsid w:val="00F93FE5"/>
    <w:rsid w:val="00F95392"/>
    <w:rsid w:val="00FA51D3"/>
    <w:rsid w:val="00FA5FE8"/>
    <w:rsid w:val="00FB3C08"/>
    <w:rsid w:val="00FB6F6F"/>
    <w:rsid w:val="00FB7C7C"/>
    <w:rsid w:val="00FC08FA"/>
    <w:rsid w:val="00FC17B3"/>
    <w:rsid w:val="00FC5D04"/>
    <w:rsid w:val="00FC6AFB"/>
    <w:rsid w:val="00FE6B48"/>
    <w:rsid w:val="00FE7706"/>
    <w:rsid w:val="00FF5227"/>
    <w:rsid w:val="157DFE5B"/>
    <w:rsid w:val="1953FEF5"/>
    <w:rsid w:val="208417AA"/>
    <w:rsid w:val="251370F6"/>
    <w:rsid w:val="2C5CC887"/>
    <w:rsid w:val="3F8A01DC"/>
    <w:rsid w:val="40CD0816"/>
    <w:rsid w:val="40FEE137"/>
    <w:rsid w:val="4B8EF7B2"/>
    <w:rsid w:val="4D300B8B"/>
    <w:rsid w:val="50C33E17"/>
    <w:rsid w:val="532A924F"/>
    <w:rsid w:val="542AC687"/>
    <w:rsid w:val="544B4093"/>
    <w:rsid w:val="6C0ADE60"/>
    <w:rsid w:val="7C55A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CC2ADA82-00AF-426A-9203-B04FD2231AA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paragraph" w:styleId="FootnoteText">
    <w:name w:val="footnote text"/>
    <w:basedOn w:val="Normal"/>
    <w:link w:val="FootnoteTextChar"/>
    <w:uiPriority w:val="99"/>
    <w:semiHidden/>
    <w:unhideWhenUsed/>
    <w:rsid w:val="004D1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E53"/>
    <w:rPr>
      <w:sz w:val="20"/>
      <w:szCs w:val="20"/>
    </w:rPr>
  </w:style>
  <w:style w:type="character" w:styleId="FootnoteReference">
    <w:name w:val="footnote reference"/>
    <w:basedOn w:val="DefaultParagraphFont"/>
    <w:uiPriority w:val="99"/>
    <w:semiHidden/>
    <w:unhideWhenUsed/>
    <w:rsid w:val="004D1E53"/>
    <w:rPr>
      <w:vertAlign w:val="superscript"/>
    </w:rPr>
  </w:style>
  <w:style w:type="paragraph" w:styleId="Revision">
    <w:name w:val="Revision"/>
    <w:hidden/>
    <w:uiPriority w:val="99"/>
    <w:semiHidden/>
    <w:rsid w:val="00DD3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480853662">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 w:id="9333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be18ba-3f21-4542-9cb1-4070a1d5beb6" xsi:nil="true"/>
    <lcf76f155ced4ddcb4097134ff3c332f xmlns="1b95f576-ac1d-41e6-9609-5e83155ee8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715311d07e1dfe594a051c714fac9b13">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bec313f2b2f58337428abfa84ef11959"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2.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76be18ba-3f21-4542-9cb1-4070a1d5beb6"/>
    <ds:schemaRef ds:uri="1b95f576-ac1d-41e6-9609-5e83155ee812"/>
  </ds:schemaRefs>
</ds:datastoreItem>
</file>

<file path=customXml/itemProps3.xml><?xml version="1.0" encoding="utf-8"?>
<ds:datastoreItem xmlns:ds="http://schemas.openxmlformats.org/officeDocument/2006/customXml" ds:itemID="{7EBEF460-2159-4765-ABE8-C8BD56ED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184F5-AC42-4352-AF60-5AE5C1C8F0F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1048</ap:Words>
  <ap:Characters>5979</ap:Characters>
  <ap:Application>Microsoft Office Word</ap:Application>
  <ap:DocSecurity>0</ap:DocSecurity>
  <ap:Lines>49</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7013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2025-07-09T09:42:49Z</dcterms:created>
  <dcterms:modified xsi:type="dcterms:W3CDTF">2025-07-09T09:42:49Z</dcterms:modified>
</cp:coreProperties>
</file>