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3D58" w:rsidR="00B84E68" w:rsidP="00A379E2" w:rsidRDefault="00B84E68" w14:paraId="32262D08" w14:textId="77777777">
      <w:pPr>
        <w:keepNext/>
        <w:suppressAutoHyphens/>
        <w:spacing w:after="0" w:line="240" w:lineRule="auto"/>
        <w:jc w:val="center"/>
        <w:rPr>
          <w:rFonts w:ascii="Helvetica" w:hAnsi="Helvetica" w:eastAsia="Times New Roman" w:cs="Helvetica"/>
          <w:b/>
          <w:kern w:val="0"/>
          <w:sz w:val="26"/>
          <w:szCs w:val="26"/>
          <w14:ligatures w14:val="none"/>
        </w:rPr>
      </w:pPr>
      <w:r w:rsidRPr="00173D58">
        <w:rPr>
          <w:rFonts w:ascii="Helvetica" w:hAnsi="Helvetica" w:eastAsia="Times New Roman" w:cs="Helvetica"/>
          <w:b/>
          <w:kern w:val="0"/>
          <w:sz w:val="26"/>
          <w:szCs w:val="26"/>
          <w14:ligatures w14:val="none"/>
        </w:rPr>
        <w:t>PUBLIC UTILITIES COMMISSION OF THE STATE OF CALIFORNIA</w:t>
      </w:r>
    </w:p>
    <w:p w:rsidRPr="00173D58" w:rsidR="008F287D" w:rsidP="00B84E68" w:rsidRDefault="008F287D" w14:paraId="7D9A4C0B" w14:textId="0FC92A28">
      <w:pPr>
        <w:keepNext/>
        <w:suppressAutoHyphens/>
        <w:spacing w:after="0" w:line="240" w:lineRule="auto"/>
        <w:ind w:firstLine="720"/>
        <w:jc w:val="center"/>
        <w:rPr>
          <w:rFonts w:ascii="Palatino Linotype" w:hAnsi="Palatino Linotype" w:eastAsia="Times New Roman" w:cs="Helvetica"/>
          <w:b/>
          <w:kern w:val="0"/>
          <w:sz w:val="24"/>
          <w:szCs w:val="24"/>
          <w14:ligatures w14:val="none"/>
        </w:rPr>
      </w:pPr>
    </w:p>
    <w:p w:rsidR="00BC18B1" w:rsidP="007F55CA" w:rsidRDefault="00BC18B1" w14:paraId="455BE9CF" w14:textId="0A2772D1">
      <w:pPr>
        <w:tabs>
          <w:tab w:val="right" w:pos="9274"/>
        </w:tabs>
        <w:spacing w:after="0" w:line="240" w:lineRule="auto"/>
        <w:rPr>
          <w:rFonts w:ascii="Palatino Linotype" w:hAnsi="Palatino Linotype" w:eastAsia="Times New Roman" w:cs="Times New Roman"/>
          <w:b/>
          <w:kern w:val="0"/>
          <w:sz w:val="24"/>
          <w:szCs w:val="24"/>
          <w14:ligatures w14:val="none"/>
        </w:rPr>
      </w:pPr>
      <w:r>
        <w:rPr>
          <w:rFonts w:ascii="Palatino Linotype" w:hAnsi="Palatino Linotype" w:eastAsia="Times New Roman" w:cs="Times New Roman"/>
          <w:b/>
          <w:kern w:val="0"/>
          <w:sz w:val="24"/>
          <w:szCs w:val="24"/>
          <w14:ligatures w14:val="none"/>
        </w:rPr>
        <w:tab/>
        <w:t>Agenda ID #</w:t>
      </w:r>
      <w:r w:rsidRPr="00CF463E" w:rsidR="00CF463E">
        <w:rPr>
          <w:rFonts w:ascii="Palatino Linotype" w:hAnsi="Palatino Linotype" w:eastAsia="Times New Roman" w:cs="Times New Roman"/>
          <w:b/>
          <w:bCs/>
          <w:kern w:val="0"/>
          <w:sz w:val="24"/>
          <w:szCs w:val="24"/>
          <w14:ligatures w14:val="none"/>
        </w:rPr>
        <w:t>23625</w:t>
      </w:r>
    </w:p>
    <w:p w:rsidRPr="00F17867" w:rsidR="00B84E68" w:rsidP="007F55CA" w:rsidRDefault="00B84E68" w14:paraId="4EDEDAA7" w14:textId="3EB1C83F">
      <w:pPr>
        <w:tabs>
          <w:tab w:val="right" w:pos="9274"/>
        </w:tabs>
        <w:spacing w:after="0" w:line="240" w:lineRule="auto"/>
        <w:rPr>
          <w:rFonts w:ascii="Palatino Linotype" w:hAnsi="Palatino Linotype" w:eastAsia="Times New Roman" w:cs="Times New Roman"/>
          <w:b/>
          <w:kern w:val="0"/>
          <w:sz w:val="24"/>
          <w:szCs w:val="24"/>
          <w14:ligatures w14:val="none"/>
        </w:rPr>
      </w:pPr>
      <w:r w:rsidRPr="00F17867">
        <w:rPr>
          <w:rFonts w:ascii="Palatino Linotype" w:hAnsi="Palatino Linotype" w:eastAsia="Times New Roman" w:cs="Times New Roman"/>
          <w:b/>
          <w:kern w:val="0"/>
          <w:sz w:val="24"/>
          <w:szCs w:val="24"/>
          <w14:ligatures w14:val="none"/>
        </w:rPr>
        <w:t>ENERGY DIV</w:t>
      </w:r>
      <w:r w:rsidRPr="00F17867" w:rsidR="000308A0">
        <w:rPr>
          <w:rFonts w:ascii="Palatino Linotype" w:hAnsi="Palatino Linotype" w:eastAsia="Times New Roman" w:cs="Times New Roman"/>
          <w:b/>
          <w:kern w:val="0"/>
          <w:sz w:val="24"/>
          <w:szCs w:val="24"/>
          <w14:ligatures w14:val="none"/>
        </w:rPr>
        <w:t>ISION</w:t>
      </w:r>
      <w:r w:rsidRPr="007F55CA" w:rsidR="007F55CA">
        <w:rPr>
          <w:rFonts w:ascii="Palatino Linotype" w:hAnsi="Palatino Linotype" w:eastAsia="Times New Roman" w:cs="Times New Roman"/>
          <w:b/>
          <w:kern w:val="0"/>
          <w:sz w:val="24"/>
          <w:szCs w:val="24"/>
          <w14:ligatures w14:val="none"/>
        </w:rPr>
        <w:t xml:space="preserve"> </w:t>
      </w:r>
      <w:r w:rsidR="007F55CA">
        <w:rPr>
          <w:rFonts w:ascii="Palatino Linotype" w:hAnsi="Palatino Linotype" w:eastAsia="Times New Roman" w:cs="Times New Roman"/>
          <w:b/>
          <w:kern w:val="0"/>
          <w:sz w:val="24"/>
          <w:szCs w:val="24"/>
          <w14:ligatures w14:val="none"/>
        </w:rPr>
        <w:tab/>
      </w:r>
      <w:r w:rsidRPr="00F17867" w:rsidR="007F55CA">
        <w:rPr>
          <w:rFonts w:ascii="Palatino Linotype" w:hAnsi="Palatino Linotype" w:eastAsia="Times New Roman" w:cs="Times New Roman"/>
          <w:b/>
          <w:kern w:val="0"/>
          <w:sz w:val="24"/>
          <w:szCs w:val="24"/>
          <w14:ligatures w14:val="none"/>
        </w:rPr>
        <w:t>RESOLUTION E-5409</w:t>
      </w:r>
      <w:r w:rsidRPr="00F17867" w:rsidR="000308A0">
        <w:rPr>
          <w:rFonts w:ascii="Palatino Linotype" w:hAnsi="Palatino Linotype" w:eastAsia="Times New Roman" w:cs="Times New Roman"/>
          <w:b/>
          <w:kern w:val="0"/>
          <w:sz w:val="24"/>
          <w:szCs w:val="24"/>
          <w14:ligatures w14:val="none"/>
        </w:rPr>
        <w:tab/>
      </w:r>
      <w:r w:rsidRPr="00F17867" w:rsidR="000308A0">
        <w:rPr>
          <w:rFonts w:ascii="Palatino Linotype" w:hAnsi="Palatino Linotype" w:eastAsia="Times New Roman" w:cs="Times New Roman"/>
          <w:b/>
          <w:kern w:val="0"/>
          <w:sz w:val="24"/>
          <w:szCs w:val="24"/>
          <w14:ligatures w14:val="none"/>
        </w:rPr>
        <w:tab/>
      </w:r>
      <w:r w:rsidR="007F55CA">
        <w:rPr>
          <w:rFonts w:ascii="Palatino Linotype" w:hAnsi="Palatino Linotype" w:eastAsia="Times New Roman" w:cs="Times New Roman"/>
          <w:b/>
          <w:kern w:val="0"/>
          <w:sz w:val="24"/>
          <w:szCs w:val="24"/>
          <w14:ligatures w14:val="none"/>
        </w:rPr>
        <w:t>August 14, 2025</w:t>
      </w:r>
      <w:r w:rsidRPr="00F17867" w:rsidR="000308A0">
        <w:rPr>
          <w:rFonts w:ascii="Palatino Linotype" w:hAnsi="Palatino Linotype" w:eastAsia="Times New Roman" w:cs="Times New Roman"/>
          <w:b/>
          <w:kern w:val="0"/>
          <w:sz w:val="24"/>
          <w:szCs w:val="24"/>
          <w14:ligatures w14:val="none"/>
        </w:rPr>
        <w:tab/>
      </w:r>
      <w:r w:rsidRPr="00F17867" w:rsidR="000308A0">
        <w:rPr>
          <w:rFonts w:ascii="Palatino Linotype" w:hAnsi="Palatino Linotype" w:eastAsia="Times New Roman" w:cs="Times New Roman"/>
          <w:b/>
          <w:kern w:val="0"/>
          <w:sz w:val="24"/>
          <w:szCs w:val="24"/>
          <w14:ligatures w14:val="none"/>
        </w:rPr>
        <w:tab/>
        <w:t xml:space="preserve">          </w:t>
      </w:r>
    </w:p>
    <w:p w:rsidR="00FC08C6" w:rsidP="00BC18B1" w:rsidRDefault="00FC08C6" w14:paraId="43607AA2" w14:textId="77777777">
      <w:pPr>
        <w:keepNext/>
        <w:spacing w:after="120" w:line="240" w:lineRule="auto"/>
        <w:jc w:val="center"/>
        <w:rPr>
          <w:rFonts w:ascii="Helvetica" w:hAnsi="Helvetica" w:eastAsia="Times New Roman" w:cs="Helvetica"/>
          <w:b/>
          <w:spacing w:val="120"/>
          <w:kern w:val="0"/>
          <w:sz w:val="26"/>
          <w:szCs w:val="26"/>
          <w:u w:val="single"/>
          <w14:ligatures w14:val="none"/>
        </w:rPr>
      </w:pPr>
      <w:bookmarkStart w:name="_Ref404993683" w:id="0"/>
      <w:r>
        <w:rPr>
          <w:rFonts w:ascii="Helvetica" w:hAnsi="Helvetica" w:eastAsia="Times New Roman" w:cs="Helvetica"/>
          <w:b/>
          <w:spacing w:val="120"/>
          <w:kern w:val="0"/>
          <w:sz w:val="26"/>
          <w:szCs w:val="26"/>
          <w:u w:val="single"/>
          <w14:ligatures w14:val="none"/>
        </w:rPr>
        <w:t>REDACTED</w:t>
      </w:r>
    </w:p>
    <w:p w:rsidRPr="00344365" w:rsidR="00B84E68" w:rsidP="00B84E68" w:rsidRDefault="00B84E68" w14:paraId="10A08A4B" w14:textId="059EA916">
      <w:pPr>
        <w:keepNext/>
        <w:spacing w:after="0" w:line="240" w:lineRule="auto"/>
        <w:jc w:val="center"/>
        <w:rPr>
          <w:rFonts w:ascii="Helvetica" w:hAnsi="Helvetica" w:eastAsia="Times New Roman" w:cs="Helvetica"/>
          <w:b/>
          <w:spacing w:val="120"/>
          <w:kern w:val="0"/>
          <w:sz w:val="26"/>
          <w:szCs w:val="26"/>
          <w:u w:val="single"/>
          <w14:ligatures w14:val="none"/>
        </w:rPr>
      </w:pPr>
      <w:r w:rsidRPr="00344365">
        <w:rPr>
          <w:rFonts w:ascii="Helvetica" w:hAnsi="Helvetica" w:eastAsia="Times New Roman" w:cs="Helvetica"/>
          <w:b/>
          <w:spacing w:val="120"/>
          <w:kern w:val="0"/>
          <w:sz w:val="26"/>
          <w:szCs w:val="26"/>
          <w:u w:val="single"/>
          <w14:ligatures w14:val="none"/>
        </w:rPr>
        <w:t>RESOLUTION</w:t>
      </w:r>
    </w:p>
    <w:p w:rsidRPr="00173D58" w:rsidR="00B84E68" w:rsidP="00B84E68" w:rsidRDefault="00B84E68" w14:paraId="79E6095A" w14:textId="77777777">
      <w:pPr>
        <w:spacing w:after="0" w:line="240" w:lineRule="auto"/>
        <w:rPr>
          <w:rFonts w:ascii="Palatino Linotype" w:hAnsi="Palatino Linotype" w:eastAsia="Times New Roman" w:cs="Times New Roman"/>
          <w:kern w:val="0"/>
          <w:sz w:val="24"/>
          <w:szCs w:val="24"/>
          <w14:ligatures w14:val="none"/>
        </w:rPr>
      </w:pPr>
    </w:p>
    <w:p w:rsidRPr="004A174A" w:rsidR="00B84E68" w:rsidP="00A379E2" w:rsidRDefault="00B84E68" w14:paraId="0901C50C" w14:textId="3EC6995A">
      <w:pPr>
        <w:spacing w:after="0" w:line="240" w:lineRule="auto"/>
        <w:ind w:right="720"/>
        <w:rPr>
          <w:rFonts w:ascii="Palatino Linotype" w:hAnsi="Palatino Linotype" w:eastAsia="Times New Roman" w:cs="Times New Roman"/>
          <w:kern w:val="0"/>
          <w:sz w:val="24"/>
          <w:szCs w:val="24"/>
          <w14:ligatures w14:val="none"/>
        </w:rPr>
      </w:pPr>
      <w:bookmarkStart w:name="_Hlk91749413" w:id="1"/>
      <w:r w:rsidRPr="004A174A">
        <w:rPr>
          <w:rFonts w:ascii="Palatino Linotype" w:hAnsi="Palatino Linotype" w:eastAsia="Times New Roman" w:cs="Times New Roman"/>
          <w:kern w:val="0"/>
          <w:sz w:val="24"/>
          <w:szCs w:val="24"/>
          <w14:ligatures w14:val="none"/>
        </w:rPr>
        <w:t>Resolution E-</w:t>
      </w:r>
      <w:r w:rsidRPr="004A174A" w:rsidR="00F17867">
        <w:rPr>
          <w:rFonts w:ascii="Palatino Linotype" w:hAnsi="Palatino Linotype" w:eastAsia="Times New Roman" w:cs="Times New Roman"/>
          <w:kern w:val="0"/>
          <w:sz w:val="24"/>
          <w:szCs w:val="24"/>
          <w14:ligatures w14:val="none"/>
        </w:rPr>
        <w:t>5409</w:t>
      </w:r>
      <w:r w:rsidRPr="004A174A">
        <w:rPr>
          <w:rFonts w:ascii="Palatino Linotype" w:hAnsi="Palatino Linotype" w:eastAsia="Times New Roman" w:cs="Times New Roman"/>
          <w:kern w:val="0"/>
          <w:sz w:val="24"/>
          <w:szCs w:val="24"/>
          <w14:ligatures w14:val="none"/>
        </w:rPr>
        <w:t>. Pacific Gas &amp; Electric Company Request for A</w:t>
      </w:r>
      <w:r w:rsidRPr="004A174A" w:rsidR="00FD52D8">
        <w:rPr>
          <w:rFonts w:ascii="Palatino Linotype" w:hAnsi="Palatino Linotype" w:eastAsia="Times New Roman" w:cs="Times New Roman"/>
          <w:kern w:val="0"/>
          <w:sz w:val="24"/>
          <w:szCs w:val="24"/>
          <w14:ligatures w14:val="none"/>
        </w:rPr>
        <w:t xml:space="preserve">pproval of </w:t>
      </w:r>
      <w:r w:rsidR="00BC18B1">
        <w:rPr>
          <w:rFonts w:ascii="Palatino Linotype" w:hAnsi="Palatino Linotype" w:eastAsia="Times New Roman" w:cs="Times New Roman"/>
          <w:kern w:val="0"/>
          <w:sz w:val="24"/>
          <w:szCs w:val="24"/>
          <w14:ligatures w14:val="none"/>
        </w:rPr>
        <w:br/>
      </w:r>
      <w:r w:rsidRPr="004A174A">
        <w:rPr>
          <w:rFonts w:ascii="Palatino Linotype" w:hAnsi="Palatino Linotype" w:eastAsia="Times New Roman" w:cs="Times New Roman"/>
          <w:kern w:val="0"/>
          <w:sz w:val="24"/>
          <w:szCs w:val="24"/>
          <w14:ligatures w14:val="none"/>
        </w:rPr>
        <w:t>Mid-</w:t>
      </w:r>
      <w:r w:rsidRPr="004A174A" w:rsidR="000308A0">
        <w:rPr>
          <w:rFonts w:ascii="Palatino Linotype" w:hAnsi="Palatino Linotype" w:eastAsia="Times New Roman" w:cs="Times New Roman"/>
          <w:kern w:val="0"/>
          <w:sz w:val="24"/>
          <w:szCs w:val="24"/>
          <w14:ligatures w14:val="none"/>
        </w:rPr>
        <w:t>T</w:t>
      </w:r>
      <w:r w:rsidRPr="004A174A">
        <w:rPr>
          <w:rFonts w:ascii="Palatino Linotype" w:hAnsi="Palatino Linotype" w:eastAsia="Times New Roman" w:cs="Times New Roman"/>
          <w:kern w:val="0"/>
          <w:sz w:val="24"/>
          <w:szCs w:val="24"/>
          <w14:ligatures w14:val="none"/>
        </w:rPr>
        <w:t xml:space="preserve">erm Reliability </w:t>
      </w:r>
      <w:r w:rsidRPr="004A174A" w:rsidR="00FD52D8">
        <w:rPr>
          <w:rFonts w:ascii="Palatino Linotype" w:hAnsi="Palatino Linotype" w:eastAsia="Times New Roman" w:cs="Times New Roman"/>
          <w:kern w:val="0"/>
          <w:sz w:val="24"/>
          <w:szCs w:val="24"/>
          <w14:ligatures w14:val="none"/>
        </w:rPr>
        <w:t>Procurement Pursuant to Decision</w:t>
      </w:r>
      <w:r w:rsidRPr="004A174A" w:rsidR="54242B4E">
        <w:rPr>
          <w:rFonts w:ascii="Palatino Linotype" w:hAnsi="Palatino Linotype" w:eastAsia="Times New Roman" w:cs="Times New Roman"/>
          <w:kern w:val="0"/>
          <w:sz w:val="24"/>
          <w:szCs w:val="24"/>
          <w14:ligatures w14:val="none"/>
        </w:rPr>
        <w:t xml:space="preserve"> (D.) </w:t>
      </w:r>
      <w:r w:rsidRPr="004A174A" w:rsidR="00937138">
        <w:rPr>
          <w:rFonts w:ascii="Palatino Linotype" w:hAnsi="Palatino Linotype" w:eastAsia="Times New Roman" w:cs="Times New Roman"/>
          <w:kern w:val="0"/>
          <w:sz w:val="24"/>
          <w:szCs w:val="24"/>
          <w14:ligatures w14:val="none"/>
        </w:rPr>
        <w:t xml:space="preserve">21-06-035 and </w:t>
      </w:r>
      <w:r w:rsidR="00BC18B1">
        <w:rPr>
          <w:rFonts w:ascii="Palatino Linotype" w:hAnsi="Palatino Linotype" w:eastAsia="Times New Roman" w:cs="Times New Roman"/>
          <w:kern w:val="0"/>
          <w:sz w:val="24"/>
          <w:szCs w:val="24"/>
          <w14:ligatures w14:val="none"/>
        </w:rPr>
        <w:br/>
      </w:r>
      <w:r w:rsidRPr="004A174A" w:rsidR="16B86018">
        <w:rPr>
          <w:rFonts w:ascii="Palatino Linotype" w:hAnsi="Palatino Linotype" w:eastAsia="Times New Roman" w:cs="Times New Roman"/>
          <w:kern w:val="0"/>
          <w:sz w:val="24"/>
          <w:szCs w:val="24"/>
          <w14:ligatures w14:val="none"/>
        </w:rPr>
        <w:t xml:space="preserve">D. </w:t>
      </w:r>
      <w:r w:rsidRPr="004A174A" w:rsidR="00937138">
        <w:rPr>
          <w:rFonts w:ascii="Palatino Linotype" w:hAnsi="Palatino Linotype" w:eastAsia="Times New Roman" w:cs="Times New Roman"/>
          <w:kern w:val="0"/>
          <w:sz w:val="24"/>
          <w:szCs w:val="24"/>
          <w14:ligatures w14:val="none"/>
        </w:rPr>
        <w:t>23-02-040</w:t>
      </w:r>
      <w:r w:rsidR="002A0337">
        <w:rPr>
          <w:rFonts w:ascii="Palatino Linotype" w:hAnsi="Palatino Linotype" w:eastAsia="Times New Roman" w:cs="Times New Roman"/>
          <w:kern w:val="0"/>
          <w:sz w:val="24"/>
          <w:szCs w:val="24"/>
          <w14:ligatures w14:val="none"/>
        </w:rPr>
        <w:t xml:space="preserve"> under Rulemaking (R)</w:t>
      </w:r>
      <w:r w:rsidRPr="004A174A">
        <w:rPr>
          <w:rFonts w:ascii="Palatino Linotype" w:hAnsi="Palatino Linotype" w:eastAsia="Times New Roman" w:cs="Times New Roman"/>
          <w:kern w:val="0"/>
          <w:sz w:val="24"/>
          <w:szCs w:val="24"/>
          <w14:ligatures w14:val="none"/>
        </w:rPr>
        <w:t>.</w:t>
      </w:r>
      <w:r w:rsidR="002A0337">
        <w:rPr>
          <w:rFonts w:ascii="Palatino Linotype" w:hAnsi="Palatino Linotype" w:eastAsia="Times New Roman" w:cs="Times New Roman"/>
          <w:kern w:val="0"/>
          <w:sz w:val="24"/>
          <w:szCs w:val="24"/>
          <w14:ligatures w14:val="none"/>
        </w:rPr>
        <w:t xml:space="preserve"> 20-05-003.</w:t>
      </w:r>
    </w:p>
    <w:p w:rsidRPr="004A174A" w:rsidR="00B84E68" w:rsidP="00B84E68" w:rsidRDefault="00B84E68" w14:paraId="23F120DF" w14:textId="77777777">
      <w:pPr>
        <w:spacing w:after="0" w:line="240" w:lineRule="auto"/>
        <w:ind w:left="720" w:right="720"/>
        <w:rPr>
          <w:rFonts w:ascii="Palatino Linotype" w:hAnsi="Palatino Linotype" w:eastAsia="Times New Roman" w:cs="Times New Roman"/>
          <w:kern w:val="0"/>
          <w:sz w:val="24"/>
          <w:szCs w:val="24"/>
          <w14:ligatures w14:val="none"/>
        </w:rPr>
      </w:pPr>
    </w:p>
    <w:p w:rsidRPr="004A174A" w:rsidR="00B84E68" w:rsidP="00A379E2" w:rsidRDefault="00B84E68" w14:paraId="7486D7BC" w14:textId="77777777">
      <w:pPr>
        <w:spacing w:after="0" w:line="240" w:lineRule="auto"/>
        <w:ind w:right="720"/>
        <w:rPr>
          <w:rFonts w:ascii="Palatino Linotype" w:hAnsi="Palatino Linotype" w:eastAsia="Times New Roman" w:cs="Times New Roman"/>
          <w:kern w:val="0"/>
          <w:sz w:val="24"/>
          <w:szCs w:val="24"/>
          <w14:ligatures w14:val="none"/>
        </w:rPr>
      </w:pPr>
      <w:r w:rsidRPr="004A174A">
        <w:rPr>
          <w:rFonts w:ascii="Palatino Linotype" w:hAnsi="Palatino Linotype" w:eastAsia="Times New Roman" w:cs="Times New Roman"/>
          <w:kern w:val="0"/>
          <w:sz w:val="24"/>
          <w:szCs w:val="24"/>
          <w14:ligatures w14:val="none"/>
        </w:rPr>
        <w:t xml:space="preserve">PROPOSED OUTCOME: </w:t>
      </w:r>
    </w:p>
    <w:p w:rsidRPr="004A174A" w:rsidR="00B84E68" w:rsidP="00A379E2" w:rsidRDefault="00B84E68" w14:paraId="740F477F" w14:textId="12BBB892">
      <w:pPr>
        <w:numPr>
          <w:ilvl w:val="0"/>
          <w:numId w:val="4"/>
        </w:numPr>
        <w:spacing w:after="0" w:line="240" w:lineRule="auto"/>
        <w:ind w:left="360" w:right="720"/>
        <w:rPr>
          <w:rFonts w:ascii="Palatino Linotype" w:hAnsi="Palatino Linotype" w:eastAsia="Palatino" w:cs="Palatino"/>
          <w:kern w:val="0"/>
          <w:sz w:val="24"/>
          <w:szCs w:val="24"/>
          <w14:ligatures w14:val="none"/>
        </w:rPr>
      </w:pPr>
      <w:r w:rsidRPr="004A174A">
        <w:rPr>
          <w:rFonts w:ascii="Palatino Linotype" w:hAnsi="Palatino Linotype" w:eastAsia="Palatino" w:cs="Palatino"/>
          <w:kern w:val="0"/>
          <w:sz w:val="24"/>
          <w:szCs w:val="24"/>
          <w14:ligatures w14:val="none"/>
        </w:rPr>
        <w:t xml:space="preserve">This Resolution approves </w:t>
      </w:r>
      <w:r w:rsidRPr="004A174A" w:rsidR="00063CB7">
        <w:rPr>
          <w:rFonts w:ascii="Palatino Linotype" w:hAnsi="Palatino Linotype" w:eastAsia="Palatino" w:cs="Palatino"/>
          <w:kern w:val="0"/>
          <w:sz w:val="24"/>
          <w:szCs w:val="24"/>
          <w14:ligatures w14:val="none"/>
        </w:rPr>
        <w:t>one</w:t>
      </w:r>
      <w:r w:rsidRPr="004A174A" w:rsidR="00792970">
        <w:rPr>
          <w:rFonts w:ascii="Palatino Linotype" w:hAnsi="Palatino Linotype" w:eastAsia="Palatino" w:cs="Palatino"/>
          <w:kern w:val="0"/>
          <w:sz w:val="24"/>
          <w:szCs w:val="24"/>
          <w14:ligatures w14:val="none"/>
        </w:rPr>
        <w:t xml:space="preserve"> </w:t>
      </w:r>
      <w:r w:rsidRPr="004A174A">
        <w:rPr>
          <w:rFonts w:ascii="Palatino Linotype" w:hAnsi="Palatino Linotype" w:eastAsia="Palatino" w:cs="Palatino"/>
          <w:kern w:val="0"/>
          <w:sz w:val="24"/>
          <w:szCs w:val="24"/>
          <w14:ligatures w14:val="none"/>
        </w:rPr>
        <w:t>Pacific</w:t>
      </w:r>
      <w:r w:rsidRPr="004A174A">
        <w:rPr>
          <w:rFonts w:ascii="Palatino Linotype" w:hAnsi="Palatino Linotype" w:eastAsia="Times New Roman" w:cs="Times New Roman"/>
          <w:kern w:val="0"/>
          <w:sz w:val="24"/>
          <w:szCs w:val="24"/>
          <w14:ligatures w14:val="none"/>
        </w:rPr>
        <w:t xml:space="preserve"> Gas &amp; Electric Company mid-term reliability contract </w:t>
      </w:r>
      <w:r w:rsidRPr="004A174A" w:rsidR="00486D35">
        <w:rPr>
          <w:rFonts w:ascii="Palatino Linotype" w:hAnsi="Palatino Linotype" w:eastAsia="Times New Roman" w:cs="Times New Roman"/>
          <w:kern w:val="0"/>
          <w:sz w:val="24"/>
          <w:szCs w:val="24"/>
          <w14:ligatures w14:val="none"/>
        </w:rPr>
        <w:t>and related cost</w:t>
      </w:r>
      <w:r w:rsidRPr="004A174A" w:rsidR="500BBEFF">
        <w:rPr>
          <w:rFonts w:ascii="Palatino Linotype" w:hAnsi="Palatino Linotype" w:eastAsia="Times New Roman" w:cs="Times New Roman"/>
          <w:kern w:val="0"/>
          <w:sz w:val="24"/>
          <w:szCs w:val="24"/>
          <w14:ligatures w14:val="none"/>
        </w:rPr>
        <w:t>s</w:t>
      </w:r>
      <w:r w:rsidRPr="004A174A" w:rsidR="00486D35">
        <w:rPr>
          <w:rFonts w:ascii="Palatino Linotype" w:hAnsi="Palatino Linotype" w:eastAsia="Times New Roman" w:cs="Times New Roman"/>
          <w:kern w:val="0"/>
          <w:sz w:val="24"/>
          <w:szCs w:val="24"/>
          <w14:ligatures w14:val="none"/>
        </w:rPr>
        <w:t xml:space="preserve"> </w:t>
      </w:r>
      <w:r w:rsidRPr="004A174A" w:rsidR="00792970">
        <w:rPr>
          <w:rFonts w:ascii="Palatino Linotype" w:hAnsi="Palatino Linotype" w:eastAsia="Times New Roman" w:cs="Times New Roman"/>
          <w:kern w:val="0"/>
          <w:sz w:val="24"/>
          <w:szCs w:val="24"/>
          <w14:ligatures w14:val="none"/>
        </w:rPr>
        <w:t xml:space="preserve">for </w:t>
      </w:r>
      <w:r w:rsidRPr="004A174A" w:rsidR="00AB630C">
        <w:rPr>
          <w:rFonts w:ascii="Palatino Linotype" w:hAnsi="Palatino Linotype" w:eastAsia="Times New Roman" w:cs="Times New Roman"/>
          <w:kern w:val="0"/>
          <w:sz w:val="24"/>
          <w:szCs w:val="24"/>
          <w14:ligatures w14:val="none"/>
        </w:rPr>
        <w:t xml:space="preserve">80 </w:t>
      </w:r>
      <w:r w:rsidRPr="004A174A" w:rsidR="000F153A">
        <w:rPr>
          <w:rFonts w:ascii="Palatino Linotype" w:hAnsi="Palatino Linotype"/>
          <w:kern w:val="0"/>
          <w:sz w:val="24"/>
          <w:szCs w:val="24"/>
          <w14:ligatures w14:val="none"/>
        </w:rPr>
        <w:t xml:space="preserve">megawatts </w:t>
      </w:r>
      <w:r w:rsidRPr="004A174A" w:rsidR="001573E9">
        <w:rPr>
          <w:rFonts w:ascii="Palatino Linotype" w:hAnsi="Palatino Linotype" w:eastAsia="Times New Roman" w:cs="Times New Roman"/>
          <w:kern w:val="0"/>
          <w:sz w:val="24"/>
          <w:szCs w:val="24"/>
          <w14:ligatures w14:val="none"/>
        </w:rPr>
        <w:t>of nameplate battery energy storage capacity.</w:t>
      </w:r>
    </w:p>
    <w:bookmarkEnd w:id="1"/>
    <w:p w:rsidRPr="004A174A" w:rsidR="00B84E68" w:rsidP="00B84E68" w:rsidRDefault="00B84E68" w14:paraId="0936CB40" w14:textId="77777777">
      <w:pPr>
        <w:spacing w:after="0" w:line="240" w:lineRule="auto"/>
        <w:ind w:left="720" w:right="720"/>
        <w:rPr>
          <w:rFonts w:ascii="Palatino Linotype" w:hAnsi="Palatino Linotype" w:eastAsia="Palatino" w:cs="Palatino"/>
          <w:kern w:val="0"/>
          <w:sz w:val="24"/>
          <w:szCs w:val="24"/>
          <w14:ligatures w14:val="none"/>
        </w:rPr>
      </w:pPr>
    </w:p>
    <w:p w:rsidRPr="004A174A" w:rsidR="00B84E68" w:rsidP="00A379E2" w:rsidRDefault="00B84E68" w14:paraId="16201053" w14:textId="77777777">
      <w:pPr>
        <w:spacing w:after="0" w:line="240" w:lineRule="auto"/>
        <w:ind w:right="720"/>
        <w:rPr>
          <w:rFonts w:ascii="Palatino Linotype" w:hAnsi="Palatino Linotype" w:eastAsia="Times New Roman" w:cs="Times New Roman"/>
          <w:kern w:val="0"/>
          <w:sz w:val="24"/>
          <w:szCs w:val="24"/>
          <w14:ligatures w14:val="none"/>
        </w:rPr>
      </w:pPr>
      <w:r w:rsidRPr="004A174A">
        <w:rPr>
          <w:rFonts w:ascii="Palatino Linotype" w:hAnsi="Palatino Linotype" w:eastAsia="Times New Roman" w:cs="Times New Roman"/>
          <w:kern w:val="0"/>
          <w:sz w:val="24"/>
          <w:szCs w:val="24"/>
          <w14:ligatures w14:val="none"/>
        </w:rPr>
        <w:t>SAFETY CONSIDERATIONS:</w:t>
      </w:r>
    </w:p>
    <w:p w:rsidRPr="004A174A" w:rsidR="00F20F19" w:rsidP="00A379E2" w:rsidRDefault="00F20F19" w14:paraId="671EEADC" w14:textId="26BD92A7">
      <w:pPr>
        <w:pStyle w:val="Res-Caption"/>
        <w:numPr>
          <w:ilvl w:val="0"/>
          <w:numId w:val="3"/>
        </w:numPr>
        <w:ind w:left="360"/>
        <w:rPr>
          <w:rFonts w:ascii="Palatino Linotype" w:hAnsi="Palatino Linotype"/>
          <w:sz w:val="24"/>
          <w:szCs w:val="24"/>
        </w:rPr>
      </w:pPr>
      <w:r w:rsidRPr="004A174A">
        <w:rPr>
          <w:rFonts w:ascii="Palatino Linotype" w:hAnsi="Palatino Linotype"/>
          <w:sz w:val="24"/>
          <w:szCs w:val="24"/>
        </w:rPr>
        <w:t xml:space="preserve">The project will be owned, constructed, and operated by a third party. The seller of the project </w:t>
      </w:r>
      <w:r w:rsidRPr="59E71D8F" w:rsidR="5103779B">
        <w:rPr>
          <w:rFonts w:ascii="Palatino Linotype" w:hAnsi="Palatino Linotype"/>
          <w:sz w:val="24"/>
          <w:szCs w:val="24"/>
        </w:rPr>
        <w:t xml:space="preserve">is </w:t>
      </w:r>
      <w:r w:rsidRPr="004A174A">
        <w:rPr>
          <w:rFonts w:ascii="Palatino Linotype" w:hAnsi="Palatino Linotype"/>
          <w:sz w:val="24"/>
          <w:szCs w:val="24"/>
        </w:rPr>
        <w:t>responsible for the safe construction and operation of their facilities in compliance with standards for electrical practices and all applicable laws, including safety regulations.</w:t>
      </w:r>
    </w:p>
    <w:p w:rsidR="009A31DB" w:rsidP="009A31DB" w:rsidRDefault="009A31DB" w14:paraId="722D7ED5" w14:textId="7A0EB587">
      <w:pPr>
        <w:numPr>
          <w:ilvl w:val="0"/>
          <w:numId w:val="3"/>
        </w:numPr>
        <w:autoSpaceDE w:val="0"/>
        <w:autoSpaceDN w:val="0"/>
        <w:adjustRightInd w:val="0"/>
        <w:spacing w:after="0" w:line="240" w:lineRule="auto"/>
        <w:ind w:left="360"/>
        <w:contextualSpacing/>
        <w:rPr>
          <w:rFonts w:ascii="Palatino Linotype" w:hAnsi="Palatino Linotype" w:eastAsia="Palatino" w:cs="Palatino"/>
          <w:kern w:val="0"/>
          <w:sz w:val="24"/>
          <w:szCs w:val="24"/>
          <w14:ligatures w14:val="none"/>
        </w:rPr>
      </w:pPr>
      <w:r w:rsidRPr="00173D58">
        <w:rPr>
          <w:rFonts w:ascii="Palatino Linotype" w:hAnsi="Palatino Linotype" w:eastAsia="Palatino" w:cs="Palatino"/>
          <w:kern w:val="0"/>
          <w:sz w:val="24"/>
          <w:szCs w:val="24"/>
          <w14:ligatures w14:val="none"/>
        </w:rPr>
        <w:t>Pacific Gas &amp; Electric Company’s</w:t>
      </w:r>
      <w:r w:rsidRPr="00173D58" w:rsidDel="001A10D0">
        <w:rPr>
          <w:rFonts w:ascii="Palatino Linotype" w:hAnsi="Palatino Linotype" w:eastAsia="Palatino" w:cs="Palatino"/>
          <w:kern w:val="0"/>
          <w:sz w:val="24"/>
          <w:szCs w:val="24"/>
          <w14:ligatures w14:val="none"/>
        </w:rPr>
        <w:t xml:space="preserve"> </w:t>
      </w:r>
      <w:r w:rsidRPr="00173D58">
        <w:rPr>
          <w:rFonts w:ascii="Palatino Linotype" w:hAnsi="Palatino Linotype" w:eastAsia="Palatino" w:cs="Palatino"/>
          <w:kern w:val="0"/>
          <w:sz w:val="24"/>
          <w:szCs w:val="24"/>
          <w14:ligatures w14:val="none"/>
        </w:rPr>
        <w:t xml:space="preserve">contractual terms and conditions require sellers to practice responsible safety management based on 1) standards for Prudent Electrical Practices, 2) all applicable laws and regulations, and 3) requirements of Pacific Gas &amp; Electric Company’s Contractor Safety Program. </w:t>
      </w:r>
    </w:p>
    <w:p w:rsidRPr="00E3504C" w:rsidR="00E3504C" w:rsidP="00E3504C" w:rsidRDefault="00E3504C" w14:paraId="7FFA8683" w14:textId="57DEBC35">
      <w:pPr>
        <w:pStyle w:val="Res-Caption"/>
        <w:numPr>
          <w:ilvl w:val="0"/>
          <w:numId w:val="3"/>
        </w:numPr>
        <w:ind w:left="360"/>
        <w:rPr>
          <w:rFonts w:ascii="Palatino Linotype" w:hAnsi="Palatino Linotype"/>
          <w:sz w:val="24"/>
          <w:szCs w:val="24"/>
        </w:rPr>
      </w:pPr>
      <w:r>
        <w:rPr>
          <w:rFonts w:ascii="Palatino Linotype" w:hAnsi="Palatino Linotype"/>
          <w:sz w:val="24"/>
          <w:szCs w:val="24"/>
        </w:rPr>
        <w:t>S</w:t>
      </w:r>
      <w:r w:rsidRPr="0026325E">
        <w:rPr>
          <w:rFonts w:ascii="Palatino Linotype" w:hAnsi="Palatino Linotype"/>
          <w:sz w:val="24"/>
          <w:szCs w:val="24"/>
        </w:rPr>
        <w:t>eller is required to have a project safety pla</w:t>
      </w:r>
      <w:r>
        <w:rPr>
          <w:rFonts w:ascii="Palatino Linotype" w:hAnsi="Palatino Linotype"/>
          <w:sz w:val="24"/>
          <w:szCs w:val="24"/>
        </w:rPr>
        <w:t xml:space="preserve">n </w:t>
      </w:r>
      <w:r w:rsidRPr="0026325E">
        <w:rPr>
          <w:rFonts w:ascii="Palatino Linotype" w:hAnsi="Palatino Linotype"/>
          <w:sz w:val="24"/>
          <w:szCs w:val="24"/>
        </w:rPr>
        <w:t>that demonstrates responsible safety management during all</w:t>
      </w:r>
      <w:r>
        <w:rPr>
          <w:rFonts w:ascii="Palatino Linotype" w:hAnsi="Palatino Linotype"/>
          <w:sz w:val="24"/>
          <w:szCs w:val="24"/>
        </w:rPr>
        <w:t xml:space="preserve"> lifecycle</w:t>
      </w:r>
      <w:r w:rsidRPr="0026325E">
        <w:rPr>
          <w:rFonts w:ascii="Palatino Linotype" w:hAnsi="Palatino Linotype"/>
          <w:sz w:val="24"/>
          <w:szCs w:val="24"/>
        </w:rPr>
        <w:t xml:space="preserve"> phases</w:t>
      </w:r>
      <w:r>
        <w:rPr>
          <w:rFonts w:ascii="Palatino Linotype" w:hAnsi="Palatino Linotype"/>
          <w:sz w:val="24"/>
          <w:szCs w:val="24"/>
        </w:rPr>
        <w:t>,</w:t>
      </w:r>
      <w:r w:rsidRPr="0026325E">
        <w:rPr>
          <w:rFonts w:ascii="Palatino Linotype" w:hAnsi="Palatino Linotype"/>
          <w:sz w:val="24"/>
          <w:szCs w:val="24"/>
        </w:rPr>
        <w:t xml:space="preserve"> referenc</w:t>
      </w:r>
      <w:r>
        <w:rPr>
          <w:rFonts w:ascii="Palatino Linotype" w:hAnsi="Palatino Linotype"/>
          <w:sz w:val="24"/>
          <w:szCs w:val="24"/>
        </w:rPr>
        <w:t>ing</w:t>
      </w:r>
      <w:r w:rsidRPr="0026325E">
        <w:rPr>
          <w:rFonts w:ascii="Palatino Linotype" w:hAnsi="Palatino Linotype"/>
          <w:sz w:val="24"/>
          <w:szCs w:val="24"/>
        </w:rPr>
        <w:t xml:space="preserve"> applicable safety-related codes and standards</w:t>
      </w:r>
      <w:r w:rsidRPr="00CD5997">
        <w:rPr>
          <w:rFonts w:ascii="Palatino Linotype" w:hAnsi="Palatino Linotype"/>
          <w:sz w:val="24"/>
          <w:szCs w:val="24"/>
        </w:rPr>
        <w:t xml:space="preserve"> </w:t>
      </w:r>
      <w:r w:rsidRPr="0026325E">
        <w:rPr>
          <w:rFonts w:ascii="Palatino Linotype" w:hAnsi="Palatino Linotype"/>
          <w:sz w:val="24"/>
          <w:szCs w:val="24"/>
        </w:rPr>
        <w:t xml:space="preserve">and </w:t>
      </w:r>
      <w:r>
        <w:rPr>
          <w:rFonts w:ascii="Palatino Linotype" w:hAnsi="Palatino Linotype"/>
          <w:sz w:val="24"/>
          <w:szCs w:val="24"/>
        </w:rPr>
        <w:t>its own</w:t>
      </w:r>
      <w:r w:rsidRPr="0026325E">
        <w:rPr>
          <w:rFonts w:ascii="Palatino Linotype" w:hAnsi="Palatino Linotype"/>
          <w:sz w:val="24"/>
          <w:szCs w:val="24"/>
        </w:rPr>
        <w:t xml:space="preserve"> safety programs and policies</w:t>
      </w:r>
      <w:r>
        <w:rPr>
          <w:rFonts w:ascii="Palatino Linotype" w:hAnsi="Palatino Linotype"/>
          <w:sz w:val="24"/>
          <w:szCs w:val="24"/>
        </w:rPr>
        <w:t xml:space="preserve">, and </w:t>
      </w:r>
      <w:r w:rsidRPr="0026325E">
        <w:rPr>
          <w:rFonts w:ascii="Palatino Linotype" w:hAnsi="Palatino Linotype"/>
          <w:sz w:val="24"/>
          <w:szCs w:val="24"/>
        </w:rPr>
        <w:t>describ</w:t>
      </w:r>
      <w:r>
        <w:rPr>
          <w:rFonts w:ascii="Palatino Linotype" w:hAnsi="Palatino Linotype"/>
          <w:sz w:val="24"/>
          <w:szCs w:val="24"/>
        </w:rPr>
        <w:t>ing</w:t>
      </w:r>
      <w:r w:rsidRPr="0026325E">
        <w:rPr>
          <w:rFonts w:ascii="Palatino Linotype" w:hAnsi="Palatino Linotype"/>
          <w:sz w:val="24"/>
          <w:szCs w:val="24"/>
        </w:rPr>
        <w:t xml:space="preserve"> the project design and key safety-related systems</w:t>
      </w:r>
      <w:r>
        <w:rPr>
          <w:rFonts w:ascii="Palatino Linotype" w:hAnsi="Palatino Linotype"/>
          <w:sz w:val="24"/>
          <w:szCs w:val="24"/>
        </w:rPr>
        <w:t xml:space="preserve">, including </w:t>
      </w:r>
      <w:r w:rsidRPr="0026325E">
        <w:rPr>
          <w:rFonts w:ascii="Palatino Linotype" w:hAnsi="Palatino Linotype"/>
          <w:sz w:val="24"/>
          <w:szCs w:val="24"/>
        </w:rPr>
        <w:t>potential hazards and risk mitigations</w:t>
      </w:r>
      <w:r>
        <w:rPr>
          <w:rFonts w:ascii="Palatino Linotype" w:hAnsi="Palatino Linotype"/>
          <w:sz w:val="24"/>
          <w:szCs w:val="24"/>
        </w:rPr>
        <w:t>/</w:t>
      </w:r>
      <w:r w:rsidRPr="0026325E">
        <w:rPr>
          <w:rFonts w:ascii="Palatino Linotype" w:hAnsi="Palatino Linotype"/>
          <w:sz w:val="24"/>
          <w:szCs w:val="24"/>
        </w:rPr>
        <w:t xml:space="preserve">safeguards. </w:t>
      </w:r>
      <w:r>
        <w:rPr>
          <w:rFonts w:ascii="Palatino Linotype" w:hAnsi="Palatino Linotype"/>
          <w:sz w:val="24"/>
          <w:szCs w:val="24"/>
        </w:rPr>
        <w:t>T</w:t>
      </w:r>
      <w:r w:rsidRPr="0026325E">
        <w:rPr>
          <w:rFonts w:ascii="Palatino Linotype" w:hAnsi="Palatino Linotype"/>
          <w:sz w:val="24"/>
          <w:szCs w:val="24"/>
        </w:rPr>
        <w:t>he seller is required to demonstrate and enforce its contractors’ and subcontractors’ compliance with the safety requirements</w:t>
      </w:r>
      <w:r w:rsidR="000C22DC">
        <w:rPr>
          <w:rFonts w:ascii="Palatino Linotype" w:hAnsi="Palatino Linotype"/>
          <w:sz w:val="24"/>
          <w:szCs w:val="24"/>
        </w:rPr>
        <w:t>, including CPUC General Order (GO) 167.</w:t>
      </w:r>
    </w:p>
    <w:p w:rsidRPr="00173D58" w:rsidR="00B84E68" w:rsidP="00A379E2" w:rsidRDefault="00B84E68" w14:paraId="2AF04E14" w14:textId="77777777">
      <w:pPr>
        <w:spacing w:after="0" w:line="240" w:lineRule="auto"/>
        <w:ind w:left="360" w:right="720" w:hanging="360"/>
        <w:rPr>
          <w:rFonts w:ascii="Palatino Linotype" w:hAnsi="Palatino Linotype" w:eastAsia="Times New Roman" w:cs="Times New Roman"/>
          <w:color w:val="FF0000"/>
          <w:kern w:val="0"/>
          <w:sz w:val="24"/>
          <w:szCs w:val="24"/>
          <w14:ligatures w14:val="none"/>
        </w:rPr>
      </w:pPr>
    </w:p>
    <w:p w:rsidRPr="00173D58" w:rsidR="00B84E68" w:rsidP="00A379E2" w:rsidRDefault="00B84E68" w14:paraId="5FF01E05" w14:textId="77777777">
      <w:pPr>
        <w:spacing w:after="0" w:line="240" w:lineRule="auto"/>
        <w:ind w:right="72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ESTIMATED COST:  </w:t>
      </w:r>
    </w:p>
    <w:p w:rsidRPr="00173D58" w:rsidR="00B84E68" w:rsidP="00A379E2" w:rsidRDefault="00B84E68" w14:paraId="19BC8DF8" w14:textId="11AB725C">
      <w:pPr>
        <w:numPr>
          <w:ilvl w:val="0"/>
          <w:numId w:val="3"/>
        </w:numPr>
        <w:spacing w:after="0" w:line="240" w:lineRule="auto"/>
        <w:ind w:left="360" w:right="72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Contract costs are </w:t>
      </w:r>
      <w:r w:rsidR="005B5CE3">
        <w:rPr>
          <w:rFonts w:ascii="Palatino Linotype" w:hAnsi="Palatino Linotype" w:eastAsia="Times New Roman" w:cs="Times New Roman"/>
          <w:kern w:val="0"/>
          <w:sz w:val="24"/>
          <w:szCs w:val="24"/>
          <w14:ligatures w14:val="none"/>
        </w:rPr>
        <w:t>currently confidential</w:t>
      </w:r>
      <w:r w:rsidRPr="00173D58">
        <w:rPr>
          <w:rFonts w:ascii="Palatino Linotype" w:hAnsi="Palatino Linotype" w:eastAsia="Times New Roman" w:cs="Times New Roman"/>
          <w:kern w:val="0"/>
          <w:sz w:val="24"/>
          <w:szCs w:val="24"/>
          <w14:ligatures w14:val="none"/>
        </w:rPr>
        <w:t xml:space="preserve">. </w:t>
      </w:r>
    </w:p>
    <w:p w:rsidRPr="00173D58" w:rsidR="00B84E68" w:rsidP="00B84E68" w:rsidRDefault="00B84E68" w14:paraId="719F2900" w14:textId="77777777">
      <w:pPr>
        <w:spacing w:after="0" w:line="240" w:lineRule="auto"/>
        <w:ind w:left="720" w:right="720"/>
        <w:rPr>
          <w:rFonts w:ascii="Palatino Linotype" w:hAnsi="Palatino Linotype" w:eastAsia="Times New Roman" w:cs="Times New Roman"/>
          <w:kern w:val="0"/>
          <w:sz w:val="24"/>
          <w:szCs w:val="24"/>
          <w14:ligatures w14:val="none"/>
        </w:rPr>
      </w:pPr>
    </w:p>
    <w:p w:rsidRPr="00173D58" w:rsidR="00B84E68" w:rsidP="00A379E2" w:rsidRDefault="00B84E68" w14:paraId="01F4D0E7" w14:textId="3B481F40">
      <w:pPr>
        <w:spacing w:after="0" w:line="240" w:lineRule="auto"/>
        <w:ind w:right="72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By Advice Letter </w:t>
      </w:r>
      <w:r w:rsidRPr="00173D58" w:rsidR="4ADDF40F">
        <w:rPr>
          <w:rFonts w:ascii="Palatino Linotype" w:hAnsi="Palatino Linotype" w:eastAsia="Times New Roman" w:cs="Times New Roman"/>
          <w:kern w:val="0"/>
          <w:sz w:val="24"/>
          <w:szCs w:val="24"/>
          <w14:ligatures w14:val="none"/>
        </w:rPr>
        <w:t xml:space="preserve">(AL) </w:t>
      </w:r>
      <w:r w:rsidR="00CD31B7">
        <w:rPr>
          <w:rFonts w:ascii="Palatino Linotype" w:hAnsi="Palatino Linotype" w:eastAsia="Times New Roman" w:cs="Times New Roman"/>
          <w:kern w:val="0"/>
          <w:sz w:val="24"/>
          <w:szCs w:val="24"/>
          <w14:ligatures w14:val="none"/>
        </w:rPr>
        <w:t>7602</w:t>
      </w:r>
      <w:r w:rsidRPr="00173D58">
        <w:rPr>
          <w:rFonts w:ascii="Palatino Linotype" w:hAnsi="Palatino Linotype" w:eastAsia="Times New Roman" w:cs="Times New Roman"/>
          <w:kern w:val="0"/>
          <w:sz w:val="24"/>
          <w:szCs w:val="24"/>
          <w14:ligatures w14:val="none"/>
        </w:rPr>
        <w:t xml:space="preserve">-E, Filed on </w:t>
      </w:r>
      <w:r w:rsidR="00222970">
        <w:rPr>
          <w:rFonts w:ascii="Palatino Linotype" w:hAnsi="Palatino Linotype" w:eastAsia="Times New Roman" w:cs="Times New Roman"/>
          <w:kern w:val="0"/>
          <w:sz w:val="24"/>
          <w:szCs w:val="24"/>
          <w14:ligatures w14:val="none"/>
        </w:rPr>
        <w:t>May 21, 2025</w:t>
      </w:r>
      <w:r w:rsidRPr="00173D58">
        <w:rPr>
          <w:rFonts w:ascii="Palatino Linotype" w:hAnsi="Palatino Linotype" w:eastAsia="Times New Roman" w:cs="Times New Roman"/>
          <w:kern w:val="0"/>
          <w:sz w:val="24"/>
          <w:szCs w:val="24"/>
          <w14:ligatures w14:val="none"/>
        </w:rPr>
        <w:t xml:space="preserve">. </w:t>
      </w:r>
    </w:p>
    <w:p w:rsidRPr="00173D58" w:rsidR="00B84E68" w:rsidP="00B84E68" w:rsidRDefault="00B84E68" w14:paraId="27FED09D" w14:textId="77777777">
      <w:pPr>
        <w:spacing w:after="0" w:line="240" w:lineRule="auto"/>
        <w:jc w:val="center"/>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__________________________________________________________</w:t>
      </w:r>
    </w:p>
    <w:p w:rsidRPr="00A379E2" w:rsidR="00B84E68" w:rsidP="00B84E68" w:rsidRDefault="00B84E68" w14:paraId="7595CE55" w14:textId="77777777">
      <w:pPr>
        <w:spacing w:after="0" w:line="240" w:lineRule="auto"/>
        <w:rPr>
          <w:rFonts w:ascii="Palatino Linotype" w:hAnsi="Palatino Linotype" w:eastAsia="Times New Roman" w:cs="Times New Roman"/>
          <w:b/>
          <w:kern w:val="0"/>
          <w:sz w:val="16"/>
          <w:szCs w:val="16"/>
          <w14:ligatures w14:val="none"/>
        </w:rPr>
      </w:pPr>
    </w:p>
    <w:p w:rsidRPr="00173D58" w:rsidR="00B84E68" w:rsidP="00B8533D" w:rsidRDefault="00B84E68" w14:paraId="0F1985AC" w14:textId="77777777">
      <w:pPr>
        <w:keepNext/>
        <w:spacing w:before="120" w:after="120" w:line="240" w:lineRule="auto"/>
        <w:outlineLvl w:val="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b/>
          <w:caps/>
          <w:kern w:val="28"/>
          <w:sz w:val="24"/>
          <w:szCs w:val="24"/>
          <w:u w:val="single"/>
          <w14:ligatures w14:val="none"/>
        </w:rPr>
        <w:lastRenderedPageBreak/>
        <w:t>Summary</w:t>
      </w:r>
      <w:bookmarkEnd w:id="0"/>
    </w:p>
    <w:p w:rsidR="00F53F7E" w:rsidP="00AB630C" w:rsidRDefault="000752A4" w14:paraId="6129D573" w14:textId="14CB1B71">
      <w:pPr>
        <w:autoSpaceDE w:val="0"/>
        <w:autoSpaceDN w:val="0"/>
        <w:adjustRightInd w:val="0"/>
        <w:spacing w:after="0" w:line="240" w:lineRule="auto"/>
        <w:rPr>
          <w:rFonts w:ascii="Palatino Linotype" w:hAnsi="Palatino Linotype"/>
          <w:sz w:val="24"/>
          <w:szCs w:val="24"/>
        </w:rPr>
      </w:pPr>
      <w:r w:rsidRPr="00AB630C">
        <w:rPr>
          <w:rFonts w:ascii="Palatino Linotype" w:hAnsi="Palatino Linotype"/>
          <w:sz w:val="24"/>
          <w:szCs w:val="24"/>
        </w:rPr>
        <w:t xml:space="preserve">This Resolution approves </w:t>
      </w:r>
      <w:r w:rsidRPr="00AB630C" w:rsidR="2D7FA234">
        <w:rPr>
          <w:rFonts w:ascii="Palatino Linotype" w:hAnsi="Palatino Linotype"/>
          <w:sz w:val="24"/>
          <w:szCs w:val="24"/>
        </w:rPr>
        <w:t>PG&amp;E’s Advice Letter (AL) that requests approval of</w:t>
      </w:r>
      <w:r w:rsidRPr="00AB630C">
        <w:rPr>
          <w:rFonts w:ascii="Palatino Linotype" w:hAnsi="Palatino Linotype"/>
          <w:sz w:val="24"/>
          <w:szCs w:val="24"/>
        </w:rPr>
        <w:t xml:space="preserve"> </w:t>
      </w:r>
      <w:r w:rsidR="00BB3133">
        <w:rPr>
          <w:rFonts w:ascii="Palatino Linotype" w:hAnsi="Palatino Linotype"/>
          <w:sz w:val="24"/>
          <w:szCs w:val="24"/>
        </w:rPr>
        <w:t>one</w:t>
      </w:r>
      <w:r w:rsidRPr="00AB630C">
        <w:rPr>
          <w:rFonts w:ascii="Palatino Linotype" w:hAnsi="Palatino Linotype"/>
          <w:sz w:val="24"/>
          <w:szCs w:val="24"/>
        </w:rPr>
        <w:t xml:space="preserve"> </w:t>
      </w:r>
      <w:r w:rsidR="00FC08C6">
        <w:rPr>
          <w:rFonts w:ascii="Palatino Linotype" w:hAnsi="Palatino Linotype"/>
          <w:sz w:val="24"/>
          <w:szCs w:val="24"/>
        </w:rPr>
        <w:br/>
      </w:r>
      <w:r w:rsidRPr="00AB630C">
        <w:rPr>
          <w:rFonts w:ascii="Palatino Linotype" w:hAnsi="Palatino Linotype"/>
          <w:sz w:val="24"/>
          <w:szCs w:val="24"/>
        </w:rPr>
        <w:t>mid-term reliability (</w:t>
      </w:r>
      <w:r w:rsidRPr="00AB630C" w:rsidR="00F53F7E">
        <w:rPr>
          <w:rFonts w:ascii="Palatino Linotype" w:hAnsi="Palatino Linotype"/>
          <w:sz w:val="24"/>
          <w:szCs w:val="24"/>
        </w:rPr>
        <w:t>“</w:t>
      </w:r>
      <w:r w:rsidRPr="00AB630C">
        <w:rPr>
          <w:rFonts w:ascii="Palatino Linotype" w:hAnsi="Palatino Linotype"/>
          <w:sz w:val="24"/>
          <w:szCs w:val="24"/>
        </w:rPr>
        <w:t>MTR</w:t>
      </w:r>
      <w:r w:rsidRPr="00AB630C" w:rsidR="00F53F7E">
        <w:rPr>
          <w:rFonts w:ascii="Palatino Linotype" w:hAnsi="Palatino Linotype"/>
          <w:sz w:val="24"/>
          <w:szCs w:val="24"/>
        </w:rPr>
        <w:t>”</w:t>
      </w:r>
      <w:r w:rsidRPr="00AB630C">
        <w:rPr>
          <w:rFonts w:ascii="Palatino Linotype" w:hAnsi="Palatino Linotype"/>
          <w:sz w:val="24"/>
          <w:szCs w:val="24"/>
        </w:rPr>
        <w:t>) long</w:t>
      </w:r>
      <w:r w:rsidRPr="00AB630C" w:rsidR="004F6DA4">
        <w:rPr>
          <w:rFonts w:ascii="Palatino Linotype" w:hAnsi="Palatino Linotype"/>
          <w:sz w:val="24"/>
          <w:szCs w:val="24"/>
        </w:rPr>
        <w:t xml:space="preserve"> </w:t>
      </w:r>
      <w:r w:rsidRPr="00AB630C">
        <w:rPr>
          <w:rFonts w:ascii="Palatino Linotype" w:hAnsi="Palatino Linotype"/>
          <w:sz w:val="24"/>
          <w:szCs w:val="24"/>
        </w:rPr>
        <w:t>term resource adequacy</w:t>
      </w:r>
      <w:r w:rsidR="00F17867">
        <w:rPr>
          <w:rFonts w:ascii="Palatino Linotype" w:hAnsi="Palatino Linotype"/>
          <w:sz w:val="24"/>
          <w:szCs w:val="24"/>
        </w:rPr>
        <w:t xml:space="preserve"> (“RA”)</w:t>
      </w:r>
      <w:r w:rsidRPr="00AB630C">
        <w:rPr>
          <w:rFonts w:ascii="Palatino Linotype" w:hAnsi="Palatino Linotype"/>
          <w:sz w:val="24"/>
          <w:szCs w:val="24"/>
        </w:rPr>
        <w:t xml:space="preserve"> agreement with energy settlement (</w:t>
      </w:r>
      <w:r w:rsidR="00C16538">
        <w:rPr>
          <w:rFonts w:ascii="Palatino Linotype" w:hAnsi="Palatino Linotype"/>
          <w:sz w:val="24"/>
          <w:szCs w:val="24"/>
        </w:rPr>
        <w:t>“</w:t>
      </w:r>
      <w:r w:rsidRPr="00AB630C">
        <w:rPr>
          <w:rFonts w:ascii="Palatino Linotype" w:hAnsi="Palatino Linotype"/>
          <w:sz w:val="24"/>
          <w:szCs w:val="24"/>
        </w:rPr>
        <w:t>LTRAA w/ ES</w:t>
      </w:r>
      <w:r w:rsidR="00C16538">
        <w:rPr>
          <w:rFonts w:ascii="Palatino Linotype" w:hAnsi="Palatino Linotype"/>
          <w:sz w:val="24"/>
          <w:szCs w:val="24"/>
        </w:rPr>
        <w:t>”</w:t>
      </w:r>
      <w:r w:rsidRPr="00AB630C">
        <w:rPr>
          <w:rFonts w:ascii="Palatino Linotype" w:hAnsi="Palatino Linotype"/>
          <w:sz w:val="24"/>
          <w:szCs w:val="24"/>
        </w:rPr>
        <w:t>) storage contracts</w:t>
      </w:r>
      <w:r w:rsidRPr="00AB630C" w:rsidR="00F53F7E">
        <w:rPr>
          <w:rFonts w:ascii="Palatino Linotype" w:hAnsi="Palatino Linotype"/>
          <w:sz w:val="24"/>
          <w:szCs w:val="24"/>
        </w:rPr>
        <w:t xml:space="preserve"> (“MTR Contract”)</w:t>
      </w:r>
      <w:r w:rsidRPr="00AB630C">
        <w:rPr>
          <w:rFonts w:ascii="Palatino Linotype" w:hAnsi="Palatino Linotype"/>
          <w:sz w:val="24"/>
          <w:szCs w:val="24"/>
        </w:rPr>
        <w:t xml:space="preserve"> with </w:t>
      </w:r>
      <w:r w:rsidR="00F35025">
        <w:rPr>
          <w:rFonts w:ascii="Palatino Linotype" w:hAnsi="Palatino Linotype"/>
          <w:sz w:val="24"/>
          <w:szCs w:val="24"/>
        </w:rPr>
        <w:t xml:space="preserve">Calpine Corporation’s (“Calpine”) </w:t>
      </w:r>
      <w:r w:rsidRPr="00AB630C" w:rsidR="00AB630C">
        <w:rPr>
          <w:rFonts w:ascii="Palatino Linotype" w:hAnsi="Palatino Linotype"/>
          <w:sz w:val="24"/>
          <w:szCs w:val="24"/>
        </w:rPr>
        <w:t xml:space="preserve">Pastoria Power, LLC (owner of </w:t>
      </w:r>
      <w:r w:rsidRPr="00AB630C" w:rsidR="00AB630C">
        <w:rPr>
          <w:rFonts w:ascii="Palatino Linotype" w:hAnsi="Palatino Linotype" w:cs="Arial"/>
          <w:kern w:val="0"/>
          <w:sz w:val="24"/>
          <w:szCs w:val="24"/>
        </w:rPr>
        <w:t xml:space="preserve">Pastoria Power Bank </w:t>
      </w:r>
      <w:r w:rsidR="00B374B6">
        <w:rPr>
          <w:rFonts w:ascii="Palatino Linotype" w:hAnsi="Palatino Linotype" w:cs="Arial"/>
          <w:kern w:val="0"/>
          <w:sz w:val="24"/>
          <w:szCs w:val="24"/>
        </w:rPr>
        <w:t>P</w:t>
      </w:r>
      <w:r w:rsidRPr="00AB630C" w:rsidR="00AB630C">
        <w:rPr>
          <w:rFonts w:ascii="Palatino Linotype" w:hAnsi="Palatino Linotype" w:cs="Arial"/>
          <w:kern w:val="0"/>
          <w:sz w:val="24"/>
          <w:szCs w:val="24"/>
        </w:rPr>
        <w:t>roject)</w:t>
      </w:r>
      <w:r w:rsidR="00AB630C">
        <w:rPr>
          <w:rFonts w:ascii="Palatino Linotype" w:hAnsi="Palatino Linotype"/>
          <w:sz w:val="24"/>
          <w:szCs w:val="24"/>
        </w:rPr>
        <w:t xml:space="preserve"> </w:t>
      </w:r>
      <w:r w:rsidRPr="00AB630C">
        <w:rPr>
          <w:rFonts w:ascii="Palatino Linotype" w:hAnsi="Palatino Linotype"/>
          <w:sz w:val="24"/>
          <w:szCs w:val="24"/>
        </w:rPr>
        <w:t xml:space="preserve">for </w:t>
      </w:r>
      <w:r w:rsidRPr="00AB630C" w:rsidR="68C9A641">
        <w:rPr>
          <w:rFonts w:ascii="Palatino Linotype" w:hAnsi="Palatino Linotype"/>
          <w:sz w:val="24"/>
          <w:szCs w:val="24"/>
        </w:rPr>
        <w:t xml:space="preserve">a </w:t>
      </w:r>
      <w:r w:rsidR="006E7982">
        <w:rPr>
          <w:rFonts w:ascii="Palatino Linotype" w:hAnsi="Palatino Linotype"/>
          <w:sz w:val="24"/>
          <w:szCs w:val="24"/>
        </w:rPr>
        <w:t xml:space="preserve">15-year contract term for </w:t>
      </w:r>
      <w:r w:rsidRPr="00AB630C" w:rsidR="009E4C84">
        <w:rPr>
          <w:rFonts w:ascii="Palatino Linotype" w:hAnsi="Palatino Linotype"/>
          <w:sz w:val="24"/>
          <w:szCs w:val="24"/>
        </w:rPr>
        <w:t xml:space="preserve">a total of </w:t>
      </w:r>
      <w:r w:rsidR="00AB630C">
        <w:rPr>
          <w:rFonts w:ascii="Palatino Linotype" w:hAnsi="Palatino Linotype"/>
          <w:sz w:val="24"/>
          <w:szCs w:val="24"/>
        </w:rPr>
        <w:t>80</w:t>
      </w:r>
      <w:r w:rsidRPr="00AB630C" w:rsidR="009E4C84">
        <w:rPr>
          <w:rFonts w:ascii="Palatino Linotype" w:hAnsi="Palatino Linotype"/>
          <w:sz w:val="24"/>
          <w:szCs w:val="24"/>
        </w:rPr>
        <w:t xml:space="preserve"> </w:t>
      </w:r>
      <w:r w:rsidRPr="00AB630C">
        <w:rPr>
          <w:rFonts w:ascii="Palatino Linotype" w:hAnsi="Palatino Linotype"/>
          <w:sz w:val="24"/>
          <w:szCs w:val="24"/>
        </w:rPr>
        <w:t xml:space="preserve">megawatts (MW) of </w:t>
      </w:r>
      <w:r w:rsidRPr="00AB630C" w:rsidR="0078008E">
        <w:rPr>
          <w:rFonts w:ascii="Palatino Linotype" w:hAnsi="Palatino Linotype"/>
          <w:sz w:val="24"/>
          <w:szCs w:val="24"/>
        </w:rPr>
        <w:t xml:space="preserve">nameplate </w:t>
      </w:r>
      <w:r w:rsidRPr="00AB630C">
        <w:rPr>
          <w:rFonts w:ascii="Palatino Linotype" w:hAnsi="Palatino Linotype"/>
          <w:sz w:val="24"/>
          <w:szCs w:val="24"/>
        </w:rPr>
        <w:t>capacity</w:t>
      </w:r>
      <w:r w:rsidRPr="00AB630C" w:rsidR="6773EBE1">
        <w:rPr>
          <w:rFonts w:ascii="Palatino Linotype" w:hAnsi="Palatino Linotype"/>
          <w:sz w:val="24"/>
          <w:szCs w:val="24"/>
        </w:rPr>
        <w:t>. Under the contract,</w:t>
      </w:r>
      <w:r w:rsidRPr="00AB630C">
        <w:rPr>
          <w:rFonts w:ascii="Palatino Linotype" w:hAnsi="Palatino Linotype"/>
          <w:sz w:val="24"/>
          <w:szCs w:val="24"/>
        </w:rPr>
        <w:t xml:space="preserve"> </w:t>
      </w:r>
      <w:r w:rsidRPr="00AB630C" w:rsidR="161D2F06">
        <w:rPr>
          <w:rFonts w:ascii="Palatino Linotype" w:hAnsi="Palatino Linotype"/>
          <w:sz w:val="24"/>
          <w:szCs w:val="24"/>
        </w:rPr>
        <w:t>deliveries are</w:t>
      </w:r>
      <w:r w:rsidRPr="00AB630C">
        <w:rPr>
          <w:rFonts w:ascii="Palatino Linotype" w:hAnsi="Palatino Linotype"/>
          <w:sz w:val="24"/>
          <w:szCs w:val="24"/>
        </w:rPr>
        <w:t xml:space="preserve"> expected to begin on </w:t>
      </w:r>
      <w:r w:rsidR="004B7DB6">
        <w:rPr>
          <w:rFonts w:ascii="Palatino Linotype" w:hAnsi="Palatino Linotype"/>
          <w:sz w:val="24"/>
          <w:szCs w:val="24"/>
        </w:rPr>
        <w:t xml:space="preserve">July 1, </w:t>
      </w:r>
      <w:r w:rsidR="00B1122E">
        <w:rPr>
          <w:rFonts w:ascii="Palatino Linotype" w:hAnsi="Palatino Linotype"/>
          <w:sz w:val="24"/>
          <w:szCs w:val="24"/>
        </w:rPr>
        <w:t>202</w:t>
      </w:r>
      <w:r w:rsidR="006E7982">
        <w:rPr>
          <w:rFonts w:ascii="Palatino Linotype" w:hAnsi="Palatino Linotype"/>
          <w:sz w:val="24"/>
          <w:szCs w:val="24"/>
        </w:rPr>
        <w:t>6</w:t>
      </w:r>
      <w:r w:rsidRPr="00AB630C">
        <w:rPr>
          <w:rFonts w:ascii="Palatino Linotype" w:hAnsi="Palatino Linotype"/>
          <w:sz w:val="24"/>
          <w:szCs w:val="24"/>
        </w:rPr>
        <w:t>. Pacific Gas and Electric Company (</w:t>
      </w:r>
      <w:r w:rsidRPr="00AB630C" w:rsidR="00F53F7E">
        <w:rPr>
          <w:rFonts w:ascii="Palatino Linotype" w:hAnsi="Palatino Linotype"/>
          <w:sz w:val="24"/>
          <w:szCs w:val="24"/>
        </w:rPr>
        <w:t>“</w:t>
      </w:r>
      <w:r w:rsidRPr="00AB630C">
        <w:rPr>
          <w:rFonts w:ascii="Palatino Linotype" w:hAnsi="Palatino Linotype"/>
          <w:sz w:val="24"/>
          <w:szCs w:val="24"/>
        </w:rPr>
        <w:t>PG&amp;E</w:t>
      </w:r>
      <w:r w:rsidRPr="00AB630C" w:rsidR="00F53F7E">
        <w:rPr>
          <w:rFonts w:ascii="Palatino Linotype" w:hAnsi="Palatino Linotype"/>
          <w:sz w:val="24"/>
          <w:szCs w:val="24"/>
        </w:rPr>
        <w:t>”</w:t>
      </w:r>
      <w:r w:rsidRPr="00AB630C">
        <w:rPr>
          <w:rFonts w:ascii="Palatino Linotype" w:hAnsi="Palatino Linotype"/>
          <w:sz w:val="24"/>
          <w:szCs w:val="24"/>
        </w:rPr>
        <w:t xml:space="preserve">) procured </w:t>
      </w:r>
      <w:r w:rsidR="00B1122E">
        <w:rPr>
          <w:rFonts w:ascii="Palatino Linotype" w:hAnsi="Palatino Linotype"/>
          <w:sz w:val="24"/>
          <w:szCs w:val="24"/>
        </w:rPr>
        <w:t>this</w:t>
      </w:r>
      <w:r w:rsidRPr="00AB630C">
        <w:rPr>
          <w:rFonts w:ascii="Palatino Linotype" w:hAnsi="Palatino Linotype"/>
          <w:sz w:val="24"/>
          <w:szCs w:val="24"/>
        </w:rPr>
        <w:t xml:space="preserve"> resource to satisfy a portion of its MTR requirements. </w:t>
      </w:r>
      <w:r w:rsidRPr="00AB630C" w:rsidR="00F20F19">
        <w:rPr>
          <w:rFonts w:ascii="Palatino Linotype" w:hAnsi="Palatino Linotype"/>
          <w:sz w:val="24"/>
          <w:szCs w:val="24"/>
        </w:rPr>
        <w:t xml:space="preserve">The </w:t>
      </w:r>
      <w:r w:rsidRPr="00AB630C" w:rsidR="00F53F7E">
        <w:rPr>
          <w:rFonts w:ascii="Palatino Linotype" w:hAnsi="Palatino Linotype"/>
          <w:sz w:val="24"/>
          <w:szCs w:val="24"/>
        </w:rPr>
        <w:t>MTR C</w:t>
      </w:r>
      <w:r w:rsidRPr="00AB630C" w:rsidR="00F20F19">
        <w:rPr>
          <w:rFonts w:ascii="Palatino Linotype" w:hAnsi="Palatino Linotype"/>
          <w:sz w:val="24"/>
          <w:szCs w:val="24"/>
        </w:rPr>
        <w:t xml:space="preserve">ontract for which PG&amp;E seeks approval in </w:t>
      </w:r>
      <w:r w:rsidRPr="00AB630C" w:rsidR="152BA347">
        <w:rPr>
          <w:rFonts w:ascii="Palatino Linotype" w:hAnsi="Palatino Linotype"/>
          <w:sz w:val="24"/>
          <w:szCs w:val="24"/>
        </w:rPr>
        <w:t>AL</w:t>
      </w:r>
      <w:r w:rsidRPr="00AB630C" w:rsidR="00F20F19">
        <w:rPr>
          <w:rFonts w:ascii="Palatino Linotype" w:hAnsi="Palatino Linotype"/>
          <w:sz w:val="24"/>
          <w:szCs w:val="24"/>
        </w:rPr>
        <w:t xml:space="preserve"> </w:t>
      </w:r>
      <w:r w:rsidR="007D4DD9">
        <w:rPr>
          <w:rFonts w:ascii="Palatino Linotype" w:hAnsi="Palatino Linotype"/>
          <w:sz w:val="24"/>
          <w:szCs w:val="24"/>
        </w:rPr>
        <w:t>7602</w:t>
      </w:r>
      <w:r w:rsidRPr="00AB630C" w:rsidR="00F20F19">
        <w:rPr>
          <w:rFonts w:ascii="Palatino Linotype" w:hAnsi="Palatino Linotype"/>
          <w:sz w:val="24"/>
          <w:szCs w:val="24"/>
        </w:rPr>
        <w:t xml:space="preserve">-E </w:t>
      </w:r>
      <w:r w:rsidR="002E25DD">
        <w:rPr>
          <w:rFonts w:ascii="Palatino Linotype" w:hAnsi="Palatino Linotype"/>
          <w:sz w:val="24"/>
          <w:szCs w:val="24"/>
        </w:rPr>
        <w:t>is</w:t>
      </w:r>
      <w:r w:rsidR="00E8606E">
        <w:rPr>
          <w:rFonts w:ascii="Palatino Linotype" w:hAnsi="Palatino Linotype"/>
          <w:sz w:val="24"/>
          <w:szCs w:val="24"/>
        </w:rPr>
        <w:t xml:space="preserve"> </w:t>
      </w:r>
      <w:r w:rsidRPr="00AB630C" w:rsidR="00F20F19">
        <w:rPr>
          <w:rFonts w:ascii="Palatino Linotype" w:hAnsi="Palatino Linotype"/>
          <w:sz w:val="24"/>
          <w:szCs w:val="24"/>
        </w:rPr>
        <w:t>summarized in the table below:</w:t>
      </w:r>
    </w:p>
    <w:p w:rsidR="002E25DD" w:rsidP="00AB630C" w:rsidRDefault="002E25DD" w14:paraId="34D67B19" w14:textId="77777777">
      <w:pPr>
        <w:autoSpaceDE w:val="0"/>
        <w:autoSpaceDN w:val="0"/>
        <w:adjustRightInd w:val="0"/>
        <w:spacing w:after="0" w:line="240" w:lineRule="auto"/>
        <w:rPr>
          <w:rFonts w:ascii="Palatino Linotype" w:hAnsi="Palatino Linotype"/>
          <w:sz w:val="24"/>
          <w:szCs w:val="24"/>
        </w:rPr>
      </w:pPr>
    </w:p>
    <w:tbl>
      <w:tblPr>
        <w:tblStyle w:val="TableGrid"/>
        <w:tblW w:w="9805" w:type="dxa"/>
        <w:tblLook w:val="04A0" w:firstRow="1" w:lastRow="0" w:firstColumn="1" w:lastColumn="0" w:noHBand="0" w:noVBand="1"/>
      </w:tblPr>
      <w:tblGrid>
        <w:gridCol w:w="1866"/>
        <w:gridCol w:w="1459"/>
        <w:gridCol w:w="2340"/>
        <w:gridCol w:w="1170"/>
        <w:gridCol w:w="1260"/>
        <w:gridCol w:w="1710"/>
      </w:tblGrid>
      <w:tr w:rsidRPr="00E60C23" w:rsidR="00E60C23" w:rsidTr="00E60C23" w14:paraId="6CCDE940" w14:textId="77777777">
        <w:tc>
          <w:tcPr>
            <w:tcW w:w="1866" w:type="dxa"/>
          </w:tcPr>
          <w:p w:rsidRPr="00E60C23" w:rsidR="002E25DD" w:rsidP="00AB630C" w:rsidRDefault="002E25DD" w14:paraId="4488AFE2" w14:textId="3B5D6A1D">
            <w:pPr>
              <w:autoSpaceDE w:val="0"/>
              <w:autoSpaceDN w:val="0"/>
              <w:adjustRightInd w:val="0"/>
              <w:rPr>
                <w:rFonts w:ascii="Palatino Linotype" w:hAnsi="Palatino Linotype"/>
                <w:b/>
                <w:bCs/>
                <w:sz w:val="23"/>
                <w:szCs w:val="23"/>
              </w:rPr>
            </w:pPr>
            <w:r w:rsidRPr="00E60C23">
              <w:rPr>
                <w:rFonts w:ascii="Palatino Linotype" w:hAnsi="Palatino Linotype"/>
                <w:b/>
                <w:bCs/>
                <w:sz w:val="23"/>
                <w:szCs w:val="23"/>
              </w:rPr>
              <w:t>Counterparty (Project Name)</w:t>
            </w:r>
          </w:p>
        </w:tc>
        <w:tc>
          <w:tcPr>
            <w:tcW w:w="1459" w:type="dxa"/>
          </w:tcPr>
          <w:p w:rsidRPr="00E60C23" w:rsidR="002E25DD" w:rsidP="00AB630C" w:rsidRDefault="002E25DD" w14:paraId="4AD04ED6" w14:textId="118A8FC2">
            <w:pPr>
              <w:autoSpaceDE w:val="0"/>
              <w:autoSpaceDN w:val="0"/>
              <w:adjustRightInd w:val="0"/>
              <w:rPr>
                <w:rFonts w:ascii="Palatino Linotype" w:hAnsi="Palatino Linotype"/>
                <w:b/>
                <w:bCs/>
                <w:sz w:val="23"/>
                <w:szCs w:val="23"/>
              </w:rPr>
            </w:pPr>
            <w:r w:rsidRPr="00E60C23">
              <w:rPr>
                <w:rFonts w:ascii="Palatino Linotype" w:hAnsi="Palatino Linotype"/>
                <w:b/>
                <w:bCs/>
                <w:sz w:val="23"/>
                <w:szCs w:val="23"/>
              </w:rPr>
              <w:t>Resource Type</w:t>
            </w:r>
          </w:p>
        </w:tc>
        <w:tc>
          <w:tcPr>
            <w:tcW w:w="2340" w:type="dxa"/>
          </w:tcPr>
          <w:p w:rsidRPr="00E60C23" w:rsidR="002E25DD" w:rsidP="00AB630C" w:rsidRDefault="002E25DD" w14:paraId="346D4A80" w14:textId="0ACA2D32">
            <w:pPr>
              <w:autoSpaceDE w:val="0"/>
              <w:autoSpaceDN w:val="0"/>
              <w:adjustRightInd w:val="0"/>
              <w:rPr>
                <w:rFonts w:ascii="Palatino Linotype" w:hAnsi="Palatino Linotype"/>
                <w:b/>
                <w:bCs/>
                <w:sz w:val="23"/>
                <w:szCs w:val="23"/>
              </w:rPr>
            </w:pPr>
            <w:r w:rsidRPr="00E60C23">
              <w:rPr>
                <w:rFonts w:ascii="Palatino Linotype" w:hAnsi="Palatino Linotype"/>
                <w:b/>
                <w:bCs/>
                <w:sz w:val="23"/>
                <w:szCs w:val="23"/>
              </w:rPr>
              <w:t>Contract Type</w:t>
            </w:r>
          </w:p>
        </w:tc>
        <w:tc>
          <w:tcPr>
            <w:tcW w:w="1170" w:type="dxa"/>
          </w:tcPr>
          <w:p w:rsidRPr="00E60C23" w:rsidR="002E25DD" w:rsidP="00AB630C" w:rsidRDefault="002E25DD" w14:paraId="5FCFD369" w14:textId="4840BBD6">
            <w:pPr>
              <w:autoSpaceDE w:val="0"/>
              <w:autoSpaceDN w:val="0"/>
              <w:adjustRightInd w:val="0"/>
              <w:rPr>
                <w:rFonts w:ascii="Palatino Linotype" w:hAnsi="Palatino Linotype"/>
                <w:b/>
                <w:bCs/>
                <w:sz w:val="23"/>
                <w:szCs w:val="23"/>
              </w:rPr>
            </w:pPr>
            <w:r w:rsidRPr="00E60C23">
              <w:rPr>
                <w:rFonts w:ascii="Palatino Linotype" w:hAnsi="Palatino Linotype"/>
                <w:b/>
                <w:bCs/>
                <w:sz w:val="23"/>
                <w:szCs w:val="23"/>
              </w:rPr>
              <w:t>Capacity</w:t>
            </w:r>
          </w:p>
        </w:tc>
        <w:tc>
          <w:tcPr>
            <w:tcW w:w="1260" w:type="dxa"/>
          </w:tcPr>
          <w:p w:rsidRPr="00E60C23" w:rsidR="002E25DD" w:rsidP="00AB630C" w:rsidRDefault="002E25DD" w14:paraId="42EE44DA" w14:textId="30194A51">
            <w:pPr>
              <w:autoSpaceDE w:val="0"/>
              <w:autoSpaceDN w:val="0"/>
              <w:adjustRightInd w:val="0"/>
              <w:rPr>
                <w:rFonts w:ascii="Palatino Linotype" w:hAnsi="Palatino Linotype"/>
                <w:b/>
                <w:bCs/>
                <w:sz w:val="23"/>
                <w:szCs w:val="23"/>
              </w:rPr>
            </w:pPr>
            <w:r w:rsidRPr="00E60C23">
              <w:rPr>
                <w:rFonts w:ascii="Palatino Linotype" w:hAnsi="Palatino Linotype"/>
                <w:b/>
                <w:bCs/>
                <w:sz w:val="23"/>
                <w:szCs w:val="23"/>
              </w:rPr>
              <w:t>Term</w:t>
            </w:r>
          </w:p>
        </w:tc>
        <w:tc>
          <w:tcPr>
            <w:tcW w:w="1710" w:type="dxa"/>
          </w:tcPr>
          <w:p w:rsidRPr="00E60C23" w:rsidR="002E25DD" w:rsidP="00AB630C" w:rsidRDefault="002E25DD" w14:paraId="49D433A4" w14:textId="2C123338">
            <w:pPr>
              <w:autoSpaceDE w:val="0"/>
              <w:autoSpaceDN w:val="0"/>
              <w:adjustRightInd w:val="0"/>
              <w:rPr>
                <w:rFonts w:ascii="Palatino Linotype" w:hAnsi="Palatino Linotype"/>
                <w:b/>
                <w:bCs/>
                <w:sz w:val="23"/>
                <w:szCs w:val="23"/>
              </w:rPr>
            </w:pPr>
            <w:r w:rsidRPr="00E60C23">
              <w:rPr>
                <w:rFonts w:ascii="Palatino Linotype" w:hAnsi="Palatino Linotype"/>
                <w:b/>
                <w:bCs/>
                <w:sz w:val="23"/>
                <w:szCs w:val="23"/>
              </w:rPr>
              <w:t>Initial Delivery Date</w:t>
            </w:r>
          </w:p>
        </w:tc>
      </w:tr>
      <w:tr w:rsidR="00E60C23" w:rsidTr="00E60C23" w14:paraId="4608DC8D" w14:textId="77777777">
        <w:tc>
          <w:tcPr>
            <w:tcW w:w="1866" w:type="dxa"/>
          </w:tcPr>
          <w:p w:rsidR="002E25DD" w:rsidP="00FE7F5B" w:rsidRDefault="00B81A84" w14:paraId="327A31D0" w14:textId="3AA50ECD">
            <w:pPr>
              <w:autoSpaceDE w:val="0"/>
              <w:autoSpaceDN w:val="0"/>
              <w:adjustRightInd w:val="0"/>
              <w:rPr>
                <w:rFonts w:ascii="Palatino Linotype" w:hAnsi="Palatino Linotype"/>
                <w:sz w:val="24"/>
                <w:szCs w:val="24"/>
              </w:rPr>
            </w:pPr>
            <w:r>
              <w:rPr>
                <w:rFonts w:ascii="Palatino Linotype" w:hAnsi="Palatino Linotype" w:cs="Arial"/>
                <w:sz w:val="22"/>
                <w:szCs w:val="22"/>
              </w:rPr>
              <w:t>Calpine</w:t>
            </w:r>
            <w:r w:rsidR="0011773E">
              <w:rPr>
                <w:rFonts w:ascii="Palatino Linotype" w:hAnsi="Palatino Linotype" w:cs="Arial"/>
                <w:sz w:val="22"/>
                <w:szCs w:val="22"/>
              </w:rPr>
              <w:t xml:space="preserve"> Corporation’s </w:t>
            </w:r>
            <w:r w:rsidRPr="002E25DD" w:rsidR="002E25DD">
              <w:rPr>
                <w:rFonts w:ascii="Palatino Linotype" w:hAnsi="Palatino Linotype" w:cs="Arial"/>
                <w:sz w:val="22"/>
                <w:szCs w:val="22"/>
              </w:rPr>
              <w:t>Pastoria Power, LLC (Pastoria Power Bank Project)</w:t>
            </w:r>
          </w:p>
        </w:tc>
        <w:tc>
          <w:tcPr>
            <w:tcW w:w="1459" w:type="dxa"/>
          </w:tcPr>
          <w:p w:rsidR="002E25DD" w:rsidP="00FE7F5B" w:rsidRDefault="002E25DD" w14:paraId="14D5D241" w14:textId="031FEB5C">
            <w:pPr>
              <w:autoSpaceDE w:val="0"/>
              <w:autoSpaceDN w:val="0"/>
              <w:adjustRightInd w:val="0"/>
              <w:rPr>
                <w:rFonts w:ascii="Palatino Linotype" w:hAnsi="Palatino Linotype"/>
                <w:sz w:val="24"/>
                <w:szCs w:val="24"/>
              </w:rPr>
            </w:pPr>
            <w:r w:rsidRPr="002E25DD">
              <w:rPr>
                <w:rFonts w:ascii="Palatino Linotype" w:hAnsi="Palatino Linotype"/>
                <w:sz w:val="22"/>
                <w:szCs w:val="22"/>
              </w:rPr>
              <w:t xml:space="preserve">4-hour duration, Lithium-ion </w:t>
            </w:r>
            <w:r>
              <w:rPr>
                <w:rFonts w:ascii="Palatino Linotype" w:hAnsi="Palatino Linotype"/>
                <w:sz w:val="22"/>
                <w:szCs w:val="22"/>
              </w:rPr>
              <w:t xml:space="preserve">(Li) </w:t>
            </w:r>
            <w:r w:rsidRPr="002E25DD">
              <w:rPr>
                <w:rFonts w:ascii="Palatino Linotype" w:hAnsi="Palatino Linotype"/>
                <w:sz w:val="22"/>
                <w:szCs w:val="22"/>
              </w:rPr>
              <w:t>energy storage</w:t>
            </w:r>
          </w:p>
        </w:tc>
        <w:tc>
          <w:tcPr>
            <w:tcW w:w="2340" w:type="dxa"/>
          </w:tcPr>
          <w:p w:rsidR="002E25DD" w:rsidP="00FE7F5B" w:rsidRDefault="002E25DD" w14:paraId="69EFCB59" w14:textId="5F055A64">
            <w:pPr>
              <w:autoSpaceDE w:val="0"/>
              <w:autoSpaceDN w:val="0"/>
              <w:adjustRightInd w:val="0"/>
              <w:rPr>
                <w:rFonts w:ascii="Palatino Linotype" w:hAnsi="Palatino Linotype"/>
                <w:sz w:val="24"/>
                <w:szCs w:val="24"/>
              </w:rPr>
            </w:pPr>
            <w:r w:rsidRPr="002E25DD">
              <w:rPr>
                <w:rFonts w:ascii="Palatino Linotype" w:hAnsi="Palatino Linotype"/>
                <w:sz w:val="22"/>
                <w:szCs w:val="22"/>
              </w:rPr>
              <w:t>Long-</w:t>
            </w:r>
            <w:r>
              <w:rPr>
                <w:rFonts w:ascii="Palatino Linotype" w:hAnsi="Palatino Linotype"/>
                <w:sz w:val="22"/>
                <w:szCs w:val="22"/>
              </w:rPr>
              <w:t>T</w:t>
            </w:r>
            <w:r w:rsidRPr="002E25DD">
              <w:rPr>
                <w:rFonts w:ascii="Palatino Linotype" w:hAnsi="Palatino Linotype"/>
                <w:sz w:val="22"/>
                <w:szCs w:val="22"/>
              </w:rPr>
              <w:t>erm Resource Adequacy Agreement with Energy Settlement (LTRAA w/ES)</w:t>
            </w:r>
          </w:p>
        </w:tc>
        <w:tc>
          <w:tcPr>
            <w:tcW w:w="1170" w:type="dxa"/>
          </w:tcPr>
          <w:p w:rsidR="002E25DD" w:rsidP="00FE7F5B" w:rsidRDefault="002E25DD" w14:paraId="2F58F6F7" w14:textId="1A1DF0AB">
            <w:pPr>
              <w:autoSpaceDE w:val="0"/>
              <w:autoSpaceDN w:val="0"/>
              <w:adjustRightInd w:val="0"/>
              <w:rPr>
                <w:rFonts w:ascii="Palatino Linotype" w:hAnsi="Palatino Linotype"/>
                <w:sz w:val="24"/>
                <w:szCs w:val="24"/>
              </w:rPr>
            </w:pPr>
            <w:r w:rsidRPr="002E25DD">
              <w:rPr>
                <w:rFonts w:ascii="Palatino Linotype" w:hAnsi="Palatino Linotype"/>
                <w:sz w:val="22"/>
                <w:szCs w:val="22"/>
              </w:rPr>
              <w:t>80 MW</w:t>
            </w:r>
          </w:p>
        </w:tc>
        <w:tc>
          <w:tcPr>
            <w:tcW w:w="1260" w:type="dxa"/>
          </w:tcPr>
          <w:p w:rsidR="002E25DD" w:rsidP="00FE7F5B" w:rsidRDefault="002E25DD" w14:paraId="03072F36" w14:textId="087BAC77">
            <w:pPr>
              <w:autoSpaceDE w:val="0"/>
              <w:autoSpaceDN w:val="0"/>
              <w:adjustRightInd w:val="0"/>
              <w:rPr>
                <w:rFonts w:ascii="Palatino Linotype" w:hAnsi="Palatino Linotype"/>
                <w:sz w:val="24"/>
                <w:szCs w:val="24"/>
              </w:rPr>
            </w:pPr>
            <w:r>
              <w:rPr>
                <w:rFonts w:ascii="Palatino Linotype" w:hAnsi="Palatino Linotype"/>
                <w:sz w:val="24"/>
                <w:szCs w:val="24"/>
              </w:rPr>
              <w:t>15 Years</w:t>
            </w:r>
          </w:p>
        </w:tc>
        <w:tc>
          <w:tcPr>
            <w:tcW w:w="1710" w:type="dxa"/>
          </w:tcPr>
          <w:p w:rsidR="002E25DD" w:rsidP="00FE7F5B" w:rsidRDefault="002E25DD" w14:paraId="45AAD70D" w14:textId="2B21A6A5">
            <w:pPr>
              <w:autoSpaceDE w:val="0"/>
              <w:autoSpaceDN w:val="0"/>
              <w:adjustRightInd w:val="0"/>
              <w:rPr>
                <w:rFonts w:ascii="Palatino Linotype" w:hAnsi="Palatino Linotype"/>
                <w:sz w:val="24"/>
                <w:szCs w:val="24"/>
              </w:rPr>
            </w:pPr>
            <w:r>
              <w:rPr>
                <w:rFonts w:ascii="Palatino Linotype" w:hAnsi="Palatino Linotype"/>
                <w:sz w:val="24"/>
                <w:szCs w:val="24"/>
              </w:rPr>
              <w:t>07/01/2026</w:t>
            </w:r>
          </w:p>
        </w:tc>
      </w:tr>
    </w:tbl>
    <w:p w:rsidRPr="00FE7F5B" w:rsidR="00FE7F5B" w:rsidP="00FE7F5B" w:rsidRDefault="00FE7F5B" w14:paraId="1FB28635" w14:textId="77777777">
      <w:pPr>
        <w:spacing w:after="0" w:line="240" w:lineRule="auto"/>
        <w:rPr>
          <w:rFonts w:ascii="Palatino Linotype" w:hAnsi="Palatino Linotype" w:eastAsia="Times New Roman" w:cs="Times New Roman"/>
          <w:b/>
          <w:caps/>
          <w:kern w:val="28"/>
          <w:sz w:val="16"/>
          <w:szCs w:val="16"/>
          <w:u w:val="single"/>
          <w14:ligatures w14:val="none"/>
        </w:rPr>
      </w:pPr>
    </w:p>
    <w:p w:rsidRPr="00173D58" w:rsidR="00B84E68" w:rsidP="00FE7F5B" w:rsidRDefault="00B84E68" w14:paraId="753B64B3" w14:textId="4F2A2AA3">
      <w:pPr>
        <w:spacing w:before="120" w:after="120" w:line="240" w:lineRule="auto"/>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t>Background</w:t>
      </w:r>
    </w:p>
    <w:p w:rsidRPr="0004017B" w:rsidR="00FE28C1" w:rsidP="00B8533D" w:rsidRDefault="00FE28C1" w14:paraId="60580B25" w14:textId="77777777">
      <w:pPr>
        <w:spacing w:after="120"/>
        <w:rPr>
          <w:rFonts w:ascii="Palatino Linotype" w:hAnsi="Palatino Linotype"/>
          <w:b/>
          <w:bCs/>
          <w:sz w:val="24"/>
          <w:szCs w:val="24"/>
        </w:rPr>
      </w:pPr>
      <w:r w:rsidRPr="00743E64">
        <w:rPr>
          <w:rFonts w:ascii="Palatino Linotype" w:hAnsi="Palatino Linotype"/>
          <w:b/>
          <w:bCs/>
          <w:sz w:val="24"/>
          <w:szCs w:val="24"/>
        </w:rPr>
        <w:t>Overview of Mid-Term Reliability Requirements</w:t>
      </w:r>
    </w:p>
    <w:p w:rsidR="00596EEB" w:rsidP="00B84E68" w:rsidRDefault="00B84E68" w14:paraId="2CB0724C" w14:textId="456B53D6">
      <w:pPr>
        <w:spacing w:after="0" w:line="240" w:lineRule="auto"/>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On June 30, 2021, the Commission issued Decision (“D.”) 21-06-035 (“MTR Decision”) to address the mid-term reliability needs of the electricity system within the California Independent System Operator’s (“CAISO”) operating system by requiring at least 11,</w:t>
      </w:r>
      <w:r w:rsidR="000B196A">
        <w:rPr>
          <w:rFonts w:ascii="Palatino Linotype" w:hAnsi="Palatino Linotype" w:eastAsia="Times New Roman" w:cs="Times New Roman"/>
          <w:kern w:val="0"/>
          <w:sz w:val="24"/>
          <w:szCs w:val="24"/>
          <w14:ligatures w14:val="none"/>
        </w:rPr>
        <w:t>50</w:t>
      </w:r>
      <w:r w:rsidR="00B374B6">
        <w:rPr>
          <w:rFonts w:ascii="Palatino Linotype" w:hAnsi="Palatino Linotype" w:eastAsia="Times New Roman" w:cs="Times New Roman"/>
          <w:kern w:val="0"/>
          <w:sz w:val="24"/>
          <w:szCs w:val="24"/>
          <w14:ligatures w14:val="none"/>
        </w:rPr>
        <w:t>0</w:t>
      </w:r>
      <w:r w:rsidRPr="00173D58">
        <w:rPr>
          <w:rFonts w:ascii="Palatino Linotype" w:hAnsi="Palatino Linotype" w:eastAsia="Times New Roman" w:cs="Times New Roman"/>
          <w:kern w:val="0"/>
          <w:sz w:val="24"/>
          <w:szCs w:val="24"/>
          <w14:ligatures w14:val="none"/>
        </w:rPr>
        <w:t xml:space="preserve"> MW of incremental September net qualifying capacity (“NQC”) to be procured by load-serving entities (“LSEs”) subject to the Commission’s integrated resource planning (“IRP”) authority. The capacity requirements were specified by year, beginning with 2,000 MW by 2023, an additional 6,000 MW by 2024, an additional 1,</w:t>
      </w:r>
      <w:r w:rsidR="00CB50FA">
        <w:rPr>
          <w:rFonts w:ascii="Palatino Linotype" w:hAnsi="Palatino Linotype" w:eastAsia="Times New Roman" w:cs="Times New Roman"/>
          <w:kern w:val="0"/>
          <w:sz w:val="24"/>
          <w:szCs w:val="24"/>
          <w14:ligatures w14:val="none"/>
        </w:rPr>
        <w:t>500</w:t>
      </w:r>
      <w:r w:rsidRPr="00173D58">
        <w:rPr>
          <w:rFonts w:ascii="Palatino Linotype" w:hAnsi="Palatino Linotype" w:eastAsia="Times New Roman" w:cs="Times New Roman"/>
          <w:kern w:val="0"/>
          <w:sz w:val="24"/>
          <w:szCs w:val="24"/>
          <w14:ligatures w14:val="none"/>
        </w:rPr>
        <w:t xml:space="preserve"> MW by 2025, and an additional 2,000 MW by 2026.</w:t>
      </w:r>
      <w:r w:rsidRPr="00173D58">
        <w:rPr>
          <w:rFonts w:ascii="Palatino Linotype" w:hAnsi="Palatino Linotype" w:eastAsia="Times New Roman" w:cs="Times New Roman"/>
          <w:kern w:val="0"/>
          <w:sz w:val="24"/>
          <w:szCs w:val="24"/>
          <w:vertAlign w:val="superscript"/>
          <w14:ligatures w14:val="none"/>
        </w:rPr>
        <w:footnoteReference w:id="2"/>
      </w:r>
    </w:p>
    <w:p w:rsidRPr="00B8533D" w:rsidR="00596EEB" w:rsidP="00B84E68" w:rsidRDefault="00596EEB" w14:paraId="081D8EA7" w14:textId="77777777">
      <w:pPr>
        <w:spacing w:after="0" w:line="240" w:lineRule="auto"/>
        <w:rPr>
          <w:rFonts w:ascii="Palatino Linotype" w:hAnsi="Palatino Linotype" w:eastAsia="Times New Roman" w:cs="Times New Roman"/>
          <w:kern w:val="0"/>
          <w:sz w:val="16"/>
          <w:szCs w:val="16"/>
          <w14:ligatures w14:val="none"/>
        </w:rPr>
      </w:pPr>
    </w:p>
    <w:p w:rsidR="59E71D8F" w:rsidP="59E71D8F" w:rsidRDefault="00105402" w14:paraId="52A76AA7" w14:textId="73E7AAF6">
      <w:pPr>
        <w:rPr>
          <w:rFonts w:ascii="Palatino Linotype" w:hAnsi="Palatino Linotype"/>
          <w:sz w:val="24"/>
          <w:szCs w:val="24"/>
        </w:rPr>
      </w:pPr>
      <w:r>
        <w:rPr>
          <w:rFonts w:ascii="Palatino Linotype" w:hAnsi="Palatino Linotype"/>
          <w:sz w:val="24"/>
          <w:szCs w:val="24"/>
        </w:rPr>
        <w:t xml:space="preserve">On February 28, 2023, the Commission adopted D.23-02-040, which ordered supplemental MTR procurement of 2,000 MW for 2026 and 2,000 MW for </w:t>
      </w:r>
      <w:r w:rsidR="002E6E56">
        <w:rPr>
          <w:rFonts w:ascii="Palatino Linotype" w:hAnsi="Palatino Linotype"/>
          <w:sz w:val="24"/>
          <w:szCs w:val="24"/>
        </w:rPr>
        <w:t>2027 and</w:t>
      </w:r>
      <w:r>
        <w:rPr>
          <w:rFonts w:ascii="Palatino Linotype" w:hAnsi="Palatino Linotype"/>
          <w:sz w:val="24"/>
          <w:szCs w:val="24"/>
        </w:rPr>
        <w:t xml:space="preserve"> changed the online date for long lead time </w:t>
      </w:r>
      <w:r w:rsidR="005F1F23">
        <w:rPr>
          <w:rFonts w:ascii="Palatino Linotype" w:hAnsi="Palatino Linotype"/>
          <w:sz w:val="24"/>
          <w:szCs w:val="24"/>
        </w:rPr>
        <w:t>(</w:t>
      </w:r>
      <w:r w:rsidR="002A20B5">
        <w:rPr>
          <w:rFonts w:ascii="Palatino Linotype" w:hAnsi="Palatino Linotype"/>
          <w:sz w:val="24"/>
          <w:szCs w:val="24"/>
        </w:rPr>
        <w:t>“</w:t>
      </w:r>
      <w:r w:rsidR="005F1F23">
        <w:rPr>
          <w:rFonts w:ascii="Palatino Linotype" w:hAnsi="Palatino Linotype"/>
          <w:sz w:val="24"/>
          <w:szCs w:val="24"/>
        </w:rPr>
        <w:t>LLT</w:t>
      </w:r>
      <w:r w:rsidR="002A20B5">
        <w:rPr>
          <w:rFonts w:ascii="Palatino Linotype" w:hAnsi="Palatino Linotype"/>
          <w:sz w:val="24"/>
          <w:szCs w:val="24"/>
        </w:rPr>
        <w:t>”</w:t>
      </w:r>
      <w:r w:rsidR="005F1F23">
        <w:rPr>
          <w:rFonts w:ascii="Palatino Linotype" w:hAnsi="Palatino Linotype"/>
          <w:sz w:val="24"/>
          <w:szCs w:val="24"/>
        </w:rPr>
        <w:t xml:space="preserve">) </w:t>
      </w:r>
      <w:r>
        <w:rPr>
          <w:rFonts w:ascii="Palatino Linotype" w:hAnsi="Palatino Linotype"/>
          <w:sz w:val="24"/>
          <w:szCs w:val="24"/>
        </w:rPr>
        <w:t>resources</w:t>
      </w:r>
      <w:r w:rsidR="007353CC">
        <w:rPr>
          <w:rStyle w:val="FootnoteReference"/>
          <w:rFonts w:ascii="Palatino Linotype" w:hAnsi="Palatino Linotype"/>
          <w:sz w:val="24"/>
          <w:szCs w:val="24"/>
        </w:rPr>
        <w:footnoteReference w:id="3"/>
      </w:r>
      <w:r>
        <w:rPr>
          <w:rFonts w:ascii="Palatino Linotype" w:hAnsi="Palatino Linotype"/>
          <w:sz w:val="24"/>
          <w:szCs w:val="24"/>
        </w:rPr>
        <w:t xml:space="preserve"> from June 1, </w:t>
      </w:r>
      <w:r w:rsidR="00761DE3">
        <w:rPr>
          <w:rFonts w:ascii="Palatino Linotype" w:hAnsi="Palatino Linotype"/>
          <w:sz w:val="24"/>
          <w:szCs w:val="24"/>
        </w:rPr>
        <w:t>2026,</w:t>
      </w:r>
      <w:r>
        <w:rPr>
          <w:rFonts w:ascii="Palatino Linotype" w:hAnsi="Palatino Linotype"/>
          <w:sz w:val="24"/>
          <w:szCs w:val="24"/>
        </w:rPr>
        <w:t xml:space="preserve"> to June 1, 2028. </w:t>
      </w:r>
      <w:r w:rsidRPr="00743E64" w:rsidR="00FE28C1">
        <w:rPr>
          <w:rFonts w:ascii="Palatino Linotype" w:hAnsi="Palatino Linotype"/>
          <w:sz w:val="24"/>
          <w:szCs w:val="24"/>
        </w:rPr>
        <w:t xml:space="preserve">PG&amp;E’s </w:t>
      </w:r>
      <w:r w:rsidRPr="00743E64" w:rsidR="00FE28C1">
        <w:rPr>
          <w:rFonts w:ascii="Palatino Linotype" w:hAnsi="Palatino Linotype"/>
          <w:sz w:val="24"/>
          <w:szCs w:val="24"/>
        </w:rPr>
        <w:lastRenderedPageBreak/>
        <w:t>annual share of the MTR procurement requirements</w:t>
      </w:r>
      <w:r w:rsidR="00FE28C1">
        <w:rPr>
          <w:rFonts w:ascii="Palatino Linotype" w:hAnsi="Palatino Linotype"/>
          <w:sz w:val="24"/>
          <w:szCs w:val="24"/>
        </w:rPr>
        <w:t xml:space="preserve"> ordered in both D.21-06-035 and D.23-02-040</w:t>
      </w:r>
      <w:r w:rsidRPr="00743E64" w:rsidR="00FE28C1">
        <w:rPr>
          <w:rFonts w:ascii="Palatino Linotype" w:hAnsi="Palatino Linotype"/>
          <w:sz w:val="24"/>
          <w:szCs w:val="24"/>
        </w:rPr>
        <w:t xml:space="preserve"> are as follows:</w:t>
      </w:r>
    </w:p>
    <w:tbl>
      <w:tblPr>
        <w:tblStyle w:val="TableGrid"/>
        <w:tblW w:w="0" w:type="auto"/>
        <w:tblLook w:val="04A0" w:firstRow="1" w:lastRow="0" w:firstColumn="1" w:lastColumn="0" w:noHBand="0" w:noVBand="1"/>
      </w:tblPr>
      <w:tblGrid>
        <w:gridCol w:w="2695"/>
        <w:gridCol w:w="950"/>
        <w:gridCol w:w="951"/>
        <w:gridCol w:w="951"/>
        <w:gridCol w:w="950"/>
        <w:gridCol w:w="951"/>
        <w:gridCol w:w="951"/>
        <w:gridCol w:w="951"/>
      </w:tblGrid>
      <w:tr w:rsidRPr="00743E64" w:rsidR="00FE28C1" w:rsidTr="005D4AD7" w14:paraId="4DB0A5E1" w14:textId="77777777">
        <w:tc>
          <w:tcPr>
            <w:tcW w:w="9350" w:type="dxa"/>
            <w:gridSpan w:val="8"/>
          </w:tcPr>
          <w:p w:rsidRPr="00743E64" w:rsidR="00FE28C1" w:rsidP="005D4AD7" w:rsidRDefault="00FE28C1" w14:paraId="327F035C" w14:textId="77777777">
            <w:pPr>
              <w:keepNext/>
              <w:keepLines/>
              <w:jc w:val="center"/>
              <w:rPr>
                <w:rFonts w:ascii="Palatino Linotype" w:hAnsi="Palatino Linotype"/>
                <w:b/>
                <w:bCs/>
                <w:sz w:val="24"/>
                <w:szCs w:val="24"/>
              </w:rPr>
            </w:pPr>
            <w:bookmarkStart w:name="_Hlk187045049" w:id="2"/>
            <w:r w:rsidRPr="00743E64">
              <w:rPr>
                <w:rFonts w:ascii="Palatino Linotype" w:hAnsi="Palatino Linotype"/>
                <w:b/>
                <w:bCs/>
                <w:sz w:val="24"/>
                <w:szCs w:val="24"/>
              </w:rPr>
              <w:t>Table 1: PG&amp;E Annual MTR Procurement Requirements (MW NQC)</w:t>
            </w:r>
          </w:p>
        </w:tc>
      </w:tr>
      <w:tr w:rsidRPr="00743E64" w:rsidR="00FE28C1" w:rsidTr="005D4AD7" w14:paraId="1098CE15" w14:textId="77777777">
        <w:tc>
          <w:tcPr>
            <w:tcW w:w="2695" w:type="dxa"/>
          </w:tcPr>
          <w:p w:rsidRPr="00743E64" w:rsidR="00FE28C1" w:rsidP="005D4AD7" w:rsidRDefault="00FE28C1" w14:paraId="0CD89131" w14:textId="77777777">
            <w:pPr>
              <w:keepNext/>
              <w:keepLines/>
              <w:rPr>
                <w:rFonts w:ascii="Palatino Linotype" w:hAnsi="Palatino Linotype"/>
                <w:b/>
                <w:bCs/>
                <w:sz w:val="24"/>
                <w:szCs w:val="24"/>
              </w:rPr>
            </w:pPr>
          </w:p>
        </w:tc>
        <w:tc>
          <w:tcPr>
            <w:tcW w:w="950" w:type="dxa"/>
          </w:tcPr>
          <w:p w:rsidRPr="00743E64" w:rsidR="00FE28C1" w:rsidP="005D4AD7" w:rsidRDefault="00FE28C1" w14:paraId="6B46C037"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2023</w:t>
            </w:r>
          </w:p>
        </w:tc>
        <w:tc>
          <w:tcPr>
            <w:tcW w:w="951" w:type="dxa"/>
          </w:tcPr>
          <w:p w:rsidRPr="00743E64" w:rsidR="00FE28C1" w:rsidP="005D4AD7" w:rsidRDefault="00FE28C1" w14:paraId="1448FFC2"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2024</w:t>
            </w:r>
          </w:p>
        </w:tc>
        <w:tc>
          <w:tcPr>
            <w:tcW w:w="951" w:type="dxa"/>
          </w:tcPr>
          <w:p w:rsidRPr="00743E64" w:rsidR="00FE28C1" w:rsidP="005D4AD7" w:rsidRDefault="00FE28C1" w14:paraId="4F888008"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2025</w:t>
            </w:r>
          </w:p>
        </w:tc>
        <w:tc>
          <w:tcPr>
            <w:tcW w:w="950" w:type="dxa"/>
          </w:tcPr>
          <w:p w:rsidRPr="00743E64" w:rsidR="00FE28C1" w:rsidP="005D4AD7" w:rsidRDefault="00FE28C1" w14:paraId="42A4827B"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2026</w:t>
            </w:r>
          </w:p>
        </w:tc>
        <w:tc>
          <w:tcPr>
            <w:tcW w:w="951" w:type="dxa"/>
          </w:tcPr>
          <w:p w:rsidRPr="00743E64" w:rsidR="00FE28C1" w:rsidP="005D4AD7" w:rsidRDefault="00FE28C1" w14:paraId="3C2E7EC7"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2027</w:t>
            </w:r>
          </w:p>
        </w:tc>
        <w:tc>
          <w:tcPr>
            <w:tcW w:w="951" w:type="dxa"/>
          </w:tcPr>
          <w:p w:rsidRPr="00743E64" w:rsidR="00FE28C1" w:rsidP="005D4AD7" w:rsidRDefault="00FE28C1" w14:paraId="5EC266D1"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2028</w:t>
            </w:r>
          </w:p>
        </w:tc>
        <w:tc>
          <w:tcPr>
            <w:tcW w:w="951" w:type="dxa"/>
          </w:tcPr>
          <w:p w:rsidRPr="00743E64" w:rsidR="00FE28C1" w:rsidP="005D4AD7" w:rsidRDefault="00FE28C1" w14:paraId="62EF478D"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Total</w:t>
            </w:r>
          </w:p>
        </w:tc>
      </w:tr>
      <w:tr w:rsidRPr="00743E64" w:rsidR="00FE28C1" w:rsidTr="005D4AD7" w14:paraId="19DF015C" w14:textId="77777777">
        <w:tc>
          <w:tcPr>
            <w:tcW w:w="2695" w:type="dxa"/>
          </w:tcPr>
          <w:p w:rsidRPr="00743E64" w:rsidR="00FE28C1" w:rsidP="005D4AD7" w:rsidRDefault="00FE28C1" w14:paraId="5126B7A5" w14:textId="77777777">
            <w:pPr>
              <w:keepNext/>
              <w:keepLines/>
              <w:rPr>
                <w:rFonts w:ascii="Palatino Linotype" w:hAnsi="Palatino Linotype"/>
                <w:b/>
                <w:bCs/>
                <w:sz w:val="24"/>
                <w:szCs w:val="24"/>
              </w:rPr>
            </w:pPr>
            <w:r w:rsidRPr="00743E64">
              <w:rPr>
                <w:rFonts w:ascii="Palatino Linotype" w:hAnsi="Palatino Linotype"/>
                <w:b/>
                <w:bCs/>
                <w:sz w:val="24"/>
                <w:szCs w:val="24"/>
              </w:rPr>
              <w:t>General MTR Capacity</w:t>
            </w:r>
          </w:p>
        </w:tc>
        <w:tc>
          <w:tcPr>
            <w:tcW w:w="950" w:type="dxa"/>
          </w:tcPr>
          <w:p w:rsidRPr="00743E64" w:rsidR="00FE28C1" w:rsidP="005D4AD7" w:rsidRDefault="00FE28C1" w14:paraId="556021BC" w14:textId="77777777">
            <w:pPr>
              <w:keepNext/>
              <w:keepLines/>
              <w:jc w:val="center"/>
              <w:rPr>
                <w:rFonts w:ascii="Palatino Linotype" w:hAnsi="Palatino Linotype"/>
                <w:sz w:val="24"/>
                <w:szCs w:val="24"/>
              </w:rPr>
            </w:pPr>
            <w:r w:rsidRPr="00743E64">
              <w:rPr>
                <w:rFonts w:ascii="Palatino Linotype" w:hAnsi="Palatino Linotype"/>
                <w:sz w:val="24"/>
                <w:szCs w:val="24"/>
              </w:rPr>
              <w:t>400</w:t>
            </w:r>
          </w:p>
        </w:tc>
        <w:tc>
          <w:tcPr>
            <w:tcW w:w="951" w:type="dxa"/>
          </w:tcPr>
          <w:p w:rsidRPr="00743E64" w:rsidR="00FE28C1" w:rsidP="005D4AD7" w:rsidRDefault="00FE28C1" w14:paraId="63FB1F9B" w14:textId="77777777">
            <w:pPr>
              <w:keepNext/>
              <w:keepLines/>
              <w:jc w:val="center"/>
              <w:rPr>
                <w:rFonts w:ascii="Palatino Linotype" w:hAnsi="Palatino Linotype"/>
                <w:sz w:val="24"/>
                <w:szCs w:val="24"/>
              </w:rPr>
            </w:pPr>
            <w:r w:rsidRPr="00743E64">
              <w:rPr>
                <w:rFonts w:ascii="Palatino Linotype" w:hAnsi="Palatino Linotype"/>
                <w:sz w:val="24"/>
                <w:szCs w:val="24"/>
              </w:rPr>
              <w:t>1201</w:t>
            </w:r>
          </w:p>
        </w:tc>
        <w:tc>
          <w:tcPr>
            <w:tcW w:w="951" w:type="dxa"/>
          </w:tcPr>
          <w:p w:rsidRPr="00743E64" w:rsidR="00FE28C1" w:rsidP="005D4AD7" w:rsidRDefault="00FE28C1" w14:paraId="33F8763E" w14:textId="77777777">
            <w:pPr>
              <w:keepNext/>
              <w:keepLines/>
              <w:jc w:val="center"/>
              <w:rPr>
                <w:rFonts w:ascii="Palatino Linotype" w:hAnsi="Palatino Linotype"/>
                <w:sz w:val="24"/>
                <w:szCs w:val="24"/>
              </w:rPr>
            </w:pPr>
            <w:r w:rsidRPr="00743E64">
              <w:rPr>
                <w:rFonts w:ascii="Palatino Linotype" w:hAnsi="Palatino Linotype"/>
                <w:sz w:val="24"/>
                <w:szCs w:val="24"/>
              </w:rPr>
              <w:t>300</w:t>
            </w:r>
          </w:p>
        </w:tc>
        <w:tc>
          <w:tcPr>
            <w:tcW w:w="950" w:type="dxa"/>
          </w:tcPr>
          <w:p w:rsidRPr="00743E64" w:rsidR="00FE28C1" w:rsidP="005D4AD7" w:rsidRDefault="00FE28C1" w14:paraId="5DDD08CE" w14:textId="77777777">
            <w:pPr>
              <w:keepNext/>
              <w:keepLines/>
              <w:jc w:val="center"/>
              <w:rPr>
                <w:rFonts w:ascii="Palatino Linotype" w:hAnsi="Palatino Linotype"/>
                <w:sz w:val="24"/>
                <w:szCs w:val="24"/>
              </w:rPr>
            </w:pPr>
            <w:r w:rsidRPr="00743E64">
              <w:rPr>
                <w:rFonts w:ascii="Palatino Linotype" w:hAnsi="Palatino Linotype"/>
                <w:sz w:val="24"/>
                <w:szCs w:val="24"/>
              </w:rPr>
              <w:t>388</w:t>
            </w:r>
          </w:p>
        </w:tc>
        <w:tc>
          <w:tcPr>
            <w:tcW w:w="951" w:type="dxa"/>
          </w:tcPr>
          <w:p w:rsidRPr="00743E64" w:rsidR="00FE28C1" w:rsidP="005D4AD7" w:rsidRDefault="00FE28C1" w14:paraId="03A7B057" w14:textId="77777777">
            <w:pPr>
              <w:keepNext/>
              <w:keepLines/>
              <w:jc w:val="center"/>
              <w:rPr>
                <w:rFonts w:ascii="Palatino Linotype" w:hAnsi="Palatino Linotype"/>
                <w:sz w:val="24"/>
                <w:szCs w:val="24"/>
              </w:rPr>
            </w:pPr>
            <w:r w:rsidRPr="00743E64">
              <w:rPr>
                <w:rFonts w:ascii="Palatino Linotype" w:hAnsi="Palatino Linotype"/>
                <w:sz w:val="24"/>
                <w:szCs w:val="24"/>
              </w:rPr>
              <w:t>388</w:t>
            </w:r>
          </w:p>
        </w:tc>
        <w:tc>
          <w:tcPr>
            <w:tcW w:w="951" w:type="dxa"/>
          </w:tcPr>
          <w:p w:rsidRPr="00743E64" w:rsidR="00FE28C1" w:rsidP="005D4AD7" w:rsidRDefault="00FE28C1" w14:paraId="5324A37D" w14:textId="77777777">
            <w:pPr>
              <w:keepNext/>
              <w:keepLines/>
              <w:jc w:val="center"/>
              <w:rPr>
                <w:rFonts w:ascii="Palatino Linotype" w:hAnsi="Palatino Linotype"/>
                <w:sz w:val="24"/>
                <w:szCs w:val="24"/>
              </w:rPr>
            </w:pPr>
          </w:p>
        </w:tc>
        <w:tc>
          <w:tcPr>
            <w:tcW w:w="951" w:type="dxa"/>
          </w:tcPr>
          <w:p w:rsidRPr="00743E64" w:rsidR="00FE28C1" w:rsidP="005D4AD7" w:rsidRDefault="00FE28C1" w14:paraId="3FA0E0DB" w14:textId="77777777">
            <w:pPr>
              <w:keepNext/>
              <w:keepLines/>
              <w:jc w:val="center"/>
              <w:rPr>
                <w:rFonts w:ascii="Palatino Linotype" w:hAnsi="Palatino Linotype"/>
                <w:sz w:val="24"/>
                <w:szCs w:val="24"/>
              </w:rPr>
            </w:pPr>
            <w:r w:rsidRPr="00743E64">
              <w:rPr>
                <w:rFonts w:ascii="Palatino Linotype" w:hAnsi="Palatino Linotype"/>
                <w:sz w:val="24"/>
                <w:szCs w:val="24"/>
              </w:rPr>
              <w:t>2677</w:t>
            </w:r>
          </w:p>
        </w:tc>
      </w:tr>
      <w:tr w:rsidRPr="00743E64" w:rsidR="00FE28C1" w:rsidTr="005D4AD7" w14:paraId="0C8C1315" w14:textId="77777777">
        <w:tc>
          <w:tcPr>
            <w:tcW w:w="2695" w:type="dxa"/>
          </w:tcPr>
          <w:p w:rsidRPr="00743E64" w:rsidR="00FE28C1" w:rsidP="005D4AD7" w:rsidRDefault="00FE28C1" w14:paraId="1B43EB0F" w14:textId="77777777">
            <w:pPr>
              <w:keepNext/>
              <w:keepLines/>
              <w:rPr>
                <w:rFonts w:ascii="Palatino Linotype" w:hAnsi="Palatino Linotype"/>
                <w:b/>
                <w:bCs/>
                <w:sz w:val="24"/>
                <w:szCs w:val="24"/>
              </w:rPr>
            </w:pPr>
            <w:r w:rsidRPr="00743E64">
              <w:rPr>
                <w:rFonts w:ascii="Palatino Linotype" w:hAnsi="Palatino Linotype"/>
                <w:b/>
                <w:bCs/>
                <w:sz w:val="24"/>
                <w:szCs w:val="24"/>
              </w:rPr>
              <w:t>Minimum firm Zero-Emitting Capacity</w:t>
            </w:r>
            <w:r w:rsidR="00A45CC3">
              <w:rPr>
                <w:rStyle w:val="FootnoteReference"/>
                <w:rFonts w:ascii="Palatino Linotype" w:hAnsi="Palatino Linotype"/>
                <w:b/>
                <w:bCs/>
                <w:sz w:val="24"/>
                <w:szCs w:val="24"/>
              </w:rPr>
              <w:footnoteReference w:id="4"/>
            </w:r>
          </w:p>
        </w:tc>
        <w:tc>
          <w:tcPr>
            <w:tcW w:w="2852" w:type="dxa"/>
            <w:gridSpan w:val="3"/>
            <w:vAlign w:val="center"/>
          </w:tcPr>
          <w:p w:rsidRPr="00743E64" w:rsidR="00FE28C1" w:rsidP="005D4AD7" w:rsidRDefault="008E007F" w14:paraId="179D609D" w14:textId="36AB5C34">
            <w:pPr>
              <w:keepNext/>
              <w:keepLines/>
              <w:jc w:val="center"/>
              <w:rPr>
                <w:rFonts w:ascii="Palatino Linotype" w:hAnsi="Palatino Linotype"/>
                <w:sz w:val="24"/>
                <w:szCs w:val="24"/>
              </w:rPr>
            </w:pPr>
            <w:r w:rsidRPr="008E007F">
              <w:rPr>
                <w:rFonts w:ascii="Palatino Linotype" w:hAnsi="Palatino Linotype"/>
                <w:sz w:val="24"/>
                <w:szCs w:val="24"/>
              </w:rPr>
              <w:t>500</w:t>
            </w:r>
            <w:r w:rsidRPr="008E007F" w:rsidR="00FE28C1">
              <w:rPr>
                <w:rFonts w:ascii="Palatino Linotype" w:hAnsi="Palatino Linotype"/>
                <w:sz w:val="24"/>
                <w:szCs w:val="24"/>
              </w:rPr>
              <w:t xml:space="preserve"> total</w:t>
            </w:r>
          </w:p>
        </w:tc>
        <w:tc>
          <w:tcPr>
            <w:tcW w:w="950" w:type="dxa"/>
          </w:tcPr>
          <w:p w:rsidRPr="00743E64" w:rsidR="00FE28C1" w:rsidP="005D4AD7" w:rsidRDefault="00FE28C1" w14:paraId="0B90296D" w14:textId="77777777">
            <w:pPr>
              <w:keepNext/>
              <w:keepLines/>
              <w:jc w:val="center"/>
              <w:rPr>
                <w:rFonts w:ascii="Palatino Linotype" w:hAnsi="Palatino Linotype"/>
                <w:sz w:val="24"/>
                <w:szCs w:val="24"/>
              </w:rPr>
            </w:pPr>
          </w:p>
        </w:tc>
        <w:tc>
          <w:tcPr>
            <w:tcW w:w="951" w:type="dxa"/>
          </w:tcPr>
          <w:p w:rsidRPr="00743E64" w:rsidR="00FE28C1" w:rsidP="005D4AD7" w:rsidRDefault="00FE28C1" w14:paraId="3491EB87" w14:textId="77777777">
            <w:pPr>
              <w:keepNext/>
              <w:keepLines/>
              <w:jc w:val="center"/>
              <w:rPr>
                <w:rFonts w:ascii="Palatino Linotype" w:hAnsi="Palatino Linotype"/>
                <w:sz w:val="24"/>
                <w:szCs w:val="24"/>
              </w:rPr>
            </w:pPr>
          </w:p>
        </w:tc>
        <w:tc>
          <w:tcPr>
            <w:tcW w:w="951" w:type="dxa"/>
          </w:tcPr>
          <w:p w:rsidRPr="00743E64" w:rsidR="00FE28C1" w:rsidP="005D4AD7" w:rsidRDefault="00FE28C1" w14:paraId="5D0564F8" w14:textId="77777777">
            <w:pPr>
              <w:keepNext/>
              <w:keepLines/>
              <w:jc w:val="center"/>
              <w:rPr>
                <w:rFonts w:ascii="Palatino Linotype" w:hAnsi="Palatino Linotype"/>
                <w:sz w:val="24"/>
                <w:szCs w:val="24"/>
              </w:rPr>
            </w:pPr>
          </w:p>
        </w:tc>
        <w:tc>
          <w:tcPr>
            <w:tcW w:w="951" w:type="dxa"/>
            <w:vAlign w:val="center"/>
          </w:tcPr>
          <w:p w:rsidRPr="00743E64" w:rsidR="00FE28C1" w:rsidP="005D4AD7" w:rsidRDefault="00FE28C1" w14:paraId="32FF7083" w14:textId="77777777">
            <w:pPr>
              <w:keepNext/>
              <w:keepLines/>
              <w:jc w:val="center"/>
              <w:rPr>
                <w:rFonts w:ascii="Palatino Linotype" w:hAnsi="Palatino Linotype"/>
                <w:sz w:val="24"/>
                <w:szCs w:val="24"/>
              </w:rPr>
            </w:pPr>
          </w:p>
        </w:tc>
      </w:tr>
      <w:tr w:rsidRPr="00743E64" w:rsidR="00FE28C1" w:rsidTr="005D4AD7" w14:paraId="708842E0" w14:textId="77777777">
        <w:tc>
          <w:tcPr>
            <w:tcW w:w="2695" w:type="dxa"/>
          </w:tcPr>
          <w:p w:rsidRPr="00743E64" w:rsidR="00FE28C1" w:rsidP="005D4AD7" w:rsidRDefault="00FE28C1" w14:paraId="74C4B6A9" w14:textId="77777777">
            <w:pPr>
              <w:keepNext/>
              <w:keepLines/>
              <w:rPr>
                <w:rFonts w:ascii="Palatino Linotype" w:hAnsi="Palatino Linotype"/>
                <w:b/>
                <w:bCs/>
                <w:sz w:val="24"/>
                <w:szCs w:val="24"/>
              </w:rPr>
            </w:pPr>
            <w:r w:rsidRPr="00743E64">
              <w:rPr>
                <w:rFonts w:ascii="Palatino Linotype" w:hAnsi="Palatino Linotype"/>
                <w:b/>
                <w:bCs/>
                <w:sz w:val="24"/>
                <w:szCs w:val="24"/>
              </w:rPr>
              <w:t>Long-Duration Storage (8+ hours)</w:t>
            </w:r>
            <w:r w:rsidRPr="00743E64">
              <w:rPr>
                <w:rStyle w:val="FootnoteReference"/>
                <w:rFonts w:ascii="Palatino Linotype" w:hAnsi="Palatino Linotype" w:eastAsiaTheme="majorEastAsia"/>
                <w:b/>
                <w:bCs/>
                <w:sz w:val="24"/>
                <w:szCs w:val="24"/>
              </w:rPr>
              <w:footnoteReference w:id="5"/>
            </w:r>
          </w:p>
        </w:tc>
        <w:tc>
          <w:tcPr>
            <w:tcW w:w="950" w:type="dxa"/>
          </w:tcPr>
          <w:p w:rsidRPr="00743E64" w:rsidR="00FE28C1" w:rsidP="005D4AD7" w:rsidRDefault="00FE28C1" w14:paraId="39A06DC7" w14:textId="77777777">
            <w:pPr>
              <w:keepNext/>
              <w:keepLines/>
              <w:jc w:val="center"/>
              <w:rPr>
                <w:rFonts w:ascii="Palatino Linotype" w:hAnsi="Palatino Linotype"/>
                <w:sz w:val="24"/>
                <w:szCs w:val="24"/>
              </w:rPr>
            </w:pPr>
          </w:p>
        </w:tc>
        <w:tc>
          <w:tcPr>
            <w:tcW w:w="951" w:type="dxa"/>
          </w:tcPr>
          <w:p w:rsidRPr="00743E64" w:rsidR="00FE28C1" w:rsidP="005D4AD7" w:rsidRDefault="00FE28C1" w14:paraId="5AA032D9" w14:textId="77777777">
            <w:pPr>
              <w:keepNext/>
              <w:keepLines/>
              <w:jc w:val="center"/>
              <w:rPr>
                <w:rFonts w:ascii="Palatino Linotype" w:hAnsi="Palatino Linotype"/>
                <w:sz w:val="24"/>
                <w:szCs w:val="24"/>
              </w:rPr>
            </w:pPr>
          </w:p>
        </w:tc>
        <w:tc>
          <w:tcPr>
            <w:tcW w:w="951" w:type="dxa"/>
          </w:tcPr>
          <w:p w:rsidRPr="00743E64" w:rsidR="00FE28C1" w:rsidP="005D4AD7" w:rsidRDefault="00FE28C1" w14:paraId="4ECB9A94" w14:textId="77777777">
            <w:pPr>
              <w:keepNext/>
              <w:keepLines/>
              <w:jc w:val="center"/>
              <w:rPr>
                <w:rFonts w:ascii="Palatino Linotype" w:hAnsi="Palatino Linotype"/>
                <w:sz w:val="24"/>
                <w:szCs w:val="24"/>
              </w:rPr>
            </w:pPr>
          </w:p>
        </w:tc>
        <w:tc>
          <w:tcPr>
            <w:tcW w:w="950" w:type="dxa"/>
          </w:tcPr>
          <w:p w:rsidRPr="00743E64" w:rsidR="00FE28C1" w:rsidP="005D4AD7" w:rsidRDefault="00FE28C1" w14:paraId="73F6013F" w14:textId="77777777">
            <w:pPr>
              <w:keepNext/>
              <w:keepLines/>
              <w:jc w:val="center"/>
              <w:rPr>
                <w:rFonts w:ascii="Palatino Linotype" w:hAnsi="Palatino Linotype"/>
                <w:sz w:val="24"/>
                <w:szCs w:val="24"/>
              </w:rPr>
            </w:pPr>
          </w:p>
        </w:tc>
        <w:tc>
          <w:tcPr>
            <w:tcW w:w="951" w:type="dxa"/>
          </w:tcPr>
          <w:p w:rsidRPr="00743E64" w:rsidR="00FE28C1" w:rsidP="005D4AD7" w:rsidRDefault="00FE28C1" w14:paraId="3F9AB3CA" w14:textId="77777777">
            <w:pPr>
              <w:keepNext/>
              <w:keepLines/>
              <w:jc w:val="center"/>
              <w:rPr>
                <w:rFonts w:ascii="Palatino Linotype" w:hAnsi="Palatino Linotype"/>
                <w:sz w:val="24"/>
                <w:szCs w:val="24"/>
              </w:rPr>
            </w:pPr>
          </w:p>
        </w:tc>
        <w:tc>
          <w:tcPr>
            <w:tcW w:w="951" w:type="dxa"/>
            <w:vAlign w:val="center"/>
          </w:tcPr>
          <w:p w:rsidRPr="00743E64" w:rsidR="00FE28C1" w:rsidP="005D4AD7" w:rsidRDefault="00FE28C1" w14:paraId="2CF0276C" w14:textId="77777777">
            <w:pPr>
              <w:keepNext/>
              <w:keepLines/>
              <w:jc w:val="center"/>
              <w:rPr>
                <w:rFonts w:ascii="Palatino Linotype" w:hAnsi="Palatino Linotype"/>
                <w:sz w:val="24"/>
                <w:szCs w:val="24"/>
              </w:rPr>
            </w:pPr>
            <w:r w:rsidRPr="00743E64">
              <w:rPr>
                <w:rFonts w:ascii="Palatino Linotype" w:hAnsi="Palatino Linotype"/>
                <w:sz w:val="24"/>
                <w:szCs w:val="24"/>
              </w:rPr>
              <w:t>200</w:t>
            </w:r>
          </w:p>
        </w:tc>
        <w:tc>
          <w:tcPr>
            <w:tcW w:w="951" w:type="dxa"/>
            <w:vAlign w:val="center"/>
          </w:tcPr>
          <w:p w:rsidRPr="00743E64" w:rsidR="00FE28C1" w:rsidP="005D4AD7" w:rsidRDefault="00FE28C1" w14:paraId="14252850" w14:textId="77777777">
            <w:pPr>
              <w:keepNext/>
              <w:keepLines/>
              <w:jc w:val="center"/>
              <w:rPr>
                <w:rFonts w:ascii="Palatino Linotype" w:hAnsi="Palatino Linotype"/>
                <w:sz w:val="24"/>
                <w:szCs w:val="24"/>
              </w:rPr>
            </w:pPr>
            <w:r w:rsidRPr="00743E64">
              <w:rPr>
                <w:rFonts w:ascii="Palatino Linotype" w:hAnsi="Palatino Linotype"/>
                <w:sz w:val="24"/>
                <w:szCs w:val="24"/>
              </w:rPr>
              <w:t>200</w:t>
            </w:r>
          </w:p>
        </w:tc>
      </w:tr>
      <w:tr w:rsidRPr="00743E64" w:rsidR="00FE28C1" w:rsidTr="005D4AD7" w14:paraId="661E19BD" w14:textId="77777777">
        <w:tc>
          <w:tcPr>
            <w:tcW w:w="2695" w:type="dxa"/>
          </w:tcPr>
          <w:p w:rsidRPr="00743E64" w:rsidR="00FE28C1" w:rsidP="005D4AD7" w:rsidRDefault="00FE28C1" w14:paraId="367A85F5" w14:textId="77777777">
            <w:pPr>
              <w:keepNext/>
              <w:keepLines/>
              <w:rPr>
                <w:rFonts w:ascii="Palatino Linotype" w:hAnsi="Palatino Linotype"/>
                <w:b/>
                <w:bCs/>
                <w:sz w:val="24"/>
                <w:szCs w:val="24"/>
                <w:vertAlign w:val="superscript"/>
              </w:rPr>
            </w:pPr>
            <w:r w:rsidRPr="00743E64">
              <w:rPr>
                <w:rFonts w:ascii="Palatino Linotype" w:hAnsi="Palatino Linotype"/>
                <w:b/>
                <w:bCs/>
                <w:sz w:val="24"/>
                <w:szCs w:val="24"/>
              </w:rPr>
              <w:t>Firm Zero-Emitting Generation Paired with Storage, or Demand Response Resources</w:t>
            </w:r>
            <w:r w:rsidRPr="00743E64">
              <w:rPr>
                <w:rFonts w:ascii="Palatino Linotype" w:hAnsi="Palatino Linotype"/>
                <w:b/>
                <w:bCs/>
                <w:sz w:val="24"/>
                <w:szCs w:val="24"/>
                <w:vertAlign w:val="superscript"/>
              </w:rPr>
              <w:t>2</w:t>
            </w:r>
          </w:p>
        </w:tc>
        <w:tc>
          <w:tcPr>
            <w:tcW w:w="950" w:type="dxa"/>
          </w:tcPr>
          <w:p w:rsidRPr="00743E64" w:rsidR="00FE28C1" w:rsidP="005D4AD7" w:rsidRDefault="00FE28C1" w14:paraId="1571E824" w14:textId="77777777">
            <w:pPr>
              <w:keepNext/>
              <w:keepLines/>
              <w:jc w:val="center"/>
              <w:rPr>
                <w:rFonts w:ascii="Palatino Linotype" w:hAnsi="Palatino Linotype"/>
                <w:sz w:val="24"/>
                <w:szCs w:val="24"/>
              </w:rPr>
            </w:pPr>
          </w:p>
        </w:tc>
        <w:tc>
          <w:tcPr>
            <w:tcW w:w="951" w:type="dxa"/>
          </w:tcPr>
          <w:p w:rsidRPr="00743E64" w:rsidR="00FE28C1" w:rsidP="005D4AD7" w:rsidRDefault="00FE28C1" w14:paraId="4DE36247" w14:textId="77777777">
            <w:pPr>
              <w:keepNext/>
              <w:keepLines/>
              <w:jc w:val="center"/>
              <w:rPr>
                <w:rFonts w:ascii="Palatino Linotype" w:hAnsi="Palatino Linotype"/>
                <w:sz w:val="24"/>
                <w:szCs w:val="24"/>
              </w:rPr>
            </w:pPr>
          </w:p>
        </w:tc>
        <w:tc>
          <w:tcPr>
            <w:tcW w:w="951" w:type="dxa"/>
          </w:tcPr>
          <w:p w:rsidRPr="00743E64" w:rsidR="00FE28C1" w:rsidP="005D4AD7" w:rsidRDefault="00FE28C1" w14:paraId="273E1649" w14:textId="77777777">
            <w:pPr>
              <w:keepNext/>
              <w:keepLines/>
              <w:jc w:val="center"/>
              <w:rPr>
                <w:rFonts w:ascii="Palatino Linotype" w:hAnsi="Palatino Linotype"/>
                <w:sz w:val="24"/>
                <w:szCs w:val="24"/>
              </w:rPr>
            </w:pPr>
          </w:p>
        </w:tc>
        <w:tc>
          <w:tcPr>
            <w:tcW w:w="950" w:type="dxa"/>
          </w:tcPr>
          <w:p w:rsidRPr="00743E64" w:rsidR="00FE28C1" w:rsidP="005D4AD7" w:rsidRDefault="00FE28C1" w14:paraId="13E9B5DB" w14:textId="77777777">
            <w:pPr>
              <w:keepNext/>
              <w:keepLines/>
              <w:jc w:val="center"/>
              <w:rPr>
                <w:rFonts w:ascii="Palatino Linotype" w:hAnsi="Palatino Linotype"/>
                <w:sz w:val="24"/>
                <w:szCs w:val="24"/>
              </w:rPr>
            </w:pPr>
          </w:p>
        </w:tc>
        <w:tc>
          <w:tcPr>
            <w:tcW w:w="951" w:type="dxa"/>
          </w:tcPr>
          <w:p w:rsidRPr="00743E64" w:rsidR="00FE28C1" w:rsidP="005D4AD7" w:rsidRDefault="00FE28C1" w14:paraId="07F2430A" w14:textId="77777777">
            <w:pPr>
              <w:keepNext/>
              <w:keepLines/>
              <w:jc w:val="center"/>
              <w:rPr>
                <w:rFonts w:ascii="Palatino Linotype" w:hAnsi="Palatino Linotype"/>
                <w:sz w:val="24"/>
                <w:szCs w:val="24"/>
              </w:rPr>
            </w:pPr>
          </w:p>
        </w:tc>
        <w:tc>
          <w:tcPr>
            <w:tcW w:w="951" w:type="dxa"/>
          </w:tcPr>
          <w:p w:rsidRPr="00743E64" w:rsidR="00FE28C1" w:rsidP="005D4AD7" w:rsidRDefault="00FE28C1" w14:paraId="74029E1D" w14:textId="77777777">
            <w:pPr>
              <w:keepNext/>
              <w:keepLines/>
              <w:jc w:val="center"/>
              <w:rPr>
                <w:rFonts w:ascii="Palatino Linotype" w:hAnsi="Palatino Linotype"/>
                <w:sz w:val="24"/>
                <w:szCs w:val="24"/>
              </w:rPr>
            </w:pPr>
            <w:r w:rsidRPr="00743E64">
              <w:rPr>
                <w:rFonts w:ascii="Palatino Linotype" w:hAnsi="Palatino Linotype"/>
                <w:sz w:val="24"/>
                <w:szCs w:val="24"/>
              </w:rPr>
              <w:t>200</w:t>
            </w:r>
          </w:p>
        </w:tc>
        <w:tc>
          <w:tcPr>
            <w:tcW w:w="951" w:type="dxa"/>
          </w:tcPr>
          <w:p w:rsidRPr="00743E64" w:rsidR="00FE28C1" w:rsidP="005D4AD7" w:rsidRDefault="00FE28C1" w14:paraId="2378A351" w14:textId="77777777">
            <w:pPr>
              <w:keepNext/>
              <w:keepLines/>
              <w:jc w:val="center"/>
              <w:rPr>
                <w:rFonts w:ascii="Palatino Linotype" w:hAnsi="Palatino Linotype"/>
                <w:sz w:val="24"/>
                <w:szCs w:val="24"/>
              </w:rPr>
            </w:pPr>
            <w:r w:rsidRPr="00743E64">
              <w:rPr>
                <w:rFonts w:ascii="Palatino Linotype" w:hAnsi="Palatino Linotype"/>
                <w:sz w:val="24"/>
                <w:szCs w:val="24"/>
              </w:rPr>
              <w:t>200</w:t>
            </w:r>
          </w:p>
        </w:tc>
      </w:tr>
      <w:tr w:rsidRPr="00743E64" w:rsidR="00FE28C1" w:rsidTr="005D4AD7" w14:paraId="79E17995" w14:textId="77777777">
        <w:tc>
          <w:tcPr>
            <w:tcW w:w="2695" w:type="dxa"/>
          </w:tcPr>
          <w:p w:rsidRPr="00743E64" w:rsidR="00FE28C1" w:rsidP="005D4AD7" w:rsidRDefault="00FE28C1" w14:paraId="2BCE5428" w14:textId="77777777">
            <w:pPr>
              <w:keepNext/>
              <w:keepLines/>
              <w:rPr>
                <w:rFonts w:ascii="Palatino Linotype" w:hAnsi="Palatino Linotype"/>
                <w:b/>
                <w:bCs/>
                <w:sz w:val="24"/>
                <w:szCs w:val="24"/>
              </w:rPr>
            </w:pPr>
            <w:r w:rsidRPr="00743E64">
              <w:rPr>
                <w:rFonts w:ascii="Palatino Linotype" w:hAnsi="Palatino Linotype"/>
                <w:b/>
                <w:bCs/>
                <w:sz w:val="24"/>
                <w:szCs w:val="24"/>
              </w:rPr>
              <w:t>Total Need</w:t>
            </w:r>
          </w:p>
        </w:tc>
        <w:tc>
          <w:tcPr>
            <w:tcW w:w="950" w:type="dxa"/>
          </w:tcPr>
          <w:p w:rsidRPr="00743E64" w:rsidR="00FE28C1" w:rsidP="005D4AD7" w:rsidRDefault="00FE28C1" w14:paraId="257F5CF9"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400</w:t>
            </w:r>
          </w:p>
        </w:tc>
        <w:tc>
          <w:tcPr>
            <w:tcW w:w="951" w:type="dxa"/>
          </w:tcPr>
          <w:p w:rsidRPr="00743E64" w:rsidR="00FE28C1" w:rsidP="005D4AD7" w:rsidRDefault="00FE28C1" w14:paraId="221E7927"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1</w:t>
            </w:r>
            <w:r>
              <w:rPr>
                <w:rFonts w:ascii="Palatino Linotype" w:hAnsi="Palatino Linotype"/>
                <w:b/>
                <w:bCs/>
                <w:sz w:val="24"/>
                <w:szCs w:val="24"/>
              </w:rPr>
              <w:t>,</w:t>
            </w:r>
            <w:r w:rsidRPr="00743E64">
              <w:rPr>
                <w:rFonts w:ascii="Palatino Linotype" w:hAnsi="Palatino Linotype"/>
                <w:b/>
                <w:bCs/>
                <w:sz w:val="24"/>
                <w:szCs w:val="24"/>
              </w:rPr>
              <w:t>201</w:t>
            </w:r>
          </w:p>
        </w:tc>
        <w:tc>
          <w:tcPr>
            <w:tcW w:w="951" w:type="dxa"/>
          </w:tcPr>
          <w:p w:rsidRPr="00743E64" w:rsidR="00FE28C1" w:rsidP="005D4AD7" w:rsidRDefault="00FE28C1" w14:paraId="061A8598"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300</w:t>
            </w:r>
          </w:p>
        </w:tc>
        <w:tc>
          <w:tcPr>
            <w:tcW w:w="950" w:type="dxa"/>
          </w:tcPr>
          <w:p w:rsidRPr="00743E64" w:rsidR="00FE28C1" w:rsidP="005D4AD7" w:rsidRDefault="00FE28C1" w14:paraId="4283C314"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388</w:t>
            </w:r>
          </w:p>
        </w:tc>
        <w:tc>
          <w:tcPr>
            <w:tcW w:w="951" w:type="dxa"/>
          </w:tcPr>
          <w:p w:rsidRPr="00743E64" w:rsidR="00FE28C1" w:rsidP="005D4AD7" w:rsidRDefault="00FE28C1" w14:paraId="53DFAC35"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388</w:t>
            </w:r>
          </w:p>
        </w:tc>
        <w:tc>
          <w:tcPr>
            <w:tcW w:w="951" w:type="dxa"/>
          </w:tcPr>
          <w:p w:rsidRPr="00743E64" w:rsidR="00FE28C1" w:rsidP="005D4AD7" w:rsidRDefault="00FE28C1" w14:paraId="46DE5435"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400</w:t>
            </w:r>
          </w:p>
        </w:tc>
        <w:tc>
          <w:tcPr>
            <w:tcW w:w="951" w:type="dxa"/>
          </w:tcPr>
          <w:p w:rsidRPr="00743E64" w:rsidR="00FE28C1" w:rsidP="005D4AD7" w:rsidRDefault="00FE28C1" w14:paraId="5A513EC2"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3</w:t>
            </w:r>
            <w:r>
              <w:rPr>
                <w:rFonts w:ascii="Palatino Linotype" w:hAnsi="Palatino Linotype"/>
                <w:b/>
                <w:bCs/>
                <w:sz w:val="24"/>
                <w:szCs w:val="24"/>
              </w:rPr>
              <w:t>,</w:t>
            </w:r>
            <w:r w:rsidRPr="00743E64">
              <w:rPr>
                <w:rFonts w:ascii="Palatino Linotype" w:hAnsi="Palatino Linotype"/>
                <w:b/>
                <w:bCs/>
                <w:sz w:val="24"/>
                <w:szCs w:val="24"/>
              </w:rPr>
              <w:t>077</w:t>
            </w:r>
          </w:p>
        </w:tc>
      </w:tr>
      <w:bookmarkEnd w:id="2"/>
    </w:tbl>
    <w:p w:rsidRPr="00743E64" w:rsidR="00FE28C1" w:rsidP="00202DBB" w:rsidRDefault="00FE28C1" w14:paraId="5A02328D" w14:textId="77777777">
      <w:pPr>
        <w:keepNext/>
        <w:keepLines/>
        <w:spacing w:after="0" w:line="240" w:lineRule="auto"/>
        <w:rPr>
          <w:rFonts w:ascii="Palatino Linotype" w:hAnsi="Palatino Linotype"/>
          <w:sz w:val="24"/>
          <w:szCs w:val="24"/>
        </w:rPr>
      </w:pPr>
    </w:p>
    <w:p w:rsidR="003169C9" w:rsidP="003169C9" w:rsidRDefault="00FE28C1" w14:paraId="1D9402B9" w14:textId="7FC1DF51">
      <w:pPr>
        <w:rPr>
          <w:rFonts w:ascii="Palatino Linotype" w:hAnsi="Palatino Linotype"/>
          <w:b/>
          <w:bCs/>
          <w:sz w:val="24"/>
          <w:szCs w:val="24"/>
        </w:rPr>
      </w:pPr>
      <w:r w:rsidRPr="00743E64">
        <w:rPr>
          <w:rFonts w:ascii="Palatino Linotype" w:hAnsi="Palatino Linotype"/>
          <w:sz w:val="24"/>
          <w:szCs w:val="24"/>
        </w:rPr>
        <w:t>On February 15, 2024, the CPUC adopted D.24-02-047, modifying the procurement deadlines outlined in the two MTR Decisions. Specifically, D.24-02-047 allows for an extension of the D.23-02-040 2028 deadline to procure LLT resources, when certain conditions are met by an LSE.</w:t>
      </w:r>
      <w:r w:rsidRPr="00743E64">
        <w:rPr>
          <w:rStyle w:val="FootnoteReference"/>
          <w:rFonts w:ascii="Palatino Linotype" w:hAnsi="Palatino Linotype"/>
          <w:sz w:val="24"/>
          <w:szCs w:val="24"/>
        </w:rPr>
        <w:footnoteReference w:id="6"/>
      </w:r>
      <w:r w:rsidRPr="00743E64">
        <w:rPr>
          <w:rFonts w:ascii="Palatino Linotype" w:hAnsi="Palatino Linotype"/>
          <w:sz w:val="24"/>
          <w:szCs w:val="24"/>
        </w:rPr>
        <w:t xml:space="preserve"> Under this decision, LSEs that require an extension to the June 1, 2028 LLT resource deadline must procure generic capacity to cover the </w:t>
      </w:r>
      <w:r w:rsidRPr="00743E64" w:rsidR="00390B4E">
        <w:rPr>
          <w:rFonts w:ascii="Palatino Linotype" w:hAnsi="Palatino Linotype"/>
          <w:sz w:val="24"/>
          <w:szCs w:val="24"/>
        </w:rPr>
        <w:t>shortfall and</w:t>
      </w:r>
      <w:r w:rsidRPr="00743E64">
        <w:rPr>
          <w:rFonts w:ascii="Palatino Linotype" w:hAnsi="Palatino Linotype"/>
          <w:sz w:val="24"/>
          <w:szCs w:val="24"/>
        </w:rPr>
        <w:t xml:space="preserve"> still bring online LLT resources by no later than June 1, 2031. </w:t>
      </w:r>
    </w:p>
    <w:p w:rsidRPr="008644D1" w:rsidR="00751D45" w:rsidP="00B8533D" w:rsidRDefault="00FE28C1" w14:paraId="52393E82" w14:textId="11311825">
      <w:pPr>
        <w:spacing w:before="120"/>
        <w:rPr>
          <w:rFonts w:ascii="Palatino Linotype" w:hAnsi="Palatino Linotype"/>
          <w:b/>
          <w:bCs/>
          <w:sz w:val="24"/>
          <w:szCs w:val="24"/>
        </w:rPr>
      </w:pPr>
      <w:r w:rsidRPr="00743E64">
        <w:rPr>
          <w:rFonts w:ascii="Palatino Linotype" w:hAnsi="Palatino Linotype"/>
          <w:b/>
          <w:bCs/>
          <w:sz w:val="24"/>
          <w:szCs w:val="24"/>
        </w:rPr>
        <w:t xml:space="preserve">Solicitation of the MTR </w:t>
      </w:r>
      <w:r w:rsidRPr="2D91FDD9">
        <w:rPr>
          <w:rFonts w:ascii="Palatino Linotype" w:hAnsi="Palatino Linotype"/>
          <w:b/>
          <w:bCs/>
          <w:sz w:val="24"/>
          <w:szCs w:val="24"/>
        </w:rPr>
        <w:t>Contract</w:t>
      </w:r>
    </w:p>
    <w:p w:rsidRPr="00A379E2" w:rsidR="00751D45" w:rsidP="00A379E2" w:rsidRDefault="00751D45" w14:paraId="594BA881" w14:textId="0E8A989F">
      <w:pPr>
        <w:rPr>
          <w:rFonts w:ascii="Palatino Linotype" w:hAnsi="Palatino Linotype"/>
          <w:sz w:val="24"/>
          <w:szCs w:val="24"/>
        </w:rPr>
      </w:pPr>
      <w:r>
        <w:rPr>
          <w:rFonts w:ascii="Palatino Linotype" w:hAnsi="Palatino Linotype"/>
          <w:sz w:val="24"/>
          <w:szCs w:val="24"/>
        </w:rPr>
        <w:t xml:space="preserve">PG&amp;E issued an MTR Request for Offers (RFO) – Phase 1 on June 18, </w:t>
      </w:r>
      <w:r w:rsidR="00ED3909">
        <w:rPr>
          <w:rFonts w:ascii="Palatino Linotype" w:hAnsi="Palatino Linotype"/>
          <w:sz w:val="24"/>
          <w:szCs w:val="24"/>
        </w:rPr>
        <w:t>2021,</w:t>
      </w:r>
      <w:r>
        <w:rPr>
          <w:rFonts w:ascii="Palatino Linotype" w:hAnsi="Palatino Linotype"/>
          <w:sz w:val="24"/>
          <w:szCs w:val="24"/>
        </w:rPr>
        <w:t xml:space="preserve"> to procure resources for incremental NQC with expected online date</w:t>
      </w:r>
      <w:r w:rsidR="356B3849">
        <w:rPr>
          <w:rFonts w:ascii="Palatino Linotype" w:hAnsi="Palatino Linotype"/>
          <w:sz w:val="24"/>
          <w:szCs w:val="24"/>
        </w:rPr>
        <w:t>s</w:t>
      </w:r>
      <w:r>
        <w:rPr>
          <w:rFonts w:ascii="Palatino Linotype" w:hAnsi="Palatino Linotype"/>
          <w:sz w:val="24"/>
          <w:szCs w:val="24"/>
        </w:rPr>
        <w:t xml:space="preserve"> of August 1, </w:t>
      </w:r>
      <w:r w:rsidR="00ED3909">
        <w:rPr>
          <w:rFonts w:ascii="Palatino Linotype" w:hAnsi="Palatino Linotype"/>
          <w:sz w:val="24"/>
          <w:szCs w:val="24"/>
        </w:rPr>
        <w:t>2023,</w:t>
      </w:r>
      <w:r>
        <w:rPr>
          <w:rFonts w:ascii="Palatino Linotype" w:hAnsi="Palatino Linotype"/>
          <w:sz w:val="24"/>
          <w:szCs w:val="24"/>
        </w:rPr>
        <w:t xml:space="preserve"> and </w:t>
      </w:r>
      <w:r>
        <w:rPr>
          <w:rFonts w:ascii="Palatino Linotype" w:hAnsi="Palatino Linotype"/>
          <w:sz w:val="24"/>
          <w:szCs w:val="24"/>
        </w:rPr>
        <w:br/>
        <w:t>June 1, 2024</w:t>
      </w:r>
      <w:r w:rsidR="48F0B097">
        <w:rPr>
          <w:rFonts w:ascii="Palatino Linotype" w:hAnsi="Palatino Linotype"/>
          <w:sz w:val="24"/>
          <w:szCs w:val="24"/>
        </w:rPr>
        <w:t>;</w:t>
      </w:r>
      <w:r>
        <w:rPr>
          <w:rFonts w:ascii="Palatino Linotype" w:hAnsi="Palatino Linotype"/>
          <w:sz w:val="24"/>
          <w:szCs w:val="24"/>
        </w:rPr>
        <w:t xml:space="preserve"> under which PG&amp;E executed </w:t>
      </w:r>
      <w:r w:rsidR="0060181C">
        <w:rPr>
          <w:rFonts w:ascii="Palatino Linotype" w:hAnsi="Palatino Linotype"/>
          <w:sz w:val="24"/>
          <w:szCs w:val="24"/>
        </w:rPr>
        <w:t xml:space="preserve">nine </w:t>
      </w:r>
      <w:r>
        <w:rPr>
          <w:rFonts w:ascii="Palatino Linotype" w:hAnsi="Palatino Linotype"/>
          <w:sz w:val="24"/>
          <w:szCs w:val="24"/>
        </w:rPr>
        <w:t xml:space="preserve">contracts for 1,598.7 MW of nameplate capacity. The Commission approved these contracts on April 21, </w:t>
      </w:r>
      <w:r w:rsidR="00ED3909">
        <w:rPr>
          <w:rFonts w:ascii="Palatino Linotype" w:hAnsi="Palatino Linotype"/>
          <w:sz w:val="24"/>
          <w:szCs w:val="24"/>
        </w:rPr>
        <w:t>2022,</w:t>
      </w:r>
      <w:r>
        <w:rPr>
          <w:rFonts w:ascii="Palatino Linotype" w:hAnsi="Palatino Linotype"/>
          <w:sz w:val="24"/>
          <w:szCs w:val="24"/>
        </w:rPr>
        <w:t xml:space="preserve"> </w:t>
      </w:r>
      <w:r w:rsidRPr="00DE0788">
        <w:rPr>
          <w:rFonts w:ascii="Palatino Linotype" w:hAnsi="Palatino Linotype"/>
          <w:sz w:val="24"/>
          <w:szCs w:val="24"/>
        </w:rPr>
        <w:t xml:space="preserve">in Resolution </w:t>
      </w:r>
      <w:r>
        <w:rPr>
          <w:rFonts w:ascii="Palatino Linotype" w:hAnsi="Palatino Linotype"/>
          <w:sz w:val="24"/>
          <w:szCs w:val="24"/>
        </w:rPr>
        <w:br/>
      </w:r>
      <w:r w:rsidRPr="00DE0788">
        <w:rPr>
          <w:rFonts w:ascii="Palatino Linotype" w:hAnsi="Palatino Linotype"/>
          <w:sz w:val="24"/>
          <w:szCs w:val="24"/>
        </w:rPr>
        <w:t>E-5202</w:t>
      </w:r>
      <w:r>
        <w:rPr>
          <w:rFonts w:ascii="Palatino Linotype" w:hAnsi="Palatino Linotype"/>
          <w:sz w:val="24"/>
          <w:szCs w:val="24"/>
        </w:rPr>
        <w:t>.</w:t>
      </w:r>
      <w:r>
        <w:rPr>
          <w:rStyle w:val="FootnoteReference"/>
          <w:rFonts w:ascii="Palatino Linotype" w:hAnsi="Palatino Linotype"/>
          <w:sz w:val="24"/>
          <w:szCs w:val="24"/>
        </w:rPr>
        <w:footnoteReference w:id="7"/>
      </w:r>
      <w:r>
        <w:rPr>
          <w:rFonts w:ascii="Palatino Linotype" w:hAnsi="Palatino Linotype"/>
          <w:sz w:val="24"/>
          <w:szCs w:val="24"/>
        </w:rPr>
        <w:t xml:space="preserve"> PG&amp;E further issued its MTR RFO – Phase 2 on April 15, 2022, under which </w:t>
      </w:r>
      <w:r>
        <w:rPr>
          <w:rFonts w:ascii="Palatino Linotype" w:hAnsi="Palatino Linotype"/>
          <w:sz w:val="24"/>
          <w:szCs w:val="24"/>
        </w:rPr>
        <w:lastRenderedPageBreak/>
        <w:t>PG&amp;E executed contracts for more than 300 MW of nameplate capacity. The Commission approved these contracts in Resolutions E-5262, E-5263, and E-5297.</w:t>
      </w:r>
      <w:r>
        <w:rPr>
          <w:rStyle w:val="FootnoteReference"/>
          <w:rFonts w:ascii="Palatino Linotype" w:hAnsi="Palatino Linotype"/>
          <w:sz w:val="24"/>
          <w:szCs w:val="24"/>
        </w:rPr>
        <w:footnoteReference w:id="8"/>
      </w:r>
    </w:p>
    <w:p w:rsidR="00AD6A67" w:rsidP="00B84E68" w:rsidRDefault="00E975AE" w14:paraId="10BBB3C9" w14:textId="2497F298">
      <w:pPr>
        <w:spacing w:after="0" w:line="240" w:lineRule="auto"/>
        <w:rPr>
          <w:rFonts w:ascii="Palatino Linotype" w:hAnsi="Palatino Linotype" w:eastAsia="Times New Roman" w:cs="Times New Roman"/>
          <w:kern w:val="0"/>
          <w:sz w:val="24"/>
          <w:szCs w:val="24"/>
          <w14:ligatures w14:val="none"/>
        </w:rPr>
      </w:pPr>
      <w:r>
        <w:rPr>
          <w:rFonts w:ascii="Palatino Linotype" w:hAnsi="Palatino Linotype"/>
          <w:sz w:val="24"/>
          <w:szCs w:val="24"/>
        </w:rPr>
        <w:t xml:space="preserve">On February 7, 2023, PG&amp;E issued its MTR RFO – Phase 3 to solicit offers to </w:t>
      </w:r>
      <w:r w:rsidR="00825129">
        <w:rPr>
          <w:rFonts w:ascii="Palatino Linotype" w:hAnsi="Palatino Linotype"/>
          <w:sz w:val="24"/>
          <w:szCs w:val="24"/>
        </w:rPr>
        <w:t xml:space="preserve">fulfill its </w:t>
      </w:r>
      <w:r w:rsidR="00AD7A57">
        <w:rPr>
          <w:rFonts w:ascii="Palatino Linotype" w:hAnsi="Palatino Linotype"/>
          <w:sz w:val="24"/>
          <w:szCs w:val="24"/>
        </w:rPr>
        <w:t xml:space="preserve">MTR procurement requirements. The </w:t>
      </w:r>
      <w:r w:rsidR="00F53F7E">
        <w:rPr>
          <w:rFonts w:ascii="Palatino Linotype" w:hAnsi="Palatino Linotype"/>
          <w:sz w:val="24"/>
          <w:szCs w:val="24"/>
        </w:rPr>
        <w:t>a</w:t>
      </w:r>
      <w:r w:rsidR="008C7F23">
        <w:rPr>
          <w:rFonts w:ascii="Palatino Linotype" w:hAnsi="Palatino Linotype"/>
          <w:sz w:val="24"/>
          <w:szCs w:val="24"/>
        </w:rPr>
        <w:t xml:space="preserve">greement for the </w:t>
      </w:r>
      <w:r w:rsidR="00E8606E">
        <w:rPr>
          <w:rFonts w:ascii="Palatino Linotype" w:hAnsi="Palatino Linotype" w:eastAsia="Times New Roman" w:cs="Times New Roman"/>
          <w:kern w:val="0"/>
          <w:sz w:val="24"/>
          <w:szCs w:val="24"/>
          <w14:ligatures w14:val="none"/>
        </w:rPr>
        <w:t>Pastoria Power Bank Project</w:t>
      </w:r>
      <w:r w:rsidR="008C7F23">
        <w:rPr>
          <w:rFonts w:ascii="Palatino Linotype" w:hAnsi="Palatino Linotype" w:eastAsia="Times New Roman" w:cs="Times New Roman"/>
          <w:kern w:val="0"/>
          <w:sz w:val="24"/>
          <w:szCs w:val="24"/>
          <w14:ligatures w14:val="none"/>
        </w:rPr>
        <w:t xml:space="preserve"> (</w:t>
      </w:r>
      <w:r w:rsidR="00E8606E">
        <w:rPr>
          <w:rFonts w:ascii="Palatino Linotype" w:hAnsi="Palatino Linotype" w:eastAsia="Times New Roman" w:cs="Times New Roman"/>
          <w:kern w:val="0"/>
          <w:sz w:val="24"/>
          <w:szCs w:val="24"/>
          <w14:ligatures w14:val="none"/>
        </w:rPr>
        <w:t>80</w:t>
      </w:r>
      <w:r w:rsidR="008C7F23">
        <w:rPr>
          <w:rFonts w:ascii="Palatino Linotype" w:hAnsi="Palatino Linotype" w:eastAsia="Times New Roman" w:cs="Times New Roman"/>
          <w:kern w:val="0"/>
          <w:sz w:val="24"/>
          <w:szCs w:val="24"/>
          <w14:ligatures w14:val="none"/>
        </w:rPr>
        <w:t xml:space="preserve"> MW) </w:t>
      </w:r>
      <w:r w:rsidR="00E8606E">
        <w:rPr>
          <w:rFonts w:ascii="Palatino Linotype" w:hAnsi="Palatino Linotype" w:eastAsia="Times New Roman" w:cs="Times New Roman"/>
          <w:kern w:val="0"/>
          <w:sz w:val="24"/>
          <w:szCs w:val="24"/>
          <w14:ligatures w14:val="none"/>
        </w:rPr>
        <w:t>is</w:t>
      </w:r>
      <w:r w:rsidR="008C7F23">
        <w:rPr>
          <w:rFonts w:ascii="Palatino Linotype" w:hAnsi="Palatino Linotype" w:eastAsia="Times New Roman" w:cs="Times New Roman"/>
          <w:kern w:val="0"/>
          <w:sz w:val="24"/>
          <w:szCs w:val="24"/>
          <w14:ligatures w14:val="none"/>
        </w:rPr>
        <w:t xml:space="preserve"> a result of this RFO. </w:t>
      </w:r>
      <w:r w:rsidRPr="00E43C90" w:rsidR="00E43C90">
        <w:rPr>
          <w:rFonts w:ascii="Palatino Linotype" w:hAnsi="Palatino Linotype" w:eastAsia="Times New Roman" w:cs="Times New Roman"/>
          <w:kern w:val="0"/>
          <w:sz w:val="24"/>
          <w:szCs w:val="24"/>
          <w14:ligatures w14:val="none"/>
        </w:rPr>
        <w:t xml:space="preserve">Prior to this submittal, PG&amp;E submitted </w:t>
      </w:r>
      <w:r w:rsidR="00042F41">
        <w:rPr>
          <w:rFonts w:ascii="Palatino Linotype" w:hAnsi="Palatino Linotype" w:eastAsia="Times New Roman" w:cs="Times New Roman"/>
          <w:kern w:val="0"/>
          <w:sz w:val="24"/>
          <w:szCs w:val="24"/>
          <w14:ligatures w14:val="none"/>
        </w:rPr>
        <w:t>nine</w:t>
      </w:r>
      <w:r w:rsidRPr="00E43C90" w:rsidR="00E43C90">
        <w:rPr>
          <w:rFonts w:ascii="Palatino Linotype" w:hAnsi="Palatino Linotype" w:eastAsia="Times New Roman" w:cs="Times New Roman"/>
          <w:kern w:val="0"/>
          <w:sz w:val="24"/>
          <w:szCs w:val="24"/>
          <w14:ligatures w14:val="none"/>
        </w:rPr>
        <w:t xml:space="preserve"> agreements from the MTR RFO – Phase 3 in advice letters 7177-E, 7299-E, 7356-E</w:t>
      </w:r>
      <w:r w:rsidR="00E8606E">
        <w:rPr>
          <w:rFonts w:ascii="Palatino Linotype" w:hAnsi="Palatino Linotype" w:eastAsia="Times New Roman" w:cs="Times New Roman"/>
          <w:kern w:val="0"/>
          <w:sz w:val="24"/>
          <w:szCs w:val="24"/>
          <w14:ligatures w14:val="none"/>
        </w:rPr>
        <w:t>, and 7420-E.</w:t>
      </w:r>
    </w:p>
    <w:p w:rsidRPr="002E6E56" w:rsidR="00A379E2" w:rsidP="00B84E68" w:rsidRDefault="00A379E2" w14:paraId="0E450F35" w14:textId="77777777">
      <w:pPr>
        <w:spacing w:after="0" w:line="240" w:lineRule="auto"/>
        <w:rPr>
          <w:rFonts w:ascii="Palatino Linotype" w:hAnsi="Palatino Linotype" w:eastAsia="Times New Roman" w:cs="Times New Roman"/>
          <w:kern w:val="0"/>
          <w:sz w:val="16"/>
          <w:szCs w:val="16"/>
          <w14:ligatures w14:val="none"/>
        </w:rPr>
      </w:pPr>
    </w:p>
    <w:p w:rsidR="00DC5A30" w:rsidP="00B84E68" w:rsidRDefault="00955319" w14:paraId="0BECCF29" w14:textId="60689647">
      <w:pPr>
        <w:spacing w:after="0" w:line="240" w:lineRule="auto"/>
        <w:rPr>
          <w:rFonts w:ascii="Palatino Linotype" w:hAnsi="Palatino Linotype"/>
          <w:sz w:val="24"/>
          <w:szCs w:val="24"/>
        </w:rPr>
      </w:pPr>
      <w:r>
        <w:rPr>
          <w:rFonts w:ascii="Palatino Linotype" w:hAnsi="Palatino Linotype"/>
          <w:sz w:val="24"/>
          <w:szCs w:val="24"/>
        </w:rPr>
        <w:t xml:space="preserve">Under the </w:t>
      </w:r>
      <w:r w:rsidR="00DC5C53">
        <w:rPr>
          <w:rFonts w:ascii="Palatino Linotype" w:hAnsi="Palatino Linotype"/>
          <w:sz w:val="24"/>
          <w:szCs w:val="24"/>
        </w:rPr>
        <w:t xml:space="preserve">MTR RFO – Phase 3 </w:t>
      </w:r>
      <w:r>
        <w:rPr>
          <w:rFonts w:ascii="Palatino Linotype" w:hAnsi="Palatino Linotype"/>
          <w:sz w:val="24"/>
          <w:szCs w:val="24"/>
        </w:rPr>
        <w:t xml:space="preserve">solicitation, PG&amp;E sought offers for zero-emitting, firm zero-emitting, long duration storage, and any other type of non-fossil-fueled resources. Participants were required to demonstrate site control, evidence that the project was on track to receive Full Capacity Deliverability Status (FCDS), and that the project was incremental to the 2019-2020 IRP RESOLVE/SERVM baseline used in </w:t>
      </w:r>
      <w:r w:rsidR="00FA42F4">
        <w:rPr>
          <w:rFonts w:ascii="Palatino Linotype" w:hAnsi="Palatino Linotype"/>
          <w:sz w:val="24"/>
          <w:szCs w:val="24"/>
        </w:rPr>
        <w:t xml:space="preserve">the </w:t>
      </w:r>
      <w:r>
        <w:rPr>
          <w:rFonts w:ascii="Palatino Linotype" w:hAnsi="Palatino Linotype"/>
          <w:sz w:val="24"/>
          <w:szCs w:val="24"/>
        </w:rPr>
        <w:t>need determination.</w:t>
      </w:r>
      <w:r>
        <w:rPr>
          <w:rStyle w:val="FootnoteReference"/>
          <w:rFonts w:ascii="Palatino Linotype" w:hAnsi="Palatino Linotype"/>
          <w:sz w:val="24"/>
          <w:szCs w:val="24"/>
        </w:rPr>
        <w:footnoteReference w:id="9"/>
      </w:r>
    </w:p>
    <w:p w:rsidRPr="002E6E56" w:rsidR="00DC5A30" w:rsidP="00B84E68" w:rsidRDefault="00DC5A30" w14:paraId="16D400A9" w14:textId="77777777">
      <w:pPr>
        <w:spacing w:after="0" w:line="240" w:lineRule="auto"/>
        <w:rPr>
          <w:rFonts w:ascii="Palatino Linotype" w:hAnsi="Palatino Linotype"/>
          <w:sz w:val="16"/>
          <w:szCs w:val="16"/>
        </w:rPr>
      </w:pPr>
    </w:p>
    <w:p w:rsidR="00A16646" w:rsidP="001E3A70" w:rsidRDefault="00DC5A30" w14:paraId="4A60AB0F" w14:textId="0E1E724D">
      <w:pPr>
        <w:rPr>
          <w:rFonts w:ascii="Palatino Linotype" w:hAnsi="Palatino Linotype"/>
          <w:sz w:val="24"/>
          <w:szCs w:val="24"/>
        </w:rPr>
      </w:pPr>
      <w:r>
        <w:rPr>
          <w:rFonts w:ascii="Palatino Linotype" w:hAnsi="Palatino Linotype"/>
          <w:sz w:val="24"/>
          <w:szCs w:val="24"/>
        </w:rPr>
        <w:t xml:space="preserve">PG&amp;E announced the issuance of the MTR RFO – Phase 3 by email to approximately </w:t>
      </w:r>
      <w:r w:rsidRPr="00096AF2" w:rsidR="00096AF2">
        <w:rPr>
          <w:rFonts w:ascii="Palatino Linotype" w:hAnsi="Palatino Linotype"/>
          <w:sz w:val="24"/>
          <w:szCs w:val="24"/>
        </w:rPr>
        <w:t>2,500</w:t>
      </w:r>
      <w:r w:rsidRPr="00096AF2">
        <w:rPr>
          <w:rFonts w:ascii="Palatino Linotype" w:hAnsi="Palatino Linotype"/>
          <w:sz w:val="24"/>
          <w:szCs w:val="24"/>
        </w:rPr>
        <w:t xml:space="preserve"> potential participants with information on the location of the solicitation </w:t>
      </w:r>
      <w:r>
        <w:rPr>
          <w:rFonts w:ascii="Palatino Linotype" w:hAnsi="Palatino Linotype"/>
          <w:sz w:val="24"/>
          <w:szCs w:val="24"/>
        </w:rPr>
        <w:t xml:space="preserve">documents, participant webinar information, and important action items. On February 15, 2023, PG&amp;E conducted a participants’ conference via webinar to explain the MTR RFO – Phase 3 solicitation protocol, form agreements, and the offer submittal process. PG&amp;E requested that offers be submitted by March 16, 2023, and notified participants via email on </w:t>
      </w:r>
      <w:r w:rsidR="009D266B">
        <w:rPr>
          <w:rFonts w:ascii="Palatino Linotype" w:hAnsi="Palatino Linotype"/>
          <w:sz w:val="24"/>
          <w:szCs w:val="24"/>
        </w:rPr>
        <w:br/>
      </w:r>
      <w:r>
        <w:rPr>
          <w:rFonts w:ascii="Palatino Linotype" w:hAnsi="Palatino Linotype"/>
          <w:sz w:val="24"/>
          <w:szCs w:val="24"/>
        </w:rPr>
        <w:t xml:space="preserve">May 10, </w:t>
      </w:r>
      <w:r w:rsidR="00BF459C">
        <w:rPr>
          <w:rFonts w:ascii="Palatino Linotype" w:hAnsi="Palatino Linotype"/>
          <w:sz w:val="24"/>
          <w:szCs w:val="24"/>
        </w:rPr>
        <w:t>2023,</w:t>
      </w:r>
      <w:r>
        <w:rPr>
          <w:rFonts w:ascii="Palatino Linotype" w:hAnsi="Palatino Linotype"/>
          <w:sz w:val="24"/>
          <w:szCs w:val="24"/>
        </w:rPr>
        <w:t xml:space="preserve"> </w:t>
      </w:r>
      <w:r w:rsidR="00AE2F7D">
        <w:rPr>
          <w:rFonts w:ascii="Palatino Linotype" w:hAnsi="Palatino Linotype"/>
          <w:sz w:val="24"/>
          <w:szCs w:val="24"/>
        </w:rPr>
        <w:t>regarding</w:t>
      </w:r>
      <w:r>
        <w:rPr>
          <w:rFonts w:ascii="Palatino Linotype" w:hAnsi="Palatino Linotype"/>
          <w:sz w:val="24"/>
          <w:szCs w:val="24"/>
        </w:rPr>
        <w:t xml:space="preserve"> whether PG&amp;E had selected their offers for the shortlist. PG&amp;E states that due to changing market conditions, PG&amp;E notified market participants that it had reopened the RFO on August 1, 2023, and accepted offers through December 15, 2023.</w:t>
      </w:r>
      <w:r w:rsidR="00023CFC">
        <w:rPr>
          <w:rFonts w:ascii="Palatino Linotype" w:hAnsi="Palatino Linotype"/>
          <w:sz w:val="24"/>
          <w:szCs w:val="24"/>
        </w:rPr>
        <w:t xml:space="preserve"> PG&amp;E states that it again </w:t>
      </w:r>
      <w:r w:rsidR="00385A3A">
        <w:rPr>
          <w:rFonts w:ascii="Palatino Linotype" w:hAnsi="Palatino Linotype"/>
          <w:sz w:val="24"/>
          <w:szCs w:val="24"/>
        </w:rPr>
        <w:t xml:space="preserve">re-opened the RFO on July 31, </w:t>
      </w:r>
      <w:r w:rsidR="00BC570E">
        <w:rPr>
          <w:rFonts w:ascii="Palatino Linotype" w:hAnsi="Palatino Linotype"/>
          <w:sz w:val="24"/>
          <w:szCs w:val="24"/>
        </w:rPr>
        <w:t>2024,</w:t>
      </w:r>
      <w:r w:rsidR="00385A3A">
        <w:rPr>
          <w:rFonts w:ascii="Palatino Linotype" w:hAnsi="Palatino Linotype"/>
          <w:sz w:val="24"/>
          <w:szCs w:val="24"/>
        </w:rPr>
        <w:t xml:space="preserve"> to accept standalone energy storage offers that had an online date of June 1, 2026, or earlier</w:t>
      </w:r>
      <w:r w:rsidR="00BC570E">
        <w:rPr>
          <w:rFonts w:ascii="Palatino Linotype" w:hAnsi="Palatino Linotype"/>
          <w:sz w:val="24"/>
          <w:szCs w:val="24"/>
        </w:rPr>
        <w:t xml:space="preserve">. PG&amp;E accepted </w:t>
      </w:r>
      <w:r w:rsidR="00410D0C">
        <w:rPr>
          <w:rFonts w:ascii="Palatino Linotype" w:hAnsi="Palatino Linotype"/>
          <w:sz w:val="24"/>
          <w:szCs w:val="24"/>
        </w:rPr>
        <w:t>eligible offers between July 31 and August 22, 2024. S</w:t>
      </w:r>
      <w:r>
        <w:rPr>
          <w:rFonts w:ascii="Palatino Linotype" w:hAnsi="Palatino Linotype"/>
          <w:sz w:val="24"/>
          <w:szCs w:val="24"/>
        </w:rPr>
        <w:t xml:space="preserve">hortlisted participants </w:t>
      </w:r>
      <w:r w:rsidR="00CA75AA">
        <w:rPr>
          <w:rFonts w:ascii="Palatino Linotype" w:hAnsi="Palatino Linotype"/>
          <w:sz w:val="24"/>
          <w:szCs w:val="24"/>
        </w:rPr>
        <w:t xml:space="preserve">from either re-opening </w:t>
      </w:r>
      <w:r>
        <w:rPr>
          <w:rFonts w:ascii="Palatino Linotype" w:hAnsi="Palatino Linotype"/>
          <w:sz w:val="24"/>
          <w:szCs w:val="24"/>
        </w:rPr>
        <w:t>were notified on a rolling basis.</w:t>
      </w:r>
      <w:r>
        <w:rPr>
          <w:rStyle w:val="FootnoteReference"/>
          <w:rFonts w:ascii="Palatino Linotype" w:hAnsi="Palatino Linotype"/>
          <w:sz w:val="24"/>
          <w:szCs w:val="24"/>
        </w:rPr>
        <w:footnoteReference w:id="10"/>
      </w:r>
    </w:p>
    <w:p w:rsidR="001E3A70" w:rsidP="001E3A70" w:rsidRDefault="001E3A70" w14:paraId="0C42771A" w14:textId="47A61AD8">
      <w:pPr>
        <w:rPr>
          <w:rFonts w:ascii="Palatino Linotype" w:hAnsi="Palatino Linotype"/>
          <w:sz w:val="24"/>
          <w:szCs w:val="24"/>
        </w:rPr>
      </w:pPr>
      <w:r>
        <w:rPr>
          <w:rFonts w:ascii="Palatino Linotype" w:hAnsi="Palatino Linotype"/>
          <w:sz w:val="24"/>
          <w:szCs w:val="24"/>
        </w:rPr>
        <w:t xml:space="preserve">After receiving offers, PG&amp;E provided </w:t>
      </w:r>
      <w:r w:rsidR="00A379E2">
        <w:rPr>
          <w:rFonts w:ascii="Palatino Linotype" w:hAnsi="Palatino Linotype"/>
          <w:sz w:val="24"/>
          <w:szCs w:val="24"/>
        </w:rPr>
        <w:t>participants with</w:t>
      </w:r>
      <w:r>
        <w:rPr>
          <w:rFonts w:ascii="Palatino Linotype" w:hAnsi="Palatino Linotype"/>
          <w:sz w:val="24"/>
          <w:szCs w:val="24"/>
        </w:rPr>
        <w:t xml:space="preserve"> an opportunity to revise offers that were missing information or required clarification by sending deficiency notices requesting further information by a specified date. If an offer did not satisfy the solicitation’s requirements and subsequent modification by the participant did not result in a conforming offer, or PG&amp;E determined that an offer was in violation of the terms of </w:t>
      </w:r>
      <w:r>
        <w:rPr>
          <w:rFonts w:ascii="Palatino Linotype" w:hAnsi="Palatino Linotype"/>
          <w:sz w:val="24"/>
          <w:szCs w:val="24"/>
        </w:rPr>
        <w:lastRenderedPageBreak/>
        <w:t>the MTR RFO – Phase 3, PG&amp;E considered these offers non-conforming and eliminated them from further evaluation.</w:t>
      </w:r>
      <w:r>
        <w:rPr>
          <w:rStyle w:val="FootnoteReference"/>
          <w:rFonts w:ascii="Palatino Linotype" w:hAnsi="Palatino Linotype"/>
          <w:sz w:val="24"/>
          <w:szCs w:val="24"/>
        </w:rPr>
        <w:footnoteReference w:id="11"/>
      </w:r>
    </w:p>
    <w:p w:rsidRPr="00497698" w:rsidR="00E975AE" w:rsidP="001E3A70" w:rsidRDefault="504C3363" w14:paraId="6CDFDF75" w14:textId="27875719">
      <w:pPr>
        <w:spacing w:after="0" w:line="240" w:lineRule="auto"/>
        <w:rPr>
          <w:rFonts w:ascii="Palatino Linotype" w:hAnsi="Palatino Linotype" w:eastAsia="Times New Roman" w:cs="Times New Roman"/>
          <w:kern w:val="0"/>
          <w:sz w:val="24"/>
          <w:szCs w:val="24"/>
          <w14:ligatures w14:val="none"/>
        </w:rPr>
      </w:pPr>
      <w:r>
        <w:rPr>
          <w:rFonts w:ascii="Palatino Linotype" w:hAnsi="Palatino Linotype"/>
          <w:sz w:val="24"/>
          <w:szCs w:val="24"/>
        </w:rPr>
        <w:t>To evaluate the offers submitted under the solicitation, PG&amp;E used</w:t>
      </w:r>
      <w:r w:rsidR="5914DE22">
        <w:rPr>
          <w:rFonts w:ascii="Palatino Linotype" w:hAnsi="Palatino Linotype"/>
          <w:sz w:val="24"/>
          <w:szCs w:val="24"/>
        </w:rPr>
        <w:t xml:space="preserve"> </w:t>
      </w:r>
      <w:r w:rsidR="782FF50B">
        <w:rPr>
          <w:rFonts w:ascii="Palatino Linotype" w:hAnsi="Palatino Linotype"/>
          <w:sz w:val="24"/>
          <w:szCs w:val="24"/>
        </w:rPr>
        <w:t xml:space="preserve">Least Cost Best Fit </w:t>
      </w:r>
      <w:r w:rsidR="17A69216">
        <w:rPr>
          <w:rFonts w:ascii="Palatino Linotype" w:hAnsi="Palatino Linotype"/>
          <w:sz w:val="24"/>
          <w:szCs w:val="24"/>
        </w:rPr>
        <w:t xml:space="preserve">(“LCBF”) </w:t>
      </w:r>
      <w:r w:rsidR="60890598">
        <w:rPr>
          <w:rFonts w:ascii="Palatino Linotype" w:hAnsi="Palatino Linotype"/>
          <w:sz w:val="24"/>
          <w:szCs w:val="24"/>
        </w:rPr>
        <w:t>methodology</w:t>
      </w:r>
      <w:r w:rsidR="13FF5535">
        <w:rPr>
          <w:rFonts w:ascii="Palatino Linotype" w:hAnsi="Palatino Linotype"/>
          <w:sz w:val="24"/>
          <w:szCs w:val="24"/>
        </w:rPr>
        <w:t xml:space="preserve"> where</w:t>
      </w:r>
      <w:r>
        <w:rPr>
          <w:rFonts w:ascii="Palatino Linotype" w:hAnsi="Palatino Linotype"/>
          <w:sz w:val="24"/>
          <w:szCs w:val="24"/>
        </w:rPr>
        <w:t xml:space="preserve"> both quantitative and qualitative criteria </w:t>
      </w:r>
      <w:r w:rsidR="5F65D64E">
        <w:rPr>
          <w:rFonts w:ascii="Palatino Linotype" w:hAnsi="Palatino Linotype"/>
          <w:sz w:val="24"/>
          <w:szCs w:val="24"/>
        </w:rPr>
        <w:t>were</w:t>
      </w:r>
      <w:r w:rsidR="18D0E5E6">
        <w:rPr>
          <w:rFonts w:ascii="Palatino Linotype" w:hAnsi="Palatino Linotype"/>
          <w:sz w:val="24"/>
          <w:szCs w:val="24"/>
        </w:rPr>
        <w:t xml:space="preserve"> evaluated </w:t>
      </w:r>
      <w:r>
        <w:rPr>
          <w:rFonts w:ascii="Palatino Linotype" w:hAnsi="Palatino Linotype"/>
          <w:sz w:val="24"/>
          <w:szCs w:val="24"/>
        </w:rPr>
        <w:t xml:space="preserve">to achieve a shortlisted portfolio that could provide incremental NQC MW consistent with </w:t>
      </w:r>
      <w:r w:rsidR="1FE53D1C">
        <w:rPr>
          <w:rFonts w:ascii="Palatino Linotype" w:hAnsi="Palatino Linotype"/>
          <w:sz w:val="24"/>
          <w:szCs w:val="24"/>
        </w:rPr>
        <w:t xml:space="preserve">D.23-02-040 and </w:t>
      </w:r>
      <w:r>
        <w:rPr>
          <w:rFonts w:ascii="Palatino Linotype" w:hAnsi="Palatino Linotype"/>
          <w:sz w:val="24"/>
          <w:szCs w:val="24"/>
        </w:rPr>
        <w:t>D.21-06-035. Quantitative evaluation criteria consisted of the net market value (</w:t>
      </w:r>
      <w:r w:rsidR="1676C5BA">
        <w:rPr>
          <w:rFonts w:ascii="Palatino Linotype" w:hAnsi="Palatino Linotype"/>
          <w:sz w:val="24"/>
          <w:szCs w:val="24"/>
        </w:rPr>
        <w:t>“</w:t>
      </w:r>
      <w:r>
        <w:rPr>
          <w:rFonts w:ascii="Palatino Linotype" w:hAnsi="Palatino Linotype"/>
          <w:sz w:val="24"/>
          <w:szCs w:val="24"/>
        </w:rPr>
        <w:t>NMV</w:t>
      </w:r>
      <w:r w:rsidR="1676C5BA">
        <w:rPr>
          <w:rFonts w:ascii="Palatino Linotype" w:hAnsi="Palatino Linotype"/>
          <w:sz w:val="24"/>
          <w:szCs w:val="24"/>
        </w:rPr>
        <w:t>”</w:t>
      </w:r>
      <w:r>
        <w:rPr>
          <w:rFonts w:ascii="Palatino Linotype" w:hAnsi="Palatino Linotype"/>
          <w:sz w:val="24"/>
          <w:szCs w:val="24"/>
        </w:rPr>
        <w:t xml:space="preserve">) based on benefits (energy, ancillary services, capacity, renewable energy credit value) </w:t>
      </w:r>
      <w:r w:rsidRPr="00497698">
        <w:rPr>
          <w:rFonts w:ascii="Palatino Linotype" w:hAnsi="Palatino Linotype"/>
          <w:sz w:val="24"/>
          <w:szCs w:val="24"/>
        </w:rPr>
        <w:t xml:space="preserve">and costs (fixed, variable, metered contract, and transmission network upgrade costs). Qualitative evaluation criteria consisted of financing, environmental characteristics, development plan, safety, prior experience, impact on disadvantaged communities, location, agreement or term sheet modification, </w:t>
      </w:r>
      <w:r w:rsidRPr="00497698" w:rsidR="09C87AF8">
        <w:rPr>
          <w:rFonts w:ascii="Palatino Linotype" w:hAnsi="Palatino Linotype"/>
          <w:sz w:val="24"/>
          <w:szCs w:val="24"/>
        </w:rPr>
        <w:t>supply chain responsibility status, technology diversity, and diversity of counterparties.</w:t>
      </w:r>
      <w:r w:rsidRPr="00497698" w:rsidR="00456344">
        <w:rPr>
          <w:rStyle w:val="FootnoteReference"/>
          <w:rFonts w:ascii="Palatino Linotype" w:hAnsi="Palatino Linotype"/>
          <w:sz w:val="24"/>
          <w:szCs w:val="24"/>
        </w:rPr>
        <w:footnoteReference w:id="12"/>
      </w:r>
      <w:r w:rsidRPr="00497698" w:rsidR="27AE38AA">
        <w:rPr>
          <w:rFonts w:ascii="Palatino Linotype" w:hAnsi="Palatino Linotype"/>
          <w:sz w:val="24"/>
          <w:szCs w:val="24"/>
        </w:rPr>
        <w:t xml:space="preserve"> </w:t>
      </w:r>
    </w:p>
    <w:p w:rsidRPr="00497698" w:rsidR="001B2A02" w:rsidP="00B84E68" w:rsidRDefault="001B2A02" w14:paraId="638C827D" w14:textId="77777777">
      <w:pPr>
        <w:spacing w:after="0" w:line="240" w:lineRule="auto"/>
        <w:rPr>
          <w:rFonts w:ascii="Palatino Linotype" w:hAnsi="Palatino Linotype" w:eastAsia="Times New Roman" w:cs="Times New Roman"/>
          <w:kern w:val="0"/>
          <w:sz w:val="24"/>
          <w:szCs w:val="24"/>
          <w14:ligatures w14:val="none"/>
        </w:rPr>
      </w:pPr>
    </w:p>
    <w:p w:rsidR="00857852" w:rsidP="006746B9" w:rsidRDefault="001F7E0E" w14:paraId="354AAFA0" w14:textId="602C3CC4">
      <w:pPr>
        <w:spacing w:after="240"/>
        <w:rPr>
          <w:rFonts w:ascii="Palatino Linotype" w:hAnsi="Palatino Linotype"/>
          <w:sz w:val="24"/>
          <w:szCs w:val="24"/>
        </w:rPr>
      </w:pPr>
      <w:r w:rsidRPr="00497698">
        <w:rPr>
          <w:rFonts w:ascii="Palatino Linotype" w:hAnsi="Palatino Linotype"/>
          <w:sz w:val="24"/>
          <w:szCs w:val="24"/>
        </w:rPr>
        <w:t>PG&amp;E initiated negotiations with each participant with a shortlisted offer and presented a solicitation overview, offer summary, and shortlist materials to the Procurement Review Group (</w:t>
      </w:r>
      <w:r w:rsidRPr="00497698" w:rsidR="007019F0">
        <w:rPr>
          <w:rFonts w:ascii="Palatino Linotype" w:hAnsi="Palatino Linotype"/>
          <w:sz w:val="24"/>
          <w:szCs w:val="24"/>
        </w:rPr>
        <w:t>“</w:t>
      </w:r>
      <w:r w:rsidRPr="00497698">
        <w:rPr>
          <w:rFonts w:ascii="Palatino Linotype" w:hAnsi="Palatino Linotype"/>
          <w:sz w:val="24"/>
          <w:szCs w:val="24"/>
        </w:rPr>
        <w:t>PRG</w:t>
      </w:r>
      <w:r w:rsidRPr="00497698" w:rsidR="007019F0">
        <w:rPr>
          <w:rFonts w:ascii="Palatino Linotype" w:hAnsi="Palatino Linotype"/>
          <w:sz w:val="24"/>
          <w:szCs w:val="24"/>
        </w:rPr>
        <w:t>”</w:t>
      </w:r>
      <w:r w:rsidRPr="00497698">
        <w:rPr>
          <w:rFonts w:ascii="Palatino Linotype" w:hAnsi="Palatino Linotype"/>
          <w:sz w:val="24"/>
          <w:szCs w:val="24"/>
        </w:rPr>
        <w:t xml:space="preserve">). The PRG was notified of PG&amp;E’s intent to execute the contract approved herein on </w:t>
      </w:r>
      <w:r w:rsidRPr="00497698" w:rsidR="009A5D93">
        <w:rPr>
          <w:rFonts w:ascii="Palatino Linotype" w:hAnsi="Palatino Linotype"/>
          <w:sz w:val="24"/>
          <w:szCs w:val="24"/>
        </w:rPr>
        <w:t>July</w:t>
      </w:r>
      <w:r w:rsidRPr="00497698">
        <w:rPr>
          <w:rFonts w:ascii="Palatino Linotype" w:hAnsi="Palatino Linotype"/>
          <w:sz w:val="24"/>
          <w:szCs w:val="24"/>
        </w:rPr>
        <w:t xml:space="preserve"> 1</w:t>
      </w:r>
      <w:r w:rsidRPr="00497698" w:rsidR="00CD0110">
        <w:rPr>
          <w:rFonts w:ascii="Palatino Linotype" w:hAnsi="Palatino Linotype"/>
          <w:sz w:val="24"/>
          <w:szCs w:val="24"/>
        </w:rPr>
        <w:t>7</w:t>
      </w:r>
      <w:r w:rsidRPr="00497698">
        <w:rPr>
          <w:rFonts w:ascii="Palatino Linotype" w:hAnsi="Palatino Linotype"/>
          <w:sz w:val="24"/>
          <w:szCs w:val="24"/>
        </w:rPr>
        <w:t>, 202</w:t>
      </w:r>
      <w:r w:rsidRPr="00497698" w:rsidR="00CD0110">
        <w:rPr>
          <w:rFonts w:ascii="Palatino Linotype" w:hAnsi="Palatino Linotype"/>
          <w:sz w:val="24"/>
          <w:szCs w:val="24"/>
        </w:rPr>
        <w:t>4</w:t>
      </w:r>
      <w:r w:rsidRPr="00497698">
        <w:rPr>
          <w:rFonts w:ascii="Palatino Linotype" w:hAnsi="Palatino Linotype"/>
          <w:sz w:val="24"/>
          <w:szCs w:val="24"/>
        </w:rPr>
        <w:t>. Further, PG&amp;E engaged an Independent Evaluator (</w:t>
      </w:r>
      <w:r w:rsidRPr="00497698" w:rsidR="007019F0">
        <w:rPr>
          <w:rFonts w:ascii="Palatino Linotype" w:hAnsi="Palatino Linotype"/>
          <w:sz w:val="24"/>
          <w:szCs w:val="24"/>
        </w:rPr>
        <w:t>“</w:t>
      </w:r>
      <w:r w:rsidRPr="00497698">
        <w:rPr>
          <w:rFonts w:ascii="Palatino Linotype" w:hAnsi="Palatino Linotype"/>
          <w:sz w:val="24"/>
          <w:szCs w:val="24"/>
        </w:rPr>
        <w:t>IE</w:t>
      </w:r>
      <w:r w:rsidRPr="00497698" w:rsidR="007019F0">
        <w:rPr>
          <w:rFonts w:ascii="Palatino Linotype" w:hAnsi="Palatino Linotype"/>
          <w:sz w:val="24"/>
          <w:szCs w:val="24"/>
        </w:rPr>
        <w:t>”</w:t>
      </w:r>
      <w:r w:rsidRPr="00497698">
        <w:rPr>
          <w:rFonts w:ascii="Palatino Linotype" w:hAnsi="Palatino Linotype"/>
          <w:sz w:val="24"/>
          <w:szCs w:val="24"/>
        </w:rPr>
        <w:t>), Merrimack Energy</w:t>
      </w:r>
      <w:r w:rsidRPr="00497698" w:rsidR="4C300995">
        <w:rPr>
          <w:rFonts w:ascii="Palatino Linotype" w:hAnsi="Palatino Linotype"/>
          <w:sz w:val="24"/>
          <w:szCs w:val="24"/>
        </w:rPr>
        <w:t>;</w:t>
      </w:r>
      <w:r w:rsidRPr="00497698">
        <w:rPr>
          <w:rFonts w:ascii="Palatino Linotype" w:hAnsi="Palatino Linotype"/>
          <w:sz w:val="24"/>
          <w:szCs w:val="24"/>
        </w:rPr>
        <w:t xml:space="preserve"> which reviewed and provided feedback on the MTR RFO – Phase 3 documentation, reviewed and evaluated offers received and assisted in shortlist development, discussed with PG&amp;E the reasons the offers were considered non-conforming, participated in feedback calls with participants that were not selected to be on the shortlist, and participated in contract negotiations that were held for each shortlisted participant.</w:t>
      </w:r>
      <w:r w:rsidRPr="00497698">
        <w:rPr>
          <w:rStyle w:val="FootnoteReference"/>
          <w:rFonts w:ascii="Palatino Linotype" w:hAnsi="Palatino Linotype"/>
          <w:sz w:val="24"/>
          <w:szCs w:val="24"/>
        </w:rPr>
        <w:footnoteReference w:id="13"/>
      </w:r>
    </w:p>
    <w:p w:rsidRPr="00E24169" w:rsidR="00A379E2" w:rsidP="00D66D88" w:rsidRDefault="00DB6F51" w14:paraId="7AB16729" w14:textId="589A02C4">
      <w:pPr>
        <w:spacing w:after="0" w:line="240" w:lineRule="auto"/>
        <w:rPr>
          <w:rFonts w:ascii="Palatino Linotype" w:hAnsi="Palatino Linotype"/>
          <w:sz w:val="24"/>
          <w:szCs w:val="24"/>
        </w:rPr>
      </w:pPr>
      <w:r w:rsidRPr="00E24169">
        <w:rPr>
          <w:rFonts w:ascii="Palatino Linotype" w:hAnsi="Palatino Linotype"/>
          <w:sz w:val="24"/>
          <w:szCs w:val="24"/>
        </w:rPr>
        <w:t xml:space="preserve">On </w:t>
      </w:r>
      <w:r w:rsidRPr="00E24169" w:rsidR="00C63EA6">
        <w:rPr>
          <w:rFonts w:ascii="Palatino Linotype" w:hAnsi="Palatino Linotype"/>
          <w:sz w:val="24"/>
          <w:szCs w:val="24"/>
        </w:rPr>
        <w:t>May 21, 2025</w:t>
      </w:r>
      <w:r w:rsidRPr="00E24169">
        <w:rPr>
          <w:rFonts w:ascii="Palatino Linotype" w:hAnsi="Palatino Linotype"/>
          <w:sz w:val="24"/>
          <w:szCs w:val="24"/>
        </w:rPr>
        <w:t xml:space="preserve">, PG&amp;E filed </w:t>
      </w:r>
      <w:r w:rsidRPr="00E24169" w:rsidR="00C63EA6">
        <w:rPr>
          <w:rFonts w:ascii="Palatino Linotype" w:hAnsi="Palatino Linotype"/>
          <w:sz w:val="24"/>
          <w:szCs w:val="24"/>
        </w:rPr>
        <w:t xml:space="preserve">a </w:t>
      </w:r>
      <w:r w:rsidRPr="00E24169">
        <w:rPr>
          <w:rFonts w:ascii="Palatino Linotype" w:hAnsi="Palatino Linotype"/>
          <w:sz w:val="24"/>
          <w:szCs w:val="24"/>
        </w:rPr>
        <w:t xml:space="preserve">Tier 3 AL </w:t>
      </w:r>
      <w:r w:rsidRPr="00E24169" w:rsidR="007D4DD9">
        <w:rPr>
          <w:rFonts w:ascii="Palatino Linotype" w:hAnsi="Palatino Linotype"/>
          <w:sz w:val="24"/>
          <w:szCs w:val="24"/>
        </w:rPr>
        <w:t>7602</w:t>
      </w:r>
      <w:r w:rsidRPr="00E24169">
        <w:rPr>
          <w:rFonts w:ascii="Palatino Linotype" w:hAnsi="Palatino Linotype"/>
          <w:sz w:val="24"/>
          <w:szCs w:val="24"/>
        </w:rPr>
        <w:t xml:space="preserve">-E with the Commission requesting approval of </w:t>
      </w:r>
      <w:r w:rsidRPr="00E24169" w:rsidR="00DC402E">
        <w:rPr>
          <w:rFonts w:ascii="Palatino Linotype" w:hAnsi="Palatino Linotype"/>
          <w:sz w:val="24"/>
          <w:szCs w:val="24"/>
        </w:rPr>
        <w:t>the MTR Contract</w:t>
      </w:r>
      <w:r w:rsidRPr="00E24169">
        <w:rPr>
          <w:rFonts w:ascii="Palatino Linotype" w:hAnsi="Palatino Linotype"/>
          <w:sz w:val="24"/>
          <w:szCs w:val="24"/>
        </w:rPr>
        <w:t xml:space="preserve"> with </w:t>
      </w:r>
      <w:r w:rsidRPr="00E24169" w:rsidR="00C63EA6">
        <w:rPr>
          <w:rFonts w:ascii="Palatino Linotype" w:hAnsi="Palatino Linotype" w:cs="Arial"/>
          <w:kern w:val="0"/>
          <w:sz w:val="24"/>
          <w:szCs w:val="24"/>
        </w:rPr>
        <w:t>Pastoria Power</w:t>
      </w:r>
      <w:r w:rsidRPr="00E24169" w:rsidR="0060566A">
        <w:rPr>
          <w:rFonts w:ascii="Palatino Linotype" w:hAnsi="Palatino Linotype" w:cs="Arial"/>
          <w:kern w:val="0"/>
          <w:sz w:val="24"/>
          <w:szCs w:val="24"/>
        </w:rPr>
        <w:t>.</w:t>
      </w:r>
      <w:r w:rsidRPr="00E24169" w:rsidR="009C1813">
        <w:rPr>
          <w:rFonts w:ascii="Palatino Linotype" w:hAnsi="Palatino Linotype" w:cs="Arial"/>
          <w:kern w:val="0"/>
          <w:sz w:val="24"/>
          <w:szCs w:val="24"/>
        </w:rPr>
        <w:t xml:space="preserve"> </w:t>
      </w:r>
      <w:r w:rsidRPr="00E24169" w:rsidR="00C63EA6">
        <w:rPr>
          <w:rFonts w:ascii="Palatino Linotype" w:hAnsi="Palatino Linotype"/>
          <w:sz w:val="24"/>
          <w:szCs w:val="24"/>
        </w:rPr>
        <w:t>The p</w:t>
      </w:r>
      <w:r w:rsidRPr="00E24169">
        <w:rPr>
          <w:rFonts w:ascii="Palatino Linotype" w:hAnsi="Palatino Linotype"/>
          <w:sz w:val="24"/>
          <w:szCs w:val="24"/>
        </w:rPr>
        <w:t>roject</w:t>
      </w:r>
      <w:r w:rsidRPr="00E24169" w:rsidR="00C63EA6">
        <w:rPr>
          <w:rFonts w:ascii="Palatino Linotype" w:hAnsi="Palatino Linotype"/>
          <w:sz w:val="24"/>
          <w:szCs w:val="24"/>
        </w:rPr>
        <w:t xml:space="preserve"> is a</w:t>
      </w:r>
      <w:r w:rsidRPr="00E24169">
        <w:rPr>
          <w:rFonts w:ascii="Palatino Linotype" w:hAnsi="Palatino Linotype"/>
          <w:sz w:val="24"/>
          <w:szCs w:val="24"/>
        </w:rPr>
        <w:t xml:space="preserve"> four-hour duration transmission-connected standalone lithium-ion battery storage resource</w:t>
      </w:r>
      <w:r w:rsidRPr="00E24169" w:rsidR="00D24601">
        <w:rPr>
          <w:rFonts w:ascii="Palatino Linotype" w:hAnsi="Palatino Linotype"/>
          <w:sz w:val="24"/>
          <w:szCs w:val="24"/>
        </w:rPr>
        <w:t xml:space="preserve">. </w:t>
      </w:r>
      <w:r w:rsidRPr="00E24169" w:rsidR="00D66D88">
        <w:rPr>
          <w:rFonts w:ascii="Palatino Linotype" w:hAnsi="Palatino Linotype"/>
          <w:sz w:val="24"/>
          <w:szCs w:val="24"/>
        </w:rPr>
        <w:t>Pasto</w:t>
      </w:r>
      <w:r w:rsidRPr="00E24169" w:rsidR="00033AEB">
        <w:rPr>
          <w:rFonts w:ascii="Palatino Linotype" w:hAnsi="Palatino Linotype"/>
          <w:sz w:val="24"/>
          <w:szCs w:val="24"/>
        </w:rPr>
        <w:t xml:space="preserve">ria Power is </w:t>
      </w:r>
      <w:r w:rsidRPr="00E24169" w:rsidR="00033AEB">
        <w:rPr>
          <w:rFonts w:ascii="Palatino Linotype" w:hAnsi="Palatino Linotype"/>
          <w:color w:val="000000"/>
          <w:sz w:val="24"/>
          <w:szCs w:val="24"/>
          <w14:ligatures w14:val="none"/>
        </w:rPr>
        <w:t>c</w:t>
      </w:r>
      <w:r w:rsidRPr="00E24169" w:rsidR="00D66D88">
        <w:rPr>
          <w:rFonts w:ascii="Palatino Linotype" w:hAnsi="Palatino Linotype"/>
          <w:color w:val="000000"/>
          <w:sz w:val="24"/>
          <w:szCs w:val="24"/>
          <w14:ligatures w14:val="none"/>
        </w:rPr>
        <w:t xml:space="preserve">o-located with </w:t>
      </w:r>
      <w:r w:rsidRPr="00E24169" w:rsidR="00033AEB">
        <w:rPr>
          <w:rFonts w:ascii="Palatino Linotype" w:hAnsi="Palatino Linotype"/>
          <w:color w:val="000000"/>
          <w:sz w:val="24"/>
          <w:szCs w:val="24"/>
          <w14:ligatures w14:val="none"/>
        </w:rPr>
        <w:t>Pastoria Solar, a 105 MW</w:t>
      </w:r>
      <w:r w:rsidRPr="00E24169" w:rsidR="00D66D88">
        <w:rPr>
          <w:rFonts w:ascii="Palatino Linotype" w:hAnsi="Palatino Linotype"/>
          <w:color w:val="000000"/>
          <w:sz w:val="24"/>
          <w:szCs w:val="24"/>
          <w14:ligatures w14:val="none"/>
        </w:rPr>
        <w:t xml:space="preserve"> </w:t>
      </w:r>
      <w:r w:rsidRPr="00E24169" w:rsidR="00033AEB">
        <w:rPr>
          <w:rFonts w:ascii="Palatino Linotype" w:hAnsi="Palatino Linotype"/>
          <w:color w:val="000000"/>
          <w:sz w:val="24"/>
          <w:szCs w:val="24"/>
          <w14:ligatures w14:val="none"/>
        </w:rPr>
        <w:t>project</w:t>
      </w:r>
      <w:r w:rsidRPr="00E24169" w:rsidR="00D66D88">
        <w:rPr>
          <w:rFonts w:ascii="Palatino Linotype" w:hAnsi="Palatino Linotype"/>
          <w:color w:val="000000"/>
          <w:sz w:val="24"/>
          <w:szCs w:val="24"/>
          <w14:ligatures w14:val="none"/>
        </w:rPr>
        <w:t xml:space="preserve"> that </w:t>
      </w:r>
      <w:r w:rsidR="00A96F2A">
        <w:rPr>
          <w:rFonts w:ascii="Palatino Linotype" w:hAnsi="Palatino Linotype"/>
          <w:color w:val="000000"/>
          <w:sz w:val="24"/>
          <w:szCs w:val="24"/>
          <w14:ligatures w14:val="none"/>
        </w:rPr>
        <w:t>targeted</w:t>
      </w:r>
      <w:r w:rsidRPr="00E24169" w:rsidR="00564E5A">
        <w:rPr>
          <w:rFonts w:ascii="Palatino Linotype" w:hAnsi="Palatino Linotype"/>
          <w:color w:val="000000"/>
          <w:sz w:val="24"/>
          <w:szCs w:val="24"/>
          <w14:ligatures w14:val="none"/>
        </w:rPr>
        <w:t xml:space="preserve"> to provide the California Department of Water Resources (“DWR”) </w:t>
      </w:r>
      <w:r w:rsidR="00A96F2A">
        <w:rPr>
          <w:rFonts w:ascii="Palatino Linotype" w:hAnsi="Palatino Linotype"/>
          <w:color w:val="000000"/>
          <w:sz w:val="24"/>
          <w:szCs w:val="24"/>
          <w14:ligatures w14:val="none"/>
        </w:rPr>
        <w:t>with energy</w:t>
      </w:r>
      <w:r w:rsidRPr="00E24169" w:rsidR="00564E5A">
        <w:rPr>
          <w:rFonts w:ascii="Palatino Linotype" w:hAnsi="Palatino Linotype"/>
          <w:color w:val="000000"/>
          <w:sz w:val="24"/>
          <w:szCs w:val="24"/>
          <w14:ligatures w14:val="none"/>
        </w:rPr>
        <w:t xml:space="preserve"> that will fulfill part of DWR’s renewable energy procurement requirements under SB 100</w:t>
      </w:r>
      <w:r w:rsidRPr="00E24169" w:rsidR="00D66D88">
        <w:rPr>
          <w:rFonts w:ascii="Palatino Linotype" w:hAnsi="Palatino Linotype"/>
          <w:color w:val="000000"/>
          <w:sz w:val="24"/>
          <w:szCs w:val="24"/>
          <w14:ligatures w14:val="none"/>
        </w:rPr>
        <w:t>.</w:t>
      </w:r>
      <w:r w:rsidR="00A906CB">
        <w:rPr>
          <w:rStyle w:val="FootnoteReference"/>
          <w:rFonts w:ascii="Palatino Linotype" w:hAnsi="Palatino Linotype"/>
          <w:color w:val="000000"/>
          <w:sz w:val="24"/>
          <w:szCs w:val="24"/>
          <w14:ligatures w14:val="none"/>
        </w:rPr>
        <w:footnoteReference w:id="14"/>
      </w:r>
      <w:r w:rsidRPr="00E24169" w:rsidR="00D66D88">
        <w:rPr>
          <w:rFonts w:ascii="Palatino Linotype" w:hAnsi="Palatino Linotype"/>
          <w:color w:val="000000"/>
          <w:sz w:val="24"/>
          <w:szCs w:val="24"/>
          <w14:ligatures w14:val="none"/>
        </w:rPr>
        <w:t xml:space="preserve"> </w:t>
      </w:r>
      <w:r w:rsidRPr="00E24169" w:rsidR="00D24601">
        <w:rPr>
          <w:rFonts w:ascii="Palatino Linotype" w:hAnsi="Palatino Linotype"/>
          <w:sz w:val="24"/>
          <w:szCs w:val="24"/>
        </w:rPr>
        <w:t>T</w:t>
      </w:r>
      <w:r w:rsidRPr="00E24169" w:rsidR="00C11177">
        <w:rPr>
          <w:rFonts w:ascii="Palatino Linotype" w:hAnsi="Palatino Linotype"/>
          <w:sz w:val="24"/>
          <w:szCs w:val="24"/>
        </w:rPr>
        <w:t xml:space="preserve">he </w:t>
      </w:r>
      <w:r w:rsidRPr="00E24169" w:rsidR="00C63EA6">
        <w:rPr>
          <w:rFonts w:ascii="Palatino Linotype" w:hAnsi="Palatino Linotype"/>
          <w:sz w:val="24"/>
          <w:szCs w:val="24"/>
        </w:rPr>
        <w:t>Pastoria</w:t>
      </w:r>
      <w:r w:rsidRPr="00E24169" w:rsidR="00C11177">
        <w:rPr>
          <w:rFonts w:ascii="Palatino Linotype" w:hAnsi="Palatino Linotype"/>
          <w:sz w:val="24"/>
          <w:szCs w:val="24"/>
        </w:rPr>
        <w:t xml:space="preserve"> </w:t>
      </w:r>
      <w:r w:rsidRPr="00E24169" w:rsidR="00483F53">
        <w:rPr>
          <w:rFonts w:ascii="Palatino Linotype" w:hAnsi="Palatino Linotype"/>
          <w:sz w:val="24"/>
          <w:szCs w:val="24"/>
        </w:rPr>
        <w:t>Project</w:t>
      </w:r>
      <w:r w:rsidRPr="00E24169" w:rsidR="00C11177">
        <w:rPr>
          <w:rFonts w:ascii="Palatino Linotype" w:hAnsi="Palatino Linotype"/>
          <w:sz w:val="24"/>
          <w:szCs w:val="24"/>
        </w:rPr>
        <w:t xml:space="preserve"> </w:t>
      </w:r>
      <w:r w:rsidRPr="00E24169" w:rsidR="00E73390">
        <w:rPr>
          <w:rFonts w:ascii="Palatino Linotype" w:hAnsi="Palatino Linotype"/>
          <w:sz w:val="24"/>
          <w:szCs w:val="24"/>
        </w:rPr>
        <w:t>is in</w:t>
      </w:r>
      <w:r w:rsidRPr="00E24169">
        <w:rPr>
          <w:rFonts w:ascii="Palatino Linotype" w:hAnsi="Palatino Linotype"/>
          <w:sz w:val="24"/>
          <w:szCs w:val="24"/>
        </w:rPr>
        <w:t xml:space="preserve"> </w:t>
      </w:r>
      <w:r w:rsidRPr="00E24169" w:rsidR="00A16646">
        <w:rPr>
          <w:rFonts w:ascii="Palatino Linotype" w:hAnsi="Palatino Linotype"/>
          <w:sz w:val="24"/>
          <w:szCs w:val="24"/>
        </w:rPr>
        <w:t xml:space="preserve">the </w:t>
      </w:r>
      <w:r w:rsidRPr="00E24169" w:rsidR="00C63EA6">
        <w:rPr>
          <w:rFonts w:ascii="Palatino Linotype" w:hAnsi="Palatino Linotype"/>
          <w:sz w:val="24"/>
          <w:szCs w:val="24"/>
        </w:rPr>
        <w:t>city</w:t>
      </w:r>
      <w:r w:rsidRPr="00E24169" w:rsidR="00FD7D67">
        <w:rPr>
          <w:rFonts w:ascii="Palatino Linotype" w:hAnsi="Palatino Linotype"/>
          <w:sz w:val="24"/>
          <w:szCs w:val="24"/>
        </w:rPr>
        <w:t xml:space="preserve"> of </w:t>
      </w:r>
      <w:r w:rsidRPr="00E24169" w:rsidR="00C63EA6">
        <w:rPr>
          <w:rFonts w:ascii="Palatino Linotype" w:hAnsi="Palatino Linotype"/>
          <w:sz w:val="24"/>
          <w:szCs w:val="24"/>
        </w:rPr>
        <w:t>Lebec</w:t>
      </w:r>
      <w:r w:rsidRPr="00E24169" w:rsidR="007C679C">
        <w:rPr>
          <w:rFonts w:ascii="Palatino Linotype" w:hAnsi="Palatino Linotype"/>
          <w:sz w:val="24"/>
          <w:szCs w:val="24"/>
        </w:rPr>
        <w:t>, California</w:t>
      </w:r>
      <w:r w:rsidRPr="00E24169" w:rsidR="00C63EA6">
        <w:rPr>
          <w:rFonts w:ascii="Palatino Linotype" w:hAnsi="Palatino Linotype"/>
          <w:sz w:val="24"/>
          <w:szCs w:val="24"/>
        </w:rPr>
        <w:t xml:space="preserve">, which is </w:t>
      </w:r>
      <w:r w:rsidRPr="00E24169">
        <w:rPr>
          <w:rFonts w:ascii="Palatino Linotype" w:hAnsi="Palatino Linotype"/>
          <w:sz w:val="24"/>
          <w:szCs w:val="24"/>
        </w:rPr>
        <w:t xml:space="preserve">within the </w:t>
      </w:r>
      <w:r w:rsidRPr="00E24169" w:rsidR="0062511D">
        <w:rPr>
          <w:rFonts w:ascii="Palatino Linotype" w:hAnsi="Palatino Linotype"/>
          <w:sz w:val="24"/>
          <w:szCs w:val="24"/>
        </w:rPr>
        <w:t>C</w:t>
      </w:r>
      <w:r w:rsidRPr="00E24169">
        <w:rPr>
          <w:rFonts w:ascii="Palatino Linotype" w:hAnsi="Palatino Linotype"/>
          <w:sz w:val="24"/>
          <w:szCs w:val="24"/>
        </w:rPr>
        <w:t>AISO</w:t>
      </w:r>
      <w:r w:rsidRPr="00E24169" w:rsidR="0062511D">
        <w:rPr>
          <w:rFonts w:ascii="Palatino Linotype" w:hAnsi="Palatino Linotype"/>
          <w:sz w:val="24"/>
          <w:szCs w:val="24"/>
        </w:rPr>
        <w:t xml:space="preserve"> </w:t>
      </w:r>
      <w:r w:rsidRPr="00E24169">
        <w:rPr>
          <w:rFonts w:ascii="Palatino Linotype" w:hAnsi="Palatino Linotype"/>
          <w:sz w:val="24"/>
          <w:szCs w:val="24"/>
        </w:rPr>
        <w:t>control area.</w:t>
      </w:r>
    </w:p>
    <w:p w:rsidRPr="00E24169" w:rsidR="00D66D88" w:rsidP="00D66D88" w:rsidRDefault="00D66D88" w14:paraId="0EF1C721" w14:textId="77777777">
      <w:pPr>
        <w:spacing w:after="0" w:line="240" w:lineRule="auto"/>
        <w:rPr>
          <w:rFonts w:ascii="Palatino Linotype" w:hAnsi="Palatino Linotype"/>
          <w:color w:val="000000"/>
          <w:sz w:val="24"/>
          <w:szCs w:val="24"/>
          <w14:ligatures w14:val="none"/>
        </w:rPr>
      </w:pPr>
    </w:p>
    <w:p w:rsidR="00A379E2" w:rsidP="00B353F9" w:rsidRDefault="001E0ECB" w14:paraId="70089449" w14:textId="6B54F94B">
      <w:pPr>
        <w:spacing w:after="240"/>
        <w:rPr>
          <w:rFonts w:ascii="Palatino Linotype" w:hAnsi="Palatino Linotype"/>
          <w:sz w:val="24"/>
          <w:szCs w:val="24"/>
        </w:rPr>
      </w:pPr>
      <w:r w:rsidRPr="00E24169">
        <w:rPr>
          <w:rFonts w:ascii="Palatino Linotype" w:hAnsi="Palatino Linotype"/>
          <w:sz w:val="24"/>
          <w:szCs w:val="24"/>
        </w:rPr>
        <w:t xml:space="preserve">PG&amp;E proposes </w:t>
      </w:r>
      <w:r w:rsidRPr="00E24169" w:rsidR="007F5B5F">
        <w:rPr>
          <w:rFonts w:ascii="Palatino Linotype" w:hAnsi="Palatino Linotype"/>
          <w:sz w:val="24"/>
          <w:szCs w:val="24"/>
        </w:rPr>
        <w:t xml:space="preserve">that </w:t>
      </w:r>
      <w:r w:rsidRPr="00E24169">
        <w:rPr>
          <w:rFonts w:ascii="Palatino Linotype" w:hAnsi="Palatino Linotype"/>
          <w:sz w:val="24"/>
          <w:szCs w:val="24"/>
        </w:rPr>
        <w:t xml:space="preserve">the cost associated with the </w:t>
      </w:r>
      <w:r w:rsidRPr="00E24169" w:rsidR="003169C9">
        <w:rPr>
          <w:rFonts w:ascii="Palatino Linotype" w:hAnsi="Palatino Linotype"/>
          <w:sz w:val="24"/>
          <w:szCs w:val="24"/>
        </w:rPr>
        <w:t xml:space="preserve">MTR Contract </w:t>
      </w:r>
      <w:r w:rsidRPr="00E24169" w:rsidR="008D66D1">
        <w:rPr>
          <w:rFonts w:ascii="Palatino Linotype" w:hAnsi="Palatino Linotype"/>
          <w:sz w:val="24"/>
          <w:szCs w:val="24"/>
        </w:rPr>
        <w:t xml:space="preserve">presented in this </w:t>
      </w:r>
      <w:r w:rsidRPr="00E24169" w:rsidR="007019F0">
        <w:rPr>
          <w:rFonts w:ascii="Palatino Linotype" w:hAnsi="Palatino Linotype"/>
          <w:sz w:val="24"/>
          <w:szCs w:val="24"/>
        </w:rPr>
        <w:t>AL</w:t>
      </w:r>
      <w:r w:rsidRPr="00E24169">
        <w:rPr>
          <w:rFonts w:ascii="Palatino Linotype" w:hAnsi="Palatino Linotype"/>
          <w:sz w:val="24"/>
          <w:szCs w:val="24"/>
        </w:rPr>
        <w:t xml:space="preserve"> are</w:t>
      </w:r>
      <w:r w:rsidRPr="00080CFE">
        <w:rPr>
          <w:rFonts w:ascii="Palatino Linotype" w:hAnsi="Palatino Linotype"/>
          <w:sz w:val="24"/>
          <w:szCs w:val="24"/>
        </w:rPr>
        <w:t xml:space="preserve"> </w:t>
      </w:r>
      <w:r w:rsidRPr="00080CFE" w:rsidR="00F65208">
        <w:rPr>
          <w:rFonts w:ascii="Palatino Linotype" w:hAnsi="Palatino Linotype"/>
          <w:sz w:val="24"/>
          <w:szCs w:val="24"/>
        </w:rPr>
        <w:t>P</w:t>
      </w:r>
      <w:r w:rsidRPr="00080CFE">
        <w:rPr>
          <w:rFonts w:ascii="Palatino Linotype" w:hAnsi="Palatino Linotype"/>
          <w:sz w:val="24"/>
          <w:szCs w:val="24"/>
        </w:rPr>
        <w:t xml:space="preserve">ower </w:t>
      </w:r>
      <w:r w:rsidRPr="00080CFE" w:rsidR="00F65208">
        <w:rPr>
          <w:rFonts w:ascii="Palatino Linotype" w:hAnsi="Palatino Linotype"/>
          <w:sz w:val="24"/>
          <w:szCs w:val="24"/>
        </w:rPr>
        <w:t>C</w:t>
      </w:r>
      <w:r w:rsidRPr="00080CFE">
        <w:rPr>
          <w:rFonts w:ascii="Palatino Linotype" w:hAnsi="Palatino Linotype"/>
          <w:sz w:val="24"/>
          <w:szCs w:val="24"/>
        </w:rPr>
        <w:t xml:space="preserve">harge </w:t>
      </w:r>
      <w:r w:rsidRPr="00080CFE" w:rsidR="00F65208">
        <w:rPr>
          <w:rFonts w:ascii="Palatino Linotype" w:hAnsi="Palatino Linotype"/>
          <w:sz w:val="24"/>
          <w:szCs w:val="24"/>
        </w:rPr>
        <w:t>I</w:t>
      </w:r>
      <w:r w:rsidRPr="00080CFE">
        <w:rPr>
          <w:rFonts w:ascii="Palatino Linotype" w:hAnsi="Palatino Linotype"/>
          <w:sz w:val="24"/>
          <w:szCs w:val="24"/>
        </w:rPr>
        <w:t xml:space="preserve">ndifference </w:t>
      </w:r>
      <w:r w:rsidRPr="00080CFE" w:rsidR="00F65208">
        <w:rPr>
          <w:rFonts w:ascii="Palatino Linotype" w:hAnsi="Palatino Linotype"/>
          <w:sz w:val="24"/>
          <w:szCs w:val="24"/>
        </w:rPr>
        <w:t>A</w:t>
      </w:r>
      <w:r w:rsidRPr="00080CFE">
        <w:rPr>
          <w:rFonts w:ascii="Palatino Linotype" w:hAnsi="Palatino Linotype"/>
          <w:sz w:val="24"/>
          <w:szCs w:val="24"/>
        </w:rPr>
        <w:t>djustment (</w:t>
      </w:r>
      <w:r w:rsidR="00054887">
        <w:rPr>
          <w:rFonts w:ascii="Palatino Linotype" w:hAnsi="Palatino Linotype"/>
          <w:sz w:val="24"/>
          <w:szCs w:val="24"/>
        </w:rPr>
        <w:t>“</w:t>
      </w:r>
      <w:r w:rsidRPr="00080CFE">
        <w:rPr>
          <w:rFonts w:ascii="Palatino Linotype" w:hAnsi="Palatino Linotype"/>
          <w:sz w:val="24"/>
          <w:szCs w:val="24"/>
        </w:rPr>
        <w:t>PCIA</w:t>
      </w:r>
      <w:r w:rsidR="00054887">
        <w:rPr>
          <w:rFonts w:ascii="Palatino Linotype" w:hAnsi="Palatino Linotype"/>
          <w:sz w:val="24"/>
          <w:szCs w:val="24"/>
        </w:rPr>
        <w:t>”</w:t>
      </w:r>
      <w:r w:rsidRPr="00080CFE">
        <w:rPr>
          <w:rFonts w:ascii="Palatino Linotype" w:hAnsi="Palatino Linotype"/>
          <w:sz w:val="24"/>
          <w:szCs w:val="24"/>
        </w:rPr>
        <w:t xml:space="preserve">) -eligible with an assigned vintage </w:t>
      </w:r>
      <w:r w:rsidRPr="001E0ECB">
        <w:rPr>
          <w:rFonts w:ascii="Palatino Linotype" w:hAnsi="Palatino Linotype"/>
          <w:sz w:val="24"/>
          <w:szCs w:val="24"/>
        </w:rPr>
        <w:t xml:space="preserve">of </w:t>
      </w:r>
      <w:r w:rsidRPr="001E0ECB">
        <w:rPr>
          <w:rFonts w:ascii="Palatino Linotype" w:hAnsi="Palatino Linotype"/>
          <w:sz w:val="24"/>
          <w:szCs w:val="24"/>
        </w:rPr>
        <w:lastRenderedPageBreak/>
        <w:t xml:space="preserve">2023 for purposes of D.23-02-040 procurement requirements for the duration of their term and the costs recovered shall be net of any CAISO charges and market revenues, and net of any retained </w:t>
      </w:r>
      <w:r w:rsidR="00ED3AF2">
        <w:rPr>
          <w:rFonts w:ascii="Palatino Linotype" w:hAnsi="Palatino Linotype"/>
          <w:sz w:val="24"/>
          <w:szCs w:val="24"/>
        </w:rPr>
        <w:t xml:space="preserve">resource adequacy </w:t>
      </w:r>
      <w:r w:rsidRPr="001E0ECB">
        <w:rPr>
          <w:rFonts w:ascii="Palatino Linotype" w:hAnsi="Palatino Linotype"/>
          <w:sz w:val="24"/>
          <w:szCs w:val="24"/>
        </w:rPr>
        <w:t>capacity value for bundled service customers</w:t>
      </w:r>
      <w:r w:rsidR="00E21A70">
        <w:rPr>
          <w:rFonts w:ascii="Palatino Linotype" w:hAnsi="Palatino Linotype"/>
          <w:sz w:val="24"/>
          <w:szCs w:val="24"/>
        </w:rPr>
        <w:t>.</w:t>
      </w:r>
      <w:r w:rsidR="00300EC4">
        <w:rPr>
          <w:rStyle w:val="FootnoteReference"/>
          <w:rFonts w:ascii="Palatino Linotype" w:hAnsi="Palatino Linotype"/>
          <w:sz w:val="24"/>
          <w:szCs w:val="24"/>
        </w:rPr>
        <w:footnoteReference w:id="15"/>
      </w:r>
      <w:r w:rsidRPr="00ED3AF2" w:rsidR="00ED3AF2">
        <w:rPr>
          <w:rStyle w:val="FootnoteReference"/>
          <w:rFonts w:ascii="Palatino Linotype" w:hAnsi="Palatino Linotype"/>
          <w:sz w:val="24"/>
          <w:szCs w:val="24"/>
        </w:rPr>
        <w:t xml:space="preserve"> </w:t>
      </w:r>
    </w:p>
    <w:p w:rsidRPr="00A379E2" w:rsidR="00B84E68" w:rsidP="00B8533D" w:rsidRDefault="00B84E68" w14:paraId="442069EC" w14:textId="2E1ED61B">
      <w:pPr>
        <w:spacing w:before="120" w:after="120"/>
        <w:rPr>
          <w:rFonts w:ascii="Palatino Linotype" w:hAnsi="Palatino Linotype"/>
          <w:sz w:val="24"/>
          <w:szCs w:val="24"/>
        </w:rPr>
      </w:pPr>
      <w:r w:rsidRPr="00173D58">
        <w:rPr>
          <w:rFonts w:ascii="Palatino Linotype" w:hAnsi="Palatino Linotype" w:eastAsia="Times New Roman" w:cs="Times New Roman"/>
          <w:b/>
          <w:caps/>
          <w:kern w:val="28"/>
          <w:sz w:val="24"/>
          <w:szCs w:val="24"/>
          <w:u w:val="single"/>
          <w14:ligatures w14:val="none"/>
        </w:rPr>
        <w:t>Notice</w:t>
      </w:r>
    </w:p>
    <w:p w:rsidRPr="009D266B" w:rsidR="00A379E2" w:rsidP="00B353F9" w:rsidRDefault="00B84E68" w14:paraId="258E66EC" w14:textId="56218C82">
      <w:pPr>
        <w:spacing w:after="240" w:line="240" w:lineRule="auto"/>
        <w:rPr>
          <w:rFonts w:ascii="Palatino Linotype" w:hAnsi="Palatino Linotype"/>
          <w:sz w:val="24"/>
          <w:szCs w:val="24"/>
        </w:rPr>
      </w:pPr>
      <w:r w:rsidRPr="00173D58">
        <w:rPr>
          <w:rFonts w:ascii="Palatino Linotype" w:hAnsi="Palatino Linotype" w:eastAsia="Palatino Linotype" w:cs="Palatino Linotype"/>
          <w:kern w:val="0"/>
          <w:sz w:val="24"/>
          <w:szCs w:val="24"/>
          <w14:ligatures w14:val="none"/>
        </w:rPr>
        <w:t xml:space="preserve">Notice of AL </w:t>
      </w:r>
      <w:r w:rsidR="007D4DD9">
        <w:rPr>
          <w:rFonts w:ascii="Palatino Linotype" w:hAnsi="Palatino Linotype" w:eastAsia="Times New Roman" w:cs="Times New Roman"/>
          <w:kern w:val="0"/>
          <w:sz w:val="24"/>
          <w:szCs w:val="24"/>
          <w14:ligatures w14:val="none"/>
        </w:rPr>
        <w:t>7602</w:t>
      </w:r>
      <w:r w:rsidRPr="00173D58" w:rsidR="00F602D3">
        <w:rPr>
          <w:rFonts w:ascii="Palatino Linotype" w:hAnsi="Palatino Linotype" w:eastAsia="Times New Roman" w:cs="Times New Roman"/>
          <w:kern w:val="0"/>
          <w:sz w:val="24"/>
          <w:szCs w:val="24"/>
          <w14:ligatures w14:val="none"/>
        </w:rPr>
        <w:t>-E</w:t>
      </w:r>
      <w:r w:rsidRPr="00173D58" w:rsidR="00F602D3">
        <w:rPr>
          <w:rFonts w:ascii="Palatino Linotype" w:hAnsi="Palatino Linotype" w:eastAsia="Palatino Linotype" w:cs="Palatino Linotype"/>
          <w:kern w:val="0"/>
          <w:sz w:val="24"/>
          <w:szCs w:val="24"/>
          <w14:ligatures w14:val="none"/>
        </w:rPr>
        <w:t xml:space="preserve"> </w:t>
      </w:r>
      <w:r w:rsidRPr="00173D58">
        <w:rPr>
          <w:rFonts w:ascii="Palatino Linotype" w:hAnsi="Palatino Linotype" w:eastAsia="Palatino Linotype" w:cs="Palatino Linotype"/>
          <w:kern w:val="0"/>
          <w:sz w:val="24"/>
          <w:szCs w:val="24"/>
          <w14:ligatures w14:val="none"/>
        </w:rPr>
        <w:t xml:space="preserve">was made by publication in the Commission’s Daily Calendar.  PG&amp;E states that a copy of the Advice Letter was mailed and distributed in accordance </w:t>
      </w:r>
      <w:r w:rsidRPr="009D266B">
        <w:rPr>
          <w:rFonts w:ascii="Palatino Linotype" w:hAnsi="Palatino Linotype"/>
          <w:sz w:val="24"/>
          <w:szCs w:val="24"/>
        </w:rPr>
        <w:t xml:space="preserve">with Section 4 of General Order 96-B. </w:t>
      </w:r>
    </w:p>
    <w:p w:rsidRPr="00A379E2" w:rsidR="00B84E68" w:rsidP="00B8533D" w:rsidRDefault="004841F0" w14:paraId="179DC595" w14:textId="30B7F82F">
      <w:pPr>
        <w:spacing w:before="120" w:after="120" w:line="240" w:lineRule="auto"/>
        <w:rPr>
          <w:rFonts w:ascii="Palatino Linotype" w:hAnsi="Palatino Linotype" w:eastAsia="Palatino Linotype" w:cs="Palatino Linotype"/>
          <w:kern w:val="0"/>
          <w:sz w:val="24"/>
          <w:szCs w:val="24"/>
          <w14:ligatures w14:val="none"/>
        </w:rPr>
      </w:pPr>
      <w:r>
        <w:rPr>
          <w:rFonts w:ascii="Palatino Linotype" w:hAnsi="Palatino Linotype" w:eastAsia="Times New Roman" w:cs="Times New Roman"/>
          <w:b/>
          <w:caps/>
          <w:kern w:val="28"/>
          <w:sz w:val="24"/>
          <w:szCs w:val="24"/>
          <w:u w:val="single"/>
          <w14:ligatures w14:val="none"/>
        </w:rPr>
        <w:t>PROTESTS</w:t>
      </w:r>
    </w:p>
    <w:p w:rsidR="00A379E2" w:rsidP="00A379E2" w:rsidRDefault="0027237C" w14:paraId="7A551B13" w14:textId="30CED9FC">
      <w:pPr>
        <w:autoSpaceDE w:val="0"/>
        <w:autoSpaceDN w:val="0"/>
        <w:adjustRightInd w:val="0"/>
        <w:spacing w:after="0" w:line="240" w:lineRule="auto"/>
        <w:rPr>
          <w:rFonts w:ascii="Palatino Linotype" w:hAnsi="Palatino Linotype" w:eastAsia="Times New Roman" w:cs="Times New Roman"/>
          <w:kern w:val="0"/>
          <w:sz w:val="24"/>
          <w:szCs w:val="24"/>
          <w14:ligatures w14:val="none"/>
        </w:rPr>
      </w:pPr>
      <w:r>
        <w:rPr>
          <w:rFonts w:ascii="Palatino Linotype" w:hAnsi="Palatino Linotype" w:eastAsia="Times New Roman" w:cs="Times New Roman"/>
          <w:kern w:val="0"/>
          <w:sz w:val="24"/>
          <w:szCs w:val="24"/>
          <w14:ligatures w14:val="none"/>
        </w:rPr>
        <w:t xml:space="preserve">PG&amp;E’s </w:t>
      </w:r>
      <w:r w:rsidR="00F013FB">
        <w:rPr>
          <w:rFonts w:ascii="Palatino Linotype" w:hAnsi="Palatino Linotype" w:eastAsia="Times New Roman" w:cs="Times New Roman"/>
          <w:kern w:val="0"/>
          <w:sz w:val="24"/>
          <w:szCs w:val="24"/>
          <w14:ligatures w14:val="none"/>
        </w:rPr>
        <w:t>AL</w:t>
      </w:r>
      <w:r w:rsidRPr="00173D58" w:rsidR="00B84E68">
        <w:rPr>
          <w:rFonts w:ascii="Palatino Linotype" w:hAnsi="Palatino Linotype" w:eastAsia="Times New Roman" w:cs="Times New Roman"/>
          <w:kern w:val="0"/>
          <w:sz w:val="24"/>
          <w:szCs w:val="24"/>
          <w14:ligatures w14:val="none"/>
        </w:rPr>
        <w:t xml:space="preserve"> </w:t>
      </w:r>
      <w:r w:rsidR="007D4DD9">
        <w:rPr>
          <w:rFonts w:ascii="Palatino Linotype" w:hAnsi="Palatino Linotype" w:eastAsia="Times New Roman" w:cs="Times New Roman"/>
          <w:kern w:val="0"/>
          <w:sz w:val="24"/>
          <w:szCs w:val="24"/>
          <w14:ligatures w14:val="none"/>
        </w:rPr>
        <w:t>7602</w:t>
      </w:r>
      <w:r w:rsidRPr="00173D58" w:rsidR="00D30ADB">
        <w:rPr>
          <w:rFonts w:ascii="Palatino Linotype" w:hAnsi="Palatino Linotype" w:eastAsia="Times New Roman" w:cs="Times New Roman"/>
          <w:kern w:val="0"/>
          <w:sz w:val="24"/>
          <w:szCs w:val="24"/>
          <w14:ligatures w14:val="none"/>
        </w:rPr>
        <w:t>-E</w:t>
      </w:r>
      <w:r w:rsidR="00660096">
        <w:rPr>
          <w:rFonts w:ascii="Palatino Linotype" w:hAnsi="Palatino Linotype" w:eastAsia="Times New Roman" w:cs="Times New Roman"/>
          <w:kern w:val="0"/>
          <w:sz w:val="24"/>
          <w:szCs w:val="24"/>
          <w14:ligatures w14:val="none"/>
        </w:rPr>
        <w:t xml:space="preserve"> </w:t>
      </w:r>
      <w:r>
        <w:rPr>
          <w:rFonts w:ascii="Palatino Linotype" w:hAnsi="Palatino Linotype" w:eastAsia="Times New Roman" w:cs="Times New Roman"/>
          <w:kern w:val="0"/>
          <w:sz w:val="24"/>
          <w:szCs w:val="24"/>
          <w14:ligatures w14:val="none"/>
        </w:rPr>
        <w:t xml:space="preserve">received timely </w:t>
      </w:r>
      <w:r w:rsidR="007045BA">
        <w:rPr>
          <w:rFonts w:ascii="Palatino Linotype" w:hAnsi="Palatino Linotype" w:eastAsia="Times New Roman" w:cs="Times New Roman"/>
          <w:kern w:val="0"/>
          <w:sz w:val="24"/>
          <w:szCs w:val="24"/>
          <w14:ligatures w14:val="none"/>
        </w:rPr>
        <w:t>comment</w:t>
      </w:r>
      <w:r w:rsidR="00C75BE3">
        <w:rPr>
          <w:rFonts w:ascii="Palatino Linotype" w:hAnsi="Palatino Linotype" w:eastAsia="Times New Roman" w:cs="Times New Roman"/>
          <w:kern w:val="0"/>
          <w:sz w:val="24"/>
          <w:szCs w:val="24"/>
          <w14:ligatures w14:val="none"/>
        </w:rPr>
        <w:t xml:space="preserve"> </w:t>
      </w:r>
      <w:r>
        <w:rPr>
          <w:rFonts w:ascii="Palatino Linotype" w:hAnsi="Palatino Linotype" w:eastAsia="Times New Roman" w:cs="Times New Roman"/>
          <w:kern w:val="0"/>
          <w:sz w:val="24"/>
          <w:szCs w:val="24"/>
          <w14:ligatures w14:val="none"/>
        </w:rPr>
        <w:t>by</w:t>
      </w:r>
      <w:r w:rsidR="00E73390">
        <w:rPr>
          <w:rFonts w:ascii="Palatino Linotype" w:hAnsi="Palatino Linotype" w:eastAsia="Times New Roman" w:cs="Times New Roman"/>
          <w:kern w:val="0"/>
          <w:sz w:val="24"/>
          <w:szCs w:val="24"/>
          <w14:ligatures w14:val="none"/>
        </w:rPr>
        <w:t xml:space="preserve"> </w:t>
      </w:r>
      <w:r w:rsidR="00F36F31">
        <w:rPr>
          <w:rFonts w:ascii="Palatino Linotype" w:hAnsi="Palatino Linotype" w:eastAsia="Times New Roman" w:cs="Times New Roman"/>
          <w:kern w:val="0"/>
          <w:sz w:val="24"/>
          <w:szCs w:val="24"/>
          <w14:ligatures w14:val="none"/>
        </w:rPr>
        <w:t>the California Public Advocates Office (</w:t>
      </w:r>
      <w:r w:rsidR="00BD579E">
        <w:rPr>
          <w:rFonts w:ascii="Palatino Linotype" w:hAnsi="Palatino Linotype" w:eastAsia="Times New Roman" w:cs="Times New Roman"/>
          <w:kern w:val="0"/>
          <w:sz w:val="24"/>
          <w:szCs w:val="24"/>
          <w14:ligatures w14:val="none"/>
        </w:rPr>
        <w:t>Cal Advocates)</w:t>
      </w:r>
      <w:r w:rsidR="00DB68BF">
        <w:rPr>
          <w:rFonts w:ascii="Palatino Linotype" w:hAnsi="Palatino Linotype" w:eastAsia="Times New Roman" w:cs="Times New Roman"/>
          <w:kern w:val="0"/>
          <w:sz w:val="24"/>
          <w:szCs w:val="24"/>
          <w14:ligatures w14:val="none"/>
        </w:rPr>
        <w:t xml:space="preserve"> on June 10, 2025.</w:t>
      </w:r>
      <w:r w:rsidR="0002381C">
        <w:rPr>
          <w:rFonts w:ascii="Palatino Linotype" w:hAnsi="Palatino Linotype" w:eastAsia="Times New Roman" w:cs="Times New Roman"/>
          <w:kern w:val="0"/>
          <w:sz w:val="24"/>
          <w:szCs w:val="24"/>
          <w14:ligatures w14:val="none"/>
        </w:rPr>
        <w:t xml:space="preserve"> </w:t>
      </w:r>
      <w:r w:rsidR="00BD579E">
        <w:rPr>
          <w:rFonts w:ascii="Palatino Linotype" w:hAnsi="Palatino Linotype" w:eastAsia="Times New Roman" w:cs="Times New Roman"/>
          <w:kern w:val="0"/>
          <w:sz w:val="24"/>
          <w:szCs w:val="24"/>
          <w14:ligatures w14:val="none"/>
        </w:rPr>
        <w:t xml:space="preserve">AL 7602-E </w:t>
      </w:r>
      <w:r w:rsidR="00660096">
        <w:rPr>
          <w:rFonts w:ascii="Palatino Linotype" w:hAnsi="Palatino Linotype" w:eastAsia="Times New Roman" w:cs="Times New Roman"/>
          <w:kern w:val="0"/>
          <w:sz w:val="24"/>
          <w:szCs w:val="24"/>
          <w14:ligatures w14:val="none"/>
        </w:rPr>
        <w:t>was not protested</w:t>
      </w:r>
      <w:r w:rsidR="00E73390">
        <w:rPr>
          <w:rFonts w:ascii="Palatino Linotype" w:hAnsi="Palatino Linotype" w:eastAsia="Times New Roman" w:cs="Times New Roman"/>
          <w:kern w:val="0"/>
          <w:sz w:val="24"/>
          <w:szCs w:val="24"/>
          <w14:ligatures w14:val="none"/>
        </w:rPr>
        <w:t>.</w:t>
      </w:r>
      <w:r w:rsidR="004E3D54">
        <w:rPr>
          <w:rFonts w:ascii="Palatino Linotype" w:hAnsi="Palatino Linotype" w:eastAsia="Times New Roman" w:cs="Times New Roman"/>
          <w:kern w:val="0"/>
          <w:sz w:val="24"/>
          <w:szCs w:val="24"/>
          <w14:ligatures w14:val="none"/>
        </w:rPr>
        <w:t xml:space="preserve"> </w:t>
      </w:r>
    </w:p>
    <w:p w:rsidRPr="00A97C3B" w:rsidR="00484130" w:rsidP="00A379E2" w:rsidRDefault="00484130" w14:paraId="3C53C74D" w14:textId="77777777">
      <w:pPr>
        <w:autoSpaceDE w:val="0"/>
        <w:autoSpaceDN w:val="0"/>
        <w:adjustRightInd w:val="0"/>
        <w:spacing w:after="0" w:line="240" w:lineRule="auto"/>
        <w:rPr>
          <w:rFonts w:ascii="Palatino Linotype" w:hAnsi="Palatino Linotype" w:eastAsia="Times New Roman" w:cs="Times New Roman"/>
          <w:kern w:val="0"/>
          <w:sz w:val="16"/>
          <w:szCs w:val="16"/>
          <w14:ligatures w14:val="none"/>
        </w:rPr>
      </w:pPr>
    </w:p>
    <w:p w:rsidRPr="00484130" w:rsidR="00AB435C" w:rsidP="00484130" w:rsidRDefault="00AA6398" w14:paraId="4FD6A0CD" w14:textId="0891B7DF">
      <w:pPr>
        <w:keepNext/>
        <w:keepLines/>
        <w:spacing w:after="240"/>
        <w:rPr>
          <w:rFonts w:ascii="Palatino Linotype" w:hAnsi="Palatino Linotype"/>
          <w:bCs/>
          <w:sz w:val="24"/>
          <w:szCs w:val="24"/>
        </w:rPr>
      </w:pPr>
      <w:r>
        <w:rPr>
          <w:rFonts w:ascii="Palatino Linotype" w:hAnsi="Palatino Linotype"/>
          <w:bCs/>
          <w:sz w:val="24"/>
          <w:szCs w:val="24"/>
        </w:rPr>
        <w:t xml:space="preserve">Cal Advocates </w:t>
      </w:r>
      <w:r w:rsidR="00330CEC">
        <w:rPr>
          <w:rFonts w:ascii="Palatino Linotype" w:hAnsi="Palatino Linotype"/>
          <w:bCs/>
          <w:sz w:val="24"/>
          <w:szCs w:val="24"/>
        </w:rPr>
        <w:t>states that the Pastoria contract is needed to meet PG&amp;E’s MTR needs</w:t>
      </w:r>
      <w:r w:rsidR="00794905">
        <w:rPr>
          <w:rFonts w:ascii="Palatino Linotype" w:hAnsi="Palatino Linotype"/>
          <w:bCs/>
          <w:sz w:val="24"/>
          <w:szCs w:val="24"/>
        </w:rPr>
        <w:t xml:space="preserve"> and that p</w:t>
      </w:r>
      <w:r w:rsidRPr="00794905" w:rsidR="00794905">
        <w:rPr>
          <w:rFonts w:ascii="Palatino Linotype" w:hAnsi="Palatino Linotype"/>
          <w:bCs/>
          <w:sz w:val="24"/>
          <w:szCs w:val="24"/>
        </w:rPr>
        <w:t xml:space="preserve">rompt </w:t>
      </w:r>
      <w:r w:rsidR="00794905">
        <w:rPr>
          <w:rFonts w:ascii="Palatino Linotype" w:hAnsi="Palatino Linotype"/>
          <w:bCs/>
          <w:sz w:val="24"/>
          <w:szCs w:val="24"/>
        </w:rPr>
        <w:t>C</w:t>
      </w:r>
      <w:r w:rsidRPr="00794905" w:rsidR="00794905">
        <w:rPr>
          <w:rFonts w:ascii="Palatino Linotype" w:hAnsi="Palatino Linotype"/>
          <w:bCs/>
          <w:sz w:val="24"/>
          <w:szCs w:val="24"/>
        </w:rPr>
        <w:t>ommission approval of the Pastoria agreement will help ensure that the resource captures full tax credit benefits</w:t>
      </w:r>
      <w:r w:rsidR="0037603A">
        <w:rPr>
          <w:rFonts w:ascii="Palatino Linotype" w:hAnsi="Palatino Linotype"/>
          <w:bCs/>
          <w:sz w:val="24"/>
          <w:szCs w:val="24"/>
        </w:rPr>
        <w:t xml:space="preserve">. </w:t>
      </w:r>
      <w:r w:rsidR="00794905">
        <w:rPr>
          <w:rFonts w:ascii="Palatino Linotype" w:hAnsi="Palatino Linotype"/>
          <w:bCs/>
          <w:sz w:val="24"/>
          <w:szCs w:val="24"/>
        </w:rPr>
        <w:t>Specifically</w:t>
      </w:r>
      <w:r w:rsidR="0037603A">
        <w:rPr>
          <w:rFonts w:ascii="Palatino Linotype" w:hAnsi="Palatino Linotype"/>
          <w:bCs/>
          <w:sz w:val="24"/>
          <w:szCs w:val="24"/>
        </w:rPr>
        <w:t xml:space="preserve">, </w:t>
      </w:r>
      <w:r w:rsidRPr="0083226A" w:rsidR="00484130">
        <w:rPr>
          <w:rFonts w:ascii="Palatino Linotype" w:hAnsi="Palatino Linotype"/>
          <w:bCs/>
          <w:sz w:val="24"/>
          <w:szCs w:val="24"/>
        </w:rPr>
        <w:t>Cal</w:t>
      </w:r>
      <w:r w:rsidR="00B77C54">
        <w:rPr>
          <w:rFonts w:ascii="Palatino Linotype" w:hAnsi="Palatino Linotype"/>
          <w:bCs/>
          <w:sz w:val="24"/>
          <w:szCs w:val="24"/>
        </w:rPr>
        <w:t xml:space="preserve"> </w:t>
      </w:r>
      <w:r w:rsidR="00484130">
        <w:rPr>
          <w:rFonts w:ascii="Palatino Linotype" w:hAnsi="Palatino Linotype"/>
          <w:bCs/>
          <w:sz w:val="24"/>
          <w:szCs w:val="24"/>
        </w:rPr>
        <w:t xml:space="preserve">Advocates </w:t>
      </w:r>
      <w:r w:rsidR="00794905">
        <w:rPr>
          <w:rFonts w:ascii="Palatino Linotype" w:hAnsi="Palatino Linotype"/>
          <w:bCs/>
          <w:sz w:val="24"/>
          <w:szCs w:val="24"/>
        </w:rPr>
        <w:t xml:space="preserve">notes </w:t>
      </w:r>
      <w:r w:rsidR="00484130">
        <w:rPr>
          <w:rFonts w:ascii="Palatino Linotype" w:hAnsi="Palatino Linotype"/>
          <w:bCs/>
          <w:sz w:val="24"/>
          <w:szCs w:val="24"/>
        </w:rPr>
        <w:t xml:space="preserve">that ratepayers could face exposure to greater contract costs with the potential expiration of the federal Investment Tax Credits (ITC), which was passed in </w:t>
      </w:r>
      <w:r w:rsidR="0000001A">
        <w:rPr>
          <w:rFonts w:ascii="Palatino Linotype" w:hAnsi="Palatino Linotype"/>
          <w:bCs/>
          <w:sz w:val="24"/>
          <w:szCs w:val="24"/>
        </w:rPr>
        <w:t xml:space="preserve">the recent </w:t>
      </w:r>
      <w:r w:rsidR="00A6397D">
        <w:rPr>
          <w:rFonts w:ascii="Palatino Linotype" w:hAnsi="Palatino Linotype"/>
          <w:bCs/>
          <w:sz w:val="24"/>
          <w:szCs w:val="24"/>
        </w:rPr>
        <w:t>House</w:t>
      </w:r>
      <w:r w:rsidR="0000001A">
        <w:rPr>
          <w:rFonts w:ascii="Palatino Linotype" w:hAnsi="Palatino Linotype"/>
          <w:bCs/>
          <w:sz w:val="24"/>
          <w:szCs w:val="24"/>
        </w:rPr>
        <w:t xml:space="preserve"> of Representatives bill</w:t>
      </w:r>
      <w:r w:rsidR="00A6397D">
        <w:rPr>
          <w:rFonts w:ascii="Palatino Linotype" w:hAnsi="Palatino Linotype"/>
          <w:bCs/>
          <w:sz w:val="24"/>
          <w:szCs w:val="24"/>
        </w:rPr>
        <w:t xml:space="preserve"> </w:t>
      </w:r>
      <w:r w:rsidR="00484130">
        <w:rPr>
          <w:rFonts w:ascii="Palatino Linotype" w:hAnsi="Palatino Linotype"/>
          <w:bCs/>
          <w:sz w:val="24"/>
          <w:szCs w:val="24"/>
        </w:rPr>
        <w:t>H.R. 1</w:t>
      </w:r>
      <w:r w:rsidR="00A6397D">
        <w:rPr>
          <w:rFonts w:ascii="Palatino Linotype" w:hAnsi="Palatino Linotype"/>
          <w:bCs/>
          <w:sz w:val="24"/>
          <w:szCs w:val="24"/>
        </w:rPr>
        <w:t xml:space="preserve"> </w:t>
      </w:r>
      <w:r w:rsidR="00FD2A54">
        <w:rPr>
          <w:rFonts w:ascii="Palatino Linotype" w:hAnsi="Palatino Linotype"/>
          <w:bCs/>
          <w:sz w:val="24"/>
          <w:szCs w:val="24"/>
        </w:rPr>
        <w:t xml:space="preserve">on May 22, 2025, </w:t>
      </w:r>
      <w:r w:rsidR="00484130">
        <w:rPr>
          <w:rFonts w:ascii="Palatino Linotype" w:hAnsi="Palatino Linotype"/>
          <w:bCs/>
          <w:sz w:val="24"/>
          <w:szCs w:val="24"/>
        </w:rPr>
        <w:t>and is pending Senate approval.</w:t>
      </w:r>
      <w:r w:rsidR="00FD2A54">
        <w:rPr>
          <w:rStyle w:val="FootnoteReference"/>
          <w:rFonts w:ascii="Palatino Linotype" w:hAnsi="Palatino Linotype"/>
          <w:bCs/>
          <w:sz w:val="24"/>
          <w:szCs w:val="24"/>
        </w:rPr>
        <w:footnoteReference w:id="16"/>
      </w:r>
      <w:r w:rsidR="00484130">
        <w:rPr>
          <w:rFonts w:ascii="Palatino Linotype" w:hAnsi="Palatino Linotype"/>
          <w:bCs/>
          <w:sz w:val="24"/>
          <w:szCs w:val="24"/>
        </w:rPr>
        <w:t xml:space="preserve"> Should the bill pass and is signed into law, all ITC benefits will be repealed for projects that begin construction more than 60 days following the date of the bill’s enactment, and for projects that are placed in service after 2028, regardless of when their construction begins.</w:t>
      </w:r>
      <w:r w:rsidR="00EB2CEC">
        <w:rPr>
          <w:rStyle w:val="FootnoteReference"/>
          <w:rFonts w:ascii="Palatino Linotype" w:hAnsi="Palatino Linotype"/>
          <w:bCs/>
          <w:sz w:val="24"/>
          <w:szCs w:val="24"/>
        </w:rPr>
        <w:footnoteReference w:id="17"/>
      </w:r>
      <w:r w:rsidR="00484130">
        <w:rPr>
          <w:rFonts w:ascii="Palatino Linotype" w:hAnsi="Palatino Linotype"/>
          <w:bCs/>
          <w:sz w:val="24"/>
          <w:szCs w:val="24"/>
        </w:rPr>
        <w:t xml:space="preserve"> </w:t>
      </w:r>
      <w:r w:rsidRPr="58EB139D" w:rsidR="00484130">
        <w:rPr>
          <w:rFonts w:ascii="Palatino Linotype" w:hAnsi="Palatino Linotype"/>
          <w:sz w:val="24"/>
          <w:szCs w:val="24"/>
        </w:rPr>
        <w:t>Cal</w:t>
      </w:r>
      <w:r w:rsidRPr="58EB139D" w:rsidR="1A6DA15E">
        <w:rPr>
          <w:rFonts w:ascii="Palatino Linotype" w:hAnsi="Palatino Linotype"/>
          <w:sz w:val="24"/>
          <w:szCs w:val="24"/>
        </w:rPr>
        <w:t xml:space="preserve"> </w:t>
      </w:r>
      <w:r w:rsidRPr="58EB139D" w:rsidR="00484130">
        <w:rPr>
          <w:rFonts w:ascii="Palatino Linotype" w:hAnsi="Palatino Linotype"/>
          <w:sz w:val="24"/>
          <w:szCs w:val="24"/>
        </w:rPr>
        <w:t>Advocates</w:t>
      </w:r>
      <w:r w:rsidR="00484130">
        <w:rPr>
          <w:rFonts w:ascii="Palatino Linotype" w:hAnsi="Palatino Linotype"/>
          <w:bCs/>
          <w:sz w:val="24"/>
          <w:szCs w:val="24"/>
        </w:rPr>
        <w:t xml:space="preserve"> notes that because developers would no longer be able to receive the Base Tax Credit, the Domestic Content Minimum, and/or Energy Commission Siting benefits, the contract’s price could increase by 30%</w:t>
      </w:r>
      <w:r w:rsidR="00EF12E7">
        <w:rPr>
          <w:rFonts w:ascii="Palatino Linotype" w:hAnsi="Palatino Linotype"/>
          <w:bCs/>
          <w:sz w:val="24"/>
          <w:szCs w:val="24"/>
        </w:rPr>
        <w:t xml:space="preserve"> or greater</w:t>
      </w:r>
      <w:r w:rsidR="00484130">
        <w:rPr>
          <w:rFonts w:ascii="Palatino Linotype" w:hAnsi="Palatino Linotype"/>
          <w:bCs/>
          <w:sz w:val="24"/>
          <w:szCs w:val="24"/>
        </w:rPr>
        <w:t>.</w:t>
      </w:r>
      <w:r w:rsidR="00EB2CEC">
        <w:rPr>
          <w:rStyle w:val="FootnoteReference"/>
          <w:rFonts w:ascii="Palatino Linotype" w:hAnsi="Palatino Linotype"/>
          <w:bCs/>
          <w:sz w:val="24"/>
          <w:szCs w:val="24"/>
        </w:rPr>
        <w:footnoteReference w:id="18"/>
      </w:r>
      <w:r w:rsidR="00B77C54">
        <w:rPr>
          <w:rFonts w:ascii="Palatino Linotype" w:hAnsi="Palatino Linotype"/>
          <w:bCs/>
          <w:sz w:val="24"/>
          <w:szCs w:val="24"/>
        </w:rPr>
        <w:t xml:space="preserve"> </w:t>
      </w:r>
    </w:p>
    <w:p w:rsidRPr="00A379E2" w:rsidR="00B84E68" w:rsidP="00B8533D" w:rsidRDefault="00B84E68" w14:paraId="64E9F3F0" w14:textId="433C45F8">
      <w:pPr>
        <w:autoSpaceDE w:val="0"/>
        <w:autoSpaceDN w:val="0"/>
        <w:adjustRightInd w:val="0"/>
        <w:spacing w:before="120" w:after="120" w:line="240" w:lineRule="auto"/>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b/>
          <w:caps/>
          <w:kern w:val="28"/>
          <w:sz w:val="24"/>
          <w:szCs w:val="24"/>
          <w:u w:val="single"/>
          <w14:ligatures w14:val="none"/>
        </w:rPr>
        <w:t>Discussion</w:t>
      </w:r>
    </w:p>
    <w:p w:rsidR="004A174A" w:rsidP="006746B9" w:rsidRDefault="00421BE3" w14:paraId="7E7D2EC6" w14:textId="77777777">
      <w:pPr>
        <w:spacing w:after="240"/>
        <w:rPr>
          <w:rFonts w:ascii="Palatino Linotype" w:hAnsi="Palatino Linotype" w:eastAsia="Palatino Linotype"/>
          <w:sz w:val="24"/>
          <w:szCs w:val="24"/>
        </w:rPr>
      </w:pPr>
      <w:r w:rsidRPr="00D865A9">
        <w:rPr>
          <w:rFonts w:ascii="Palatino Linotype" w:hAnsi="Palatino Linotype" w:eastAsia="Palatino Linotype"/>
          <w:sz w:val="24"/>
          <w:szCs w:val="24"/>
        </w:rPr>
        <w:t xml:space="preserve">The Commission has reviewed </w:t>
      </w:r>
      <w:r>
        <w:rPr>
          <w:rFonts w:ascii="Palatino Linotype" w:hAnsi="Palatino Linotype" w:eastAsia="Palatino Linotype"/>
          <w:sz w:val="24"/>
          <w:szCs w:val="24"/>
        </w:rPr>
        <w:t xml:space="preserve">PG&amp;E AL </w:t>
      </w:r>
      <w:r w:rsidR="007D4DD9">
        <w:rPr>
          <w:rFonts w:ascii="Palatino Linotype" w:hAnsi="Palatino Linotype" w:eastAsia="Palatino Linotype"/>
          <w:sz w:val="24"/>
          <w:szCs w:val="24"/>
        </w:rPr>
        <w:t>7602</w:t>
      </w:r>
      <w:r>
        <w:rPr>
          <w:rFonts w:ascii="Palatino Linotype" w:hAnsi="Palatino Linotype" w:eastAsia="Palatino Linotype"/>
          <w:sz w:val="24"/>
          <w:szCs w:val="24"/>
        </w:rPr>
        <w:t xml:space="preserve">-E and </w:t>
      </w:r>
      <w:r w:rsidRPr="00D865A9">
        <w:rPr>
          <w:rFonts w:ascii="Palatino Linotype" w:hAnsi="Palatino Linotype" w:eastAsia="Palatino Linotype"/>
          <w:sz w:val="24"/>
          <w:szCs w:val="24"/>
        </w:rPr>
        <w:t>finds</w:t>
      </w:r>
      <w:r>
        <w:rPr>
          <w:rFonts w:ascii="Palatino Linotype" w:hAnsi="Palatino Linotype" w:eastAsia="Palatino Linotype"/>
          <w:sz w:val="24"/>
          <w:szCs w:val="24"/>
        </w:rPr>
        <w:t xml:space="preserve"> that PG&amp;E’s request for approval of the MTR contract </w:t>
      </w:r>
      <w:r w:rsidR="00502706">
        <w:rPr>
          <w:rFonts w:ascii="Palatino Linotype" w:hAnsi="Palatino Linotype" w:eastAsia="Palatino Linotype"/>
          <w:sz w:val="24"/>
          <w:szCs w:val="24"/>
        </w:rPr>
        <w:t>is</w:t>
      </w:r>
      <w:r>
        <w:rPr>
          <w:rFonts w:ascii="Palatino Linotype" w:hAnsi="Palatino Linotype" w:eastAsia="Palatino Linotype"/>
          <w:sz w:val="24"/>
          <w:szCs w:val="24"/>
        </w:rPr>
        <w:t xml:space="preserve"> reasonable, as discussed below.</w:t>
      </w:r>
      <w:r w:rsidRPr="00D865A9">
        <w:rPr>
          <w:rFonts w:ascii="Palatino Linotype" w:hAnsi="Palatino Linotype" w:eastAsia="Palatino Linotype"/>
          <w:sz w:val="24"/>
          <w:szCs w:val="24"/>
        </w:rPr>
        <w:t xml:space="preserve"> </w:t>
      </w:r>
    </w:p>
    <w:p w:rsidR="004A174A" w:rsidP="00B8533D" w:rsidRDefault="00AF74EE" w14:paraId="451E15F9" w14:textId="77777777">
      <w:pPr>
        <w:spacing w:before="120" w:after="120"/>
        <w:rPr>
          <w:rFonts w:ascii="Palatino Linotype" w:hAnsi="Palatino Linotype" w:eastAsia="Palatino Linotype"/>
          <w:sz w:val="24"/>
          <w:szCs w:val="24"/>
        </w:rPr>
      </w:pPr>
      <w:r w:rsidRPr="00956F32">
        <w:rPr>
          <w:rFonts w:ascii="Palatino Linotype" w:hAnsi="Palatino Linotype"/>
          <w:b/>
          <w:sz w:val="24"/>
          <w:szCs w:val="24"/>
        </w:rPr>
        <w:t>Consistency with D</w:t>
      </w:r>
      <w:r w:rsidRPr="00956F32" w:rsidDel="1F2644E0">
        <w:rPr>
          <w:rFonts w:ascii="Palatino Linotype" w:hAnsi="Palatino Linotype"/>
          <w:b/>
          <w:sz w:val="24"/>
          <w:szCs w:val="24"/>
        </w:rPr>
        <w:t>.</w:t>
      </w:r>
      <w:r w:rsidRPr="00956F32">
        <w:rPr>
          <w:rFonts w:ascii="Palatino Linotype" w:hAnsi="Palatino Linotype"/>
          <w:b/>
          <w:sz w:val="24"/>
          <w:szCs w:val="24"/>
        </w:rPr>
        <w:t>21-06-035</w:t>
      </w:r>
      <w:r w:rsidR="005E7B47">
        <w:rPr>
          <w:rFonts w:ascii="Palatino Linotype" w:hAnsi="Palatino Linotype"/>
          <w:b/>
          <w:sz w:val="24"/>
          <w:szCs w:val="24"/>
        </w:rPr>
        <w:t xml:space="preserve"> and D.23-02-040</w:t>
      </w:r>
    </w:p>
    <w:p w:rsidRPr="00743E64" w:rsidR="001573E9" w:rsidP="001573E9" w:rsidRDefault="00AF74EE" w14:paraId="436AD2C7" w14:textId="70DA6057">
      <w:pPr>
        <w:autoSpaceDE w:val="0"/>
        <w:autoSpaceDN w:val="0"/>
        <w:adjustRightInd w:val="0"/>
        <w:rPr>
          <w:rFonts w:ascii="Palatino Linotype" w:hAnsi="Palatino Linotype" w:cs="Palatino Linotype"/>
          <w:color w:val="000000"/>
          <w:sz w:val="24"/>
          <w:szCs w:val="24"/>
        </w:rPr>
      </w:pPr>
      <w:r w:rsidRPr="00956F32">
        <w:rPr>
          <w:rFonts w:ascii="Palatino Linotype" w:hAnsi="Palatino Linotype"/>
          <w:sz w:val="24"/>
          <w:szCs w:val="24"/>
        </w:rPr>
        <w:t xml:space="preserve">We find </w:t>
      </w:r>
      <w:r>
        <w:rPr>
          <w:rFonts w:ascii="Palatino Linotype" w:hAnsi="Palatino Linotype"/>
          <w:sz w:val="24"/>
          <w:szCs w:val="24"/>
        </w:rPr>
        <w:t>PG&amp;</w:t>
      </w:r>
      <w:r w:rsidRPr="00956F32">
        <w:rPr>
          <w:rFonts w:ascii="Palatino Linotype" w:hAnsi="Palatino Linotype"/>
          <w:sz w:val="24"/>
          <w:szCs w:val="24"/>
        </w:rPr>
        <w:t>E</w:t>
      </w:r>
      <w:r>
        <w:rPr>
          <w:rFonts w:ascii="Palatino Linotype" w:hAnsi="Palatino Linotype"/>
          <w:sz w:val="24"/>
          <w:szCs w:val="24"/>
        </w:rPr>
        <w:t xml:space="preserve"> A</w:t>
      </w:r>
      <w:r w:rsidRPr="00956F32">
        <w:rPr>
          <w:rFonts w:ascii="Palatino Linotype" w:hAnsi="Palatino Linotype"/>
          <w:sz w:val="24"/>
          <w:szCs w:val="24"/>
        </w:rPr>
        <w:t xml:space="preserve">L </w:t>
      </w:r>
      <w:r w:rsidR="007D4DD9">
        <w:rPr>
          <w:rFonts w:ascii="Palatino Linotype" w:hAnsi="Palatino Linotype" w:eastAsia="Palatino Linotype"/>
          <w:sz w:val="24"/>
          <w:szCs w:val="24"/>
        </w:rPr>
        <w:t>7602</w:t>
      </w:r>
      <w:r w:rsidR="000D556E">
        <w:rPr>
          <w:rFonts w:ascii="Palatino Linotype" w:hAnsi="Palatino Linotype" w:eastAsia="Palatino Linotype"/>
          <w:sz w:val="24"/>
          <w:szCs w:val="24"/>
        </w:rPr>
        <w:t xml:space="preserve">-E </w:t>
      </w:r>
      <w:r w:rsidRPr="00956F32">
        <w:rPr>
          <w:rFonts w:ascii="Palatino Linotype" w:hAnsi="Palatino Linotype"/>
          <w:sz w:val="24"/>
          <w:szCs w:val="24"/>
        </w:rPr>
        <w:t>consistent with D.21-06-035. As directed in</w:t>
      </w:r>
      <w:r>
        <w:rPr>
          <w:rFonts w:ascii="Palatino Linotype" w:hAnsi="Palatino Linotype"/>
          <w:sz w:val="24"/>
          <w:szCs w:val="24"/>
        </w:rPr>
        <w:t xml:space="preserve"> the</w:t>
      </w:r>
      <w:r w:rsidRPr="00956F32">
        <w:rPr>
          <w:rFonts w:ascii="Palatino Linotype" w:hAnsi="Palatino Linotype"/>
          <w:sz w:val="24"/>
          <w:szCs w:val="24"/>
        </w:rPr>
        <w:t xml:space="preserve"> </w:t>
      </w:r>
      <w:r>
        <w:rPr>
          <w:rFonts w:ascii="Palatino Linotype" w:hAnsi="Palatino Linotype"/>
          <w:sz w:val="24"/>
          <w:szCs w:val="24"/>
        </w:rPr>
        <w:t>d</w:t>
      </w:r>
      <w:r w:rsidRPr="00956F32">
        <w:rPr>
          <w:rFonts w:ascii="Palatino Linotype" w:hAnsi="Palatino Linotype"/>
          <w:sz w:val="24"/>
          <w:szCs w:val="24"/>
        </w:rPr>
        <w:t xml:space="preserve">ecision, </w:t>
      </w:r>
      <w:r>
        <w:rPr>
          <w:rFonts w:ascii="Palatino Linotype" w:hAnsi="Palatino Linotype"/>
          <w:sz w:val="24"/>
          <w:szCs w:val="24"/>
        </w:rPr>
        <w:t>PG&amp;E</w:t>
      </w:r>
      <w:r w:rsidRPr="00956F32">
        <w:rPr>
          <w:rFonts w:ascii="Palatino Linotype" w:hAnsi="Palatino Linotype"/>
          <w:sz w:val="24"/>
          <w:szCs w:val="24"/>
        </w:rPr>
        <w:t xml:space="preserve"> filed a Tier 3 AL seeking </w:t>
      </w:r>
      <w:r>
        <w:rPr>
          <w:rFonts w:ascii="Palatino Linotype" w:hAnsi="Palatino Linotype"/>
          <w:sz w:val="24"/>
          <w:szCs w:val="24"/>
        </w:rPr>
        <w:t xml:space="preserve">approval for </w:t>
      </w:r>
      <w:r w:rsidRPr="00956F32">
        <w:rPr>
          <w:rFonts w:ascii="Palatino Linotype" w:hAnsi="Palatino Linotype"/>
          <w:sz w:val="24"/>
          <w:szCs w:val="24"/>
        </w:rPr>
        <w:t xml:space="preserve">cost recovery for the </w:t>
      </w:r>
      <w:r>
        <w:rPr>
          <w:rFonts w:ascii="Palatino Linotype" w:hAnsi="Palatino Linotype"/>
          <w:sz w:val="24"/>
          <w:szCs w:val="24"/>
        </w:rPr>
        <w:t xml:space="preserve">MTR </w:t>
      </w:r>
      <w:r w:rsidR="000F07AE">
        <w:rPr>
          <w:rFonts w:ascii="Palatino Linotype" w:hAnsi="Palatino Linotype"/>
          <w:sz w:val="24"/>
          <w:szCs w:val="24"/>
        </w:rPr>
        <w:t>C</w:t>
      </w:r>
      <w:r w:rsidRPr="00956F32">
        <w:rPr>
          <w:rFonts w:ascii="Palatino Linotype" w:hAnsi="Palatino Linotype"/>
          <w:sz w:val="24"/>
          <w:szCs w:val="24"/>
        </w:rPr>
        <w:t>ontract</w:t>
      </w:r>
      <w:r w:rsidR="000D556E">
        <w:rPr>
          <w:rFonts w:ascii="Palatino Linotype" w:hAnsi="Palatino Linotype"/>
          <w:sz w:val="24"/>
          <w:szCs w:val="24"/>
        </w:rPr>
        <w:t>s</w:t>
      </w:r>
      <w:r>
        <w:rPr>
          <w:rFonts w:ascii="Palatino Linotype" w:hAnsi="Palatino Linotype"/>
          <w:sz w:val="24"/>
          <w:szCs w:val="24"/>
        </w:rPr>
        <w:t xml:space="preserve"> described </w:t>
      </w:r>
      <w:r>
        <w:rPr>
          <w:rFonts w:ascii="Palatino Linotype" w:hAnsi="Palatino Linotype"/>
          <w:sz w:val="24"/>
          <w:szCs w:val="24"/>
        </w:rPr>
        <w:lastRenderedPageBreak/>
        <w:t>herein</w:t>
      </w:r>
      <w:r w:rsidRPr="00956F32">
        <w:rPr>
          <w:rFonts w:ascii="Palatino Linotype" w:hAnsi="Palatino Linotype"/>
          <w:sz w:val="24"/>
          <w:szCs w:val="24"/>
        </w:rPr>
        <w:t xml:space="preserve">. </w:t>
      </w:r>
      <w:r w:rsidRPr="00743E64" w:rsidR="007019F0">
        <w:rPr>
          <w:rFonts w:ascii="Palatino Linotype" w:hAnsi="Palatino Linotype" w:cs="Palatino Linotype" w:eastAsiaTheme="minorEastAsia"/>
          <w:color w:val="000000" w:themeColor="text1"/>
          <w:sz w:val="24"/>
          <w:szCs w:val="24"/>
        </w:rPr>
        <w:t xml:space="preserve">D.21-06-035 requires PG&amp;E to procure at least 2,302 MWs of incremental September marginal ELCC NQC. Of this total </w:t>
      </w:r>
      <w:r w:rsidRPr="00C5469C" w:rsidR="007019F0">
        <w:rPr>
          <w:rFonts w:ascii="Palatino Linotype" w:hAnsi="Palatino Linotype" w:cs="Palatino Linotype" w:eastAsiaTheme="minorEastAsia"/>
          <w:sz w:val="24"/>
          <w:szCs w:val="24"/>
        </w:rPr>
        <w:t xml:space="preserve">requirement </w:t>
      </w:r>
      <w:r w:rsidRPr="00C5469C" w:rsidR="00C5469C">
        <w:rPr>
          <w:rFonts w:ascii="Palatino Linotype" w:hAnsi="Palatino Linotype" w:cs="Palatino Linotype" w:eastAsiaTheme="minorEastAsia"/>
          <w:sz w:val="24"/>
          <w:szCs w:val="24"/>
        </w:rPr>
        <w:t>500</w:t>
      </w:r>
      <w:r w:rsidRPr="00C5469C" w:rsidR="007019F0">
        <w:rPr>
          <w:rFonts w:ascii="Palatino Linotype" w:hAnsi="Palatino Linotype" w:cs="Palatino Linotype" w:eastAsiaTheme="minorEastAsia"/>
          <w:sz w:val="24"/>
          <w:szCs w:val="24"/>
        </w:rPr>
        <w:t xml:space="preserve"> MW must come from </w:t>
      </w:r>
      <w:r w:rsidRPr="00743E64" w:rsidR="007019F0">
        <w:rPr>
          <w:rFonts w:ascii="Palatino Linotype" w:hAnsi="Palatino Linotype" w:cs="Palatino Linotype" w:eastAsiaTheme="minorEastAsia"/>
          <w:color w:val="000000" w:themeColor="text1"/>
          <w:sz w:val="24"/>
          <w:szCs w:val="24"/>
        </w:rPr>
        <w:t>firm zero-emitting generation resources paired with storage or demand response resources</w:t>
      </w:r>
      <w:r w:rsidR="007019F0">
        <w:rPr>
          <w:rFonts w:ascii="Palatino Linotype" w:hAnsi="Palatino Linotype" w:cs="Palatino Linotype" w:eastAsiaTheme="minorEastAsia"/>
          <w:color w:val="000000" w:themeColor="text1"/>
          <w:sz w:val="24"/>
          <w:szCs w:val="24"/>
        </w:rPr>
        <w:t>.</w:t>
      </w:r>
      <w:r w:rsidRPr="58EB139D" w:rsidR="5297E484">
        <w:rPr>
          <w:rFonts w:ascii="Palatino Linotype" w:hAnsi="Palatino Linotype" w:cs="Palatino Linotype" w:eastAsiaTheme="minorEastAsia"/>
          <w:color w:val="000000" w:themeColor="text1"/>
          <w:sz w:val="24"/>
          <w:szCs w:val="24"/>
        </w:rPr>
        <w:t xml:space="preserve"> </w:t>
      </w:r>
      <w:r w:rsidRPr="58EB139D" w:rsidR="001573E9">
        <w:rPr>
          <w:rFonts w:ascii="Palatino Linotype" w:hAnsi="Palatino Linotype" w:cs="Palatino Linotype"/>
          <w:color w:val="000000" w:themeColor="text1"/>
          <w:sz w:val="24"/>
          <w:szCs w:val="24"/>
        </w:rPr>
        <w:t xml:space="preserve">The </w:t>
      </w:r>
      <w:r w:rsidRPr="58EB139D" w:rsidR="000F07AE">
        <w:rPr>
          <w:rFonts w:ascii="Palatino Linotype" w:hAnsi="Palatino Linotype" w:cs="Palatino Linotype"/>
          <w:color w:val="000000" w:themeColor="text1"/>
          <w:sz w:val="24"/>
          <w:szCs w:val="24"/>
        </w:rPr>
        <w:t>MTR Contract</w:t>
      </w:r>
      <w:r w:rsidRPr="58EB139D" w:rsidR="001573E9">
        <w:rPr>
          <w:rFonts w:ascii="Palatino Linotype" w:hAnsi="Palatino Linotype" w:cs="Palatino Linotype"/>
          <w:color w:val="000000" w:themeColor="text1"/>
          <w:sz w:val="24"/>
          <w:szCs w:val="24"/>
        </w:rPr>
        <w:t xml:space="preserve"> </w:t>
      </w:r>
      <w:r w:rsidRPr="58EB139D" w:rsidR="00470FA6">
        <w:rPr>
          <w:rFonts w:ascii="Palatino Linotype" w:hAnsi="Palatino Linotype" w:cs="Palatino Linotype"/>
          <w:color w:val="000000" w:themeColor="text1"/>
          <w:sz w:val="24"/>
          <w:szCs w:val="24"/>
        </w:rPr>
        <w:t>is</w:t>
      </w:r>
      <w:r w:rsidRPr="58EB139D" w:rsidR="001573E9">
        <w:rPr>
          <w:rFonts w:ascii="Palatino Linotype" w:hAnsi="Palatino Linotype" w:cs="Palatino Linotype"/>
          <w:color w:val="000000" w:themeColor="text1"/>
          <w:sz w:val="24"/>
          <w:szCs w:val="24"/>
        </w:rPr>
        <w:t xml:space="preserve"> for storage-only resources that are expected to help PG&amp;E meet its general MTR requirements. </w:t>
      </w:r>
      <w:r w:rsidR="002F0D0D">
        <w:rPr>
          <w:rFonts w:ascii="Palatino Linotype" w:hAnsi="Palatino Linotype"/>
          <w:sz w:val="24"/>
          <w:szCs w:val="24"/>
        </w:rPr>
        <w:t xml:space="preserve">The MTR </w:t>
      </w:r>
      <w:r w:rsidR="000F07AE">
        <w:rPr>
          <w:rFonts w:ascii="Palatino Linotype" w:hAnsi="Palatino Linotype"/>
          <w:sz w:val="24"/>
          <w:szCs w:val="24"/>
        </w:rPr>
        <w:t>C</w:t>
      </w:r>
      <w:r w:rsidR="002F0D0D">
        <w:rPr>
          <w:rFonts w:ascii="Palatino Linotype" w:hAnsi="Palatino Linotype"/>
          <w:sz w:val="24"/>
          <w:szCs w:val="24"/>
        </w:rPr>
        <w:t xml:space="preserve">ontracts </w:t>
      </w:r>
      <w:r w:rsidRPr="58EB139D" w:rsidR="002F0D0D">
        <w:rPr>
          <w:rFonts w:ascii="Palatino Linotype" w:hAnsi="Palatino Linotype" w:cs="Palatino Linotype"/>
          <w:color w:val="000000" w:themeColor="text1"/>
          <w:sz w:val="24"/>
          <w:szCs w:val="24"/>
        </w:rPr>
        <w:t>may be also used to satisfy the Diablo Canyon Replacement requirement</w:t>
      </w:r>
      <w:r w:rsidRPr="58EB139D" w:rsidR="08D7E732">
        <w:rPr>
          <w:rFonts w:ascii="Palatino Linotype" w:hAnsi="Palatino Linotype" w:cs="Palatino Linotype"/>
          <w:color w:val="000000" w:themeColor="text1"/>
          <w:sz w:val="24"/>
          <w:szCs w:val="24"/>
        </w:rPr>
        <w:t>,</w:t>
      </w:r>
      <w:r w:rsidRPr="58EB139D" w:rsidR="00470FA6">
        <w:rPr>
          <w:rFonts w:ascii="Palatino Linotype" w:hAnsi="Palatino Linotype" w:cs="Palatino Linotype"/>
          <w:color w:val="000000" w:themeColor="text1"/>
          <w:sz w:val="24"/>
          <w:szCs w:val="24"/>
        </w:rPr>
        <w:t xml:space="preserve"> as </w:t>
      </w:r>
      <w:r w:rsidRPr="58EB139D" w:rsidR="002F0D0D">
        <w:rPr>
          <w:rFonts w:ascii="Palatino Linotype" w:hAnsi="Palatino Linotype" w:cs="Palatino Linotype"/>
          <w:color w:val="000000" w:themeColor="text1"/>
          <w:sz w:val="24"/>
          <w:szCs w:val="24"/>
        </w:rPr>
        <w:t>adopted in D.21-06-035</w:t>
      </w:r>
      <w:r w:rsidRPr="58EB139D" w:rsidR="5C66B123">
        <w:rPr>
          <w:rFonts w:ascii="Palatino Linotype" w:hAnsi="Palatino Linotype" w:cs="Palatino Linotype"/>
          <w:color w:val="000000" w:themeColor="text1"/>
          <w:sz w:val="24"/>
          <w:szCs w:val="24"/>
        </w:rPr>
        <w:t>,</w:t>
      </w:r>
      <w:r w:rsidRPr="58EB139D" w:rsidR="00470FA6">
        <w:rPr>
          <w:rFonts w:ascii="Palatino Linotype" w:hAnsi="Palatino Linotype" w:cs="Palatino Linotype"/>
          <w:color w:val="000000" w:themeColor="text1"/>
          <w:sz w:val="24"/>
          <w:szCs w:val="24"/>
        </w:rPr>
        <w:t xml:space="preserve"> </w:t>
      </w:r>
      <w:r w:rsidRPr="58EB139D" w:rsidR="002F0D0D">
        <w:rPr>
          <w:rFonts w:ascii="Palatino Linotype" w:hAnsi="Palatino Linotype" w:cs="Palatino Linotype"/>
          <w:color w:val="000000" w:themeColor="text1"/>
          <w:sz w:val="24"/>
          <w:szCs w:val="24"/>
        </w:rPr>
        <w:t>if PG&amp;E is able to pair the energy storage resources with eligible generation.</w:t>
      </w:r>
    </w:p>
    <w:p w:rsidR="00A16646" w:rsidP="00A16646" w:rsidRDefault="46C142C6" w14:paraId="5CE102E1" w14:textId="500D58B2">
      <w:pPr>
        <w:autoSpaceDE w:val="0"/>
        <w:autoSpaceDN w:val="0"/>
        <w:adjustRightInd w:val="0"/>
        <w:rPr>
          <w:rFonts w:ascii="Palatino Linotype" w:hAnsi="Palatino Linotype" w:cs="Palatino Linotype"/>
          <w:color w:val="000000"/>
          <w:sz w:val="24"/>
          <w:szCs w:val="24"/>
        </w:rPr>
      </w:pPr>
      <w:r w:rsidRPr="22588F02">
        <w:rPr>
          <w:rFonts w:ascii="Palatino Linotype" w:hAnsi="Palatino Linotype" w:cs="Palatino Linotype"/>
          <w:color w:val="000000" w:themeColor="text1"/>
          <w:sz w:val="24"/>
          <w:szCs w:val="24"/>
        </w:rPr>
        <w:t xml:space="preserve">The </w:t>
      </w:r>
      <w:r w:rsidRPr="22588F02" w:rsidR="70481B4D">
        <w:rPr>
          <w:rFonts w:ascii="Palatino Linotype" w:hAnsi="Palatino Linotype" w:cs="Palatino Linotype"/>
          <w:color w:val="000000" w:themeColor="text1"/>
          <w:sz w:val="24"/>
          <w:szCs w:val="24"/>
        </w:rPr>
        <w:t>MTR Contract</w:t>
      </w:r>
      <w:r w:rsidRPr="22588F02">
        <w:rPr>
          <w:rFonts w:ascii="Palatino Linotype" w:hAnsi="Palatino Linotype" w:cs="Palatino Linotype"/>
          <w:color w:val="000000" w:themeColor="text1"/>
          <w:sz w:val="24"/>
          <w:szCs w:val="24"/>
        </w:rPr>
        <w:t xml:space="preserve"> also appear</w:t>
      </w:r>
      <w:r w:rsidRPr="22588F02" w:rsidR="063AA4C9">
        <w:rPr>
          <w:rFonts w:ascii="Palatino Linotype" w:hAnsi="Palatino Linotype" w:cs="Palatino Linotype"/>
          <w:color w:val="000000" w:themeColor="text1"/>
          <w:sz w:val="24"/>
          <w:szCs w:val="24"/>
        </w:rPr>
        <w:t>s</w:t>
      </w:r>
      <w:r w:rsidRPr="22588F02">
        <w:rPr>
          <w:rFonts w:ascii="Palatino Linotype" w:hAnsi="Palatino Linotype" w:cs="Palatino Linotype"/>
          <w:color w:val="000000" w:themeColor="text1"/>
          <w:sz w:val="24"/>
          <w:szCs w:val="24"/>
        </w:rPr>
        <w:t xml:space="preserve"> to meet the general capacity requirements of D.21-06-035 and D.23-02-040, which dictate that all resources used for compliance with the decisions must be associated with a new resource, or an expansion of an existing resource, and that they are under a long-term contract of at least ten years. Final verification of specific resource eligibility for specific procurement categories is </w:t>
      </w:r>
      <w:r w:rsidRPr="22588F02" w:rsidR="36CB8899">
        <w:rPr>
          <w:rFonts w:ascii="Palatino Linotype" w:hAnsi="Palatino Linotype" w:cs="Palatino Linotype"/>
          <w:color w:val="000000" w:themeColor="text1"/>
          <w:sz w:val="24"/>
          <w:szCs w:val="24"/>
        </w:rPr>
        <w:t>conducted</w:t>
      </w:r>
      <w:r w:rsidRPr="22588F02">
        <w:rPr>
          <w:rFonts w:ascii="Palatino Linotype" w:hAnsi="Palatino Linotype" w:cs="Palatino Linotype"/>
          <w:color w:val="000000" w:themeColor="text1"/>
          <w:sz w:val="24"/>
          <w:szCs w:val="24"/>
        </w:rPr>
        <w:t xml:space="preserve"> via the IRP compliance process.</w:t>
      </w:r>
    </w:p>
    <w:p w:rsidRPr="00A16646" w:rsidR="00AF74EE" w:rsidP="00A16646" w:rsidRDefault="55A24BC0" w14:paraId="497A1878" w14:textId="728E6C63">
      <w:pPr>
        <w:autoSpaceDE w:val="0"/>
        <w:autoSpaceDN w:val="0"/>
        <w:adjustRightInd w:val="0"/>
        <w:spacing w:before="240" w:after="120" w:line="252" w:lineRule="auto"/>
        <w:rPr>
          <w:rFonts w:ascii="Palatino Linotype" w:hAnsi="Palatino Linotype" w:cs="Palatino Linotype"/>
          <w:color w:val="000000"/>
          <w:sz w:val="24"/>
          <w:szCs w:val="24"/>
        </w:rPr>
      </w:pPr>
      <w:r w:rsidRPr="62DC0578">
        <w:rPr>
          <w:rFonts w:ascii="Palatino Linotype" w:hAnsi="Palatino Linotype"/>
          <w:b/>
          <w:bCs/>
          <w:sz w:val="24"/>
          <w:szCs w:val="24"/>
        </w:rPr>
        <w:t>Procurement Methodology, Evaluation, and Cost Reasonableness</w:t>
      </w:r>
    </w:p>
    <w:p w:rsidR="006B1F87" w:rsidP="00F124EA" w:rsidRDefault="00AF74EE" w14:paraId="6C09A256" w14:textId="115A8D10">
      <w:pPr>
        <w:rPr>
          <w:rFonts w:ascii="Palatino Linotype" w:hAnsi="Palatino Linotype"/>
          <w:sz w:val="24"/>
          <w:szCs w:val="24"/>
        </w:rPr>
      </w:pPr>
      <w:r>
        <w:rPr>
          <w:rFonts w:ascii="Palatino Linotype" w:hAnsi="Palatino Linotype"/>
          <w:sz w:val="24"/>
          <w:szCs w:val="24"/>
        </w:rPr>
        <w:t>PG&amp;E issued its MTR RFO Phases 1, 2, and 3 on June 18, 2021, April 15, 2022, and February 7, 2023, respectively, to solicit offers for incremental resources to meet its MTR procurement requirements.</w:t>
      </w:r>
      <w:r w:rsidRPr="79433F1A" w:rsidR="7857C155">
        <w:rPr>
          <w:rFonts w:ascii="Palatino Linotype" w:hAnsi="Palatino Linotype"/>
          <w:sz w:val="24"/>
          <w:szCs w:val="24"/>
        </w:rPr>
        <w:t xml:space="preserve"> </w:t>
      </w:r>
      <w:r w:rsidRPr="79433F1A" w:rsidR="4D78EFCC">
        <w:rPr>
          <w:rFonts w:ascii="Palatino Linotype" w:hAnsi="Palatino Linotype"/>
          <w:sz w:val="24"/>
          <w:szCs w:val="24"/>
        </w:rPr>
        <w:t>To</w:t>
      </w:r>
      <w:r w:rsidRPr="79433F1A" w:rsidR="7857C155">
        <w:rPr>
          <w:rFonts w:ascii="Palatino Linotype" w:hAnsi="Palatino Linotype"/>
          <w:sz w:val="24"/>
          <w:szCs w:val="24"/>
        </w:rPr>
        <w:t xml:space="preserve"> </w:t>
      </w:r>
      <w:r w:rsidRPr="79433F1A" w:rsidR="2EAF902B">
        <w:rPr>
          <w:rFonts w:ascii="Palatino Linotype" w:hAnsi="Palatino Linotype"/>
          <w:sz w:val="24"/>
          <w:szCs w:val="24"/>
        </w:rPr>
        <w:t>evaluate</w:t>
      </w:r>
      <w:r w:rsidRPr="79433F1A" w:rsidR="7857C155">
        <w:rPr>
          <w:rFonts w:ascii="Palatino Linotype" w:hAnsi="Palatino Linotype"/>
          <w:sz w:val="24"/>
          <w:szCs w:val="24"/>
        </w:rPr>
        <w:t xml:space="preserve"> solicitation offers PG&amp;E </w:t>
      </w:r>
      <w:r w:rsidRPr="79433F1A" w:rsidR="11A7DBB0">
        <w:rPr>
          <w:rFonts w:ascii="Palatino Linotype" w:hAnsi="Palatino Linotype"/>
          <w:sz w:val="24"/>
          <w:szCs w:val="24"/>
        </w:rPr>
        <w:t>used</w:t>
      </w:r>
      <w:r w:rsidRPr="79433F1A" w:rsidR="7857C155">
        <w:rPr>
          <w:rFonts w:ascii="Palatino Linotype" w:hAnsi="Palatino Linotype"/>
          <w:sz w:val="24"/>
          <w:szCs w:val="24"/>
        </w:rPr>
        <w:t xml:space="preserve"> </w:t>
      </w:r>
      <w:r w:rsidRPr="79433F1A" w:rsidR="00386F29">
        <w:rPr>
          <w:rFonts w:ascii="Palatino Linotype" w:hAnsi="Palatino Linotype"/>
          <w:sz w:val="24"/>
          <w:szCs w:val="24"/>
        </w:rPr>
        <w:t>an LCBF</w:t>
      </w:r>
      <w:r w:rsidR="00F06B47">
        <w:rPr>
          <w:rFonts w:ascii="Palatino Linotype" w:hAnsi="Palatino Linotype"/>
          <w:sz w:val="24"/>
          <w:szCs w:val="24"/>
        </w:rPr>
        <w:t xml:space="preserve"> </w:t>
      </w:r>
      <w:r w:rsidRPr="79433F1A" w:rsidR="7857C155">
        <w:rPr>
          <w:rFonts w:ascii="Palatino Linotype" w:hAnsi="Palatino Linotype"/>
          <w:sz w:val="24"/>
          <w:szCs w:val="24"/>
        </w:rPr>
        <w:t xml:space="preserve">methodology where </w:t>
      </w:r>
      <w:r w:rsidRPr="79433F1A" w:rsidR="41C8F61E">
        <w:rPr>
          <w:rFonts w:ascii="Palatino Linotype" w:hAnsi="Palatino Linotype"/>
          <w:sz w:val="24"/>
          <w:szCs w:val="24"/>
        </w:rPr>
        <w:t>quantitative</w:t>
      </w:r>
      <w:r w:rsidRPr="79433F1A" w:rsidR="7857C155">
        <w:rPr>
          <w:rFonts w:ascii="Palatino Linotype" w:hAnsi="Palatino Linotype"/>
          <w:sz w:val="24"/>
          <w:szCs w:val="24"/>
        </w:rPr>
        <w:t xml:space="preserve"> and quali</w:t>
      </w:r>
      <w:r w:rsidRPr="79433F1A" w:rsidR="78F8A0C0">
        <w:rPr>
          <w:rFonts w:ascii="Palatino Linotype" w:hAnsi="Palatino Linotype"/>
          <w:sz w:val="24"/>
          <w:szCs w:val="24"/>
        </w:rPr>
        <w:t>tative</w:t>
      </w:r>
      <w:r w:rsidRPr="79433F1A" w:rsidR="7857C155">
        <w:rPr>
          <w:rFonts w:ascii="Palatino Linotype" w:hAnsi="Palatino Linotype"/>
          <w:sz w:val="24"/>
          <w:szCs w:val="24"/>
        </w:rPr>
        <w:t xml:space="preserve"> criteria </w:t>
      </w:r>
      <w:r w:rsidRPr="79433F1A" w:rsidR="74EBC998">
        <w:rPr>
          <w:rFonts w:ascii="Palatino Linotype" w:hAnsi="Palatino Linotype"/>
          <w:sz w:val="24"/>
          <w:szCs w:val="24"/>
        </w:rPr>
        <w:t xml:space="preserve">were </w:t>
      </w:r>
      <w:r w:rsidRPr="79433F1A" w:rsidR="15940057">
        <w:rPr>
          <w:rFonts w:ascii="Palatino Linotype" w:hAnsi="Palatino Linotype"/>
          <w:sz w:val="24"/>
          <w:szCs w:val="24"/>
        </w:rPr>
        <w:t xml:space="preserve">used </w:t>
      </w:r>
      <w:r w:rsidRPr="79433F1A" w:rsidR="74EBC998">
        <w:rPr>
          <w:rFonts w:ascii="Palatino Linotype" w:hAnsi="Palatino Linotype"/>
          <w:sz w:val="24"/>
          <w:szCs w:val="24"/>
        </w:rPr>
        <w:t xml:space="preserve">to </w:t>
      </w:r>
      <w:r w:rsidRPr="79433F1A" w:rsidR="35C24F75">
        <w:rPr>
          <w:rFonts w:ascii="Palatino Linotype" w:hAnsi="Palatino Linotype"/>
          <w:sz w:val="24"/>
          <w:szCs w:val="24"/>
        </w:rPr>
        <w:t>rank projects and create a shortlist</w:t>
      </w:r>
      <w:r w:rsidRPr="79433F1A" w:rsidR="0273BD8D">
        <w:rPr>
          <w:rFonts w:ascii="Palatino Linotype" w:hAnsi="Palatino Linotype"/>
          <w:sz w:val="24"/>
          <w:szCs w:val="24"/>
        </w:rPr>
        <w:t xml:space="preserve">. </w:t>
      </w:r>
      <w:r w:rsidR="00DA23C5">
        <w:rPr>
          <w:rFonts w:ascii="Palatino Linotype" w:hAnsi="Palatino Linotype"/>
          <w:sz w:val="24"/>
          <w:szCs w:val="24"/>
        </w:rPr>
        <w:t>In accordance with D</w:t>
      </w:r>
      <w:r w:rsidR="00C80E46">
        <w:rPr>
          <w:rFonts w:ascii="Palatino Linotype" w:hAnsi="Palatino Linotype"/>
          <w:sz w:val="24"/>
          <w:szCs w:val="24"/>
        </w:rPr>
        <w:t xml:space="preserve">.04-12-048 </w:t>
      </w:r>
      <w:r w:rsidR="00D5759F">
        <w:rPr>
          <w:rFonts w:ascii="Palatino Linotype" w:hAnsi="Palatino Linotype"/>
          <w:sz w:val="24"/>
          <w:szCs w:val="24"/>
        </w:rPr>
        <w:t xml:space="preserve">PG&amp;E’s Procurement Review Group </w:t>
      </w:r>
      <w:r w:rsidR="007045BA">
        <w:rPr>
          <w:rFonts w:ascii="Palatino Linotype" w:hAnsi="Palatino Linotype"/>
          <w:sz w:val="24"/>
          <w:szCs w:val="24"/>
        </w:rPr>
        <w:t>PRG</w:t>
      </w:r>
      <w:r w:rsidR="00D5759F">
        <w:rPr>
          <w:rFonts w:ascii="Palatino Linotype" w:hAnsi="Palatino Linotype"/>
          <w:sz w:val="24"/>
          <w:szCs w:val="24"/>
        </w:rPr>
        <w:t xml:space="preserve"> w</w:t>
      </w:r>
      <w:r w:rsidR="008A2B18">
        <w:rPr>
          <w:rFonts w:ascii="Palatino Linotype" w:hAnsi="Palatino Linotype"/>
          <w:sz w:val="24"/>
          <w:szCs w:val="24"/>
        </w:rPr>
        <w:t>as</w:t>
      </w:r>
      <w:r w:rsidR="00D5759F">
        <w:rPr>
          <w:rFonts w:ascii="Palatino Linotype" w:hAnsi="Palatino Linotype"/>
          <w:sz w:val="24"/>
          <w:szCs w:val="24"/>
        </w:rPr>
        <w:t xml:space="preserve"> consulted </w:t>
      </w:r>
      <w:r w:rsidR="00DD285E">
        <w:rPr>
          <w:rFonts w:ascii="Palatino Linotype" w:hAnsi="Palatino Linotype"/>
          <w:sz w:val="24"/>
          <w:szCs w:val="24"/>
        </w:rPr>
        <w:t>on the design, administration, and evaluation of the RFO.</w:t>
      </w:r>
    </w:p>
    <w:p w:rsidR="0008675F" w:rsidP="00F124EA" w:rsidRDefault="007E0F0E" w14:paraId="48A5A8EA" w14:textId="70112B8D">
      <w:pPr>
        <w:rPr>
          <w:rFonts w:ascii="Palatino Linotype" w:hAnsi="Palatino Linotype"/>
          <w:sz w:val="24"/>
          <w:szCs w:val="24"/>
        </w:rPr>
      </w:pPr>
      <w:r>
        <w:rPr>
          <w:rFonts w:ascii="Palatino Linotype" w:hAnsi="Palatino Linotype"/>
          <w:sz w:val="24"/>
          <w:szCs w:val="24"/>
        </w:rPr>
        <w:t xml:space="preserve">Additionally, </w:t>
      </w:r>
      <w:r w:rsidR="00AF74EE">
        <w:rPr>
          <w:rFonts w:ascii="Palatino Linotype" w:hAnsi="Palatino Linotype"/>
          <w:sz w:val="24"/>
          <w:szCs w:val="24"/>
        </w:rPr>
        <w:t xml:space="preserve">PG&amp;E retained Merrimack Energy as the </w:t>
      </w:r>
      <w:r w:rsidR="007045BA">
        <w:rPr>
          <w:rFonts w:ascii="Palatino Linotype" w:hAnsi="Palatino Linotype"/>
          <w:sz w:val="24"/>
          <w:szCs w:val="24"/>
        </w:rPr>
        <w:t>IE</w:t>
      </w:r>
      <w:r w:rsidR="00AF74EE">
        <w:rPr>
          <w:rFonts w:ascii="Palatino Linotype" w:hAnsi="Palatino Linotype"/>
          <w:sz w:val="24"/>
          <w:szCs w:val="24"/>
        </w:rPr>
        <w:t xml:space="preserve"> for its MTR solicitation efforts, which participated in and undertook a number of activities in connection with the solicitation process.</w:t>
      </w:r>
      <w:r w:rsidR="00AF74EE">
        <w:rPr>
          <w:rStyle w:val="FootnoteReference"/>
          <w:rFonts w:ascii="Palatino Linotype" w:hAnsi="Palatino Linotype"/>
          <w:sz w:val="24"/>
          <w:szCs w:val="24"/>
        </w:rPr>
        <w:footnoteReference w:id="19"/>
      </w:r>
      <w:r w:rsidR="00AF74EE">
        <w:rPr>
          <w:rFonts w:ascii="Palatino Linotype" w:hAnsi="Palatino Linotype"/>
          <w:sz w:val="24"/>
          <w:szCs w:val="24"/>
        </w:rPr>
        <w:t xml:space="preserve"> In the IE Report attached to AL </w:t>
      </w:r>
      <w:r w:rsidR="007D4DD9">
        <w:rPr>
          <w:rFonts w:ascii="Palatino Linotype" w:hAnsi="Palatino Linotype"/>
          <w:sz w:val="24"/>
          <w:szCs w:val="24"/>
        </w:rPr>
        <w:t>7602</w:t>
      </w:r>
      <w:r w:rsidR="00AF74EE">
        <w:rPr>
          <w:rFonts w:ascii="Palatino Linotype" w:hAnsi="Palatino Linotype"/>
          <w:sz w:val="24"/>
          <w:szCs w:val="24"/>
        </w:rPr>
        <w:t>-E, Merrimack Energy provides an evaluation of the MTR RFO – Phase 3’s outreach activities and solicitation robustness, PG&amp;E’s bid evaluation and selection methodology, administration of the solicitation</w:t>
      </w:r>
      <w:r w:rsidRPr="00F124EA" w:rsidR="00F124EA">
        <w:rPr>
          <w:rFonts w:ascii="Palatino Linotype" w:hAnsi="Palatino Linotype"/>
          <w:sz w:val="24"/>
          <w:szCs w:val="24"/>
        </w:rPr>
        <w:t xml:space="preserve"> </w:t>
      </w:r>
      <w:r w:rsidR="00F124EA">
        <w:rPr>
          <w:rFonts w:ascii="Palatino Linotype" w:hAnsi="Palatino Linotype"/>
          <w:sz w:val="24"/>
          <w:szCs w:val="24"/>
        </w:rPr>
        <w:t xml:space="preserve">process, and fairness of the solicitation administration. Overall, Merrimack Energy states that the </w:t>
      </w:r>
      <w:r w:rsidR="00D877BD">
        <w:rPr>
          <w:rFonts w:ascii="Palatino Linotype" w:hAnsi="Palatino Linotype"/>
          <w:sz w:val="24"/>
          <w:szCs w:val="24"/>
        </w:rPr>
        <w:t xml:space="preserve">solicitation </w:t>
      </w:r>
      <w:r w:rsidR="00F124EA">
        <w:rPr>
          <w:rFonts w:ascii="Palatino Linotype" w:hAnsi="Palatino Linotype"/>
          <w:sz w:val="24"/>
          <w:szCs w:val="24"/>
        </w:rPr>
        <w:t xml:space="preserve">process was undertaken in a “fair and equitable manner” and </w:t>
      </w:r>
      <w:r w:rsidR="00384EB2">
        <w:rPr>
          <w:rFonts w:ascii="Palatino Linotype" w:hAnsi="Palatino Linotype"/>
          <w:sz w:val="24"/>
          <w:szCs w:val="24"/>
        </w:rPr>
        <w:t>that the e</w:t>
      </w:r>
      <w:r w:rsidR="00CB060E">
        <w:rPr>
          <w:rFonts w:ascii="Palatino Linotype" w:hAnsi="Palatino Linotype"/>
          <w:sz w:val="24"/>
          <w:szCs w:val="24"/>
        </w:rPr>
        <w:t xml:space="preserve">valuation </w:t>
      </w:r>
      <w:r w:rsidRPr="00AA72D8" w:rsidR="00CB060E">
        <w:rPr>
          <w:rFonts w:ascii="Palatino Linotype" w:hAnsi="Palatino Linotype"/>
          <w:sz w:val="24"/>
          <w:szCs w:val="24"/>
        </w:rPr>
        <w:t xml:space="preserve">methodologies applied to the different types of products were fair, reasonable and consistent and did not unduly bias </w:t>
      </w:r>
      <w:r w:rsidRPr="00AA72D8" w:rsidR="0E067C76">
        <w:rPr>
          <w:rFonts w:ascii="Palatino Linotype" w:hAnsi="Palatino Linotype"/>
          <w:sz w:val="24"/>
          <w:szCs w:val="24"/>
        </w:rPr>
        <w:t xml:space="preserve">against </w:t>
      </w:r>
      <w:r w:rsidRPr="00AA72D8" w:rsidR="00CB060E">
        <w:rPr>
          <w:rFonts w:ascii="Palatino Linotype" w:hAnsi="Palatino Linotype"/>
          <w:sz w:val="24"/>
          <w:szCs w:val="24"/>
        </w:rPr>
        <w:t>any technologies or product types</w:t>
      </w:r>
      <w:r w:rsidR="00CB060E">
        <w:rPr>
          <w:rFonts w:ascii="Palatino Linotype" w:hAnsi="Palatino Linotype"/>
          <w:sz w:val="24"/>
          <w:szCs w:val="24"/>
        </w:rPr>
        <w:t xml:space="preserve">. </w:t>
      </w:r>
      <w:r w:rsidR="006D31F1">
        <w:rPr>
          <w:rFonts w:ascii="Palatino Linotype" w:hAnsi="Palatino Linotype"/>
          <w:sz w:val="24"/>
          <w:szCs w:val="24"/>
        </w:rPr>
        <w:t xml:space="preserve">The IE recommends approving </w:t>
      </w:r>
      <w:r w:rsidR="006660EA">
        <w:rPr>
          <w:rFonts w:ascii="Palatino Linotype" w:hAnsi="Palatino Linotype"/>
          <w:sz w:val="24"/>
          <w:szCs w:val="24"/>
        </w:rPr>
        <w:t xml:space="preserve">the </w:t>
      </w:r>
      <w:r w:rsidR="006D31F1">
        <w:rPr>
          <w:rFonts w:ascii="Palatino Linotype" w:hAnsi="Palatino Linotype"/>
          <w:sz w:val="24"/>
          <w:szCs w:val="24"/>
        </w:rPr>
        <w:t xml:space="preserve">MTR contract herein. </w:t>
      </w:r>
    </w:p>
    <w:p w:rsidR="00B8533D" w:rsidP="00B8533D" w:rsidRDefault="00F124EA" w14:paraId="256D65B9" w14:textId="77777777">
      <w:pPr>
        <w:rPr>
          <w:rFonts w:ascii="Palatino Linotype" w:hAnsi="Palatino Linotype"/>
          <w:sz w:val="24"/>
          <w:szCs w:val="24"/>
        </w:rPr>
      </w:pPr>
      <w:r>
        <w:rPr>
          <w:rFonts w:ascii="Palatino Linotype" w:hAnsi="Palatino Linotype"/>
          <w:sz w:val="24"/>
          <w:szCs w:val="24"/>
        </w:rPr>
        <w:t xml:space="preserve">We have reviewed PG&amp;E’s MTR RFO – Phase 3 evaluation methodology and the IE Report. We agree with Merrimack Energy’s general findings that the solicitation and </w:t>
      </w:r>
      <w:r>
        <w:rPr>
          <w:rFonts w:ascii="Palatino Linotype" w:hAnsi="Palatino Linotype"/>
          <w:sz w:val="24"/>
          <w:szCs w:val="24"/>
        </w:rPr>
        <w:lastRenderedPageBreak/>
        <w:t xml:space="preserve">resulting selection of the </w:t>
      </w:r>
      <w:r w:rsidR="00DF230A">
        <w:rPr>
          <w:rFonts w:ascii="Palatino Linotype" w:hAnsi="Palatino Linotype"/>
          <w:sz w:val="24"/>
          <w:szCs w:val="24"/>
        </w:rPr>
        <w:t xml:space="preserve">Pastoria </w:t>
      </w:r>
      <w:r>
        <w:rPr>
          <w:rFonts w:ascii="Palatino Linotype" w:hAnsi="Palatino Linotype"/>
          <w:sz w:val="24"/>
          <w:szCs w:val="24"/>
        </w:rPr>
        <w:t xml:space="preserve">Project </w:t>
      </w:r>
      <w:r w:rsidR="00DF230A">
        <w:rPr>
          <w:rFonts w:ascii="Palatino Linotype" w:hAnsi="Palatino Linotype"/>
          <w:sz w:val="24"/>
          <w:szCs w:val="24"/>
        </w:rPr>
        <w:t>was</w:t>
      </w:r>
      <w:r>
        <w:rPr>
          <w:rFonts w:ascii="Palatino Linotype" w:hAnsi="Palatino Linotype"/>
          <w:sz w:val="24"/>
          <w:szCs w:val="24"/>
        </w:rPr>
        <w:t xml:space="preserve"> conducted fairly</w:t>
      </w:r>
      <w:r w:rsidR="00B2248F">
        <w:rPr>
          <w:rFonts w:ascii="Palatino Linotype" w:hAnsi="Palatino Linotype"/>
          <w:sz w:val="24"/>
          <w:szCs w:val="24"/>
        </w:rPr>
        <w:t xml:space="preserve"> </w:t>
      </w:r>
      <w:r w:rsidR="00D2436E">
        <w:rPr>
          <w:rFonts w:ascii="Palatino Linotype" w:hAnsi="Palatino Linotype"/>
          <w:sz w:val="24"/>
          <w:szCs w:val="24"/>
        </w:rPr>
        <w:t xml:space="preserve">and </w:t>
      </w:r>
      <w:r w:rsidR="00126425">
        <w:rPr>
          <w:rFonts w:ascii="Palatino Linotype" w:hAnsi="Palatino Linotype"/>
          <w:sz w:val="24"/>
          <w:szCs w:val="24"/>
        </w:rPr>
        <w:t>should be approved</w:t>
      </w:r>
      <w:r>
        <w:rPr>
          <w:rFonts w:ascii="Palatino Linotype" w:hAnsi="Palatino Linotype"/>
          <w:sz w:val="24"/>
          <w:szCs w:val="24"/>
        </w:rPr>
        <w:t>.</w:t>
      </w:r>
      <w:r w:rsidR="002D6958">
        <w:rPr>
          <w:rFonts w:ascii="Palatino Linotype" w:hAnsi="Palatino Linotype"/>
          <w:sz w:val="24"/>
          <w:szCs w:val="24"/>
        </w:rPr>
        <w:t xml:space="preserve"> </w:t>
      </w:r>
      <w:r w:rsidRPr="03907D78" w:rsidR="003230D9">
        <w:rPr>
          <w:rFonts w:ascii="Palatino Linotype" w:hAnsi="Palatino Linotype"/>
          <w:sz w:val="24"/>
          <w:szCs w:val="24"/>
        </w:rPr>
        <w:t>Further, we</w:t>
      </w:r>
      <w:r w:rsidR="006B3D28">
        <w:rPr>
          <w:rFonts w:ascii="Palatino Linotype" w:hAnsi="Palatino Linotype"/>
          <w:sz w:val="24"/>
          <w:szCs w:val="24"/>
        </w:rPr>
        <w:t xml:space="preserve"> agree with Merrimack Energy</w:t>
      </w:r>
      <w:r w:rsidR="00411770">
        <w:rPr>
          <w:rFonts w:ascii="Palatino Linotype" w:hAnsi="Palatino Linotype"/>
          <w:sz w:val="24"/>
          <w:szCs w:val="24"/>
        </w:rPr>
        <w:t>’s</w:t>
      </w:r>
      <w:r w:rsidR="006B3D28">
        <w:rPr>
          <w:rFonts w:ascii="Palatino Linotype" w:hAnsi="Palatino Linotype"/>
          <w:sz w:val="24"/>
          <w:szCs w:val="24"/>
        </w:rPr>
        <w:t xml:space="preserve"> </w:t>
      </w:r>
      <w:r w:rsidR="00492A50">
        <w:rPr>
          <w:rFonts w:ascii="Palatino Linotype" w:hAnsi="Palatino Linotype"/>
          <w:sz w:val="24"/>
          <w:szCs w:val="24"/>
        </w:rPr>
        <w:t>specific finding that</w:t>
      </w:r>
      <w:r w:rsidRPr="03907D78" w:rsidR="003230D9">
        <w:rPr>
          <w:rFonts w:ascii="Palatino Linotype" w:hAnsi="Palatino Linotype"/>
          <w:sz w:val="24"/>
          <w:szCs w:val="24"/>
        </w:rPr>
        <w:t xml:space="preserve"> the contract cost </w:t>
      </w:r>
      <w:r w:rsidR="00492A50">
        <w:rPr>
          <w:rFonts w:ascii="Palatino Linotype" w:hAnsi="Palatino Linotype"/>
          <w:sz w:val="24"/>
          <w:szCs w:val="24"/>
        </w:rPr>
        <w:t>is</w:t>
      </w:r>
      <w:r w:rsidRPr="03907D78" w:rsidR="003230D9">
        <w:rPr>
          <w:rFonts w:ascii="Palatino Linotype" w:hAnsi="Palatino Linotype"/>
          <w:sz w:val="24"/>
          <w:szCs w:val="24"/>
        </w:rPr>
        <w:t xml:space="preserve"> competitive when considering the project’s delivery date, PG&amp;E’s 2026 requirement, and the avoided costs for MTR bridge capacity.</w:t>
      </w:r>
    </w:p>
    <w:p w:rsidR="00B8533D" w:rsidP="00B8533D" w:rsidRDefault="00A579A3" w14:paraId="5A3FEE54" w14:textId="77777777">
      <w:pPr>
        <w:spacing w:before="120" w:after="120" w:line="240" w:lineRule="auto"/>
        <w:rPr>
          <w:rFonts w:ascii="Palatino Linotype" w:hAnsi="Palatino Linotype"/>
          <w:sz w:val="24"/>
          <w:szCs w:val="24"/>
        </w:rPr>
      </w:pPr>
      <w:r>
        <w:rPr>
          <w:rFonts w:ascii="Palatino Linotype" w:hAnsi="Palatino Linotype"/>
          <w:b/>
          <w:sz w:val="24"/>
          <w:szCs w:val="24"/>
        </w:rPr>
        <w:t>Sunsetting of the Investment Tax Credits and Contract Cost</w:t>
      </w:r>
    </w:p>
    <w:p w:rsidRPr="00B8533D" w:rsidR="00A579A3" w:rsidP="00B8533D" w:rsidRDefault="00126425" w14:paraId="30C493CB" w14:textId="5F9A2C48">
      <w:pPr>
        <w:spacing w:before="120" w:after="120" w:line="240" w:lineRule="auto"/>
        <w:rPr>
          <w:rFonts w:ascii="Palatino Linotype" w:hAnsi="Palatino Linotype"/>
          <w:sz w:val="24"/>
          <w:szCs w:val="24"/>
        </w:rPr>
      </w:pPr>
      <w:r w:rsidRPr="00ED674A">
        <w:rPr>
          <w:rFonts w:ascii="Palatino Linotype" w:hAnsi="Palatino Linotype"/>
          <w:kern w:val="0"/>
          <w:sz w:val="24"/>
          <w:szCs w:val="24"/>
        </w:rPr>
        <w:t>In comments filed in support of AL</w:t>
      </w:r>
      <w:r w:rsidRPr="00ED674A" w:rsidR="00205BFA">
        <w:rPr>
          <w:rFonts w:ascii="Palatino Linotype" w:hAnsi="Palatino Linotype"/>
          <w:kern w:val="0"/>
          <w:sz w:val="24"/>
          <w:szCs w:val="24"/>
        </w:rPr>
        <w:t xml:space="preserve"> 7602-E Cal Advocates </w:t>
      </w:r>
      <w:r w:rsidRPr="00ED674A" w:rsidR="00580C3C">
        <w:rPr>
          <w:rFonts w:ascii="Palatino Linotype" w:hAnsi="Palatino Linotype"/>
          <w:kern w:val="0"/>
          <w:sz w:val="24"/>
          <w:szCs w:val="24"/>
        </w:rPr>
        <w:t>notes</w:t>
      </w:r>
      <w:r w:rsidRPr="00ED674A" w:rsidR="000F4EF3">
        <w:rPr>
          <w:rFonts w:ascii="Palatino Linotype" w:hAnsi="Palatino Linotype"/>
          <w:kern w:val="0"/>
          <w:sz w:val="24"/>
          <w:szCs w:val="24"/>
        </w:rPr>
        <w:t xml:space="preserve"> the uncertainty </w:t>
      </w:r>
      <w:r w:rsidRPr="00ED674A" w:rsidR="005C4F4E">
        <w:rPr>
          <w:rFonts w:ascii="Palatino Linotype" w:hAnsi="Palatino Linotype"/>
          <w:kern w:val="0"/>
          <w:sz w:val="24"/>
          <w:szCs w:val="24"/>
        </w:rPr>
        <w:t xml:space="preserve">around </w:t>
      </w:r>
      <w:r w:rsidRPr="00ED674A" w:rsidR="000F4EF3">
        <w:rPr>
          <w:rFonts w:ascii="Palatino Linotype" w:hAnsi="Palatino Linotype"/>
          <w:bCs/>
          <w:kern w:val="0"/>
          <w:sz w:val="24"/>
          <w:szCs w:val="24"/>
        </w:rPr>
        <w:t xml:space="preserve">the ITC benefits </w:t>
      </w:r>
      <w:r w:rsidRPr="00ED674A" w:rsidR="00580C3C">
        <w:rPr>
          <w:rFonts w:ascii="Palatino Linotype" w:hAnsi="Palatino Linotype"/>
          <w:bCs/>
          <w:kern w:val="0"/>
          <w:sz w:val="24"/>
          <w:szCs w:val="24"/>
        </w:rPr>
        <w:t xml:space="preserve">and how prompt </w:t>
      </w:r>
      <w:r w:rsidRPr="00ED674A" w:rsidR="000F4EF3">
        <w:rPr>
          <w:rFonts w:ascii="Palatino Linotype" w:hAnsi="Palatino Linotype"/>
          <w:bCs/>
          <w:kern w:val="0"/>
          <w:sz w:val="24"/>
          <w:szCs w:val="24"/>
        </w:rPr>
        <w:t xml:space="preserve">Commission approval of the Pastoria agreement will help to ensure that the resource captures full tax credit benefits. </w:t>
      </w:r>
      <w:r w:rsidRPr="00ED674A" w:rsidR="00A579A3">
        <w:rPr>
          <w:rFonts w:ascii="Palatino Linotype" w:hAnsi="Palatino Linotype"/>
          <w:kern w:val="0"/>
          <w:sz w:val="24"/>
          <w:szCs w:val="24"/>
        </w:rPr>
        <w:t>We agree with Cal</w:t>
      </w:r>
      <w:r w:rsidRPr="00ED674A" w:rsidR="00B85A5D">
        <w:rPr>
          <w:rFonts w:ascii="Palatino Linotype" w:hAnsi="Palatino Linotype"/>
          <w:kern w:val="0"/>
          <w:sz w:val="24"/>
          <w:szCs w:val="24"/>
        </w:rPr>
        <w:t xml:space="preserve"> </w:t>
      </w:r>
      <w:r w:rsidRPr="00ED674A" w:rsidR="00A579A3">
        <w:rPr>
          <w:rFonts w:ascii="Palatino Linotype" w:hAnsi="Palatino Linotype"/>
          <w:kern w:val="0"/>
          <w:sz w:val="24"/>
          <w:szCs w:val="24"/>
        </w:rPr>
        <w:t xml:space="preserve">Advocates’ analysis and support of PG&amp;E’s request for approval of its MTR contract. The potential expiry of the ITC could burden ratepayers with additional costs to recover the lost ITC benefits. </w:t>
      </w:r>
    </w:p>
    <w:p w:rsidRPr="00ED674A" w:rsidR="00F124EA" w:rsidP="00B8533D" w:rsidRDefault="00F53F7E" w14:paraId="2142A3DE" w14:textId="196B50E5">
      <w:pPr>
        <w:spacing w:before="120" w:after="120" w:line="240" w:lineRule="auto"/>
        <w:rPr>
          <w:rFonts w:ascii="Palatino Linotype" w:hAnsi="Palatino Linotype"/>
          <w:kern w:val="0"/>
          <w:sz w:val="24"/>
          <w:szCs w:val="24"/>
        </w:rPr>
      </w:pPr>
      <w:r w:rsidRPr="00ED674A">
        <w:rPr>
          <w:rFonts w:ascii="Palatino Linotype" w:hAnsi="Palatino Linotype"/>
          <w:b/>
          <w:bCs/>
          <w:kern w:val="0"/>
          <w:sz w:val="24"/>
          <w:szCs w:val="24"/>
        </w:rPr>
        <w:t>Safety</w:t>
      </w:r>
    </w:p>
    <w:p w:rsidR="00F70035" w:rsidP="00F53F7E" w:rsidRDefault="00F70035" w14:paraId="100840F0" w14:textId="5FFB1B20">
      <w:pPr>
        <w:autoSpaceDE w:val="0"/>
        <w:autoSpaceDN w:val="0"/>
        <w:adjustRightInd w:val="0"/>
        <w:spacing w:after="0" w:line="240" w:lineRule="auto"/>
        <w:rPr>
          <w:rFonts w:ascii="Palatino Linotype" w:hAnsi="Palatino Linotype"/>
          <w:kern w:val="0"/>
          <w:sz w:val="24"/>
          <w:szCs w:val="24"/>
        </w:rPr>
      </w:pPr>
      <w:r>
        <w:rPr>
          <w:rFonts w:ascii="Palatino Linotype" w:hAnsi="Palatino Linotype"/>
          <w:kern w:val="0"/>
          <w:sz w:val="24"/>
          <w:szCs w:val="24"/>
        </w:rPr>
        <w:t>PG&amp;E states that under its RFO Protocol, it may consider qualitative factors that could impact the value of an offer</w:t>
      </w:r>
      <w:r w:rsidR="00BB18C8">
        <w:rPr>
          <w:rFonts w:ascii="Palatino Linotype" w:hAnsi="Palatino Linotype"/>
          <w:kern w:val="0"/>
          <w:sz w:val="24"/>
          <w:szCs w:val="24"/>
        </w:rPr>
        <w:t xml:space="preserve"> -- </w:t>
      </w:r>
      <w:r>
        <w:rPr>
          <w:rFonts w:ascii="Palatino Linotype" w:hAnsi="Palatino Linotype"/>
          <w:kern w:val="0"/>
          <w:sz w:val="24"/>
          <w:szCs w:val="24"/>
        </w:rPr>
        <w:t>including safety</w:t>
      </w:r>
      <w:r w:rsidR="00812100">
        <w:rPr>
          <w:rFonts w:ascii="Palatino Linotype" w:hAnsi="Palatino Linotype"/>
          <w:kern w:val="0"/>
          <w:sz w:val="24"/>
          <w:szCs w:val="24"/>
        </w:rPr>
        <w:t xml:space="preserve"> risks</w:t>
      </w:r>
      <w:r w:rsidR="00BB18C8">
        <w:rPr>
          <w:rFonts w:ascii="Palatino Linotype" w:hAnsi="Palatino Linotype"/>
          <w:kern w:val="0"/>
          <w:sz w:val="24"/>
          <w:szCs w:val="24"/>
        </w:rPr>
        <w:t xml:space="preserve"> -- </w:t>
      </w:r>
      <w:r w:rsidR="00C563DA">
        <w:rPr>
          <w:rFonts w:ascii="Palatino Linotype" w:hAnsi="Palatino Linotype"/>
          <w:kern w:val="0"/>
          <w:sz w:val="24"/>
          <w:szCs w:val="24"/>
        </w:rPr>
        <w:t>by conducting</w:t>
      </w:r>
      <w:r w:rsidR="00FC70DD">
        <w:rPr>
          <w:rFonts w:ascii="Palatino Linotype" w:hAnsi="Palatino Linotype"/>
          <w:kern w:val="0"/>
          <w:sz w:val="24"/>
          <w:szCs w:val="24"/>
        </w:rPr>
        <w:t xml:space="preserve"> a safety review of the technology</w:t>
      </w:r>
      <w:r w:rsidR="00C563DA">
        <w:rPr>
          <w:rFonts w:ascii="Palatino Linotype" w:hAnsi="Palatino Linotype"/>
          <w:kern w:val="0"/>
          <w:sz w:val="24"/>
          <w:szCs w:val="24"/>
        </w:rPr>
        <w:t xml:space="preserve"> and contractor/developer records</w:t>
      </w:r>
      <w:r>
        <w:rPr>
          <w:rFonts w:ascii="Palatino Linotype" w:hAnsi="Palatino Linotype"/>
          <w:kern w:val="0"/>
          <w:sz w:val="24"/>
          <w:szCs w:val="24"/>
        </w:rPr>
        <w:t>.</w:t>
      </w:r>
      <w:r w:rsidR="00E86BBF">
        <w:rPr>
          <w:rStyle w:val="FootnoteReference"/>
          <w:rFonts w:ascii="Palatino Linotype" w:hAnsi="Palatino Linotype"/>
          <w:kern w:val="0"/>
          <w:sz w:val="24"/>
          <w:szCs w:val="24"/>
        </w:rPr>
        <w:footnoteReference w:id="20"/>
      </w:r>
      <w:r>
        <w:rPr>
          <w:rFonts w:ascii="Palatino Linotype" w:hAnsi="Palatino Linotype"/>
          <w:kern w:val="0"/>
          <w:sz w:val="24"/>
          <w:szCs w:val="24"/>
        </w:rPr>
        <w:t xml:space="preserve"> </w:t>
      </w:r>
      <w:r w:rsidRPr="00ED674A" w:rsidR="00F53F7E">
        <w:rPr>
          <w:rFonts w:ascii="Palatino Linotype" w:hAnsi="Palatino Linotype"/>
          <w:kern w:val="0"/>
          <w:sz w:val="24"/>
          <w:szCs w:val="24"/>
        </w:rPr>
        <w:t xml:space="preserve">PG&amp;E states that as a condition of remaining on its shortlist for negotiations, </w:t>
      </w:r>
      <w:r>
        <w:rPr>
          <w:rFonts w:ascii="Palatino Linotype" w:hAnsi="Palatino Linotype"/>
          <w:kern w:val="0"/>
          <w:sz w:val="24"/>
          <w:szCs w:val="24"/>
        </w:rPr>
        <w:t>it</w:t>
      </w:r>
      <w:r w:rsidRPr="00ED674A" w:rsidR="00F53F7E">
        <w:rPr>
          <w:rFonts w:ascii="Palatino Linotype" w:hAnsi="Palatino Linotype"/>
          <w:kern w:val="0"/>
          <w:sz w:val="24"/>
          <w:szCs w:val="24"/>
        </w:rPr>
        <w:t xml:space="preserve"> require</w:t>
      </w:r>
      <w:r w:rsidR="000A3DAA">
        <w:rPr>
          <w:rFonts w:ascii="Palatino Linotype" w:hAnsi="Palatino Linotype"/>
          <w:kern w:val="0"/>
          <w:sz w:val="24"/>
          <w:szCs w:val="24"/>
        </w:rPr>
        <w:t>s</w:t>
      </w:r>
      <w:r w:rsidRPr="00ED674A" w:rsidR="00F53F7E">
        <w:rPr>
          <w:rFonts w:ascii="Palatino Linotype" w:hAnsi="Palatino Linotype"/>
          <w:kern w:val="0"/>
          <w:sz w:val="24"/>
          <w:szCs w:val="24"/>
        </w:rPr>
        <w:t xml:space="preserve"> all shortlisted participants to </w:t>
      </w:r>
      <w:r w:rsidR="00D44452">
        <w:rPr>
          <w:rFonts w:ascii="Palatino Linotype" w:hAnsi="Palatino Linotype"/>
          <w:kern w:val="0"/>
          <w:sz w:val="24"/>
          <w:szCs w:val="24"/>
        </w:rPr>
        <w:t>identify known safety-related hazards and risks</w:t>
      </w:r>
      <w:r w:rsidR="00E61226">
        <w:rPr>
          <w:rFonts w:ascii="Palatino Linotype" w:hAnsi="Palatino Linotype"/>
          <w:kern w:val="0"/>
          <w:sz w:val="24"/>
          <w:szCs w:val="24"/>
        </w:rPr>
        <w:t>,</w:t>
      </w:r>
      <w:r w:rsidRPr="00ED674A" w:rsidR="00F53F7E">
        <w:rPr>
          <w:rFonts w:ascii="Palatino Linotype" w:hAnsi="Palatino Linotype"/>
          <w:kern w:val="0"/>
          <w:sz w:val="24"/>
          <w:szCs w:val="24"/>
        </w:rPr>
        <w:t xml:space="preserve"> as well as the safety history of the participant and/or contractors. </w:t>
      </w:r>
      <w:r w:rsidR="000C5AB9">
        <w:rPr>
          <w:rFonts w:ascii="Palatino Linotype" w:hAnsi="Palatino Linotype"/>
          <w:kern w:val="0"/>
          <w:sz w:val="24"/>
          <w:szCs w:val="24"/>
        </w:rPr>
        <w:t xml:space="preserve">Participants are </w:t>
      </w:r>
      <w:r w:rsidR="00693842">
        <w:rPr>
          <w:rFonts w:ascii="Palatino Linotype" w:hAnsi="Palatino Linotype"/>
          <w:kern w:val="0"/>
          <w:sz w:val="24"/>
          <w:szCs w:val="24"/>
        </w:rPr>
        <w:t xml:space="preserve">also </w:t>
      </w:r>
      <w:r w:rsidR="000C5AB9">
        <w:rPr>
          <w:rFonts w:ascii="Palatino Linotype" w:hAnsi="Palatino Linotype"/>
          <w:kern w:val="0"/>
          <w:sz w:val="24"/>
          <w:szCs w:val="24"/>
        </w:rPr>
        <w:t xml:space="preserve">required to identify their ability to mitigate safety risks and </w:t>
      </w:r>
      <w:r w:rsidR="00693842">
        <w:rPr>
          <w:rFonts w:ascii="Palatino Linotype" w:hAnsi="Palatino Linotype"/>
          <w:kern w:val="0"/>
          <w:sz w:val="24"/>
          <w:szCs w:val="24"/>
        </w:rPr>
        <w:t xml:space="preserve">to </w:t>
      </w:r>
      <w:r w:rsidR="000C5AB9">
        <w:rPr>
          <w:rFonts w:ascii="Palatino Linotype" w:hAnsi="Palatino Linotype"/>
          <w:kern w:val="0"/>
          <w:sz w:val="24"/>
          <w:szCs w:val="24"/>
        </w:rPr>
        <w:t>comply with safety-related codes and standards.</w:t>
      </w:r>
    </w:p>
    <w:p w:rsidRPr="00B8533D" w:rsidR="00F70035" w:rsidP="00F53F7E" w:rsidRDefault="00F70035" w14:paraId="23AD6337" w14:textId="77777777">
      <w:pPr>
        <w:autoSpaceDE w:val="0"/>
        <w:autoSpaceDN w:val="0"/>
        <w:adjustRightInd w:val="0"/>
        <w:spacing w:after="0" w:line="240" w:lineRule="auto"/>
        <w:rPr>
          <w:rFonts w:ascii="Palatino Linotype" w:hAnsi="Palatino Linotype"/>
          <w:kern w:val="0"/>
          <w:sz w:val="16"/>
          <w:szCs w:val="16"/>
        </w:rPr>
      </w:pPr>
    </w:p>
    <w:p w:rsidRPr="00ED674A" w:rsidR="00F53F7E" w:rsidP="00F53F7E" w:rsidRDefault="00A9396C" w14:paraId="14954A8D" w14:textId="408879C1">
      <w:pPr>
        <w:autoSpaceDE w:val="0"/>
        <w:autoSpaceDN w:val="0"/>
        <w:adjustRightInd w:val="0"/>
        <w:spacing w:after="0" w:line="240" w:lineRule="auto"/>
        <w:rPr>
          <w:rFonts w:ascii="Palatino Linotype" w:hAnsi="Palatino Linotype"/>
          <w:kern w:val="0"/>
          <w:sz w:val="24"/>
          <w:szCs w:val="24"/>
          <w:highlight w:val="yellow"/>
        </w:rPr>
      </w:pPr>
      <w:r>
        <w:rPr>
          <w:rFonts w:ascii="Palatino Linotype" w:hAnsi="Palatino Linotype"/>
          <w:kern w:val="0"/>
          <w:sz w:val="24"/>
          <w:szCs w:val="24"/>
        </w:rPr>
        <w:t xml:space="preserve">Additionally, </w:t>
      </w:r>
      <w:r w:rsidRPr="009A7C80" w:rsidR="00F53F7E">
        <w:rPr>
          <w:rFonts w:ascii="Palatino Linotype" w:hAnsi="Palatino Linotype"/>
          <w:kern w:val="0"/>
          <w:sz w:val="24"/>
          <w:szCs w:val="24"/>
        </w:rPr>
        <w:t>PG&amp;E used</w:t>
      </w:r>
      <w:r w:rsidRPr="009A7C80" w:rsidR="00A16646">
        <w:rPr>
          <w:rFonts w:ascii="Palatino Linotype" w:hAnsi="Palatino Linotype"/>
          <w:kern w:val="0"/>
          <w:sz w:val="24"/>
          <w:szCs w:val="24"/>
        </w:rPr>
        <w:t xml:space="preserve"> </w:t>
      </w:r>
      <w:r w:rsidRPr="009A7C80" w:rsidR="00F53F7E">
        <w:rPr>
          <w:rFonts w:ascii="Palatino Linotype" w:hAnsi="Palatino Linotype"/>
          <w:kern w:val="0"/>
          <w:sz w:val="24"/>
          <w:szCs w:val="24"/>
        </w:rPr>
        <w:t xml:space="preserve">enhanced safety provisions within the proposed agreements </w:t>
      </w:r>
      <w:r w:rsidRPr="009A7C80" w:rsidR="0030109B">
        <w:rPr>
          <w:rFonts w:ascii="Palatino Linotype" w:hAnsi="Palatino Linotype"/>
          <w:kern w:val="0"/>
          <w:sz w:val="24"/>
          <w:szCs w:val="24"/>
        </w:rPr>
        <w:t>like</w:t>
      </w:r>
      <w:r w:rsidRPr="009A7C80" w:rsidR="00F53F7E">
        <w:rPr>
          <w:rFonts w:ascii="Palatino Linotype" w:hAnsi="Palatino Linotype"/>
          <w:kern w:val="0"/>
          <w:sz w:val="24"/>
          <w:szCs w:val="24"/>
        </w:rPr>
        <w:t xml:space="preserve"> those previously included in PG&amp;E’s RFOs with storage contracts, requiring sellers to practice</w:t>
      </w:r>
      <w:r w:rsidRPr="009A7C80" w:rsidR="00A16646">
        <w:rPr>
          <w:rFonts w:ascii="Palatino Linotype" w:hAnsi="Palatino Linotype"/>
          <w:kern w:val="0"/>
          <w:sz w:val="24"/>
          <w:szCs w:val="24"/>
        </w:rPr>
        <w:t xml:space="preserve"> </w:t>
      </w:r>
      <w:r w:rsidRPr="009A7C80" w:rsidR="00F53F7E">
        <w:rPr>
          <w:rFonts w:ascii="Palatino Linotype" w:hAnsi="Palatino Linotype"/>
          <w:kern w:val="0"/>
          <w:sz w:val="24"/>
          <w:szCs w:val="24"/>
        </w:rPr>
        <w:t>“responsible safety management enforced by contractual terms and conditions” based on standards for Prudent Electrical Practices and all applicable laws and regulations. Under these provisions, the seller is required to have a project safety plan that demonstrates responsible safety management during all phases of the project lifecycle</w:t>
      </w:r>
      <w:r w:rsidRPr="009A7C80" w:rsidR="25C7BBDA">
        <w:rPr>
          <w:rFonts w:ascii="Palatino Linotype" w:hAnsi="Palatino Linotype"/>
          <w:kern w:val="0"/>
          <w:sz w:val="24"/>
          <w:szCs w:val="24"/>
        </w:rPr>
        <w:t xml:space="preserve">, </w:t>
      </w:r>
      <w:r w:rsidRPr="009A7C80" w:rsidR="00F53F7E">
        <w:rPr>
          <w:rFonts w:ascii="Palatino Linotype" w:hAnsi="Palatino Linotype"/>
          <w:kern w:val="0"/>
          <w:sz w:val="24"/>
          <w:szCs w:val="24"/>
        </w:rPr>
        <w:t>including project design, construction, operation, and maintenance.</w:t>
      </w:r>
      <w:r w:rsidRPr="00ED674A" w:rsidR="00F53F7E">
        <w:rPr>
          <w:rFonts w:ascii="Palatino Linotype" w:hAnsi="Palatino Linotype"/>
          <w:kern w:val="0"/>
          <w:sz w:val="24"/>
          <w:szCs w:val="24"/>
        </w:rPr>
        <w:t xml:space="preserve"> </w:t>
      </w:r>
      <w:r w:rsidR="00416DCD">
        <w:rPr>
          <w:rFonts w:ascii="Palatino Linotype" w:hAnsi="Palatino Linotype"/>
          <w:kern w:val="0"/>
          <w:sz w:val="24"/>
          <w:szCs w:val="24"/>
        </w:rPr>
        <w:t xml:space="preserve">PG&amp;E states that </w:t>
      </w:r>
      <w:r w:rsidR="006555CE">
        <w:rPr>
          <w:rFonts w:ascii="Palatino Linotype" w:hAnsi="Palatino Linotype"/>
          <w:kern w:val="0"/>
          <w:sz w:val="24"/>
          <w:szCs w:val="24"/>
        </w:rPr>
        <w:t>“</w:t>
      </w:r>
      <w:r w:rsidR="00416DCD">
        <w:rPr>
          <w:rFonts w:ascii="Palatino Linotype" w:hAnsi="Palatino Linotype"/>
          <w:kern w:val="0"/>
          <w:sz w:val="24"/>
          <w:szCs w:val="24"/>
        </w:rPr>
        <w:t>the project safety plan references the applicable safety-related codes and standards and the seller’s current safety programs and policies</w:t>
      </w:r>
      <w:r w:rsidR="006555CE">
        <w:rPr>
          <w:rFonts w:ascii="Palatino Linotype" w:hAnsi="Palatino Linotype"/>
          <w:kern w:val="0"/>
          <w:sz w:val="24"/>
          <w:szCs w:val="24"/>
        </w:rPr>
        <w:t xml:space="preserve">,” including a summary of the project design and description of </w:t>
      </w:r>
      <w:r w:rsidR="005257F8">
        <w:rPr>
          <w:rFonts w:ascii="Palatino Linotype" w:hAnsi="Palatino Linotype"/>
          <w:kern w:val="0"/>
          <w:sz w:val="24"/>
          <w:szCs w:val="24"/>
        </w:rPr>
        <w:t>key safety-related systems.</w:t>
      </w:r>
      <w:r w:rsidR="005257F8">
        <w:rPr>
          <w:rStyle w:val="FootnoteReference"/>
          <w:rFonts w:ascii="Palatino Linotype" w:hAnsi="Palatino Linotype"/>
          <w:kern w:val="0"/>
          <w:sz w:val="24"/>
          <w:szCs w:val="24"/>
        </w:rPr>
        <w:footnoteReference w:id="21"/>
      </w:r>
      <w:r w:rsidR="005257F8">
        <w:rPr>
          <w:rFonts w:ascii="Palatino Linotype" w:hAnsi="Palatino Linotype"/>
          <w:kern w:val="0"/>
          <w:sz w:val="24"/>
          <w:szCs w:val="24"/>
        </w:rPr>
        <w:t xml:space="preserve"> </w:t>
      </w:r>
    </w:p>
    <w:p w:rsidRPr="002F48AB" w:rsidR="00F53F7E" w:rsidP="00F53F7E" w:rsidRDefault="00F53F7E" w14:paraId="3E59C0F7" w14:textId="77777777">
      <w:pPr>
        <w:autoSpaceDE w:val="0"/>
        <w:autoSpaceDN w:val="0"/>
        <w:adjustRightInd w:val="0"/>
        <w:spacing w:after="0" w:line="240" w:lineRule="auto"/>
        <w:rPr>
          <w:rFonts w:ascii="Palatino Linotype" w:hAnsi="Palatino Linotype"/>
          <w:kern w:val="0"/>
          <w:sz w:val="16"/>
          <w:szCs w:val="16"/>
          <w:highlight w:val="yellow"/>
        </w:rPr>
      </w:pPr>
    </w:p>
    <w:p w:rsidR="002F48AB" w:rsidP="002F48AB" w:rsidRDefault="00D859A9" w14:paraId="3E167518" w14:textId="77777777">
      <w:pPr>
        <w:autoSpaceDE w:val="0"/>
        <w:autoSpaceDN w:val="0"/>
        <w:adjustRightInd w:val="0"/>
        <w:spacing w:after="0" w:line="264" w:lineRule="auto"/>
        <w:rPr>
          <w:rFonts w:ascii="Palatino Linotype" w:hAnsi="Palatino Linotype"/>
          <w:kern w:val="0"/>
          <w:sz w:val="24"/>
          <w:szCs w:val="24"/>
        </w:rPr>
      </w:pPr>
      <w:r>
        <w:rPr>
          <w:rFonts w:ascii="Palatino Linotype" w:hAnsi="Palatino Linotype"/>
          <w:kern w:val="0"/>
          <w:sz w:val="24"/>
          <w:szCs w:val="24"/>
        </w:rPr>
        <w:t>The seller must also</w:t>
      </w:r>
      <w:r w:rsidRPr="009A7C80" w:rsidR="00F53F7E">
        <w:rPr>
          <w:rFonts w:ascii="Palatino Linotype" w:hAnsi="Palatino Linotype"/>
          <w:kern w:val="0"/>
          <w:sz w:val="24"/>
          <w:szCs w:val="24"/>
        </w:rPr>
        <w:t xml:space="preserve"> describe potential hazards and include risk mitigations and safeguards, such as operating procedures, incident response, and recovery plans. </w:t>
      </w:r>
      <w:r w:rsidR="00100E59">
        <w:rPr>
          <w:rFonts w:ascii="Palatino Linotype" w:hAnsi="Palatino Linotype"/>
          <w:kern w:val="0"/>
          <w:sz w:val="24"/>
          <w:szCs w:val="24"/>
        </w:rPr>
        <w:t xml:space="preserve">The seller may deviate from any specific procedures if the deviation is necessary to maintain safety requirements. PG&amp;E states that the seller is also required to monitor and comply </w:t>
      </w:r>
      <w:r w:rsidR="00100E59">
        <w:rPr>
          <w:rFonts w:ascii="Palatino Linotype" w:hAnsi="Palatino Linotype"/>
          <w:kern w:val="0"/>
          <w:sz w:val="24"/>
          <w:szCs w:val="24"/>
        </w:rPr>
        <w:lastRenderedPageBreak/>
        <w:t>with changes to the safety requirements, even if such compliance requires modification to the project.</w:t>
      </w:r>
      <w:r w:rsidR="003B248B">
        <w:rPr>
          <w:rStyle w:val="FootnoteReference"/>
          <w:rFonts w:ascii="Palatino Linotype" w:hAnsi="Palatino Linotype"/>
          <w:kern w:val="0"/>
          <w:sz w:val="24"/>
          <w:szCs w:val="24"/>
        </w:rPr>
        <w:footnoteReference w:id="22"/>
      </w:r>
      <w:r w:rsidR="00283B6D">
        <w:rPr>
          <w:rFonts w:ascii="Palatino Linotype" w:hAnsi="Palatino Linotype"/>
          <w:kern w:val="0"/>
          <w:sz w:val="24"/>
          <w:szCs w:val="24"/>
        </w:rPr>
        <w:t xml:space="preserve"> A</w:t>
      </w:r>
      <w:r w:rsidRPr="009A7C80" w:rsidR="00F53F7E">
        <w:rPr>
          <w:rFonts w:ascii="Palatino Linotype" w:hAnsi="Palatino Linotype"/>
          <w:kern w:val="0"/>
          <w:sz w:val="24"/>
          <w:szCs w:val="24"/>
        </w:rPr>
        <w:t>s additional project details become available during project development,</w:t>
      </w:r>
      <w:r w:rsidR="00283B6D">
        <w:rPr>
          <w:rFonts w:ascii="Palatino Linotype" w:hAnsi="Palatino Linotype"/>
          <w:kern w:val="0"/>
          <w:sz w:val="24"/>
          <w:szCs w:val="24"/>
        </w:rPr>
        <w:t xml:space="preserve"> PG&amp;E states that</w:t>
      </w:r>
      <w:r w:rsidRPr="009A7C80" w:rsidR="00F53F7E">
        <w:rPr>
          <w:rFonts w:ascii="Palatino Linotype" w:hAnsi="Palatino Linotype"/>
          <w:kern w:val="0"/>
          <w:sz w:val="24"/>
          <w:szCs w:val="24"/>
        </w:rPr>
        <w:t xml:space="preserve"> it will continue to monitor and perform additional safety checks of the </w:t>
      </w:r>
      <w:r w:rsidRPr="00202DBB" w:rsidR="00F53F7E">
        <w:rPr>
          <w:rFonts w:ascii="Palatino Linotype" w:hAnsi="Palatino Linotype"/>
          <w:kern w:val="0"/>
          <w:sz w:val="24"/>
          <w:szCs w:val="24"/>
        </w:rPr>
        <w:t>seller’s project safety plans for consistency with the safety requirements of the agreement. The</w:t>
      </w:r>
      <w:r w:rsidRPr="00202DBB" w:rsidR="00F53F7E">
        <w:rPr>
          <w:rFonts w:ascii="Palatino Linotype" w:hAnsi="Palatino Linotype"/>
          <w:sz w:val="24"/>
          <w:szCs w:val="24"/>
        </w:rPr>
        <w:t xml:space="preserve"> </w:t>
      </w:r>
      <w:r w:rsidRPr="00202DBB" w:rsidR="003169C9">
        <w:rPr>
          <w:rFonts w:ascii="Palatino Linotype" w:hAnsi="Palatino Linotype"/>
          <w:sz w:val="24"/>
          <w:szCs w:val="24"/>
        </w:rPr>
        <w:t>a</w:t>
      </w:r>
      <w:r w:rsidRPr="00202DBB" w:rsidR="00F53F7E">
        <w:rPr>
          <w:rFonts w:ascii="Palatino Linotype" w:hAnsi="Palatino Linotype"/>
          <w:sz w:val="24"/>
          <w:szCs w:val="24"/>
        </w:rPr>
        <w:t>greement terms provide PG&amp;</w:t>
      </w:r>
      <w:r w:rsidRPr="00202DBB" w:rsidR="00ED3909">
        <w:rPr>
          <w:rFonts w:ascii="Palatino Linotype" w:hAnsi="Palatino Linotype"/>
          <w:sz w:val="24"/>
          <w:szCs w:val="24"/>
        </w:rPr>
        <w:t>E with the</w:t>
      </w:r>
      <w:r w:rsidRPr="00202DBB" w:rsidR="00F53F7E">
        <w:rPr>
          <w:rFonts w:ascii="Palatino Linotype" w:hAnsi="Palatino Linotype"/>
          <w:sz w:val="24"/>
          <w:szCs w:val="24"/>
        </w:rPr>
        <w:t xml:space="preserve"> ability to enforce those requirements or, in certain cases, terminate the </w:t>
      </w:r>
      <w:r w:rsidRPr="00202DBB" w:rsidR="003169C9">
        <w:rPr>
          <w:rFonts w:ascii="Palatino Linotype" w:hAnsi="Palatino Linotype"/>
          <w:sz w:val="24"/>
          <w:szCs w:val="24"/>
        </w:rPr>
        <w:t>a</w:t>
      </w:r>
      <w:r w:rsidRPr="00202DBB" w:rsidR="00F53F7E">
        <w:rPr>
          <w:rFonts w:ascii="Palatino Linotype" w:hAnsi="Palatino Linotype"/>
          <w:sz w:val="24"/>
          <w:szCs w:val="24"/>
        </w:rPr>
        <w:t>greement in the case of non-compliance.</w:t>
      </w:r>
      <w:r w:rsidRPr="00202DBB" w:rsidR="00F53F7E">
        <w:rPr>
          <w:rStyle w:val="FootnoteReference"/>
          <w:rFonts w:ascii="Palatino Linotype" w:hAnsi="Palatino Linotype"/>
          <w:sz w:val="24"/>
          <w:szCs w:val="24"/>
        </w:rPr>
        <w:footnoteReference w:id="23"/>
      </w:r>
    </w:p>
    <w:p w:rsidRPr="002F48AB" w:rsidR="002F48AB" w:rsidP="002F48AB" w:rsidRDefault="002F48AB" w14:paraId="7F301072" w14:textId="77777777">
      <w:pPr>
        <w:autoSpaceDE w:val="0"/>
        <w:autoSpaceDN w:val="0"/>
        <w:adjustRightInd w:val="0"/>
        <w:spacing w:after="0" w:line="264" w:lineRule="auto"/>
        <w:rPr>
          <w:rFonts w:ascii="Palatino Linotype" w:hAnsi="Palatino Linotype"/>
          <w:kern w:val="0"/>
          <w:sz w:val="16"/>
          <w:szCs w:val="16"/>
        </w:rPr>
      </w:pPr>
    </w:p>
    <w:p w:rsidRPr="002F48AB" w:rsidR="00D6434D" w:rsidP="002F48AB" w:rsidRDefault="002F0D0D" w14:paraId="2407BD64" w14:textId="7E96EDDC">
      <w:pPr>
        <w:autoSpaceDE w:val="0"/>
        <w:autoSpaceDN w:val="0"/>
        <w:adjustRightInd w:val="0"/>
        <w:spacing w:after="0" w:line="264" w:lineRule="auto"/>
        <w:rPr>
          <w:rFonts w:ascii="Palatino Linotype" w:hAnsi="Palatino Linotype"/>
          <w:kern w:val="0"/>
          <w:sz w:val="24"/>
          <w:szCs w:val="24"/>
        </w:rPr>
      </w:pPr>
      <w:r w:rsidRPr="002F0D0D">
        <w:rPr>
          <w:rFonts w:ascii="Palatino Linotype" w:hAnsi="Palatino Linotype" w:eastAsia="Times New Roman" w:cs="Times New Roman"/>
          <w:kern w:val="0"/>
          <w:sz w:val="24"/>
          <w:szCs w:val="24"/>
          <w14:ligatures w14:val="none"/>
        </w:rPr>
        <w:t xml:space="preserve">In addition to the safety considerations included above, </w:t>
      </w:r>
      <w:r w:rsidR="00A20431">
        <w:rPr>
          <w:rFonts w:ascii="Palatino Linotype" w:hAnsi="Palatino Linotype" w:eastAsia="Times New Roman" w:cs="Times New Roman"/>
          <w:kern w:val="0"/>
          <w:sz w:val="24"/>
          <w:szCs w:val="24"/>
          <w14:ligatures w14:val="none"/>
        </w:rPr>
        <w:t>R</w:t>
      </w:r>
      <w:r w:rsidRPr="002F0D0D">
        <w:rPr>
          <w:rFonts w:ascii="Palatino Linotype" w:hAnsi="Palatino Linotype" w:eastAsia="Times New Roman" w:cs="Times New Roman"/>
          <w:kern w:val="0"/>
          <w:sz w:val="24"/>
          <w:szCs w:val="24"/>
          <w14:ligatures w14:val="none"/>
        </w:rPr>
        <w:t xml:space="preserve">esolution ESRB-13 </w:t>
      </w:r>
      <w:r w:rsidR="00A20431">
        <w:rPr>
          <w:rFonts w:ascii="Palatino Linotype" w:hAnsi="Palatino Linotype" w:eastAsia="Times New Roman" w:cs="Times New Roman"/>
          <w:kern w:val="0"/>
          <w:sz w:val="24"/>
          <w:szCs w:val="24"/>
          <w14:ligatures w14:val="none"/>
        </w:rPr>
        <w:t xml:space="preserve">was approved </w:t>
      </w:r>
      <w:r w:rsidRPr="002F0D0D">
        <w:rPr>
          <w:rFonts w:ascii="Palatino Linotype" w:hAnsi="Palatino Linotype" w:eastAsia="Times New Roman" w:cs="Times New Roman"/>
          <w:kern w:val="0"/>
          <w:sz w:val="24"/>
          <w:szCs w:val="24"/>
          <w14:ligatures w14:val="none"/>
        </w:rPr>
        <w:t xml:space="preserve">on </w:t>
      </w:r>
      <w:r w:rsidR="00A20431">
        <w:rPr>
          <w:rFonts w:ascii="Palatino Linotype" w:hAnsi="Palatino Linotype" w:eastAsia="Times New Roman" w:cs="Times New Roman"/>
          <w:kern w:val="0"/>
          <w:sz w:val="24"/>
          <w:szCs w:val="24"/>
          <w14:ligatures w14:val="none"/>
        </w:rPr>
        <w:t>March 13</w:t>
      </w:r>
      <w:r w:rsidRPr="002F0D0D">
        <w:rPr>
          <w:rFonts w:ascii="Palatino Linotype" w:hAnsi="Palatino Linotype" w:eastAsia="Times New Roman" w:cs="Times New Roman"/>
          <w:kern w:val="0"/>
          <w:sz w:val="24"/>
          <w:szCs w:val="24"/>
          <w14:ligatures w14:val="none"/>
        </w:rPr>
        <w:t xml:space="preserve">, 2025. </w:t>
      </w:r>
      <w:r w:rsidR="00A20431">
        <w:rPr>
          <w:rFonts w:ascii="Palatino Linotype" w:hAnsi="Palatino Linotype" w:eastAsia="Times New Roman" w:cs="Times New Roman"/>
          <w:kern w:val="0"/>
          <w:sz w:val="24"/>
          <w:szCs w:val="24"/>
          <w14:ligatures w14:val="none"/>
        </w:rPr>
        <w:t>R</w:t>
      </w:r>
      <w:r w:rsidRPr="002F0D0D">
        <w:rPr>
          <w:rFonts w:ascii="Palatino Linotype" w:hAnsi="Palatino Linotype" w:eastAsia="Times New Roman" w:cs="Times New Roman"/>
          <w:kern w:val="0"/>
          <w:sz w:val="24"/>
          <w:szCs w:val="24"/>
          <w14:ligatures w14:val="none"/>
        </w:rPr>
        <w:t xml:space="preserve">esolution ESRB-13 </w:t>
      </w:r>
      <w:r w:rsidR="00FC718B">
        <w:rPr>
          <w:rFonts w:ascii="Palatino Linotype" w:hAnsi="Palatino Linotype" w:eastAsia="Times New Roman" w:cs="Times New Roman"/>
          <w:kern w:val="0"/>
          <w:sz w:val="24"/>
          <w:szCs w:val="24"/>
          <w14:ligatures w14:val="none"/>
        </w:rPr>
        <w:t>modifies</w:t>
      </w:r>
      <w:r w:rsidRPr="002F0D0D">
        <w:rPr>
          <w:rFonts w:ascii="Palatino Linotype" w:hAnsi="Palatino Linotype" w:eastAsia="Times New Roman" w:cs="Times New Roman"/>
          <w:kern w:val="0"/>
          <w:sz w:val="24"/>
          <w:szCs w:val="24"/>
          <w14:ligatures w14:val="none"/>
        </w:rPr>
        <w:t xml:space="preserve"> GO 167-C to implement the Senate Bill (SB) 1383 (Hueso, 2022) mandate to establish standards for the maintenance and operation of Energy Storage Systems; apply SB 38 (Laird, 2023) requirements for Emergency Response and Emergency</w:t>
      </w:r>
      <w:r w:rsidR="006D392B">
        <w:rPr>
          <w:rFonts w:ascii="Palatino Linotype" w:hAnsi="Palatino Linotype" w:eastAsia="Times New Roman" w:cs="Times New Roman"/>
          <w:kern w:val="0"/>
          <w:sz w:val="24"/>
          <w:szCs w:val="24"/>
          <w14:ligatures w14:val="none"/>
        </w:rPr>
        <w:t xml:space="preserve"> </w:t>
      </w:r>
      <w:r w:rsidRPr="002F0D0D">
        <w:rPr>
          <w:rFonts w:ascii="Palatino Linotype" w:hAnsi="Palatino Linotype" w:eastAsia="Times New Roman" w:cs="Times New Roman"/>
          <w:kern w:val="0"/>
          <w:sz w:val="24"/>
          <w:szCs w:val="24"/>
          <w14:ligatures w14:val="none"/>
        </w:rPr>
        <w:t xml:space="preserve">Action Plans to Energy Storage System Owners; establish Logbook Standards for ESSs and other actions. These standards </w:t>
      </w:r>
      <w:r w:rsidR="00734B21">
        <w:rPr>
          <w:rFonts w:ascii="Palatino Linotype" w:hAnsi="Palatino Linotype" w:eastAsia="Times New Roman" w:cs="Times New Roman"/>
          <w:kern w:val="0"/>
          <w:sz w:val="24"/>
          <w:szCs w:val="24"/>
          <w14:ligatures w14:val="none"/>
        </w:rPr>
        <w:t>aim to</w:t>
      </w:r>
      <w:r w:rsidRPr="002F0D0D">
        <w:rPr>
          <w:rFonts w:ascii="Palatino Linotype" w:hAnsi="Palatino Linotype" w:eastAsia="Times New Roman" w:cs="Times New Roman"/>
          <w:kern w:val="0"/>
          <w:sz w:val="24"/>
          <w:szCs w:val="24"/>
          <w14:ligatures w14:val="none"/>
        </w:rPr>
        <w:t xml:space="preserve"> improve the safety and reliability of electric generation and energy storage facilities located in California.</w:t>
      </w:r>
      <w:r w:rsidR="00390A89">
        <w:rPr>
          <w:rFonts w:ascii="Palatino Linotype" w:hAnsi="Palatino Linotype" w:eastAsia="Times New Roman" w:cs="Times New Roman"/>
          <w:kern w:val="0"/>
          <w:sz w:val="24"/>
          <w:szCs w:val="24"/>
          <w14:ligatures w14:val="none"/>
        </w:rPr>
        <w:t xml:space="preserve"> PG&amp;E</w:t>
      </w:r>
      <w:r w:rsidR="007013E4">
        <w:rPr>
          <w:rFonts w:ascii="Palatino Linotype" w:hAnsi="Palatino Linotype" w:eastAsia="Times New Roman" w:cs="Times New Roman"/>
          <w:kern w:val="0"/>
          <w:sz w:val="24"/>
          <w:szCs w:val="24"/>
          <w14:ligatures w14:val="none"/>
        </w:rPr>
        <w:t xml:space="preserve">’s contract requires </w:t>
      </w:r>
      <w:r w:rsidR="006D392B">
        <w:rPr>
          <w:rFonts w:ascii="Palatino Linotype" w:hAnsi="Palatino Linotype" w:eastAsia="Times New Roman" w:cs="Times New Roman"/>
          <w:kern w:val="0"/>
          <w:sz w:val="24"/>
          <w:szCs w:val="24"/>
          <w14:ligatures w14:val="none"/>
        </w:rPr>
        <w:t xml:space="preserve">the </w:t>
      </w:r>
      <w:r w:rsidR="007013E4">
        <w:rPr>
          <w:rFonts w:ascii="Palatino Linotype" w:hAnsi="Palatino Linotype" w:eastAsia="Times New Roman" w:cs="Times New Roman"/>
          <w:kern w:val="0"/>
          <w:sz w:val="24"/>
          <w:szCs w:val="24"/>
          <w14:ligatures w14:val="none"/>
        </w:rPr>
        <w:t xml:space="preserve">seller to </w:t>
      </w:r>
      <w:r w:rsidR="00194B48">
        <w:rPr>
          <w:rFonts w:ascii="Palatino Linotype" w:hAnsi="Palatino Linotype" w:eastAsia="Times New Roman" w:cs="Times New Roman"/>
          <w:kern w:val="0"/>
          <w:sz w:val="24"/>
          <w:szCs w:val="24"/>
          <w14:ligatures w14:val="none"/>
        </w:rPr>
        <w:t>demonstrate operational and maintenance</w:t>
      </w:r>
      <w:r w:rsidR="00390A89">
        <w:rPr>
          <w:rFonts w:ascii="Palatino Linotype" w:hAnsi="Palatino Linotype" w:eastAsia="Times New Roman" w:cs="Times New Roman"/>
          <w:kern w:val="0"/>
          <w:sz w:val="24"/>
          <w:szCs w:val="24"/>
          <w14:ligatures w14:val="none"/>
        </w:rPr>
        <w:t xml:space="preserve"> </w:t>
      </w:r>
      <w:r w:rsidR="006D392B">
        <w:rPr>
          <w:rFonts w:ascii="Palatino Linotype" w:hAnsi="Palatino Linotype" w:eastAsia="Times New Roman" w:cs="Times New Roman"/>
          <w:kern w:val="0"/>
          <w:sz w:val="24"/>
          <w:szCs w:val="24"/>
          <w14:ligatures w14:val="none"/>
        </w:rPr>
        <w:t xml:space="preserve">in accordance with </w:t>
      </w:r>
      <w:r w:rsidR="00390A89">
        <w:rPr>
          <w:rFonts w:ascii="Palatino Linotype" w:hAnsi="Palatino Linotype" w:eastAsia="Times New Roman" w:cs="Times New Roman"/>
          <w:kern w:val="0"/>
          <w:sz w:val="24"/>
          <w:szCs w:val="24"/>
          <w14:ligatures w14:val="none"/>
        </w:rPr>
        <w:t>GO 167.</w:t>
      </w:r>
      <w:r w:rsidR="006D392B">
        <w:rPr>
          <w:rStyle w:val="FootnoteReference"/>
          <w:rFonts w:ascii="Palatino Linotype" w:hAnsi="Palatino Linotype" w:eastAsia="Times New Roman" w:cs="Times New Roman"/>
          <w:kern w:val="0"/>
          <w:sz w:val="24"/>
          <w:szCs w:val="24"/>
          <w14:ligatures w14:val="none"/>
        </w:rPr>
        <w:footnoteReference w:id="24"/>
      </w:r>
    </w:p>
    <w:p w:rsidR="002A79A1" w:rsidP="00B8533D" w:rsidRDefault="00F124EA" w14:paraId="57F95AE7" w14:textId="77777777">
      <w:pPr>
        <w:spacing w:before="120" w:after="120" w:line="240" w:lineRule="auto"/>
        <w:rPr>
          <w:rFonts w:ascii="Palatino Linotype" w:hAnsi="Palatino Linotype"/>
          <w:sz w:val="24"/>
          <w:szCs w:val="24"/>
        </w:rPr>
      </w:pPr>
      <w:r w:rsidRPr="00956F32">
        <w:rPr>
          <w:rFonts w:ascii="Palatino Linotype" w:hAnsi="Palatino Linotype"/>
          <w:b/>
          <w:bCs/>
          <w:sz w:val="24"/>
          <w:szCs w:val="24"/>
        </w:rPr>
        <w:t>Cost Recovery</w:t>
      </w:r>
    </w:p>
    <w:p w:rsidR="004F7A5F" w:rsidP="58EB139D" w:rsidRDefault="002A79A1" w14:paraId="1E738740" w14:textId="77777777">
      <w:pPr>
        <w:pStyle w:val="NoSpacing"/>
        <w:rPr>
          <w:rFonts w:ascii="Palatino Linotype" w:hAnsi="Palatino Linotype"/>
          <w:sz w:val="24"/>
          <w:szCs w:val="24"/>
        </w:rPr>
      </w:pPr>
      <w:r w:rsidRPr="00743E64">
        <w:rPr>
          <w:rFonts w:ascii="Palatino Linotype" w:hAnsi="Palatino Linotype"/>
          <w:sz w:val="24"/>
          <w:szCs w:val="24"/>
        </w:rPr>
        <w:t xml:space="preserve">Ordering Paragraph </w:t>
      </w:r>
      <w:r w:rsidR="006F0DD5">
        <w:rPr>
          <w:rFonts w:ascii="Palatino Linotype" w:hAnsi="Palatino Linotype"/>
          <w:sz w:val="24"/>
          <w:szCs w:val="24"/>
        </w:rPr>
        <w:t>4</w:t>
      </w:r>
      <w:r w:rsidRPr="00743E64" w:rsidR="006F0DD5">
        <w:rPr>
          <w:rFonts w:ascii="Palatino Linotype" w:hAnsi="Palatino Linotype"/>
          <w:sz w:val="24"/>
          <w:szCs w:val="24"/>
        </w:rPr>
        <w:t xml:space="preserve"> </w:t>
      </w:r>
      <w:r w:rsidRPr="00743E64">
        <w:rPr>
          <w:rFonts w:ascii="Palatino Linotype" w:hAnsi="Palatino Linotype"/>
          <w:sz w:val="24"/>
          <w:szCs w:val="24"/>
        </w:rPr>
        <w:t>of D.2</w:t>
      </w:r>
      <w:r w:rsidR="00235179">
        <w:rPr>
          <w:rFonts w:ascii="Palatino Linotype" w:hAnsi="Palatino Linotype"/>
          <w:sz w:val="24"/>
          <w:szCs w:val="24"/>
        </w:rPr>
        <w:t>3</w:t>
      </w:r>
      <w:r w:rsidRPr="00743E64">
        <w:rPr>
          <w:rFonts w:ascii="Palatino Linotype" w:hAnsi="Palatino Linotype"/>
          <w:sz w:val="24"/>
          <w:szCs w:val="24"/>
        </w:rPr>
        <w:t>-0</w:t>
      </w:r>
      <w:r w:rsidR="00235179">
        <w:rPr>
          <w:rFonts w:ascii="Palatino Linotype" w:hAnsi="Palatino Linotype"/>
          <w:sz w:val="24"/>
          <w:szCs w:val="24"/>
        </w:rPr>
        <w:t>2</w:t>
      </w:r>
      <w:r w:rsidRPr="00743E64">
        <w:rPr>
          <w:rFonts w:ascii="Palatino Linotype" w:hAnsi="Palatino Linotype"/>
          <w:sz w:val="24"/>
          <w:szCs w:val="24"/>
        </w:rPr>
        <w:t>-0</w:t>
      </w:r>
      <w:r w:rsidR="00235179">
        <w:rPr>
          <w:rFonts w:ascii="Palatino Linotype" w:hAnsi="Palatino Linotype"/>
          <w:sz w:val="24"/>
          <w:szCs w:val="24"/>
        </w:rPr>
        <w:t xml:space="preserve">40 </w:t>
      </w:r>
      <w:r w:rsidRPr="00743E64">
        <w:rPr>
          <w:rFonts w:ascii="Palatino Linotype" w:hAnsi="Palatino Linotype"/>
          <w:sz w:val="24"/>
          <w:szCs w:val="24"/>
        </w:rPr>
        <w:t xml:space="preserve">authorized PG&amp;E cost recovery of the MTR procurement via the </w:t>
      </w:r>
      <w:r w:rsidRPr="00235179" w:rsidR="009D160A">
        <w:rPr>
          <w:rFonts w:ascii="Palatino Linotype" w:hAnsi="Palatino Linotype"/>
          <w:sz w:val="24"/>
          <w:szCs w:val="24"/>
        </w:rPr>
        <w:t xml:space="preserve">power charge indifference adjustment </w:t>
      </w:r>
      <w:r w:rsidR="009D160A">
        <w:rPr>
          <w:rFonts w:ascii="Palatino Linotype" w:hAnsi="Palatino Linotype"/>
          <w:sz w:val="24"/>
          <w:szCs w:val="24"/>
        </w:rPr>
        <w:t>(</w:t>
      </w:r>
      <w:r w:rsidR="00054887">
        <w:rPr>
          <w:rFonts w:ascii="Palatino Linotype" w:hAnsi="Palatino Linotype"/>
          <w:sz w:val="24"/>
          <w:szCs w:val="24"/>
        </w:rPr>
        <w:t>PCIA</w:t>
      </w:r>
      <w:r w:rsidR="009D160A">
        <w:rPr>
          <w:rFonts w:ascii="Palatino Linotype" w:hAnsi="Palatino Linotype"/>
          <w:sz w:val="24"/>
          <w:szCs w:val="24"/>
        </w:rPr>
        <w:t>)</w:t>
      </w:r>
      <w:r w:rsidR="00054887">
        <w:rPr>
          <w:rFonts w:ascii="Palatino Linotype" w:hAnsi="Palatino Linotype"/>
          <w:sz w:val="24"/>
          <w:szCs w:val="24"/>
        </w:rPr>
        <w:t>:</w:t>
      </w:r>
      <w:r w:rsidRPr="58EB139D" w:rsidR="7E69AC0A">
        <w:rPr>
          <w:rFonts w:ascii="Palatino Linotype" w:hAnsi="Palatino Linotype"/>
          <w:sz w:val="24"/>
          <w:szCs w:val="24"/>
        </w:rPr>
        <w:t xml:space="preserve"> </w:t>
      </w:r>
    </w:p>
    <w:p w:rsidRPr="0011773E" w:rsidR="0011773E" w:rsidP="58EB139D" w:rsidRDefault="0011773E" w14:paraId="0D8C1D3A" w14:textId="77777777">
      <w:pPr>
        <w:pStyle w:val="NoSpacing"/>
        <w:rPr>
          <w:rFonts w:ascii="Palatino Linotype" w:hAnsi="Palatino Linotype"/>
          <w:sz w:val="8"/>
          <w:szCs w:val="8"/>
        </w:rPr>
      </w:pPr>
    </w:p>
    <w:p w:rsidRPr="0011773E" w:rsidR="00103716" w:rsidP="004F7A5F" w:rsidRDefault="0011773E" w14:paraId="4FF83F35" w14:textId="71191EDD">
      <w:pPr>
        <w:pStyle w:val="NoSpacing"/>
        <w:ind w:left="720"/>
        <w:rPr>
          <w:rFonts w:ascii="Palatino Linotype" w:hAnsi="Palatino Linotype"/>
          <w:sz w:val="24"/>
          <w:szCs w:val="24"/>
        </w:rPr>
      </w:pPr>
      <w:r>
        <w:rPr>
          <w:rFonts w:ascii="Palatino Linotype" w:hAnsi="Palatino Linotype"/>
          <w:sz w:val="24"/>
          <w:szCs w:val="24"/>
        </w:rPr>
        <w:t>“</w:t>
      </w:r>
      <w:r w:rsidRPr="0011773E" w:rsidR="006F0DD5">
        <w:rPr>
          <w:rFonts w:ascii="Palatino Linotype" w:hAnsi="Palatino Linotype"/>
          <w:sz w:val="24"/>
          <w:szCs w:val="24"/>
        </w:rPr>
        <w:t>Any resources procured by an investor-owned utility in response to this order should be subject to Power Charge Indifference Adjustment (PCIA) vintage cost responsibility based on the effective date of this decision. Pacific Gas and Electric Company, Southern California Edison Company, and San Diego Gas &amp; Electric Company may each submit a Tier 2 Advice Letter within 60 days of the effective date of this decision to update their balancing accounts to address this PCIA treatment</w:t>
      </w:r>
      <w:r w:rsidRPr="0011773E" w:rsidR="00DC41A9">
        <w:rPr>
          <w:rFonts w:ascii="Palatino Linotype" w:hAnsi="Palatino Linotype"/>
          <w:sz w:val="24"/>
          <w:szCs w:val="24"/>
        </w:rPr>
        <w:t>.</w:t>
      </w:r>
      <w:r>
        <w:rPr>
          <w:rFonts w:ascii="Palatino Linotype" w:hAnsi="Palatino Linotype"/>
          <w:sz w:val="24"/>
          <w:szCs w:val="24"/>
        </w:rPr>
        <w:t>”</w:t>
      </w:r>
    </w:p>
    <w:p w:rsidRPr="0011773E" w:rsidR="00E422CB" w:rsidP="00103716" w:rsidRDefault="00E422CB" w14:paraId="55B0FA9C" w14:textId="77777777">
      <w:pPr>
        <w:spacing w:after="0"/>
        <w:ind w:right="630"/>
        <w:rPr>
          <w:rFonts w:ascii="Palatino Linotype" w:hAnsi="Palatino Linotype"/>
          <w:bCs/>
          <w:sz w:val="8"/>
          <w:szCs w:val="8"/>
        </w:rPr>
      </w:pPr>
    </w:p>
    <w:p w:rsidR="00A379E2" w:rsidP="00B353F9" w:rsidRDefault="00F124EA" w14:paraId="21223865" w14:textId="366C164B">
      <w:pPr>
        <w:spacing w:after="240"/>
        <w:ind w:right="634"/>
        <w:rPr>
          <w:rFonts w:ascii="Palatino Linotype" w:hAnsi="Palatino Linotype"/>
          <w:sz w:val="24"/>
          <w:szCs w:val="24"/>
        </w:rPr>
      </w:pPr>
      <w:r>
        <w:rPr>
          <w:rFonts w:ascii="Palatino Linotype" w:hAnsi="Palatino Linotype"/>
          <w:bCs/>
          <w:sz w:val="24"/>
          <w:szCs w:val="24"/>
        </w:rPr>
        <w:t xml:space="preserve">In AL </w:t>
      </w:r>
      <w:r w:rsidR="007D4DD9">
        <w:rPr>
          <w:rFonts w:ascii="Palatino Linotype" w:hAnsi="Palatino Linotype"/>
          <w:bCs/>
          <w:sz w:val="24"/>
          <w:szCs w:val="24"/>
        </w:rPr>
        <w:t>7602</w:t>
      </w:r>
      <w:r>
        <w:rPr>
          <w:rFonts w:ascii="Palatino Linotype" w:hAnsi="Palatino Linotype"/>
          <w:bCs/>
          <w:sz w:val="24"/>
          <w:szCs w:val="24"/>
        </w:rPr>
        <w:t xml:space="preserve">-E, PG&amp;E proposes to apply </w:t>
      </w:r>
      <w:r w:rsidR="005F2AD7">
        <w:rPr>
          <w:rFonts w:ascii="Palatino Linotype" w:hAnsi="Palatino Linotype"/>
          <w:bCs/>
          <w:sz w:val="24"/>
          <w:szCs w:val="24"/>
        </w:rPr>
        <w:t>a 2</w:t>
      </w:r>
      <w:r w:rsidR="001049B3">
        <w:rPr>
          <w:rFonts w:ascii="Palatino Linotype" w:hAnsi="Palatino Linotype"/>
          <w:sz w:val="24"/>
          <w:szCs w:val="24"/>
        </w:rPr>
        <w:t xml:space="preserve">023 vintage </w:t>
      </w:r>
      <w:r w:rsidR="00A61B76">
        <w:rPr>
          <w:rFonts w:ascii="Palatino Linotype" w:hAnsi="Palatino Linotype"/>
          <w:sz w:val="24"/>
          <w:szCs w:val="24"/>
        </w:rPr>
        <w:t xml:space="preserve">as this Agreement is entered into to meet </w:t>
      </w:r>
      <w:r w:rsidR="009E2B53">
        <w:rPr>
          <w:rFonts w:ascii="Palatino Linotype" w:hAnsi="Palatino Linotype"/>
          <w:sz w:val="24"/>
          <w:szCs w:val="24"/>
        </w:rPr>
        <w:t xml:space="preserve">the procurement requirements of </w:t>
      </w:r>
      <w:r w:rsidRPr="001E0ECB" w:rsidR="001049B3">
        <w:rPr>
          <w:rFonts w:ascii="Palatino Linotype" w:hAnsi="Palatino Linotype"/>
          <w:sz w:val="24"/>
          <w:szCs w:val="24"/>
        </w:rPr>
        <w:t>D.23-02-040</w:t>
      </w:r>
      <w:r w:rsidR="00BE2A34">
        <w:rPr>
          <w:rFonts w:ascii="Palatino Linotype" w:hAnsi="Palatino Linotype"/>
          <w:sz w:val="24"/>
          <w:szCs w:val="24"/>
        </w:rPr>
        <w:t xml:space="preserve">. </w:t>
      </w:r>
      <w:r>
        <w:rPr>
          <w:rFonts w:ascii="Palatino Linotype" w:hAnsi="Palatino Linotype"/>
          <w:bCs/>
          <w:sz w:val="24"/>
          <w:szCs w:val="24"/>
        </w:rPr>
        <w:t xml:space="preserve">Through this cost recovery methodology, the costs and benefits associated with this procurement complying with </w:t>
      </w:r>
      <w:r w:rsidR="001B7B87">
        <w:rPr>
          <w:rFonts w:ascii="Palatino Linotype" w:hAnsi="Palatino Linotype"/>
          <w:bCs/>
          <w:sz w:val="24"/>
          <w:szCs w:val="24"/>
        </w:rPr>
        <w:t xml:space="preserve">the Decisions </w:t>
      </w:r>
      <w:r>
        <w:rPr>
          <w:rFonts w:ascii="Palatino Linotype" w:hAnsi="Palatino Linotype"/>
          <w:bCs/>
          <w:sz w:val="24"/>
          <w:szCs w:val="24"/>
        </w:rPr>
        <w:t xml:space="preserve">will be recovered from applicable customers, which includes bundled customers and departing load customers with </w:t>
      </w:r>
      <w:r w:rsidR="009843D8">
        <w:rPr>
          <w:rFonts w:ascii="Palatino Linotype" w:hAnsi="Palatino Linotype"/>
          <w:bCs/>
          <w:sz w:val="24"/>
          <w:szCs w:val="24"/>
        </w:rPr>
        <w:t xml:space="preserve">2023 </w:t>
      </w:r>
      <w:r>
        <w:rPr>
          <w:rFonts w:ascii="Palatino Linotype" w:hAnsi="Palatino Linotype"/>
          <w:bCs/>
          <w:sz w:val="24"/>
          <w:szCs w:val="24"/>
        </w:rPr>
        <w:t xml:space="preserve">vintage cost </w:t>
      </w:r>
      <w:r>
        <w:rPr>
          <w:rFonts w:ascii="Palatino Linotype" w:hAnsi="Palatino Linotype"/>
          <w:bCs/>
          <w:sz w:val="24"/>
          <w:szCs w:val="24"/>
        </w:rPr>
        <w:lastRenderedPageBreak/>
        <w:t>responsibilit</w:t>
      </w:r>
      <w:r w:rsidR="00035299">
        <w:rPr>
          <w:rFonts w:ascii="Palatino Linotype" w:hAnsi="Palatino Linotype"/>
          <w:bCs/>
          <w:sz w:val="24"/>
          <w:szCs w:val="24"/>
        </w:rPr>
        <w:t>ies</w:t>
      </w:r>
      <w:r>
        <w:rPr>
          <w:rFonts w:ascii="Palatino Linotype" w:hAnsi="Palatino Linotype"/>
          <w:bCs/>
          <w:sz w:val="24"/>
          <w:szCs w:val="24"/>
        </w:rPr>
        <w:t xml:space="preserve">. </w:t>
      </w:r>
      <w:r w:rsidRPr="00956F32">
        <w:rPr>
          <w:rFonts w:ascii="Palatino Linotype" w:hAnsi="Palatino Linotype"/>
          <w:bCs/>
          <w:sz w:val="24"/>
          <w:szCs w:val="24"/>
        </w:rPr>
        <w:t xml:space="preserve">We find </w:t>
      </w:r>
      <w:r>
        <w:rPr>
          <w:rFonts w:ascii="Palatino Linotype" w:hAnsi="Palatino Linotype"/>
          <w:bCs/>
          <w:sz w:val="24"/>
          <w:szCs w:val="24"/>
        </w:rPr>
        <w:t>PG&amp;E</w:t>
      </w:r>
      <w:r w:rsidRPr="00956F32">
        <w:rPr>
          <w:rFonts w:ascii="Palatino Linotype" w:hAnsi="Palatino Linotype"/>
          <w:bCs/>
          <w:sz w:val="24"/>
          <w:szCs w:val="24"/>
        </w:rPr>
        <w:t xml:space="preserve">’s proposed cost recovery to be consistent with </w:t>
      </w:r>
      <w:r w:rsidR="006F1C15">
        <w:rPr>
          <w:rFonts w:ascii="Palatino Linotype" w:hAnsi="Palatino Linotype"/>
          <w:sz w:val="24"/>
          <w:szCs w:val="24"/>
        </w:rPr>
        <w:t xml:space="preserve">OP </w:t>
      </w:r>
      <w:r w:rsidR="00FC3CCD">
        <w:rPr>
          <w:rFonts w:ascii="Palatino Linotype" w:hAnsi="Palatino Linotype"/>
          <w:sz w:val="24"/>
          <w:szCs w:val="24"/>
        </w:rPr>
        <w:t>4</w:t>
      </w:r>
      <w:r w:rsidR="00651BCB">
        <w:rPr>
          <w:rFonts w:ascii="Palatino Linotype" w:hAnsi="Palatino Linotype"/>
          <w:sz w:val="24"/>
          <w:szCs w:val="24"/>
        </w:rPr>
        <w:t xml:space="preserve"> of </w:t>
      </w:r>
      <w:r w:rsidRPr="001E0ECB" w:rsidR="00651BCB">
        <w:rPr>
          <w:rFonts w:ascii="Palatino Linotype" w:hAnsi="Palatino Linotype"/>
          <w:sz w:val="24"/>
          <w:szCs w:val="24"/>
        </w:rPr>
        <w:t>D.23-02-040</w:t>
      </w:r>
      <w:r w:rsidR="00651BCB">
        <w:rPr>
          <w:rFonts w:ascii="Palatino Linotype" w:hAnsi="Palatino Linotype"/>
          <w:sz w:val="24"/>
          <w:szCs w:val="24"/>
        </w:rPr>
        <w:t>.</w:t>
      </w:r>
    </w:p>
    <w:p w:rsidRPr="00A379E2" w:rsidR="00B84E68" w:rsidP="00B8533D" w:rsidRDefault="00B84E68" w14:paraId="1E82F228" w14:textId="4DF3E843">
      <w:pPr>
        <w:spacing w:before="120" w:after="120" w:line="240" w:lineRule="auto"/>
        <w:ind w:right="634"/>
        <w:rPr>
          <w:rFonts w:ascii="Palatino Linotype" w:hAnsi="Palatino Linotype"/>
          <w:sz w:val="24"/>
          <w:szCs w:val="24"/>
        </w:rPr>
      </w:pPr>
      <w:r w:rsidRPr="00173D58">
        <w:rPr>
          <w:rFonts w:ascii="Palatino Linotype" w:hAnsi="Palatino Linotype" w:eastAsia="Times New Roman" w:cs="Times New Roman"/>
          <w:b/>
          <w:caps/>
          <w:kern w:val="28"/>
          <w:sz w:val="24"/>
          <w:szCs w:val="24"/>
          <w:u w:val="single"/>
          <w14:ligatures w14:val="none"/>
        </w:rPr>
        <w:t>Comments</w:t>
      </w:r>
    </w:p>
    <w:p w:rsidR="00B84E68" w:rsidP="00B84E68" w:rsidRDefault="00B84E68" w14:paraId="20909BD2" w14:textId="77777777">
      <w:pPr>
        <w:spacing w:after="0" w:line="240" w:lineRule="auto"/>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2F48AB" w:rsidR="00173D58" w:rsidP="00B84E68" w:rsidRDefault="00173D58" w14:paraId="66B69AB8" w14:textId="77777777">
      <w:pPr>
        <w:spacing w:after="0" w:line="240" w:lineRule="auto"/>
        <w:rPr>
          <w:rFonts w:ascii="Palatino Linotype" w:hAnsi="Palatino Linotype" w:eastAsia="Times New Roman" w:cs="Times New Roman"/>
          <w:kern w:val="0"/>
          <w:sz w:val="16"/>
          <w:szCs w:val="16"/>
          <w14:ligatures w14:val="none"/>
        </w:rPr>
      </w:pPr>
    </w:p>
    <w:p w:rsidR="00A379E2" w:rsidP="00B353F9" w:rsidRDefault="008F287D" w14:paraId="088549A8" w14:textId="4DE94E28">
      <w:pPr>
        <w:spacing w:after="240"/>
        <w:textAlignment w:val="baseline"/>
        <w:rPr>
          <w:rFonts w:ascii="Palatino Linotype" w:hAnsi="Palatino Linotype" w:cs="Segoe UI"/>
          <w:sz w:val="24"/>
          <w:szCs w:val="24"/>
        </w:rPr>
      </w:pPr>
      <w:r w:rsidRPr="00173D58">
        <w:rPr>
          <w:rFonts w:ascii="Palatino Linotype" w:hAnsi="Palatino Linotype" w:cs="Segoe UI"/>
          <w:sz w:val="24"/>
          <w:szCs w:val="24"/>
        </w:rPr>
        <w:t xml:space="preserve">The 30-day review and 20-day comment period for the draft of this resolution was neither waived nor reduced. Accordingly, this draft resolution was mailed to parties for </w:t>
      </w:r>
      <w:r w:rsidRPr="00173D58" w:rsidR="00857852">
        <w:rPr>
          <w:rFonts w:ascii="Palatino Linotype" w:hAnsi="Palatino Linotype" w:cs="Segoe UI"/>
          <w:sz w:val="24"/>
          <w:szCs w:val="24"/>
        </w:rPr>
        <w:t>comments and</w:t>
      </w:r>
      <w:r w:rsidRPr="00173D58" w:rsidR="0098085F">
        <w:rPr>
          <w:rFonts w:ascii="Palatino Linotype" w:hAnsi="Palatino Linotype" w:cs="Segoe UI"/>
          <w:sz w:val="24"/>
          <w:szCs w:val="24"/>
        </w:rPr>
        <w:t xml:space="preserve"> will be placed on the Commission's agenda no earlier than 30 days from today. </w:t>
      </w:r>
      <w:r w:rsidR="002C19B7">
        <w:rPr>
          <w:rFonts w:ascii="Palatino Linotype" w:hAnsi="Palatino Linotype" w:cs="Segoe UI"/>
          <w:sz w:val="24"/>
          <w:szCs w:val="24"/>
        </w:rPr>
        <w:t xml:space="preserve"> </w:t>
      </w:r>
    </w:p>
    <w:p w:rsidRPr="00A379E2" w:rsidR="00B84E68" w:rsidP="00B8533D" w:rsidRDefault="00B84E68" w14:paraId="05D7CFD9" w14:textId="7ABB8FB7">
      <w:pPr>
        <w:spacing w:before="120" w:after="120" w:line="240" w:lineRule="auto"/>
        <w:textAlignment w:val="baseline"/>
        <w:rPr>
          <w:rFonts w:ascii="Palatino Linotype" w:hAnsi="Palatino Linotype" w:cs="Segoe UI"/>
          <w:sz w:val="24"/>
          <w:szCs w:val="24"/>
        </w:rPr>
      </w:pPr>
      <w:r w:rsidRPr="00173D58">
        <w:rPr>
          <w:rFonts w:ascii="Palatino Linotype" w:hAnsi="Palatino Linotype" w:eastAsia="Times New Roman" w:cs="Times New Roman"/>
          <w:b/>
          <w:caps/>
          <w:kern w:val="28"/>
          <w:sz w:val="24"/>
          <w:szCs w:val="24"/>
          <w:u w:val="single"/>
          <w14:ligatures w14:val="none"/>
        </w:rPr>
        <w:t>Findings</w:t>
      </w:r>
      <w:r w:rsidR="00B706E2">
        <w:rPr>
          <w:rFonts w:ascii="Palatino Linotype" w:hAnsi="Palatino Linotype" w:eastAsia="Times New Roman" w:cs="Times New Roman"/>
          <w:b/>
          <w:caps/>
          <w:kern w:val="28"/>
          <w:sz w:val="24"/>
          <w:szCs w:val="24"/>
          <w:u w:val="single"/>
          <w14:ligatures w14:val="none"/>
        </w:rPr>
        <w:t xml:space="preserve"> AND CONCLUSIONS</w:t>
      </w:r>
    </w:p>
    <w:p w:rsidR="00963C86" w:rsidP="00BF2D08" w:rsidRDefault="00963C86" w14:paraId="434D6889" w14:textId="77777777">
      <w:pPr>
        <w:numPr>
          <w:ilvl w:val="0"/>
          <w:numId w:val="1"/>
        </w:numPr>
        <w:spacing w:line="240" w:lineRule="auto"/>
        <w:rPr>
          <w:rFonts w:ascii="Palatino Linotype" w:hAnsi="Palatino Linotype"/>
          <w:sz w:val="24"/>
          <w:szCs w:val="24"/>
        </w:rPr>
      </w:pPr>
      <w:r>
        <w:rPr>
          <w:rFonts w:ascii="Palatino Linotype" w:hAnsi="Palatino Linotype"/>
          <w:sz w:val="24"/>
          <w:szCs w:val="24"/>
        </w:rPr>
        <w:t>D.21-06-035</w:t>
      </w:r>
      <w:r w:rsidR="00314D09">
        <w:rPr>
          <w:rFonts w:ascii="Palatino Linotype" w:hAnsi="Palatino Linotype"/>
          <w:sz w:val="24"/>
          <w:szCs w:val="24"/>
        </w:rPr>
        <w:t xml:space="preserve"> Order Paragraph 13</w:t>
      </w:r>
      <w:r w:rsidR="00077A30">
        <w:rPr>
          <w:rFonts w:ascii="Palatino Linotype" w:hAnsi="Palatino Linotype"/>
          <w:sz w:val="24"/>
          <w:szCs w:val="24"/>
        </w:rPr>
        <w:t xml:space="preserve"> directed PG&amp;E to file Tier 3 Advice Letter</w:t>
      </w:r>
      <w:r w:rsidR="00D21E46">
        <w:rPr>
          <w:rFonts w:ascii="Palatino Linotype" w:hAnsi="Palatino Linotype"/>
          <w:sz w:val="24"/>
          <w:szCs w:val="24"/>
        </w:rPr>
        <w:t>s</w:t>
      </w:r>
      <w:r w:rsidR="00077A30">
        <w:rPr>
          <w:rFonts w:ascii="Palatino Linotype" w:hAnsi="Palatino Linotype"/>
          <w:sz w:val="24"/>
          <w:szCs w:val="24"/>
        </w:rPr>
        <w:t xml:space="preserve"> for procurement</w:t>
      </w:r>
      <w:r w:rsidR="00264E2E">
        <w:rPr>
          <w:rFonts w:ascii="Palatino Linotype" w:hAnsi="Palatino Linotype"/>
          <w:sz w:val="24"/>
          <w:szCs w:val="24"/>
        </w:rPr>
        <w:t xml:space="preserve"> approval </w:t>
      </w:r>
      <w:r w:rsidRPr="0036153D" w:rsidR="0036153D">
        <w:rPr>
          <w:rFonts w:ascii="Palatino Linotype" w:hAnsi="Palatino Linotype"/>
          <w:sz w:val="24"/>
          <w:szCs w:val="24"/>
        </w:rPr>
        <w:t xml:space="preserve">and cost recovery for </w:t>
      </w:r>
      <w:r w:rsidR="0036153D">
        <w:rPr>
          <w:rFonts w:ascii="Palatino Linotype" w:hAnsi="Palatino Linotype"/>
          <w:sz w:val="24"/>
          <w:szCs w:val="24"/>
        </w:rPr>
        <w:t>MTR Contracts</w:t>
      </w:r>
      <w:r w:rsidRPr="0036153D" w:rsidR="0036153D">
        <w:rPr>
          <w:rFonts w:ascii="Palatino Linotype" w:hAnsi="Palatino Linotype"/>
          <w:sz w:val="24"/>
          <w:szCs w:val="24"/>
        </w:rPr>
        <w:t xml:space="preserve">, except for utility-owned resources and pumped storage projects, where full applications </w:t>
      </w:r>
      <w:r w:rsidR="00A22508">
        <w:rPr>
          <w:rFonts w:ascii="Palatino Linotype" w:hAnsi="Palatino Linotype"/>
          <w:sz w:val="24"/>
          <w:szCs w:val="24"/>
        </w:rPr>
        <w:t>are</w:t>
      </w:r>
      <w:r w:rsidRPr="0036153D" w:rsidR="0036153D">
        <w:rPr>
          <w:rFonts w:ascii="Palatino Linotype" w:hAnsi="Palatino Linotype"/>
          <w:sz w:val="24"/>
          <w:szCs w:val="24"/>
        </w:rPr>
        <w:t xml:space="preserve"> required</w:t>
      </w:r>
      <w:r w:rsidR="00A22508">
        <w:rPr>
          <w:rFonts w:ascii="Palatino Linotype" w:hAnsi="Palatino Linotype"/>
          <w:sz w:val="24"/>
          <w:szCs w:val="24"/>
        </w:rPr>
        <w:t>.</w:t>
      </w:r>
    </w:p>
    <w:p w:rsidRPr="00BF2D08" w:rsidR="00E05D86" w:rsidP="00BF2D08" w:rsidRDefault="00E05D86" w14:paraId="0BB02C29" w14:textId="77777777">
      <w:pPr>
        <w:numPr>
          <w:ilvl w:val="0"/>
          <w:numId w:val="1"/>
        </w:numPr>
        <w:spacing w:line="240" w:lineRule="auto"/>
        <w:rPr>
          <w:rFonts w:ascii="Palatino Linotype" w:hAnsi="Palatino Linotype"/>
          <w:sz w:val="24"/>
          <w:szCs w:val="24"/>
        </w:rPr>
      </w:pPr>
      <w:r w:rsidRPr="00BF2D08">
        <w:rPr>
          <w:rFonts w:ascii="Palatino Linotype" w:hAnsi="Palatino Linotype"/>
          <w:sz w:val="24"/>
          <w:szCs w:val="24"/>
        </w:rPr>
        <w:t xml:space="preserve">PG&amp;E’s share of the MTR procurement requirements under D.21-06-035 and </w:t>
      </w:r>
      <w:r w:rsidRPr="00BF2D08">
        <w:rPr>
          <w:rFonts w:ascii="Palatino Linotype" w:hAnsi="Palatino Linotype"/>
          <w:sz w:val="24"/>
          <w:szCs w:val="24"/>
        </w:rPr>
        <w:br/>
        <w:t>D.23-02-040 is 400 MW online by August 1, 2023; 1,201 MW online by June 1, 2024; 300 MW online by June 1, 2025; 388 MW online by June 1, 2026; 388 MW online by June 1, 2027; and 400 MW of long lead time resources by June 1, 2028.</w:t>
      </w:r>
    </w:p>
    <w:p w:rsidRPr="00BF2D08" w:rsidR="000F07AE" w:rsidP="00BF2D08" w:rsidRDefault="000F07AE" w14:paraId="009AD2F3" w14:textId="1D34F7BF">
      <w:pPr>
        <w:numPr>
          <w:ilvl w:val="0"/>
          <w:numId w:val="1"/>
        </w:numPr>
        <w:spacing w:line="240" w:lineRule="auto"/>
        <w:rPr>
          <w:rFonts w:ascii="Palatino Linotype" w:hAnsi="Palatino Linotype"/>
          <w:sz w:val="24"/>
          <w:szCs w:val="24"/>
        </w:rPr>
      </w:pPr>
      <w:r w:rsidRPr="00BF2D08">
        <w:rPr>
          <w:rFonts w:ascii="Palatino Linotype" w:hAnsi="Palatino Linotype"/>
          <w:sz w:val="24"/>
          <w:szCs w:val="24"/>
        </w:rPr>
        <w:t xml:space="preserve">On </w:t>
      </w:r>
      <w:r w:rsidR="006B5922">
        <w:rPr>
          <w:rFonts w:ascii="Palatino Linotype" w:hAnsi="Palatino Linotype"/>
          <w:sz w:val="24"/>
          <w:szCs w:val="24"/>
        </w:rPr>
        <w:t>May 21, 2025</w:t>
      </w:r>
      <w:r w:rsidRPr="00BF2D08">
        <w:rPr>
          <w:rFonts w:ascii="Palatino Linotype" w:hAnsi="Palatino Linotype"/>
          <w:sz w:val="24"/>
          <w:szCs w:val="24"/>
        </w:rPr>
        <w:t xml:space="preserve">, PG&amp;E filed AL </w:t>
      </w:r>
      <w:r w:rsidR="007D4DD9">
        <w:rPr>
          <w:rFonts w:ascii="Palatino Linotype" w:hAnsi="Palatino Linotype"/>
          <w:sz w:val="24"/>
          <w:szCs w:val="24"/>
        </w:rPr>
        <w:t>7602</w:t>
      </w:r>
      <w:r w:rsidRPr="00BF2D08">
        <w:rPr>
          <w:rFonts w:ascii="Palatino Linotype" w:hAnsi="Palatino Linotype"/>
          <w:sz w:val="24"/>
          <w:szCs w:val="24"/>
        </w:rPr>
        <w:t xml:space="preserve">-E seeking approval of </w:t>
      </w:r>
      <w:r w:rsidR="006B5922">
        <w:rPr>
          <w:rFonts w:ascii="Palatino Linotype" w:hAnsi="Palatino Linotype"/>
          <w:sz w:val="24"/>
          <w:szCs w:val="24"/>
        </w:rPr>
        <w:t>one</w:t>
      </w:r>
      <w:r w:rsidRPr="00BF2D08">
        <w:rPr>
          <w:rFonts w:ascii="Palatino Linotype" w:hAnsi="Palatino Linotype"/>
          <w:sz w:val="24"/>
          <w:szCs w:val="24"/>
        </w:rPr>
        <w:t xml:space="preserve"> 15-year MTR Contract to help PG&amp;E meet its MTR requirements.</w:t>
      </w:r>
    </w:p>
    <w:p w:rsidRPr="00BF2D08" w:rsidR="00B84E68" w:rsidP="00BF2D08" w:rsidRDefault="006C558E" w14:paraId="4E9B74A4" w14:textId="25B2BEC6">
      <w:pPr>
        <w:numPr>
          <w:ilvl w:val="0"/>
          <w:numId w:val="1"/>
        </w:numPr>
        <w:spacing w:line="240" w:lineRule="auto"/>
        <w:rPr>
          <w:rFonts w:ascii="Palatino Linotype" w:hAnsi="Palatino Linotype"/>
          <w:sz w:val="24"/>
          <w:szCs w:val="24"/>
        </w:rPr>
      </w:pPr>
      <w:r w:rsidRPr="00BF2D08">
        <w:rPr>
          <w:rFonts w:ascii="Palatino Linotype" w:hAnsi="Palatino Linotype"/>
          <w:sz w:val="24"/>
          <w:szCs w:val="24"/>
        </w:rPr>
        <w:t>Th</w:t>
      </w:r>
      <w:r w:rsidRPr="00BF2D08" w:rsidR="00972E61">
        <w:rPr>
          <w:rFonts w:ascii="Palatino Linotype" w:hAnsi="Palatino Linotype"/>
          <w:sz w:val="24"/>
          <w:szCs w:val="24"/>
        </w:rPr>
        <w:t xml:space="preserve">e </w:t>
      </w:r>
      <w:r w:rsidRPr="00BF2D08" w:rsidR="000F07AE">
        <w:rPr>
          <w:rFonts w:ascii="Palatino Linotype" w:hAnsi="Palatino Linotype"/>
          <w:sz w:val="24"/>
          <w:szCs w:val="24"/>
        </w:rPr>
        <w:t>MTR Contract</w:t>
      </w:r>
      <w:r w:rsidRPr="00BF2D08" w:rsidR="00065839">
        <w:rPr>
          <w:rFonts w:ascii="Palatino Linotype" w:hAnsi="Palatino Linotype"/>
          <w:sz w:val="24"/>
          <w:szCs w:val="24"/>
        </w:rPr>
        <w:t xml:space="preserve"> </w:t>
      </w:r>
      <w:r w:rsidR="006B5922">
        <w:rPr>
          <w:rFonts w:ascii="Palatino Linotype" w:hAnsi="Palatino Linotype"/>
          <w:sz w:val="24"/>
          <w:szCs w:val="24"/>
        </w:rPr>
        <w:t>is a</w:t>
      </w:r>
      <w:r w:rsidRPr="00BF2D08" w:rsidR="00972E61">
        <w:rPr>
          <w:rFonts w:ascii="Palatino Linotype" w:hAnsi="Palatino Linotype"/>
          <w:sz w:val="24"/>
          <w:szCs w:val="24"/>
        </w:rPr>
        <w:t xml:space="preserve"> </w:t>
      </w:r>
      <w:r w:rsidRPr="00BF2D08" w:rsidR="006B5922">
        <w:rPr>
          <w:rFonts w:ascii="Palatino Linotype" w:hAnsi="Palatino Linotype"/>
          <w:sz w:val="24"/>
          <w:szCs w:val="24"/>
        </w:rPr>
        <w:t>long-term resource adequacy agreement</w:t>
      </w:r>
      <w:r w:rsidRPr="00BF2D08" w:rsidR="00972E61">
        <w:rPr>
          <w:rFonts w:ascii="Palatino Linotype" w:hAnsi="Palatino Linotype"/>
          <w:sz w:val="24"/>
          <w:szCs w:val="24"/>
        </w:rPr>
        <w:t xml:space="preserve"> with energy settlement </w:t>
      </w:r>
      <w:r w:rsidRPr="00BF2D08" w:rsidR="00415732">
        <w:rPr>
          <w:rFonts w:ascii="Palatino Linotype" w:hAnsi="Palatino Linotype"/>
          <w:sz w:val="24"/>
          <w:szCs w:val="24"/>
        </w:rPr>
        <w:t xml:space="preserve">for </w:t>
      </w:r>
      <w:r w:rsidR="000B03E2">
        <w:rPr>
          <w:rFonts w:ascii="Palatino Linotype" w:hAnsi="Palatino Linotype"/>
          <w:sz w:val="24"/>
          <w:szCs w:val="24"/>
        </w:rPr>
        <w:t>80</w:t>
      </w:r>
      <w:r w:rsidRPr="00BF2D08" w:rsidR="00415732">
        <w:rPr>
          <w:rFonts w:ascii="Palatino Linotype" w:hAnsi="Palatino Linotype"/>
          <w:sz w:val="24"/>
          <w:szCs w:val="24"/>
        </w:rPr>
        <w:t xml:space="preserve"> MW of capacity from the </w:t>
      </w:r>
      <w:r w:rsidR="000B03E2">
        <w:rPr>
          <w:rFonts w:ascii="Palatino Linotype" w:hAnsi="Palatino Linotype"/>
          <w:sz w:val="24"/>
          <w:szCs w:val="24"/>
        </w:rPr>
        <w:t>Pastoria Power Bank Project</w:t>
      </w:r>
      <w:r w:rsidR="00415732">
        <w:rPr>
          <w:rFonts w:ascii="Palatino Linotype" w:hAnsi="Palatino Linotype"/>
          <w:sz w:val="24"/>
          <w:szCs w:val="24"/>
        </w:rPr>
        <w:t xml:space="preserve">. </w:t>
      </w:r>
    </w:p>
    <w:p w:rsidRPr="00BF2D08" w:rsidR="003169C9" w:rsidP="00BF2D08" w:rsidRDefault="000F07AE" w14:paraId="3CD6928B" w14:textId="0C23245D">
      <w:pPr>
        <w:numPr>
          <w:ilvl w:val="0"/>
          <w:numId w:val="1"/>
        </w:numPr>
        <w:spacing w:line="240" w:lineRule="auto"/>
        <w:rPr>
          <w:rFonts w:ascii="Palatino Linotype" w:hAnsi="Palatino Linotype"/>
          <w:sz w:val="24"/>
          <w:szCs w:val="24"/>
        </w:rPr>
      </w:pPr>
      <w:r w:rsidRPr="00BF2D08">
        <w:rPr>
          <w:rFonts w:ascii="Palatino Linotype" w:hAnsi="Palatino Linotype"/>
          <w:sz w:val="24"/>
          <w:szCs w:val="24"/>
        </w:rPr>
        <w:t xml:space="preserve">PG&amp;E’s methodology used to evaluate the bids in the competitive solicitation that resulted in the MTR Contract presented in PG&amp;E AL </w:t>
      </w:r>
      <w:r w:rsidR="007D4DD9">
        <w:rPr>
          <w:rFonts w:ascii="Palatino Linotype" w:hAnsi="Palatino Linotype"/>
          <w:sz w:val="24"/>
          <w:szCs w:val="24"/>
        </w:rPr>
        <w:t>7602</w:t>
      </w:r>
      <w:r w:rsidRPr="00BF2D08">
        <w:rPr>
          <w:rFonts w:ascii="Palatino Linotype" w:hAnsi="Palatino Linotype"/>
          <w:sz w:val="24"/>
          <w:szCs w:val="24"/>
        </w:rPr>
        <w:t>-E is reasonable.</w:t>
      </w:r>
    </w:p>
    <w:p w:rsidRPr="00956F32" w:rsidR="00785377" w:rsidP="00BF2D08" w:rsidRDefault="00785377" w14:paraId="0EC0B112" w14:textId="255362D3">
      <w:pPr>
        <w:numPr>
          <w:ilvl w:val="0"/>
          <w:numId w:val="1"/>
        </w:numPr>
        <w:spacing w:line="240" w:lineRule="auto"/>
        <w:rPr>
          <w:rFonts w:ascii="Palatino Linotype" w:hAnsi="Palatino Linotype"/>
          <w:sz w:val="24"/>
          <w:szCs w:val="24"/>
        </w:rPr>
      </w:pPr>
      <w:r w:rsidRPr="00956F32">
        <w:rPr>
          <w:rFonts w:ascii="Palatino Linotype" w:hAnsi="Palatino Linotype"/>
          <w:sz w:val="24"/>
          <w:szCs w:val="24"/>
        </w:rPr>
        <w:t xml:space="preserve">The MTR </w:t>
      </w:r>
      <w:r w:rsidR="000F07AE">
        <w:rPr>
          <w:rFonts w:ascii="Palatino Linotype" w:hAnsi="Palatino Linotype"/>
          <w:sz w:val="24"/>
          <w:szCs w:val="24"/>
        </w:rPr>
        <w:t>C</w:t>
      </w:r>
      <w:r w:rsidRPr="00956F32">
        <w:rPr>
          <w:rFonts w:ascii="Palatino Linotype" w:hAnsi="Palatino Linotype"/>
          <w:sz w:val="24"/>
          <w:szCs w:val="24"/>
        </w:rPr>
        <w:t>ontract</w:t>
      </w:r>
      <w:r>
        <w:rPr>
          <w:rFonts w:ascii="Palatino Linotype" w:hAnsi="Palatino Linotype"/>
          <w:sz w:val="24"/>
          <w:szCs w:val="24"/>
        </w:rPr>
        <w:t xml:space="preserve"> </w:t>
      </w:r>
      <w:r w:rsidRPr="00956F32">
        <w:rPr>
          <w:rFonts w:ascii="Palatino Linotype" w:hAnsi="Palatino Linotype"/>
          <w:sz w:val="24"/>
          <w:szCs w:val="24"/>
        </w:rPr>
        <w:t xml:space="preserve">presented in </w:t>
      </w:r>
      <w:r>
        <w:rPr>
          <w:rFonts w:ascii="Palatino Linotype" w:hAnsi="Palatino Linotype"/>
          <w:sz w:val="24"/>
          <w:szCs w:val="24"/>
        </w:rPr>
        <w:t>PG&amp;</w:t>
      </w:r>
      <w:r w:rsidRPr="00956F32">
        <w:rPr>
          <w:rFonts w:ascii="Palatino Linotype" w:hAnsi="Palatino Linotype"/>
          <w:sz w:val="24"/>
          <w:szCs w:val="24"/>
        </w:rPr>
        <w:t xml:space="preserve">E AL </w:t>
      </w:r>
      <w:r w:rsidR="007D4DD9">
        <w:rPr>
          <w:rFonts w:ascii="Palatino Linotype" w:hAnsi="Palatino Linotype"/>
          <w:sz w:val="24"/>
          <w:szCs w:val="24"/>
        </w:rPr>
        <w:t>7602</w:t>
      </w:r>
      <w:r w:rsidRPr="00956F32">
        <w:rPr>
          <w:rFonts w:ascii="Palatino Linotype" w:hAnsi="Palatino Linotype"/>
          <w:sz w:val="24"/>
          <w:szCs w:val="24"/>
        </w:rPr>
        <w:t xml:space="preserve">-E </w:t>
      </w:r>
      <w:r w:rsidR="001B25D3">
        <w:rPr>
          <w:rFonts w:ascii="Palatino Linotype" w:hAnsi="Palatino Linotype"/>
          <w:sz w:val="24"/>
          <w:szCs w:val="24"/>
        </w:rPr>
        <w:t xml:space="preserve">is </w:t>
      </w:r>
      <w:r w:rsidRPr="00956F32">
        <w:rPr>
          <w:rFonts w:ascii="Palatino Linotype" w:hAnsi="Palatino Linotype"/>
          <w:sz w:val="24"/>
          <w:szCs w:val="24"/>
        </w:rPr>
        <w:t>reasonable based on the robust competitive solicitation and bid evaluation methodology.</w:t>
      </w:r>
    </w:p>
    <w:p w:rsidR="00BC5177" w:rsidP="00BF2D08" w:rsidRDefault="5A781342" w14:paraId="1155B976" w14:textId="437CE49C">
      <w:pPr>
        <w:numPr>
          <w:ilvl w:val="0"/>
          <w:numId w:val="1"/>
        </w:numPr>
        <w:spacing w:line="240" w:lineRule="auto"/>
        <w:rPr>
          <w:rFonts w:ascii="Palatino Linotype" w:hAnsi="Palatino Linotype"/>
          <w:sz w:val="24"/>
          <w:szCs w:val="24"/>
        </w:rPr>
      </w:pPr>
      <w:r w:rsidRPr="42EA5306">
        <w:rPr>
          <w:rFonts w:ascii="Palatino Linotype" w:hAnsi="Palatino Linotype"/>
          <w:sz w:val="24"/>
          <w:szCs w:val="24"/>
        </w:rPr>
        <w:t xml:space="preserve">PG&amp;E’s </w:t>
      </w:r>
      <w:r w:rsidRPr="42EA5306" w:rsidR="08D7F773">
        <w:rPr>
          <w:rFonts w:ascii="Palatino Linotype" w:hAnsi="Palatino Linotype"/>
          <w:sz w:val="24"/>
          <w:szCs w:val="24"/>
        </w:rPr>
        <w:t xml:space="preserve">request </w:t>
      </w:r>
      <w:r w:rsidRPr="42EA5306">
        <w:rPr>
          <w:rFonts w:ascii="Palatino Linotype" w:hAnsi="Palatino Linotype"/>
          <w:sz w:val="24"/>
          <w:szCs w:val="24"/>
        </w:rPr>
        <w:t xml:space="preserve">in AL </w:t>
      </w:r>
      <w:r w:rsidR="007D4DD9">
        <w:rPr>
          <w:rFonts w:ascii="Palatino Linotype" w:hAnsi="Palatino Linotype"/>
          <w:sz w:val="24"/>
          <w:szCs w:val="24"/>
        </w:rPr>
        <w:t>7602</w:t>
      </w:r>
      <w:r w:rsidRPr="42EA5306">
        <w:rPr>
          <w:rFonts w:ascii="Palatino Linotype" w:hAnsi="Palatino Linotype"/>
          <w:sz w:val="24"/>
          <w:szCs w:val="24"/>
        </w:rPr>
        <w:t xml:space="preserve">-E to allocate the benefits and costs of the </w:t>
      </w:r>
      <w:r w:rsidRPr="42EA5306" w:rsidR="08D7F773">
        <w:rPr>
          <w:rFonts w:ascii="Palatino Linotype" w:hAnsi="Palatino Linotype"/>
          <w:sz w:val="24"/>
          <w:szCs w:val="24"/>
        </w:rPr>
        <w:t>MTR C</w:t>
      </w:r>
      <w:r w:rsidRPr="42EA5306">
        <w:rPr>
          <w:rFonts w:ascii="Palatino Linotype" w:hAnsi="Palatino Linotype"/>
          <w:sz w:val="24"/>
          <w:szCs w:val="24"/>
        </w:rPr>
        <w:t xml:space="preserve">ontract to applicable customers </w:t>
      </w:r>
      <w:r w:rsidRPr="42EA5306" w:rsidR="08D7F773">
        <w:rPr>
          <w:rFonts w:ascii="Palatino Linotype" w:hAnsi="Palatino Linotype"/>
          <w:sz w:val="24"/>
          <w:szCs w:val="24"/>
        </w:rPr>
        <w:t xml:space="preserve">via </w:t>
      </w:r>
      <w:r w:rsidRPr="42EA5306" w:rsidR="08D7F773">
        <w:rPr>
          <w:rFonts w:ascii="Palatino Linotype" w:hAnsi="Palatino Linotype" w:eastAsia="Palatino Linotype" w:cs="Palatino Linotype"/>
          <w:sz w:val="24"/>
          <w:szCs w:val="24"/>
        </w:rPr>
        <w:t xml:space="preserve">the 2023 vintage </w:t>
      </w:r>
      <w:r w:rsidRPr="42EA5306" w:rsidR="49C0CB8E">
        <w:rPr>
          <w:rFonts w:ascii="Palatino Linotype" w:hAnsi="Palatino Linotype" w:eastAsia="Palatino Linotype" w:cs="Palatino Linotype"/>
          <w:sz w:val="24"/>
          <w:szCs w:val="24"/>
        </w:rPr>
        <w:t>balancing accounts</w:t>
      </w:r>
      <w:r w:rsidRPr="42EA5306" w:rsidR="08D7F773">
        <w:rPr>
          <w:rFonts w:ascii="Palatino Linotype" w:hAnsi="Palatino Linotype" w:eastAsia="Palatino Linotype" w:cs="Palatino Linotype"/>
          <w:sz w:val="24"/>
          <w:szCs w:val="24"/>
        </w:rPr>
        <w:t xml:space="preserve"> is reasonable.</w:t>
      </w:r>
    </w:p>
    <w:p w:rsidRPr="00173D58" w:rsidR="00B84E68" w:rsidP="002F48AB" w:rsidRDefault="00ED3909" w14:paraId="66EBA19C" w14:textId="7EF30BC1">
      <w:pPr>
        <w:keepNext/>
        <w:spacing w:before="240" w:after="120" w:line="240" w:lineRule="auto"/>
        <w:outlineLvl w:val="0"/>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lastRenderedPageBreak/>
        <w:t>THEREFORE,</w:t>
      </w:r>
      <w:r w:rsidRPr="00173D58" w:rsidR="00B84E68">
        <w:rPr>
          <w:rFonts w:ascii="Palatino Linotype" w:hAnsi="Palatino Linotype" w:eastAsia="Times New Roman" w:cs="Times New Roman"/>
          <w:b/>
          <w:caps/>
          <w:kern w:val="28"/>
          <w:sz w:val="24"/>
          <w:szCs w:val="24"/>
          <w:u w:val="single"/>
          <w14:ligatures w14:val="none"/>
        </w:rPr>
        <w:t xml:space="preserve"> it is ordered that:</w:t>
      </w:r>
    </w:p>
    <w:p w:rsidR="00050870" w:rsidP="002F48AB" w:rsidRDefault="00387D0B" w14:paraId="5C3C19BC" w14:textId="115512C8">
      <w:pPr>
        <w:numPr>
          <w:ilvl w:val="0"/>
          <w:numId w:val="2"/>
        </w:numPr>
        <w:spacing w:after="0" w:line="240" w:lineRule="auto"/>
        <w:rPr>
          <w:rFonts w:ascii="Palatino Linotype" w:hAnsi="Palatino Linotype" w:eastAsia="Palatino Linotype"/>
          <w:snapToGrid w:val="0"/>
          <w:sz w:val="24"/>
          <w:szCs w:val="24"/>
        </w:rPr>
      </w:pPr>
      <w:r w:rsidRPr="00D865A9">
        <w:rPr>
          <w:rFonts w:ascii="Palatino Linotype" w:hAnsi="Palatino Linotype" w:eastAsia="Palatino Linotype"/>
          <w:snapToGrid w:val="0"/>
          <w:sz w:val="24"/>
          <w:szCs w:val="24"/>
        </w:rPr>
        <w:t xml:space="preserve">The request of </w:t>
      </w:r>
      <w:r>
        <w:rPr>
          <w:rFonts w:ascii="Palatino Linotype" w:hAnsi="Palatino Linotype" w:eastAsia="Palatino Linotype"/>
          <w:snapToGrid w:val="0"/>
          <w:sz w:val="24"/>
          <w:szCs w:val="24"/>
        </w:rPr>
        <w:t xml:space="preserve">Pacific Gas and Electric Company for approval of the </w:t>
      </w:r>
      <w:r w:rsidR="00054887">
        <w:rPr>
          <w:rFonts w:ascii="Palatino Linotype" w:hAnsi="Palatino Linotype" w:eastAsia="Palatino Linotype"/>
          <w:snapToGrid w:val="0"/>
          <w:sz w:val="24"/>
          <w:szCs w:val="24"/>
        </w:rPr>
        <w:t>Pastoria Power Bank Project</w:t>
      </w:r>
      <w:r w:rsidRPr="00296F91" w:rsidR="00296F91">
        <w:rPr>
          <w:rFonts w:ascii="Palatino Linotype" w:hAnsi="Palatino Linotype" w:eastAsia="Palatino Linotype"/>
          <w:snapToGrid w:val="0"/>
          <w:sz w:val="24"/>
          <w:szCs w:val="24"/>
        </w:rPr>
        <w:t xml:space="preserve"> </w:t>
      </w:r>
      <w:r>
        <w:rPr>
          <w:rFonts w:ascii="Palatino Linotype" w:hAnsi="Palatino Linotype" w:eastAsia="Palatino Linotype"/>
          <w:snapToGrid w:val="0"/>
          <w:sz w:val="24"/>
          <w:szCs w:val="24"/>
        </w:rPr>
        <w:t>mid-term reliability contract</w:t>
      </w:r>
      <w:r w:rsidR="00054887">
        <w:rPr>
          <w:rFonts w:ascii="Palatino Linotype" w:hAnsi="Palatino Linotype" w:eastAsia="Palatino Linotype"/>
          <w:snapToGrid w:val="0"/>
          <w:sz w:val="24"/>
          <w:szCs w:val="24"/>
        </w:rPr>
        <w:t xml:space="preserve"> </w:t>
      </w:r>
      <w:r>
        <w:rPr>
          <w:rFonts w:ascii="Palatino Linotype" w:hAnsi="Palatino Linotype" w:eastAsia="Palatino Linotype"/>
          <w:snapToGrid w:val="0"/>
          <w:sz w:val="24"/>
          <w:szCs w:val="24"/>
        </w:rPr>
        <w:t>and related cost</w:t>
      </w:r>
      <w:r w:rsidR="00735FC3">
        <w:rPr>
          <w:rFonts w:ascii="Palatino Linotype" w:hAnsi="Palatino Linotype" w:eastAsia="Palatino Linotype"/>
          <w:snapToGrid w:val="0"/>
          <w:sz w:val="24"/>
          <w:szCs w:val="24"/>
        </w:rPr>
        <w:t>s</w:t>
      </w:r>
      <w:r>
        <w:rPr>
          <w:rFonts w:ascii="Palatino Linotype" w:hAnsi="Palatino Linotype" w:eastAsia="Palatino Linotype"/>
          <w:snapToGrid w:val="0"/>
          <w:sz w:val="24"/>
          <w:szCs w:val="24"/>
        </w:rPr>
        <w:t xml:space="preserve">, </w:t>
      </w:r>
      <w:r w:rsidRPr="00D865A9">
        <w:rPr>
          <w:rFonts w:ascii="Palatino Linotype" w:hAnsi="Palatino Linotype" w:eastAsia="Palatino Linotype"/>
          <w:snapToGrid w:val="0"/>
          <w:sz w:val="24"/>
          <w:szCs w:val="24"/>
        </w:rPr>
        <w:t xml:space="preserve">as requested in Advice Letter </w:t>
      </w:r>
      <w:r w:rsidR="007D4DD9">
        <w:rPr>
          <w:rFonts w:ascii="Palatino Linotype" w:hAnsi="Palatino Linotype" w:eastAsia="Palatino Linotype"/>
          <w:sz w:val="24"/>
          <w:szCs w:val="24"/>
        </w:rPr>
        <w:t>7602</w:t>
      </w:r>
      <w:r>
        <w:rPr>
          <w:rFonts w:ascii="Palatino Linotype" w:hAnsi="Palatino Linotype" w:eastAsia="Palatino Linotype"/>
          <w:sz w:val="24"/>
          <w:szCs w:val="24"/>
        </w:rPr>
        <w:t>-</w:t>
      </w:r>
      <w:r w:rsidRPr="00D865A9">
        <w:rPr>
          <w:rFonts w:ascii="Palatino Linotype" w:hAnsi="Palatino Linotype" w:eastAsia="Palatino Linotype"/>
          <w:sz w:val="24"/>
          <w:szCs w:val="24"/>
        </w:rPr>
        <w:t>E</w:t>
      </w:r>
      <w:r>
        <w:rPr>
          <w:rFonts w:ascii="Palatino Linotype" w:hAnsi="Palatino Linotype" w:eastAsia="Palatino Linotype"/>
          <w:sz w:val="24"/>
          <w:szCs w:val="24"/>
        </w:rPr>
        <w:t>,</w:t>
      </w:r>
      <w:r w:rsidRPr="00D865A9">
        <w:rPr>
          <w:rFonts w:ascii="Palatino Linotype" w:hAnsi="Palatino Linotype" w:eastAsia="Palatino Linotype"/>
          <w:sz w:val="24"/>
          <w:szCs w:val="24"/>
        </w:rPr>
        <w:t xml:space="preserve"> </w:t>
      </w:r>
      <w:r w:rsidRPr="00D865A9">
        <w:rPr>
          <w:rFonts w:ascii="Palatino Linotype" w:hAnsi="Palatino Linotype" w:eastAsia="Palatino Linotype"/>
          <w:snapToGrid w:val="0"/>
          <w:sz w:val="24"/>
          <w:szCs w:val="24"/>
        </w:rPr>
        <w:t>is approved</w:t>
      </w:r>
      <w:r>
        <w:rPr>
          <w:rFonts w:ascii="Palatino Linotype" w:hAnsi="Palatino Linotype" w:eastAsia="Palatino Linotype"/>
          <w:snapToGrid w:val="0"/>
          <w:sz w:val="24"/>
          <w:szCs w:val="24"/>
        </w:rPr>
        <w:t>.</w:t>
      </w:r>
      <w:r w:rsidRPr="00D865A9">
        <w:rPr>
          <w:rFonts w:ascii="Palatino Linotype" w:hAnsi="Palatino Linotype" w:eastAsia="Palatino Linotype"/>
          <w:snapToGrid w:val="0"/>
          <w:sz w:val="24"/>
          <w:szCs w:val="24"/>
        </w:rPr>
        <w:t xml:space="preserve">  </w:t>
      </w:r>
    </w:p>
    <w:p w:rsidRPr="002F48AB" w:rsidR="002F48AB" w:rsidP="002F48AB" w:rsidRDefault="002F48AB" w14:paraId="2AEF9CD5" w14:textId="77777777">
      <w:pPr>
        <w:spacing w:after="0" w:line="240" w:lineRule="auto"/>
        <w:ind w:left="360"/>
        <w:rPr>
          <w:rFonts w:ascii="Palatino Linotype" w:hAnsi="Palatino Linotype" w:eastAsia="Palatino Linotype"/>
          <w:snapToGrid w:val="0"/>
          <w:sz w:val="16"/>
          <w:szCs w:val="16"/>
        </w:rPr>
      </w:pPr>
    </w:p>
    <w:p w:rsidR="00AC38EA" w:rsidP="00D74D45" w:rsidRDefault="00AC38EA" w14:paraId="08B430CB" w14:textId="77777777">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eastAsiaTheme="majorEastAsia"/>
        </w:rPr>
        <w:t>This Resolution is effective today.</w:t>
      </w:r>
      <w:r>
        <w:rPr>
          <w:rStyle w:val="eop"/>
          <w:rFonts w:ascii="Palatino Linotype" w:hAnsi="Palatino Linotype" w:cs="Segoe UI" w:eastAsiaTheme="majorEastAsia"/>
        </w:rPr>
        <w:t> </w:t>
      </w:r>
    </w:p>
    <w:p w:rsidRPr="002F48AB" w:rsidR="00AC38EA" w:rsidP="00D74D45" w:rsidRDefault="00AC38EA" w14:paraId="03C09A04" w14:textId="77777777">
      <w:pPr>
        <w:pStyle w:val="paragraph"/>
        <w:spacing w:before="0" w:beforeAutospacing="0" w:after="0" w:afterAutospacing="0"/>
        <w:textAlignment w:val="baseline"/>
        <w:rPr>
          <w:rFonts w:ascii="Segoe UI" w:hAnsi="Segoe UI" w:cs="Segoe UI"/>
          <w:sz w:val="16"/>
          <w:szCs w:val="16"/>
        </w:rPr>
      </w:pPr>
      <w:r>
        <w:rPr>
          <w:rStyle w:val="eop"/>
          <w:rFonts w:ascii="Palatino Linotype" w:hAnsi="Palatino Linotype" w:cs="Segoe UI" w:eastAsiaTheme="majorEastAsia"/>
        </w:rPr>
        <w:t> </w:t>
      </w:r>
    </w:p>
    <w:p w:rsidR="00AC38EA" w:rsidP="00D74D45" w:rsidRDefault="00AC38EA" w14:paraId="0EE13CC2" w14:textId="0A9ACFE1">
      <w:pPr>
        <w:pStyle w:val="paragraph"/>
        <w:spacing w:before="0" w:beforeAutospacing="0" w:after="0" w:afterAutospacing="0"/>
        <w:textAlignment w:val="baseline"/>
        <w:rPr>
          <w:rStyle w:val="eop"/>
          <w:rFonts w:ascii="Palatino Linotype" w:hAnsi="Palatino Linotype" w:cs="Segoe UI" w:eastAsiaTheme="majorEastAsia"/>
        </w:rPr>
      </w:pPr>
      <w:r>
        <w:rPr>
          <w:rStyle w:val="normaltextrun"/>
          <w:rFonts w:ascii="Palatino Linotype" w:hAnsi="Palatino Linotype" w:cs="Segoe UI" w:eastAsiaTheme="majorEastAsia"/>
        </w:rPr>
        <w:t xml:space="preserve">The foregoing resolution was duly introduced, passed and adopted at a conference of the Public Utilities Commission of the State of California held on </w:t>
      </w:r>
      <w:r w:rsidRPr="00B353F9" w:rsidR="00886A86">
        <w:rPr>
          <w:rStyle w:val="normaltextrun"/>
          <w:rFonts w:ascii="Palatino Linotype" w:hAnsi="Palatino Linotype" w:cs="Segoe UI" w:eastAsiaTheme="majorEastAsia"/>
        </w:rPr>
        <w:t>August 14</w:t>
      </w:r>
      <w:r w:rsidRPr="00B353F9">
        <w:rPr>
          <w:rStyle w:val="normaltextrun"/>
          <w:rFonts w:ascii="Palatino Linotype" w:hAnsi="Palatino Linotype" w:cs="Segoe UI" w:eastAsiaTheme="majorEastAsia"/>
        </w:rPr>
        <w:t>, 2025</w:t>
      </w:r>
      <w:r w:rsidRPr="00B353F9" w:rsidR="00050870">
        <w:rPr>
          <w:rStyle w:val="normaltextrun"/>
          <w:rFonts w:ascii="Palatino Linotype" w:hAnsi="Palatino Linotype" w:cs="Segoe UI" w:eastAsiaTheme="majorEastAsia"/>
        </w:rPr>
        <w:t>,</w:t>
      </w:r>
      <w:r w:rsidRPr="00050870" w:rsidR="00050870">
        <w:rPr>
          <w:rStyle w:val="normaltextrun"/>
          <w:rFonts w:ascii="Palatino Linotype" w:hAnsi="Palatino Linotype" w:cs="Segoe UI" w:eastAsiaTheme="majorEastAsia"/>
        </w:rPr>
        <w:t xml:space="preserve"> </w:t>
      </w:r>
      <w:r>
        <w:rPr>
          <w:rStyle w:val="normaltextrun"/>
          <w:rFonts w:ascii="Palatino Linotype" w:hAnsi="Palatino Linotype" w:cs="Segoe UI" w:eastAsiaTheme="majorEastAsia"/>
        </w:rPr>
        <w:t>the following Commissioners voting favorably thereon:</w:t>
      </w:r>
      <w:r>
        <w:rPr>
          <w:rStyle w:val="eop"/>
          <w:rFonts w:ascii="Palatino Linotype" w:hAnsi="Palatino Linotype" w:cs="Segoe UI" w:eastAsiaTheme="majorEastAsia"/>
        </w:rPr>
        <w:t> </w:t>
      </w:r>
    </w:p>
    <w:p w:rsidRPr="00083C29" w:rsidR="00050870" w:rsidP="00D74D45" w:rsidRDefault="00050870" w14:paraId="71E4A5E1" w14:textId="77777777">
      <w:pPr>
        <w:pStyle w:val="paragraph"/>
        <w:spacing w:before="0" w:beforeAutospacing="0" w:after="0" w:afterAutospacing="0"/>
        <w:textAlignment w:val="baseline"/>
        <w:rPr>
          <w:rStyle w:val="eop"/>
          <w:rFonts w:ascii="Palatino Linotype" w:hAnsi="Palatino Linotype" w:cs="Segoe UI" w:eastAsiaTheme="majorEastAsia"/>
          <w:sz w:val="16"/>
          <w:szCs w:val="16"/>
        </w:rPr>
      </w:pPr>
    </w:p>
    <w:p w:rsidRPr="00083C29" w:rsidR="00EB4497" w:rsidP="00D74D45" w:rsidRDefault="00EB4497" w14:paraId="6594D671" w14:textId="77777777">
      <w:pPr>
        <w:pStyle w:val="paragraph"/>
        <w:spacing w:before="0" w:beforeAutospacing="0" w:after="0" w:afterAutospacing="0"/>
        <w:textAlignment w:val="baseline"/>
        <w:rPr>
          <w:rStyle w:val="normaltextrun"/>
          <w:rFonts w:ascii="Palatino Linotype" w:hAnsi="Palatino Linotype" w:eastAsiaTheme="majorEastAsia"/>
          <w:color w:val="000000"/>
          <w:sz w:val="16"/>
          <w:szCs w:val="16"/>
          <w:shd w:val="clear" w:color="auto" w:fill="FFFFFF"/>
        </w:rPr>
      </w:pPr>
    </w:p>
    <w:p w:rsidRPr="00B353F9" w:rsidR="008A6D7E" w:rsidP="008A6D7E" w:rsidRDefault="008A6D7E" w14:paraId="330D4B78" w14:textId="77777777">
      <w:pPr>
        <w:keepNext/>
        <w:tabs>
          <w:tab w:val="left" w:pos="720"/>
          <w:tab w:val="left" w:pos="1296"/>
          <w:tab w:val="left" w:pos="2016"/>
          <w:tab w:val="left" w:pos="2736"/>
          <w:tab w:val="left" w:pos="3456"/>
          <w:tab w:val="left" w:pos="4176"/>
          <w:tab w:val="left" w:pos="5760"/>
        </w:tabs>
        <w:spacing w:after="0" w:line="240" w:lineRule="auto"/>
        <w:ind w:firstLine="4176"/>
        <w:jc w:val="right"/>
        <w:rPr>
          <w:rFonts w:ascii="Palatino Linotype" w:hAnsi="Palatino Linotype" w:eastAsia="Palatino Linotype" w:cs="Times New Roman"/>
          <w:sz w:val="24"/>
          <w:szCs w:val="24"/>
        </w:rPr>
      </w:pPr>
      <w:r w:rsidRPr="00B353F9">
        <w:rPr>
          <w:rFonts w:ascii="Palatino Linotype" w:hAnsi="Palatino Linotype" w:eastAsia="Palatino Linotype" w:cs="Times New Roman"/>
          <w:sz w:val="24"/>
          <w:szCs w:val="24"/>
        </w:rPr>
        <w:t xml:space="preserve">Commissioner Signature blocks to be added </w:t>
      </w:r>
    </w:p>
    <w:p w:rsidRPr="00B353F9" w:rsidR="008A6D7E" w:rsidP="008A6D7E" w:rsidRDefault="008A6D7E" w14:paraId="201510D7" w14:textId="77777777">
      <w:pPr>
        <w:keepNext/>
        <w:tabs>
          <w:tab w:val="left" w:pos="720"/>
          <w:tab w:val="left" w:pos="1296"/>
          <w:tab w:val="left" w:pos="2016"/>
          <w:tab w:val="left" w:pos="2736"/>
          <w:tab w:val="left" w:pos="3456"/>
          <w:tab w:val="left" w:pos="4176"/>
          <w:tab w:val="left" w:pos="5760"/>
        </w:tabs>
        <w:spacing w:after="0" w:line="240" w:lineRule="auto"/>
        <w:ind w:firstLine="4176"/>
        <w:jc w:val="right"/>
        <w:rPr>
          <w:rFonts w:ascii="Palatino Linotype" w:hAnsi="Palatino Linotype" w:eastAsia="Palatino Linotype" w:cs="Times New Roman"/>
          <w:sz w:val="24"/>
          <w:szCs w:val="24"/>
        </w:rPr>
      </w:pPr>
      <w:r w:rsidRPr="00B353F9">
        <w:rPr>
          <w:rFonts w:ascii="Palatino Linotype" w:hAnsi="Palatino Linotype" w:eastAsia="Palatino Linotype" w:cs="Times New Roman"/>
          <w:sz w:val="24"/>
          <w:szCs w:val="24"/>
        </w:rPr>
        <w:t>upon adoption of the resolution</w:t>
      </w:r>
    </w:p>
    <w:p w:rsidRPr="00B353F9" w:rsidR="00EB4497" w:rsidP="008A6D7E" w:rsidRDefault="00EB4497" w14:paraId="321701A2" w14:textId="77777777">
      <w:pPr>
        <w:pStyle w:val="paragraph"/>
        <w:spacing w:before="0" w:beforeAutospacing="0" w:after="0" w:afterAutospacing="0"/>
        <w:jc w:val="right"/>
        <w:textAlignment w:val="baseline"/>
        <w:rPr>
          <w:rStyle w:val="normaltextrun"/>
          <w:rFonts w:ascii="Palatino Linotype" w:hAnsi="Palatino Linotype" w:eastAsiaTheme="majorEastAsia"/>
          <w:color w:val="000000"/>
          <w:sz w:val="16"/>
          <w:szCs w:val="16"/>
          <w:shd w:val="clear" w:color="auto" w:fill="FFFFFF"/>
        </w:rPr>
      </w:pPr>
    </w:p>
    <w:p w:rsidRPr="00B353F9" w:rsidR="00EB4497" w:rsidP="00D74D45" w:rsidRDefault="00EB4497" w14:paraId="096FFE22" w14:textId="77777777">
      <w:pPr>
        <w:pStyle w:val="paragraph"/>
        <w:spacing w:before="0" w:beforeAutospacing="0" w:after="0" w:afterAutospacing="0"/>
        <w:textAlignment w:val="baseline"/>
        <w:rPr>
          <w:rStyle w:val="normaltextrun"/>
          <w:rFonts w:ascii="Palatino Linotype" w:hAnsi="Palatino Linotype" w:eastAsiaTheme="majorEastAsia"/>
          <w:color w:val="000000"/>
          <w:sz w:val="16"/>
          <w:szCs w:val="16"/>
          <w:shd w:val="clear" w:color="auto" w:fill="FFFFFF"/>
        </w:rPr>
      </w:pPr>
    </w:p>
    <w:p w:rsidRPr="00B353F9" w:rsidR="00083C29" w:rsidP="00D74D45" w:rsidRDefault="00083C29" w14:paraId="21C17F74" w14:textId="77777777">
      <w:pPr>
        <w:pStyle w:val="paragraph"/>
        <w:spacing w:before="0" w:beforeAutospacing="0" w:after="0" w:afterAutospacing="0"/>
        <w:textAlignment w:val="baseline"/>
        <w:rPr>
          <w:rStyle w:val="normaltextrun"/>
          <w:rFonts w:ascii="Palatino Linotype" w:hAnsi="Palatino Linotype" w:eastAsiaTheme="majorEastAsia"/>
          <w:color w:val="000000"/>
          <w:sz w:val="16"/>
          <w:szCs w:val="16"/>
          <w:shd w:val="clear" w:color="auto" w:fill="FFFFFF"/>
        </w:rPr>
      </w:pPr>
    </w:p>
    <w:p w:rsidRPr="00B353F9" w:rsidR="00083C29" w:rsidP="00D74D45" w:rsidRDefault="00083C29" w14:paraId="351C0AD1" w14:textId="77777777">
      <w:pPr>
        <w:pStyle w:val="paragraph"/>
        <w:spacing w:before="0" w:beforeAutospacing="0" w:after="0" w:afterAutospacing="0"/>
        <w:textAlignment w:val="baseline"/>
        <w:rPr>
          <w:rStyle w:val="normaltextrun"/>
          <w:rFonts w:ascii="Palatino Linotype" w:hAnsi="Palatino Linotype" w:eastAsiaTheme="majorEastAsia"/>
          <w:color w:val="000000"/>
          <w:sz w:val="16"/>
          <w:szCs w:val="16"/>
          <w:shd w:val="clear" w:color="auto" w:fill="FFFFFF"/>
        </w:rPr>
      </w:pPr>
    </w:p>
    <w:p w:rsidRPr="00B353F9" w:rsidR="008A6D7E" w:rsidP="00D74D45" w:rsidRDefault="008A6D7E" w14:paraId="49C443EF" w14:textId="77777777">
      <w:pPr>
        <w:pStyle w:val="paragraph"/>
        <w:spacing w:before="0" w:beforeAutospacing="0" w:after="0" w:afterAutospacing="0"/>
        <w:textAlignment w:val="baseline"/>
        <w:rPr>
          <w:rStyle w:val="normaltextrun"/>
          <w:rFonts w:ascii="Palatino Linotype" w:hAnsi="Palatino Linotype" w:eastAsiaTheme="majorEastAsia"/>
          <w:color w:val="000000"/>
          <w:sz w:val="16"/>
          <w:szCs w:val="16"/>
          <w:shd w:val="clear" w:color="auto" w:fill="FFFFFF"/>
        </w:rPr>
      </w:pPr>
    </w:p>
    <w:p w:rsidR="00841F54" w:rsidP="00062B1F" w:rsidRDefault="00852633" w14:paraId="60AAB78E" w14:textId="6E18DBE3">
      <w:pPr>
        <w:pStyle w:val="paragraph"/>
        <w:spacing w:before="0" w:beforeAutospacing="0" w:after="0" w:afterAutospacing="0"/>
        <w:textAlignment w:val="baseline"/>
        <w:rPr>
          <w:rStyle w:val="eop"/>
          <w:rFonts w:ascii="Palatino Linotype" w:hAnsi="Palatino Linotype" w:eastAsiaTheme="majorEastAsia"/>
          <w:color w:val="000000"/>
          <w:shd w:val="clear" w:color="auto" w:fill="FFFFFF"/>
        </w:rPr>
      </w:pPr>
      <w:r w:rsidRPr="00B353F9">
        <w:rPr>
          <w:rStyle w:val="normaltextrun"/>
          <w:rFonts w:ascii="Palatino Linotype" w:hAnsi="Palatino Linotype" w:eastAsiaTheme="majorEastAsia"/>
          <w:color w:val="000000"/>
          <w:shd w:val="clear" w:color="auto" w:fill="FFFFFF"/>
        </w:rPr>
        <w:t>Dated </w:t>
      </w:r>
      <w:r w:rsidRPr="00B353F9">
        <w:rPr>
          <w:rStyle w:val="normaltextrun"/>
          <w:rFonts w:ascii="Palatino Linotype" w:hAnsi="Palatino Linotype" w:eastAsiaTheme="majorEastAsia"/>
          <w:color w:val="000000"/>
          <w:u w:val="single"/>
          <w:shd w:val="clear" w:color="auto" w:fill="FFFFFF"/>
        </w:rPr>
        <w:t xml:space="preserve">                                                                   </w:t>
      </w:r>
      <w:r w:rsidRPr="00B353F9">
        <w:rPr>
          <w:rStyle w:val="normaltextrun"/>
          <w:rFonts w:ascii="Palatino Linotype" w:hAnsi="Palatino Linotype" w:eastAsiaTheme="majorEastAsia"/>
          <w:color w:val="000000"/>
          <w:shd w:val="clear" w:color="auto" w:fill="FFFFFF"/>
        </w:rPr>
        <w:t>, at Sacramento</w:t>
      </w:r>
      <w:r w:rsidR="00B353F9">
        <w:rPr>
          <w:rStyle w:val="normaltextrun"/>
          <w:rFonts w:ascii="Palatino Linotype" w:hAnsi="Palatino Linotype" w:eastAsiaTheme="majorEastAsia"/>
          <w:color w:val="000000"/>
          <w:shd w:val="clear" w:color="auto" w:fill="FFFFFF"/>
        </w:rPr>
        <w:t>,</w:t>
      </w:r>
      <w:r w:rsidRPr="00B353F9">
        <w:rPr>
          <w:rStyle w:val="normaltextrun"/>
          <w:rFonts w:ascii="Palatino Linotype" w:hAnsi="Palatino Linotype" w:eastAsiaTheme="majorEastAsia"/>
          <w:color w:val="000000"/>
          <w:shd w:val="clear" w:color="auto" w:fill="FFFFFF"/>
        </w:rPr>
        <w:t xml:space="preserve"> California</w:t>
      </w:r>
      <w:r w:rsidR="00B353F9">
        <w:rPr>
          <w:rStyle w:val="normaltextrun"/>
          <w:rFonts w:ascii="Palatino Linotype" w:hAnsi="Palatino Linotype" w:eastAsiaTheme="majorEastAsia"/>
          <w:color w:val="000000"/>
          <w:shd w:val="clear" w:color="auto" w:fill="FFFFFF"/>
        </w:rPr>
        <w:t>.</w:t>
      </w:r>
      <w:r>
        <w:rPr>
          <w:rStyle w:val="tabchar"/>
          <w:rFonts w:ascii="Calibri" w:hAnsi="Calibri" w:cs="Calibri" w:eastAsiaTheme="majorEastAsia"/>
          <w:color w:val="000000"/>
          <w:shd w:val="clear" w:color="auto" w:fill="FFFFFF"/>
        </w:rPr>
        <w:tab/>
      </w:r>
      <w:r>
        <w:rPr>
          <w:rStyle w:val="eop"/>
          <w:rFonts w:ascii="Palatino Linotype" w:hAnsi="Palatino Linotype" w:eastAsiaTheme="majorEastAsia"/>
          <w:color w:val="000000"/>
          <w:shd w:val="clear" w:color="auto" w:fill="FFFFFF"/>
        </w:rPr>
        <w:t> </w:t>
      </w:r>
    </w:p>
    <w:p w:rsidR="00EB20AD" w:rsidP="00062B1F" w:rsidRDefault="00EB20AD" w14:paraId="241E8D50" w14:textId="77777777">
      <w:pPr>
        <w:pStyle w:val="paragraph"/>
        <w:spacing w:before="0" w:beforeAutospacing="0" w:after="0" w:afterAutospacing="0"/>
        <w:textAlignment w:val="baseline"/>
        <w:rPr>
          <w:rStyle w:val="eop"/>
          <w:rFonts w:ascii="Palatino Linotype" w:hAnsi="Palatino Linotype" w:eastAsiaTheme="majorEastAsia"/>
          <w:color w:val="000000"/>
          <w:shd w:val="clear" w:color="auto" w:fill="FFFFFF"/>
        </w:rPr>
      </w:pPr>
    </w:p>
    <w:p w:rsidR="002815C6" w:rsidP="00062B1F" w:rsidRDefault="002815C6" w14:paraId="78A57E0B" w14:textId="77777777">
      <w:pPr>
        <w:pStyle w:val="paragraph"/>
        <w:spacing w:before="0" w:beforeAutospacing="0" w:after="0" w:afterAutospacing="0"/>
        <w:textAlignment w:val="baseline"/>
        <w:rPr>
          <w:rStyle w:val="eop"/>
          <w:rFonts w:ascii="Palatino Linotype" w:hAnsi="Palatino Linotype" w:eastAsiaTheme="majorEastAsia"/>
          <w:color w:val="000000"/>
          <w:shd w:val="clear" w:color="auto" w:fill="FFFFFF"/>
        </w:rPr>
      </w:pPr>
    </w:p>
    <w:p w:rsidR="002815C6" w:rsidRDefault="002815C6" w14:paraId="05A79636" w14:textId="093A5563">
      <w:pPr>
        <w:rPr>
          <w:rStyle w:val="eop"/>
          <w:rFonts w:ascii="Palatino Linotype" w:hAnsi="Palatino Linotype" w:cs="Times New Roman" w:eastAsiaTheme="majorEastAsia"/>
          <w:color w:val="000000"/>
          <w:kern w:val="0"/>
          <w:sz w:val="24"/>
          <w:szCs w:val="24"/>
          <w:shd w:val="clear" w:color="auto" w:fill="FFFFFF"/>
          <w14:ligatures w14:val="none"/>
        </w:rPr>
      </w:pPr>
      <w:r>
        <w:rPr>
          <w:rStyle w:val="eop"/>
          <w:rFonts w:ascii="Palatino Linotype" w:hAnsi="Palatino Linotype" w:eastAsiaTheme="majorEastAsia"/>
          <w:color w:val="000000"/>
          <w:shd w:val="clear" w:color="auto" w:fill="FFFFFF"/>
        </w:rPr>
        <w:br w:type="page"/>
      </w:r>
    </w:p>
    <w:p w:rsidR="002815C6" w:rsidP="00062B1F" w:rsidRDefault="002815C6" w14:paraId="1DEA5A2F" w14:textId="77777777">
      <w:pPr>
        <w:pStyle w:val="paragraph"/>
        <w:spacing w:before="0" w:beforeAutospacing="0" w:after="0" w:afterAutospacing="0"/>
        <w:textAlignment w:val="baseline"/>
        <w:rPr>
          <w:rFonts w:ascii="Palatino Linotype" w:hAnsi="Palatino Linotype" w:cs="Segoe UI" w:eastAsiaTheme="majorEastAsia"/>
        </w:rPr>
      </w:pPr>
    </w:p>
    <w:p w:rsidR="002815C6" w:rsidP="00062B1F" w:rsidRDefault="002815C6" w14:paraId="0916CA54" w14:textId="77777777">
      <w:pPr>
        <w:pStyle w:val="paragraph"/>
        <w:spacing w:before="0" w:beforeAutospacing="0" w:after="0" w:afterAutospacing="0"/>
        <w:textAlignment w:val="baseline"/>
        <w:rPr>
          <w:rFonts w:ascii="Palatino Linotype" w:hAnsi="Palatino Linotype" w:cs="Segoe UI" w:eastAsiaTheme="majorEastAsia"/>
        </w:rPr>
      </w:pPr>
    </w:p>
    <w:p w:rsidR="002815C6" w:rsidP="00062B1F" w:rsidRDefault="002815C6" w14:paraId="5DD21CE1" w14:textId="77777777">
      <w:pPr>
        <w:pStyle w:val="paragraph"/>
        <w:spacing w:before="0" w:beforeAutospacing="0" w:after="0" w:afterAutospacing="0"/>
        <w:textAlignment w:val="baseline"/>
        <w:rPr>
          <w:rFonts w:ascii="Palatino Linotype" w:hAnsi="Palatino Linotype" w:cs="Segoe UI" w:eastAsiaTheme="majorEastAsia"/>
        </w:rPr>
      </w:pPr>
    </w:p>
    <w:p w:rsidR="002815C6" w:rsidP="00062B1F" w:rsidRDefault="002815C6" w14:paraId="12515BC4" w14:textId="77777777">
      <w:pPr>
        <w:pStyle w:val="paragraph"/>
        <w:spacing w:before="0" w:beforeAutospacing="0" w:after="0" w:afterAutospacing="0"/>
        <w:textAlignment w:val="baseline"/>
        <w:rPr>
          <w:rFonts w:ascii="Palatino Linotype" w:hAnsi="Palatino Linotype" w:cs="Segoe UI" w:eastAsiaTheme="majorEastAsia"/>
        </w:rPr>
      </w:pPr>
    </w:p>
    <w:p w:rsidR="002815C6" w:rsidP="00062B1F" w:rsidRDefault="002815C6" w14:paraId="11D1435D" w14:textId="77777777">
      <w:pPr>
        <w:pStyle w:val="paragraph"/>
        <w:spacing w:before="0" w:beforeAutospacing="0" w:after="0" w:afterAutospacing="0"/>
        <w:textAlignment w:val="baseline"/>
        <w:rPr>
          <w:rFonts w:ascii="Palatino Linotype" w:hAnsi="Palatino Linotype" w:cs="Segoe UI" w:eastAsiaTheme="majorEastAsia"/>
        </w:rPr>
      </w:pPr>
    </w:p>
    <w:p w:rsidR="002815C6" w:rsidP="00062B1F" w:rsidRDefault="002815C6" w14:paraId="448D0C88" w14:textId="77777777">
      <w:pPr>
        <w:pStyle w:val="paragraph"/>
        <w:spacing w:before="0" w:beforeAutospacing="0" w:after="0" w:afterAutospacing="0"/>
        <w:textAlignment w:val="baseline"/>
        <w:rPr>
          <w:rFonts w:ascii="Palatino Linotype" w:hAnsi="Palatino Linotype" w:cs="Segoe UI" w:eastAsiaTheme="majorEastAsia"/>
        </w:rPr>
      </w:pPr>
    </w:p>
    <w:p w:rsidR="002815C6" w:rsidP="00062B1F" w:rsidRDefault="002815C6" w14:paraId="4E1A96D5" w14:textId="77777777">
      <w:pPr>
        <w:pStyle w:val="paragraph"/>
        <w:spacing w:before="0" w:beforeAutospacing="0" w:after="0" w:afterAutospacing="0"/>
        <w:textAlignment w:val="baseline"/>
        <w:rPr>
          <w:rFonts w:ascii="Palatino Linotype" w:hAnsi="Palatino Linotype" w:cs="Segoe UI" w:eastAsiaTheme="majorEastAsia"/>
        </w:rPr>
      </w:pPr>
    </w:p>
    <w:p w:rsidRPr="00E95B5E" w:rsidR="002815C6" w:rsidP="00E95B5E" w:rsidRDefault="001C6C18" w14:paraId="7F8A721D" w14:textId="2E6176A3">
      <w:pPr>
        <w:pStyle w:val="paragraph"/>
        <w:spacing w:before="0" w:beforeAutospacing="0" w:after="0" w:afterAutospacing="0"/>
        <w:jc w:val="center"/>
        <w:textAlignment w:val="baseline"/>
        <w:rPr>
          <w:rFonts w:ascii="Palatino Linotype" w:hAnsi="Palatino Linotype" w:cs="Segoe UI" w:eastAsiaTheme="majorEastAsia"/>
          <w:sz w:val="72"/>
          <w:szCs w:val="72"/>
        </w:rPr>
      </w:pPr>
      <w:r w:rsidRPr="00E95B5E">
        <w:rPr>
          <w:rFonts w:ascii="Palatino Linotype" w:hAnsi="Palatino Linotype" w:cs="Segoe UI" w:eastAsiaTheme="majorEastAsia"/>
          <w:sz w:val="72"/>
          <w:szCs w:val="72"/>
        </w:rPr>
        <w:t>APPENDI</w:t>
      </w:r>
      <w:r w:rsidRPr="00E95B5E" w:rsidR="00CA3D3F">
        <w:rPr>
          <w:rFonts w:ascii="Palatino Linotype" w:hAnsi="Palatino Linotype" w:cs="Segoe UI" w:eastAsiaTheme="majorEastAsia"/>
          <w:sz w:val="72"/>
          <w:szCs w:val="72"/>
        </w:rPr>
        <w:t>X</w:t>
      </w:r>
    </w:p>
    <w:p w:rsidR="00486D49" w:rsidP="00E95B5E" w:rsidRDefault="00486D49" w14:paraId="0721BCCC" w14:textId="77777777">
      <w:pPr>
        <w:pStyle w:val="paragraph"/>
        <w:spacing w:before="0" w:beforeAutospacing="0" w:after="0" w:afterAutospacing="0"/>
        <w:jc w:val="center"/>
        <w:textAlignment w:val="baseline"/>
        <w:rPr>
          <w:rFonts w:ascii="Palatino Linotype" w:hAnsi="Palatino Linotype" w:cs="Segoe UI" w:eastAsiaTheme="majorEastAsia"/>
          <w:sz w:val="32"/>
          <w:szCs w:val="32"/>
        </w:rPr>
      </w:pPr>
    </w:p>
    <w:p w:rsidRPr="00E95B5E" w:rsidR="00CA3D3F" w:rsidP="00E95B5E" w:rsidRDefault="00CA3D3F" w14:paraId="183F15B6" w14:textId="31F7B684">
      <w:pPr>
        <w:pStyle w:val="paragraph"/>
        <w:spacing w:before="0" w:beforeAutospacing="0" w:after="0" w:afterAutospacing="0"/>
        <w:jc w:val="center"/>
        <w:textAlignment w:val="baseline"/>
        <w:rPr>
          <w:rFonts w:ascii="Palatino Linotype" w:hAnsi="Palatino Linotype" w:cs="Segoe UI" w:eastAsiaTheme="majorEastAsia"/>
          <w:sz w:val="32"/>
          <w:szCs w:val="32"/>
        </w:rPr>
      </w:pPr>
      <w:r w:rsidRPr="00E95B5E">
        <w:rPr>
          <w:rFonts w:ascii="Palatino Linotype" w:hAnsi="Palatino Linotype" w:cs="Segoe UI" w:eastAsiaTheme="majorEastAsia"/>
          <w:sz w:val="32"/>
          <w:szCs w:val="32"/>
        </w:rPr>
        <w:t>(CONFIDENTIAL)</w:t>
      </w:r>
    </w:p>
    <w:sectPr w:rsidRPr="00E95B5E" w:rsidR="00CA3D3F" w:rsidSect="00576967">
      <w:headerReference w:type="even" r:id="rId11"/>
      <w:headerReference w:type="default" r:id="rId12"/>
      <w:footerReference w:type="even" r:id="rId13"/>
      <w:footerReference w:type="default" r:id="rId14"/>
      <w:headerReference w:type="first" r:id="rId15"/>
      <w:footerReference w:type="first" r:id="rId16"/>
      <w:pgSz w:w="12240" w:h="15840" w:code="1"/>
      <w:pgMar w:top="1296" w:right="1350" w:bottom="1296" w:left="129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C2CC5" w14:textId="77777777" w:rsidR="004639C4" w:rsidRDefault="004639C4" w:rsidP="00B84E68">
      <w:pPr>
        <w:spacing w:after="0" w:line="240" w:lineRule="auto"/>
      </w:pPr>
      <w:r>
        <w:separator/>
      </w:r>
    </w:p>
  </w:endnote>
  <w:endnote w:type="continuationSeparator" w:id="0">
    <w:p w14:paraId="0AC6D6CA" w14:textId="77777777" w:rsidR="004639C4" w:rsidRDefault="004639C4" w:rsidP="00B84E68">
      <w:pPr>
        <w:spacing w:after="0" w:line="240" w:lineRule="auto"/>
      </w:pPr>
      <w:r>
        <w:continuationSeparator/>
      </w:r>
    </w:p>
  </w:endnote>
  <w:endnote w:type="continuationNotice" w:id="1">
    <w:p w14:paraId="45CFF1F1" w14:textId="77777777" w:rsidR="004639C4" w:rsidRDefault="00463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pitch w:val="variable"/>
    <w:sig w:usb0="20000A87" w:usb1="08000000" w:usb2="00000008" w:usb3="00000000" w:csb0="00000105"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2AFF" w:usb1="5000785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EB61" w14:textId="77777777" w:rsidR="000929AD" w:rsidRDefault="00092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1137182973"/>
      <w:docPartObj>
        <w:docPartGallery w:val="Page Numbers (Bottom of Page)"/>
        <w:docPartUnique/>
      </w:docPartObj>
    </w:sdtPr>
    <w:sdtEndPr>
      <w:rPr>
        <w:noProof/>
      </w:rPr>
    </w:sdtEndPr>
    <w:sdtContent>
      <w:p w14:paraId="52C42B83" w14:textId="77777777" w:rsidR="009E74D9" w:rsidRPr="008935DE" w:rsidRDefault="009E74D9" w:rsidP="009E74D9">
        <w:pPr>
          <w:pStyle w:val="Footer"/>
          <w:jc w:val="center"/>
          <w:rPr>
            <w:rFonts w:ascii="Palatino Linotype" w:hAnsi="Palatino Linotype"/>
            <w:sz w:val="24"/>
            <w:szCs w:val="24"/>
          </w:rPr>
        </w:pPr>
        <w:r w:rsidRPr="008935DE">
          <w:rPr>
            <w:rFonts w:ascii="Palatino Linotype" w:hAnsi="Palatino Linotype"/>
            <w:sz w:val="24"/>
            <w:szCs w:val="24"/>
          </w:rPr>
          <w:fldChar w:fldCharType="begin"/>
        </w:r>
        <w:r w:rsidRPr="008935DE">
          <w:rPr>
            <w:rFonts w:ascii="Palatino Linotype" w:hAnsi="Palatino Linotype"/>
            <w:sz w:val="24"/>
            <w:szCs w:val="24"/>
          </w:rPr>
          <w:instrText xml:space="preserve"> PAGE   \* MERGEFORMAT </w:instrText>
        </w:r>
        <w:r w:rsidRPr="008935DE">
          <w:rPr>
            <w:rFonts w:ascii="Palatino Linotype" w:hAnsi="Palatino Linotype"/>
            <w:sz w:val="24"/>
            <w:szCs w:val="24"/>
          </w:rPr>
          <w:fldChar w:fldCharType="separate"/>
        </w:r>
        <w:r>
          <w:rPr>
            <w:rFonts w:ascii="Palatino Linotype" w:hAnsi="Palatino Linotype"/>
            <w:sz w:val="24"/>
            <w:szCs w:val="24"/>
          </w:rPr>
          <w:t>1</w:t>
        </w:r>
        <w:r w:rsidRPr="008935DE">
          <w:rPr>
            <w:rFonts w:ascii="Palatino Linotype" w:hAnsi="Palatino Linotype"/>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224729719"/>
      <w:docPartObj>
        <w:docPartGallery w:val="Page Numbers (Bottom of Page)"/>
        <w:docPartUnique/>
      </w:docPartObj>
    </w:sdtPr>
    <w:sdtEndPr>
      <w:rPr>
        <w:noProof/>
      </w:rPr>
    </w:sdtEndPr>
    <w:sdtContent>
      <w:p w14:paraId="36FCA20D" w14:textId="08EBD7AE" w:rsidR="008935DE" w:rsidRPr="008935DE" w:rsidRDefault="000929AD" w:rsidP="000929AD">
        <w:pPr>
          <w:pStyle w:val="Footer"/>
          <w:rPr>
            <w:rFonts w:ascii="Palatino Linotype" w:hAnsi="Palatino Linotype"/>
            <w:sz w:val="24"/>
            <w:szCs w:val="24"/>
          </w:rPr>
        </w:pPr>
        <w:r w:rsidRPr="000929AD">
          <w:rPr>
            <w:rFonts w:ascii="Tahoma" w:hAnsi="Tahoma" w:cs="Tahoma"/>
            <w:sz w:val="18"/>
            <w:szCs w:val="24"/>
          </w:rPr>
          <w:t>572810639</w:t>
        </w:r>
        <w:r>
          <w:rPr>
            <w:rFonts w:ascii="Palatino Linotype" w:hAnsi="Palatino Linotype"/>
            <w:sz w:val="24"/>
            <w:szCs w:val="24"/>
          </w:rPr>
          <w:tab/>
        </w:r>
        <w:r w:rsidR="008935DE" w:rsidRPr="008935DE">
          <w:rPr>
            <w:rFonts w:ascii="Palatino Linotype" w:hAnsi="Palatino Linotype"/>
            <w:sz w:val="24"/>
            <w:szCs w:val="24"/>
          </w:rPr>
          <w:fldChar w:fldCharType="begin"/>
        </w:r>
        <w:r w:rsidR="008935DE" w:rsidRPr="008935DE">
          <w:rPr>
            <w:rFonts w:ascii="Palatino Linotype" w:hAnsi="Palatino Linotype"/>
            <w:sz w:val="24"/>
            <w:szCs w:val="24"/>
          </w:rPr>
          <w:instrText xml:space="preserve"> PAGE   \* MERGEFORMAT </w:instrText>
        </w:r>
        <w:r w:rsidR="008935DE" w:rsidRPr="008935DE">
          <w:rPr>
            <w:rFonts w:ascii="Palatino Linotype" w:hAnsi="Palatino Linotype"/>
            <w:sz w:val="24"/>
            <w:szCs w:val="24"/>
          </w:rPr>
          <w:fldChar w:fldCharType="separate"/>
        </w:r>
        <w:r w:rsidR="008935DE" w:rsidRPr="008935DE">
          <w:rPr>
            <w:rFonts w:ascii="Palatino Linotype" w:hAnsi="Palatino Linotype"/>
            <w:noProof/>
            <w:sz w:val="24"/>
            <w:szCs w:val="24"/>
          </w:rPr>
          <w:t>2</w:t>
        </w:r>
        <w:r w:rsidR="008935DE" w:rsidRPr="008935DE">
          <w:rPr>
            <w:rFonts w:ascii="Palatino Linotype" w:hAnsi="Palatino Linotype"/>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AECFF" w14:textId="77777777" w:rsidR="004639C4" w:rsidRDefault="004639C4" w:rsidP="00B84E68">
      <w:pPr>
        <w:spacing w:after="0" w:line="240" w:lineRule="auto"/>
      </w:pPr>
      <w:r>
        <w:separator/>
      </w:r>
    </w:p>
  </w:footnote>
  <w:footnote w:type="continuationSeparator" w:id="0">
    <w:p w14:paraId="4C7A47A3" w14:textId="77777777" w:rsidR="004639C4" w:rsidRDefault="004639C4" w:rsidP="00B84E68">
      <w:pPr>
        <w:spacing w:after="0" w:line="240" w:lineRule="auto"/>
      </w:pPr>
      <w:r>
        <w:continuationSeparator/>
      </w:r>
    </w:p>
  </w:footnote>
  <w:footnote w:type="continuationNotice" w:id="1">
    <w:p w14:paraId="4BF2305C" w14:textId="77777777" w:rsidR="004639C4" w:rsidRDefault="004639C4">
      <w:pPr>
        <w:spacing w:after="0" w:line="240" w:lineRule="auto"/>
      </w:pPr>
    </w:p>
  </w:footnote>
  <w:footnote w:id="2">
    <w:p w14:paraId="59D0652B" w14:textId="6C308623" w:rsidR="00B84E68" w:rsidRPr="00041BDA" w:rsidRDefault="00B84E68" w:rsidP="00632524">
      <w:pPr>
        <w:pStyle w:val="FootnoteText"/>
        <w:spacing w:before="120"/>
        <w:rPr>
          <w:rFonts w:ascii="Palatino Linotype" w:hAnsi="Palatino Linotype"/>
        </w:rPr>
      </w:pPr>
      <w:r w:rsidRPr="00041BDA">
        <w:rPr>
          <w:rStyle w:val="FootnoteReference"/>
          <w:rFonts w:ascii="Palatino Linotype" w:hAnsi="Palatino Linotype"/>
        </w:rPr>
        <w:footnoteRef/>
      </w:r>
      <w:r w:rsidRPr="00041BDA">
        <w:rPr>
          <w:rFonts w:ascii="Palatino Linotype" w:hAnsi="Palatino Linotype"/>
        </w:rPr>
        <w:t xml:space="preserve"> </w:t>
      </w:r>
      <w:r w:rsidR="00841F54">
        <w:rPr>
          <w:rFonts w:ascii="Palatino Linotype" w:hAnsi="Palatino Linotype"/>
        </w:rPr>
        <w:t xml:space="preserve">Ordering Paragraph (“OP”) 1 of </w:t>
      </w:r>
      <w:r w:rsidRPr="00041BDA">
        <w:rPr>
          <w:rFonts w:ascii="Palatino Linotype" w:hAnsi="Palatino Linotype"/>
        </w:rPr>
        <w:t>D. 21-06-035.</w:t>
      </w:r>
    </w:p>
  </w:footnote>
  <w:footnote w:id="3">
    <w:p w14:paraId="437E6A3B" w14:textId="06F928F1" w:rsidR="007353CC" w:rsidRPr="00041BDA" w:rsidRDefault="007353CC">
      <w:pPr>
        <w:pStyle w:val="FootnoteText"/>
        <w:rPr>
          <w:rFonts w:ascii="Palatino Linotype" w:hAnsi="Palatino Linotype"/>
        </w:rPr>
      </w:pPr>
      <w:r w:rsidRPr="00041BDA">
        <w:rPr>
          <w:rStyle w:val="FootnoteReference"/>
          <w:rFonts w:ascii="Palatino Linotype" w:hAnsi="Palatino Linotype"/>
        </w:rPr>
        <w:footnoteRef/>
      </w:r>
      <w:r w:rsidRPr="00041BDA">
        <w:rPr>
          <w:rFonts w:ascii="Palatino Linotype" w:hAnsi="Palatino Linotype"/>
        </w:rPr>
        <w:t xml:space="preserve"> Long lead-time resources are defined by OP 2 of D.21-06-035</w:t>
      </w:r>
      <w:r w:rsidR="00754C94" w:rsidRPr="00041BDA">
        <w:rPr>
          <w:rFonts w:ascii="Palatino Linotype" w:hAnsi="Palatino Linotype"/>
        </w:rPr>
        <w:t xml:space="preserve"> at 94-95.</w:t>
      </w:r>
    </w:p>
  </w:footnote>
  <w:footnote w:id="4">
    <w:p w14:paraId="2AC6145D" w14:textId="77777777" w:rsidR="00A45CC3" w:rsidRPr="00902148" w:rsidRDefault="00A45CC3"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The amount in this row is a subset of the 2023, 2024, and 2025 columns, and is therefore not also added to the total.</w:t>
      </w:r>
    </w:p>
  </w:footnote>
  <w:footnote w:id="5">
    <w:p w14:paraId="0C08034A" w14:textId="77777777" w:rsidR="00FE28C1" w:rsidRPr="00902148" w:rsidRDefault="00FE28C1"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The Long Lead Time (LLT) resource requirements are divided into half from long-duration storage and half from firm, zero-emitting generation resources.</w:t>
      </w:r>
    </w:p>
  </w:footnote>
  <w:footnote w:id="6">
    <w:p w14:paraId="2A72D6A5" w14:textId="65D20B1A" w:rsidR="00FE28C1" w:rsidRPr="00902148" w:rsidRDefault="00FE28C1"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w:t>
      </w:r>
      <w:r w:rsidR="00841F54">
        <w:rPr>
          <w:rFonts w:ascii="Palatino Linotype" w:hAnsi="Palatino Linotype"/>
        </w:rPr>
        <w:t xml:space="preserve">OPs 16 and 19 of </w:t>
      </w:r>
      <w:r w:rsidRPr="00902148">
        <w:rPr>
          <w:rFonts w:ascii="Palatino Linotype" w:hAnsi="Palatino Linotype"/>
        </w:rPr>
        <w:t>D.24-02-047.</w:t>
      </w:r>
    </w:p>
  </w:footnote>
  <w:footnote w:id="7">
    <w:p w14:paraId="12A14A97" w14:textId="037894BF" w:rsidR="00751D45" w:rsidRPr="009023C7" w:rsidRDefault="00751D45" w:rsidP="00632524">
      <w:pPr>
        <w:pStyle w:val="FootnoteText"/>
        <w:rPr>
          <w:rFonts w:ascii="Palatino Linotype" w:hAnsi="Palatino Linotype"/>
        </w:rPr>
      </w:pPr>
      <w:r w:rsidRPr="009023C7">
        <w:rPr>
          <w:rStyle w:val="FootnoteReference"/>
          <w:rFonts w:ascii="Palatino Linotype" w:hAnsi="Palatino Linotype"/>
        </w:rPr>
        <w:footnoteRef/>
      </w:r>
      <w:r w:rsidRPr="009023C7">
        <w:rPr>
          <w:rFonts w:ascii="Palatino Linotype" w:hAnsi="Palatino Linotype"/>
        </w:rPr>
        <w:t xml:space="preserve"> PG&amp;E AL </w:t>
      </w:r>
      <w:r w:rsidR="007D4DD9" w:rsidRPr="009023C7">
        <w:rPr>
          <w:rFonts w:ascii="Palatino Linotype" w:hAnsi="Palatino Linotype"/>
        </w:rPr>
        <w:t>7602</w:t>
      </w:r>
      <w:r w:rsidRPr="009023C7">
        <w:rPr>
          <w:rFonts w:ascii="Palatino Linotype" w:hAnsi="Palatino Linotype"/>
        </w:rPr>
        <w:t>-E</w:t>
      </w:r>
      <w:r w:rsidR="00D2796B" w:rsidRPr="009023C7">
        <w:rPr>
          <w:rFonts w:ascii="Palatino Linotype" w:hAnsi="Palatino Linotype"/>
        </w:rPr>
        <w:t xml:space="preserve"> at 2.</w:t>
      </w:r>
    </w:p>
  </w:footnote>
  <w:footnote w:id="8">
    <w:p w14:paraId="50B743BE" w14:textId="561B7E57" w:rsidR="00751D45" w:rsidRPr="005373FC" w:rsidRDefault="00751D45" w:rsidP="00632524">
      <w:pPr>
        <w:pStyle w:val="FootnoteText"/>
        <w:rPr>
          <w:rFonts w:ascii="Palatino Linotype" w:hAnsi="Palatino Linotype"/>
        </w:rPr>
      </w:pPr>
      <w:r w:rsidRPr="005373FC">
        <w:rPr>
          <w:rStyle w:val="FootnoteReference"/>
          <w:rFonts w:ascii="Palatino Linotype" w:hAnsi="Palatino Linotype"/>
        </w:rPr>
        <w:footnoteRef/>
      </w:r>
      <w:r w:rsidRPr="005373FC">
        <w:rPr>
          <w:rFonts w:ascii="Palatino Linotype" w:hAnsi="Palatino Linotype"/>
        </w:rPr>
        <w:t xml:space="preserve"> </w:t>
      </w:r>
      <w:r w:rsidR="001F30FB" w:rsidRPr="001F30FB">
        <w:rPr>
          <w:rFonts w:ascii="Palatino Linotype" w:hAnsi="Palatino Linotype"/>
          <w:i/>
          <w:iCs/>
        </w:rPr>
        <w:t>Ibid</w:t>
      </w:r>
      <w:r w:rsidR="00B5771B" w:rsidRPr="005373FC">
        <w:rPr>
          <w:rFonts w:ascii="Palatino Linotype" w:hAnsi="Palatino Linotype"/>
        </w:rPr>
        <w:t>.</w:t>
      </w:r>
    </w:p>
  </w:footnote>
  <w:footnote w:id="9">
    <w:p w14:paraId="21AEB567" w14:textId="40A098E1" w:rsidR="00955319" w:rsidRPr="00754837" w:rsidRDefault="00955319" w:rsidP="00632524">
      <w:pPr>
        <w:pStyle w:val="FootnoteText"/>
        <w:rPr>
          <w:rFonts w:ascii="Palatino Linotype" w:hAnsi="Palatino Linotype"/>
        </w:rPr>
      </w:pPr>
      <w:r w:rsidRPr="00754837">
        <w:rPr>
          <w:rStyle w:val="FootnoteReference"/>
          <w:rFonts w:ascii="Palatino Linotype" w:hAnsi="Palatino Linotype"/>
        </w:rPr>
        <w:footnoteRef/>
      </w:r>
      <w:r w:rsidRPr="00754837">
        <w:rPr>
          <w:rFonts w:ascii="Palatino Linotype" w:hAnsi="Palatino Linotype"/>
        </w:rPr>
        <w:t xml:space="preserve"> </w:t>
      </w:r>
      <w:r w:rsidRPr="00754837">
        <w:rPr>
          <w:rFonts w:ascii="Palatino Linotype" w:hAnsi="Palatino Linotype"/>
          <w:lang w:val="en-ZW"/>
        </w:rPr>
        <w:t xml:space="preserve">PG&amp;E AL </w:t>
      </w:r>
      <w:r w:rsidR="007D4DD9" w:rsidRPr="00754837">
        <w:rPr>
          <w:rFonts w:ascii="Palatino Linotype" w:hAnsi="Palatino Linotype"/>
          <w:lang w:val="en-ZW"/>
        </w:rPr>
        <w:t>7602</w:t>
      </w:r>
      <w:r w:rsidR="00AD6A67" w:rsidRPr="00754837">
        <w:rPr>
          <w:rFonts w:ascii="Palatino Linotype" w:hAnsi="Palatino Linotype"/>
          <w:lang w:val="en-ZW"/>
        </w:rPr>
        <w:t>-E</w:t>
      </w:r>
      <w:r w:rsidRPr="00754837">
        <w:rPr>
          <w:rFonts w:ascii="Palatino Linotype" w:hAnsi="Palatino Linotype"/>
          <w:lang w:val="en-ZW"/>
        </w:rPr>
        <w:t xml:space="preserve"> at 4.</w:t>
      </w:r>
    </w:p>
  </w:footnote>
  <w:footnote w:id="10">
    <w:p w14:paraId="4672010A" w14:textId="59B72FDC" w:rsidR="00DC5A30" w:rsidRPr="00F21E98" w:rsidRDefault="00DC5A30" w:rsidP="00632524">
      <w:pPr>
        <w:pStyle w:val="FootnoteText"/>
        <w:rPr>
          <w:rFonts w:ascii="Palatino Linotype" w:hAnsi="Palatino Linotype"/>
        </w:rPr>
      </w:pPr>
      <w:r w:rsidRPr="00F21E98">
        <w:rPr>
          <w:rStyle w:val="FootnoteReference"/>
          <w:rFonts w:ascii="Palatino Linotype" w:hAnsi="Palatino Linotype"/>
        </w:rPr>
        <w:footnoteRef/>
      </w:r>
      <w:r w:rsidRPr="00F21E98">
        <w:rPr>
          <w:rFonts w:ascii="Palatino Linotype" w:hAnsi="Palatino Linotype"/>
        </w:rPr>
        <w:t xml:space="preserve"> </w:t>
      </w:r>
      <w:r w:rsidRPr="00F21E98">
        <w:rPr>
          <w:rFonts w:ascii="Palatino Linotype" w:hAnsi="Palatino Linotype"/>
          <w:lang w:val="en-ZW"/>
        </w:rPr>
        <w:t xml:space="preserve">PG&amp;E AL </w:t>
      </w:r>
      <w:r w:rsidR="007D4DD9" w:rsidRPr="00F21E98">
        <w:rPr>
          <w:rFonts w:ascii="Palatino Linotype" w:hAnsi="Palatino Linotype"/>
          <w:lang w:val="en-ZW"/>
        </w:rPr>
        <w:t>7602</w:t>
      </w:r>
      <w:r w:rsidRPr="00F21E98">
        <w:rPr>
          <w:rFonts w:ascii="Palatino Linotype" w:hAnsi="Palatino Linotype"/>
          <w:lang w:val="en-ZW"/>
        </w:rPr>
        <w:t xml:space="preserve">-E at </w:t>
      </w:r>
      <w:r w:rsidR="002A4405" w:rsidRPr="00F21E98">
        <w:rPr>
          <w:rFonts w:ascii="Palatino Linotype" w:hAnsi="Palatino Linotype"/>
          <w:lang w:val="en-ZW"/>
        </w:rPr>
        <w:t>6</w:t>
      </w:r>
      <w:r w:rsidRPr="00F21E98">
        <w:rPr>
          <w:rFonts w:ascii="Palatino Linotype" w:hAnsi="Palatino Linotype"/>
          <w:lang w:val="en-ZW"/>
        </w:rPr>
        <w:t>.</w:t>
      </w:r>
    </w:p>
  </w:footnote>
  <w:footnote w:id="11">
    <w:p w14:paraId="1E9EC78F" w14:textId="42C4491F" w:rsidR="001E3A70" w:rsidRPr="00F21E98" w:rsidRDefault="001E3A70" w:rsidP="00632524">
      <w:pPr>
        <w:pStyle w:val="FootnoteText"/>
        <w:rPr>
          <w:rFonts w:ascii="Palatino Linotype" w:hAnsi="Palatino Linotype"/>
        </w:rPr>
      </w:pPr>
      <w:r w:rsidRPr="00F21E98">
        <w:rPr>
          <w:rStyle w:val="FootnoteReference"/>
          <w:rFonts w:ascii="Palatino Linotype" w:hAnsi="Palatino Linotype"/>
        </w:rPr>
        <w:footnoteRef/>
      </w:r>
      <w:r w:rsidRPr="00F21E98">
        <w:rPr>
          <w:rFonts w:ascii="Palatino Linotype" w:hAnsi="Palatino Linotype"/>
        </w:rPr>
        <w:t xml:space="preserve"> </w:t>
      </w:r>
      <w:r w:rsidR="001F30FB" w:rsidRPr="001F30FB">
        <w:rPr>
          <w:rFonts w:ascii="Palatino Linotype" w:hAnsi="Palatino Linotype"/>
          <w:i/>
          <w:iCs/>
          <w:lang w:val="en-ZW"/>
        </w:rPr>
        <w:t>Ibid</w:t>
      </w:r>
      <w:r w:rsidRPr="00F21E98">
        <w:rPr>
          <w:rFonts w:ascii="Palatino Linotype" w:hAnsi="Palatino Linotype"/>
          <w:lang w:val="en-ZW"/>
        </w:rPr>
        <w:t>.</w:t>
      </w:r>
    </w:p>
  </w:footnote>
  <w:footnote w:id="12">
    <w:p w14:paraId="4C5A7424" w14:textId="61CE333A" w:rsidR="00456344" w:rsidRPr="002D3405" w:rsidRDefault="00456344" w:rsidP="00632524">
      <w:pPr>
        <w:pStyle w:val="FootnoteText"/>
        <w:rPr>
          <w:rFonts w:ascii="Palatino Linotype" w:hAnsi="Palatino Linotype"/>
        </w:rPr>
      </w:pPr>
      <w:r w:rsidRPr="002D3405">
        <w:rPr>
          <w:rStyle w:val="FootnoteReference"/>
          <w:rFonts w:ascii="Palatino Linotype" w:hAnsi="Palatino Linotype"/>
        </w:rPr>
        <w:footnoteRef/>
      </w:r>
      <w:r w:rsidRPr="002D3405">
        <w:rPr>
          <w:rFonts w:ascii="Palatino Linotype" w:hAnsi="Palatino Linotype"/>
        </w:rPr>
        <w:t xml:space="preserve"> </w:t>
      </w:r>
      <w:r w:rsidRPr="002D3405">
        <w:rPr>
          <w:rFonts w:ascii="Palatino Linotype" w:hAnsi="Palatino Linotype"/>
          <w:lang w:val="en-ZW"/>
        </w:rPr>
        <w:t xml:space="preserve">PG&amp;E AL </w:t>
      </w:r>
      <w:r w:rsidR="007D4DD9" w:rsidRPr="002D3405">
        <w:rPr>
          <w:rFonts w:ascii="Palatino Linotype" w:hAnsi="Palatino Linotype"/>
          <w:lang w:val="en-ZW"/>
        </w:rPr>
        <w:t>7602</w:t>
      </w:r>
      <w:r w:rsidRPr="002D3405">
        <w:rPr>
          <w:rFonts w:ascii="Palatino Linotype" w:hAnsi="Palatino Linotype"/>
          <w:lang w:val="en-ZW"/>
        </w:rPr>
        <w:t xml:space="preserve">-E Appendix </w:t>
      </w:r>
      <w:r w:rsidR="002B7079" w:rsidRPr="002D3405">
        <w:rPr>
          <w:rFonts w:ascii="Palatino Linotype" w:hAnsi="Palatino Linotype"/>
          <w:lang w:val="en-ZW"/>
        </w:rPr>
        <w:t>B2</w:t>
      </w:r>
      <w:r w:rsidR="004B51E4" w:rsidRPr="002D3405">
        <w:rPr>
          <w:rFonts w:ascii="Palatino Linotype" w:hAnsi="Palatino Linotype"/>
          <w:lang w:val="en-ZW"/>
        </w:rPr>
        <w:t>,</w:t>
      </w:r>
      <w:r w:rsidRPr="002D3405">
        <w:rPr>
          <w:rFonts w:ascii="Palatino Linotype" w:hAnsi="Palatino Linotype"/>
          <w:lang w:val="en-ZW"/>
        </w:rPr>
        <w:t xml:space="preserve"> at </w:t>
      </w:r>
      <w:r w:rsidR="00A112DE" w:rsidRPr="002D3405">
        <w:rPr>
          <w:rFonts w:ascii="Palatino Linotype" w:hAnsi="Palatino Linotype"/>
          <w:lang w:val="en-ZW"/>
        </w:rPr>
        <w:t xml:space="preserve">26, </w:t>
      </w:r>
      <w:r w:rsidR="00333D42" w:rsidRPr="002D3405">
        <w:rPr>
          <w:rFonts w:ascii="Palatino Linotype" w:hAnsi="Palatino Linotype"/>
          <w:lang w:val="en-ZW"/>
        </w:rPr>
        <w:t>36</w:t>
      </w:r>
      <w:r w:rsidR="00382A7B" w:rsidRPr="002D3405">
        <w:rPr>
          <w:rFonts w:ascii="Palatino Linotype" w:hAnsi="Palatino Linotype"/>
          <w:lang w:val="en-ZW"/>
        </w:rPr>
        <w:t>; Appendix E</w:t>
      </w:r>
      <w:r w:rsidR="00400C39" w:rsidRPr="002D3405">
        <w:rPr>
          <w:rFonts w:ascii="Palatino Linotype" w:hAnsi="Palatino Linotype"/>
          <w:lang w:val="en-ZW"/>
        </w:rPr>
        <w:t>,</w:t>
      </w:r>
      <w:r w:rsidR="00382A7B" w:rsidRPr="002D3405">
        <w:rPr>
          <w:rFonts w:ascii="Palatino Linotype" w:hAnsi="Palatino Linotype"/>
          <w:lang w:val="en-ZW"/>
        </w:rPr>
        <w:t xml:space="preserve"> at </w:t>
      </w:r>
      <w:r w:rsidR="00400C39" w:rsidRPr="002D3405">
        <w:rPr>
          <w:rFonts w:ascii="Palatino Linotype" w:hAnsi="Palatino Linotype"/>
          <w:lang w:val="en-ZW"/>
        </w:rPr>
        <w:t>E-1, E-6</w:t>
      </w:r>
      <w:r w:rsidRPr="002D3405">
        <w:rPr>
          <w:rFonts w:ascii="Palatino Linotype" w:hAnsi="Palatino Linotype"/>
          <w:lang w:val="en-ZW"/>
        </w:rPr>
        <w:t>.</w:t>
      </w:r>
    </w:p>
  </w:footnote>
  <w:footnote w:id="13">
    <w:p w14:paraId="452675F3" w14:textId="73F33371" w:rsidR="001F7E0E" w:rsidRPr="002D3405" w:rsidRDefault="001F7E0E" w:rsidP="00632524">
      <w:pPr>
        <w:pStyle w:val="FootnoteText"/>
        <w:rPr>
          <w:rFonts w:ascii="Palatino Linotype" w:hAnsi="Palatino Linotype"/>
        </w:rPr>
      </w:pPr>
      <w:r w:rsidRPr="002D3405">
        <w:rPr>
          <w:rStyle w:val="FootnoteReference"/>
          <w:rFonts w:ascii="Palatino Linotype" w:hAnsi="Palatino Linotype"/>
        </w:rPr>
        <w:footnoteRef/>
      </w:r>
      <w:r w:rsidRPr="002D3405">
        <w:rPr>
          <w:rFonts w:ascii="Palatino Linotype" w:hAnsi="Palatino Linotype"/>
        </w:rPr>
        <w:t xml:space="preserve"> </w:t>
      </w:r>
      <w:r w:rsidRPr="002D3405">
        <w:rPr>
          <w:rFonts w:ascii="Palatino Linotype" w:hAnsi="Palatino Linotype"/>
          <w:lang w:val="en-ZW"/>
        </w:rPr>
        <w:t xml:space="preserve">PG&amp;E AL </w:t>
      </w:r>
      <w:r w:rsidR="007D4DD9" w:rsidRPr="002D3405">
        <w:rPr>
          <w:rFonts w:ascii="Palatino Linotype" w:hAnsi="Palatino Linotype"/>
          <w:lang w:val="en-ZW"/>
        </w:rPr>
        <w:t>7602</w:t>
      </w:r>
      <w:r w:rsidRPr="002D3405">
        <w:rPr>
          <w:rFonts w:ascii="Palatino Linotype" w:hAnsi="Palatino Linotype"/>
          <w:lang w:val="en-ZW"/>
        </w:rPr>
        <w:t xml:space="preserve">-E at </w:t>
      </w:r>
      <w:r w:rsidR="0038133F" w:rsidRPr="002D3405">
        <w:rPr>
          <w:rFonts w:ascii="Palatino Linotype" w:hAnsi="Palatino Linotype"/>
          <w:lang w:val="en-ZW"/>
        </w:rPr>
        <w:t>Appendix B2</w:t>
      </w:r>
      <w:r w:rsidR="000058C1" w:rsidRPr="002D3405">
        <w:rPr>
          <w:rFonts w:ascii="Palatino Linotype" w:hAnsi="Palatino Linotype"/>
          <w:lang w:val="en-ZW"/>
        </w:rPr>
        <w:t>, at 18, 66</w:t>
      </w:r>
      <w:r w:rsidRPr="002D3405">
        <w:rPr>
          <w:rFonts w:ascii="Palatino Linotype" w:hAnsi="Palatino Linotype"/>
          <w:lang w:val="en-ZW"/>
        </w:rPr>
        <w:t>.</w:t>
      </w:r>
    </w:p>
  </w:footnote>
  <w:footnote w:id="14">
    <w:p w14:paraId="2768FF08" w14:textId="283D2C31" w:rsidR="00A906CB" w:rsidRPr="002D3405" w:rsidRDefault="00A906CB">
      <w:pPr>
        <w:pStyle w:val="FootnoteText"/>
        <w:rPr>
          <w:rFonts w:ascii="Palatino Linotype" w:hAnsi="Palatino Linotype"/>
        </w:rPr>
      </w:pPr>
      <w:r w:rsidRPr="002D3405">
        <w:rPr>
          <w:rStyle w:val="FootnoteReference"/>
          <w:rFonts w:ascii="Palatino Linotype" w:hAnsi="Palatino Linotype"/>
        </w:rPr>
        <w:footnoteRef/>
      </w:r>
      <w:r w:rsidRPr="002D3405">
        <w:rPr>
          <w:rFonts w:ascii="Palatino Linotype" w:hAnsi="Palatino Linotype"/>
        </w:rPr>
        <w:t xml:space="preserve"> </w:t>
      </w:r>
      <w:r w:rsidRPr="002D3405">
        <w:rPr>
          <w:rFonts w:ascii="Palatino Linotype" w:hAnsi="Palatino Linotype"/>
          <w:i/>
          <w:iCs/>
        </w:rPr>
        <w:t>See</w:t>
      </w:r>
      <w:r w:rsidR="002D3405" w:rsidRPr="002D3405">
        <w:rPr>
          <w:rFonts w:ascii="Palatino Linotype" w:hAnsi="Palatino Linotype"/>
        </w:rPr>
        <w:t xml:space="preserve">, </w:t>
      </w:r>
      <w:hyperlink r:id="rId1" w:history="1">
        <w:r w:rsidR="002D3405" w:rsidRPr="00C9373C">
          <w:rPr>
            <w:rStyle w:val="Hyperlink"/>
            <w:rFonts w:ascii="Palatino Linotype" w:hAnsi="Palatino Linotype"/>
            <w:color w:val="0070C0"/>
          </w:rPr>
          <w:t>https://www.calpine.com/pastoria-solar-project/</w:t>
        </w:r>
      </w:hyperlink>
    </w:p>
  </w:footnote>
  <w:footnote w:id="15">
    <w:p w14:paraId="6F87C231" w14:textId="0CF1BEDE" w:rsidR="00300EC4" w:rsidRPr="00E73390" w:rsidRDefault="00300EC4" w:rsidP="00632524">
      <w:pPr>
        <w:pStyle w:val="FootnoteText"/>
        <w:rPr>
          <w:rFonts w:ascii="Palatino Linotype" w:hAnsi="Palatino Linotype"/>
        </w:rPr>
      </w:pPr>
      <w:r w:rsidRPr="002D3405">
        <w:rPr>
          <w:rStyle w:val="FootnoteReference"/>
          <w:rFonts w:ascii="Palatino Linotype" w:hAnsi="Palatino Linotype"/>
        </w:rPr>
        <w:footnoteRef/>
      </w:r>
      <w:r w:rsidRPr="002D3405">
        <w:rPr>
          <w:rFonts w:ascii="Palatino Linotype" w:hAnsi="Palatino Linotype"/>
        </w:rPr>
        <w:t xml:space="preserve"> </w:t>
      </w:r>
      <w:r w:rsidRPr="002D3405">
        <w:rPr>
          <w:rFonts w:ascii="Palatino Linotype" w:hAnsi="Palatino Linotype"/>
          <w:lang w:val="en-ZW"/>
        </w:rPr>
        <w:t xml:space="preserve">PG&amp;E AL </w:t>
      </w:r>
      <w:r w:rsidR="007D4DD9" w:rsidRPr="002D3405">
        <w:rPr>
          <w:rFonts w:ascii="Palatino Linotype" w:hAnsi="Palatino Linotype"/>
          <w:lang w:val="en-ZW"/>
        </w:rPr>
        <w:t>7602</w:t>
      </w:r>
      <w:r w:rsidRPr="002D3405">
        <w:rPr>
          <w:rFonts w:ascii="Palatino Linotype" w:hAnsi="Palatino Linotype"/>
          <w:lang w:val="en-ZW"/>
        </w:rPr>
        <w:t>-E at</w:t>
      </w:r>
      <w:r w:rsidR="00E73390" w:rsidRPr="002D3405">
        <w:rPr>
          <w:rFonts w:ascii="Palatino Linotype" w:hAnsi="Palatino Linotype"/>
          <w:lang w:val="en-ZW"/>
        </w:rPr>
        <w:t xml:space="preserve"> 9,</w:t>
      </w:r>
      <w:r w:rsidRPr="002D3405">
        <w:rPr>
          <w:rFonts w:ascii="Palatino Linotype" w:hAnsi="Palatino Linotype"/>
          <w:lang w:val="en-ZW"/>
        </w:rPr>
        <w:t xml:space="preserve"> 10.</w:t>
      </w:r>
    </w:p>
  </w:footnote>
  <w:footnote w:id="16">
    <w:p w14:paraId="479236F3" w14:textId="67031F02" w:rsidR="00FD2A54" w:rsidRPr="00841E8D" w:rsidRDefault="00FD2A54">
      <w:pPr>
        <w:pStyle w:val="FootnoteText"/>
        <w:rPr>
          <w:rFonts w:ascii="Palatino Linotype" w:hAnsi="Palatino Linotype"/>
        </w:rPr>
      </w:pPr>
      <w:r w:rsidRPr="00841E8D">
        <w:rPr>
          <w:rStyle w:val="FootnoteReference"/>
          <w:rFonts w:ascii="Palatino Linotype" w:hAnsi="Palatino Linotype"/>
        </w:rPr>
        <w:footnoteRef/>
      </w:r>
      <w:r w:rsidRPr="00841E8D">
        <w:rPr>
          <w:rFonts w:ascii="Palatino Linotype" w:hAnsi="Palatino Linotype"/>
        </w:rPr>
        <w:t xml:space="preserve"> </w:t>
      </w:r>
      <w:r w:rsidR="00870F09" w:rsidRPr="00841E8D">
        <w:rPr>
          <w:rFonts w:ascii="Palatino Linotype" w:hAnsi="Palatino Linotype"/>
        </w:rPr>
        <w:t>CalAdvocates</w:t>
      </w:r>
      <w:r w:rsidR="00A90F25" w:rsidRPr="00841E8D">
        <w:rPr>
          <w:rFonts w:ascii="Palatino Linotype" w:hAnsi="Palatino Linotype"/>
        </w:rPr>
        <w:t>, “Response to PG&amp;E AL 7602-E”</w:t>
      </w:r>
      <w:r w:rsidR="008E1AA6" w:rsidRPr="00841E8D">
        <w:rPr>
          <w:rFonts w:ascii="Palatino Linotype" w:hAnsi="Palatino Linotype"/>
        </w:rPr>
        <w:t>,</w:t>
      </w:r>
      <w:r w:rsidR="00A90F25" w:rsidRPr="00841E8D">
        <w:rPr>
          <w:rFonts w:ascii="Palatino Linotype" w:hAnsi="Palatino Linotype"/>
        </w:rPr>
        <w:t xml:space="preserve"> at </w:t>
      </w:r>
      <w:r w:rsidR="00920C05" w:rsidRPr="00841E8D">
        <w:rPr>
          <w:rFonts w:ascii="Palatino Linotype" w:hAnsi="Palatino Linotype"/>
        </w:rPr>
        <w:t>2.</w:t>
      </w:r>
    </w:p>
  </w:footnote>
  <w:footnote w:id="17">
    <w:p w14:paraId="4DCB2F86" w14:textId="6A4AAE2B" w:rsidR="00EB2CEC" w:rsidRPr="00841E8D" w:rsidRDefault="00EB2CEC">
      <w:pPr>
        <w:pStyle w:val="FootnoteText"/>
        <w:rPr>
          <w:rFonts w:ascii="Palatino Linotype" w:hAnsi="Palatino Linotype"/>
        </w:rPr>
      </w:pPr>
      <w:r w:rsidRPr="00841E8D">
        <w:rPr>
          <w:rStyle w:val="FootnoteReference"/>
          <w:rFonts w:ascii="Palatino Linotype" w:hAnsi="Palatino Linotype"/>
        </w:rPr>
        <w:footnoteRef/>
      </w:r>
      <w:r w:rsidRPr="00841E8D">
        <w:rPr>
          <w:rFonts w:ascii="Palatino Linotype" w:hAnsi="Palatino Linotype"/>
        </w:rPr>
        <w:t xml:space="preserve"> </w:t>
      </w:r>
      <w:r w:rsidRPr="00980BCD">
        <w:rPr>
          <w:rFonts w:ascii="Palatino Linotype" w:hAnsi="Palatino Linotype"/>
          <w:i/>
          <w:iCs/>
        </w:rPr>
        <w:t>Ibid</w:t>
      </w:r>
      <w:r w:rsidRPr="00841E8D">
        <w:rPr>
          <w:rFonts w:ascii="Palatino Linotype" w:hAnsi="Palatino Linotype"/>
        </w:rPr>
        <w:t>.</w:t>
      </w:r>
    </w:p>
  </w:footnote>
  <w:footnote w:id="18">
    <w:p w14:paraId="397D84F8" w14:textId="51F3B3A7" w:rsidR="00EB2CEC" w:rsidRPr="00841E8D" w:rsidRDefault="00EB2CEC">
      <w:pPr>
        <w:pStyle w:val="FootnoteText"/>
        <w:rPr>
          <w:rFonts w:ascii="Palatino Linotype" w:hAnsi="Palatino Linotype"/>
        </w:rPr>
      </w:pPr>
      <w:r w:rsidRPr="00841E8D">
        <w:rPr>
          <w:rStyle w:val="FootnoteReference"/>
          <w:rFonts w:ascii="Palatino Linotype" w:hAnsi="Palatino Linotype"/>
        </w:rPr>
        <w:footnoteRef/>
      </w:r>
      <w:r w:rsidRPr="00841E8D">
        <w:rPr>
          <w:rFonts w:ascii="Palatino Linotype" w:hAnsi="Palatino Linotype"/>
        </w:rPr>
        <w:t xml:space="preserve"> CalAdvocates, “Response to PG&amp;E AL 7602-E</w:t>
      </w:r>
      <w:r w:rsidR="008E1AA6" w:rsidRPr="00841E8D">
        <w:rPr>
          <w:rFonts w:ascii="Palatino Linotype" w:hAnsi="Palatino Linotype"/>
        </w:rPr>
        <w:t>”, at 4.</w:t>
      </w:r>
    </w:p>
  </w:footnote>
  <w:footnote w:id="19">
    <w:p w14:paraId="4631C69D" w14:textId="70C8C804" w:rsidR="00AF74EE" w:rsidRPr="00A0371D" w:rsidRDefault="00AF74EE" w:rsidP="00632524">
      <w:pPr>
        <w:pStyle w:val="FootnoteText"/>
        <w:rPr>
          <w:rFonts w:ascii="Palatino Linotype" w:hAnsi="Palatino Linotype"/>
        </w:rPr>
      </w:pPr>
      <w:r w:rsidRPr="00A0371D">
        <w:rPr>
          <w:rStyle w:val="FootnoteReference"/>
          <w:rFonts w:ascii="Palatino Linotype" w:hAnsi="Palatino Linotype"/>
        </w:rPr>
        <w:footnoteRef/>
      </w:r>
      <w:r w:rsidR="00A379E2" w:rsidRPr="00A0371D">
        <w:rPr>
          <w:rFonts w:ascii="Palatino Linotype" w:hAnsi="Palatino Linotype"/>
        </w:rPr>
        <w:t xml:space="preserve"> </w:t>
      </w:r>
      <w:r w:rsidRPr="00A0371D">
        <w:rPr>
          <w:rFonts w:ascii="Palatino Linotype" w:hAnsi="Palatino Linotype"/>
          <w:lang w:val="en-ZW"/>
        </w:rPr>
        <w:t xml:space="preserve">PG&amp;E AL </w:t>
      </w:r>
      <w:r w:rsidR="007D4DD9" w:rsidRPr="00A0371D">
        <w:rPr>
          <w:rFonts w:ascii="Palatino Linotype" w:hAnsi="Palatino Linotype"/>
          <w:lang w:val="en-ZW"/>
        </w:rPr>
        <w:t>7602</w:t>
      </w:r>
      <w:r w:rsidRPr="00A0371D">
        <w:rPr>
          <w:rFonts w:ascii="Palatino Linotype" w:hAnsi="Palatino Linotype"/>
          <w:lang w:val="en-ZW"/>
        </w:rPr>
        <w:t>-E</w:t>
      </w:r>
      <w:r w:rsidR="001A1115" w:rsidRPr="00A0371D">
        <w:rPr>
          <w:rFonts w:ascii="Palatino Linotype" w:hAnsi="Palatino Linotype"/>
          <w:lang w:val="en-ZW"/>
        </w:rPr>
        <w:t>,</w:t>
      </w:r>
      <w:r w:rsidRPr="00A0371D">
        <w:rPr>
          <w:rFonts w:ascii="Palatino Linotype" w:hAnsi="Palatino Linotype"/>
          <w:lang w:val="en-ZW"/>
        </w:rPr>
        <w:t xml:space="preserve"> Appendix B</w:t>
      </w:r>
      <w:r w:rsidR="001A1115" w:rsidRPr="00A0371D">
        <w:rPr>
          <w:rFonts w:ascii="Palatino Linotype" w:hAnsi="Palatino Linotype"/>
          <w:lang w:val="en-ZW"/>
        </w:rPr>
        <w:t>2</w:t>
      </w:r>
      <w:r w:rsidRPr="00A0371D">
        <w:rPr>
          <w:rFonts w:ascii="Palatino Linotype" w:hAnsi="Palatino Linotype"/>
          <w:lang w:val="en-ZW"/>
        </w:rPr>
        <w:t xml:space="preserve"> at</w:t>
      </w:r>
      <w:r w:rsidR="00A0371D" w:rsidRPr="00A0371D">
        <w:rPr>
          <w:rFonts w:ascii="Palatino Linotype" w:hAnsi="Palatino Linotype"/>
          <w:lang w:val="en-ZW"/>
        </w:rPr>
        <w:t xml:space="preserve"> 18,</w:t>
      </w:r>
      <w:r w:rsidRPr="00A0371D">
        <w:rPr>
          <w:rFonts w:ascii="Palatino Linotype" w:hAnsi="Palatino Linotype"/>
          <w:lang w:val="en-ZW"/>
        </w:rPr>
        <w:t xml:space="preserve"> </w:t>
      </w:r>
      <w:r w:rsidR="001A1115" w:rsidRPr="00A0371D">
        <w:rPr>
          <w:rFonts w:ascii="Palatino Linotype" w:hAnsi="Palatino Linotype"/>
          <w:lang w:val="en-ZW"/>
        </w:rPr>
        <w:t>41</w:t>
      </w:r>
      <w:r w:rsidRPr="00A0371D">
        <w:rPr>
          <w:rFonts w:ascii="Palatino Linotype" w:hAnsi="Palatino Linotype"/>
          <w:lang w:val="en-ZW"/>
        </w:rPr>
        <w:t>.</w:t>
      </w:r>
    </w:p>
  </w:footnote>
  <w:footnote w:id="20">
    <w:p w14:paraId="3F4C8E3D" w14:textId="6CA1A5BE" w:rsidR="00E86BBF" w:rsidRPr="003B248B" w:rsidRDefault="00E86BBF">
      <w:pPr>
        <w:pStyle w:val="FootnoteText"/>
        <w:rPr>
          <w:rFonts w:ascii="Palatino Linotype" w:hAnsi="Palatino Linotype"/>
        </w:rPr>
      </w:pPr>
      <w:r w:rsidRPr="003B248B">
        <w:rPr>
          <w:rStyle w:val="FootnoteReference"/>
          <w:rFonts w:ascii="Palatino Linotype" w:hAnsi="Palatino Linotype"/>
        </w:rPr>
        <w:footnoteRef/>
      </w:r>
      <w:r w:rsidRPr="003B248B">
        <w:rPr>
          <w:rFonts w:ascii="Palatino Linotype" w:hAnsi="Palatino Linotype"/>
        </w:rPr>
        <w:t xml:space="preserve"> </w:t>
      </w:r>
      <w:r w:rsidR="00FC730F" w:rsidRPr="003B248B">
        <w:rPr>
          <w:rFonts w:ascii="Palatino Linotype" w:hAnsi="Palatino Linotype"/>
        </w:rPr>
        <w:t xml:space="preserve">PG&amp;E AL 7206-E, </w:t>
      </w:r>
      <w:r w:rsidR="008B19EE" w:rsidRPr="003B248B">
        <w:rPr>
          <w:rFonts w:ascii="Palatino Linotype" w:hAnsi="Palatino Linotype"/>
        </w:rPr>
        <w:t xml:space="preserve">Confidential </w:t>
      </w:r>
      <w:r w:rsidR="00FC730F" w:rsidRPr="003B248B">
        <w:rPr>
          <w:rFonts w:ascii="Palatino Linotype" w:hAnsi="Palatino Linotype"/>
        </w:rPr>
        <w:t xml:space="preserve">Appendix B1 at </w:t>
      </w:r>
      <w:r w:rsidR="00D643D5" w:rsidRPr="003B248B">
        <w:rPr>
          <w:rFonts w:ascii="Palatino Linotype" w:hAnsi="Palatino Linotype"/>
        </w:rPr>
        <w:t>13, 35.</w:t>
      </w:r>
    </w:p>
  </w:footnote>
  <w:footnote w:id="21">
    <w:p w14:paraId="5A09B56A" w14:textId="594BDF0F" w:rsidR="005257F8" w:rsidRPr="003B248B" w:rsidRDefault="005257F8">
      <w:pPr>
        <w:pStyle w:val="FootnoteText"/>
        <w:rPr>
          <w:rFonts w:ascii="Palatino Linotype" w:hAnsi="Palatino Linotype"/>
        </w:rPr>
      </w:pPr>
      <w:r w:rsidRPr="003B248B">
        <w:rPr>
          <w:rStyle w:val="FootnoteReference"/>
          <w:rFonts w:ascii="Palatino Linotype" w:hAnsi="Palatino Linotype"/>
        </w:rPr>
        <w:footnoteRef/>
      </w:r>
      <w:r w:rsidRPr="003B248B">
        <w:rPr>
          <w:rFonts w:ascii="Palatino Linotype" w:hAnsi="Palatino Linotype"/>
        </w:rPr>
        <w:t xml:space="preserve"> PG&amp;E AL 7602-E at 9.</w:t>
      </w:r>
    </w:p>
  </w:footnote>
  <w:footnote w:id="22">
    <w:p w14:paraId="3BB1E28F" w14:textId="48563752" w:rsidR="003B248B" w:rsidRPr="003B248B" w:rsidRDefault="003B248B">
      <w:pPr>
        <w:pStyle w:val="FootnoteText"/>
        <w:rPr>
          <w:rFonts w:ascii="Palatino Linotype" w:hAnsi="Palatino Linotype"/>
        </w:rPr>
      </w:pPr>
      <w:r w:rsidRPr="003B248B">
        <w:rPr>
          <w:rStyle w:val="FootnoteReference"/>
          <w:rFonts w:ascii="Palatino Linotype" w:hAnsi="Palatino Linotype"/>
        </w:rPr>
        <w:footnoteRef/>
      </w:r>
      <w:r w:rsidRPr="003B248B">
        <w:rPr>
          <w:rFonts w:ascii="Palatino Linotype" w:hAnsi="Palatino Linotype"/>
        </w:rPr>
        <w:t xml:space="preserve"> PG&amp;E AL 7206-E, Confidential Agreement, at 24.</w:t>
      </w:r>
    </w:p>
  </w:footnote>
  <w:footnote w:id="23">
    <w:p w14:paraId="7E9D55C4" w14:textId="096BCCE3" w:rsidR="00F53F7E" w:rsidRPr="003B248B" w:rsidRDefault="00F53F7E" w:rsidP="00632524">
      <w:pPr>
        <w:pStyle w:val="FootnoteText"/>
        <w:rPr>
          <w:rFonts w:ascii="Palatino Linotype" w:hAnsi="Palatino Linotype"/>
        </w:rPr>
      </w:pPr>
      <w:r w:rsidRPr="003B248B">
        <w:rPr>
          <w:rStyle w:val="FootnoteReference"/>
          <w:rFonts w:ascii="Palatino Linotype" w:hAnsi="Palatino Linotype"/>
        </w:rPr>
        <w:footnoteRef/>
      </w:r>
      <w:r w:rsidRPr="003B248B">
        <w:rPr>
          <w:rFonts w:ascii="Palatino Linotype" w:hAnsi="Palatino Linotype"/>
        </w:rPr>
        <w:t xml:space="preserve"> </w:t>
      </w:r>
      <w:r w:rsidR="005257F8" w:rsidRPr="003B248B">
        <w:rPr>
          <w:rFonts w:ascii="Palatino Linotype" w:hAnsi="Palatino Linotype"/>
          <w:i/>
          <w:iCs/>
        </w:rPr>
        <w:t>Ibid</w:t>
      </w:r>
      <w:r w:rsidRPr="003B248B">
        <w:rPr>
          <w:rFonts w:ascii="Palatino Linotype" w:hAnsi="Palatino Linotype"/>
        </w:rPr>
        <w:t>.</w:t>
      </w:r>
    </w:p>
  </w:footnote>
  <w:footnote w:id="24">
    <w:p w14:paraId="596D6C07" w14:textId="68BB86D7" w:rsidR="006D392B" w:rsidRPr="006D392B" w:rsidRDefault="006D392B">
      <w:pPr>
        <w:pStyle w:val="FootnoteText"/>
        <w:rPr>
          <w:rFonts w:ascii="Palatino Linotype" w:hAnsi="Palatino Linotype"/>
        </w:rPr>
      </w:pPr>
      <w:r>
        <w:rPr>
          <w:rStyle w:val="FootnoteReference"/>
        </w:rPr>
        <w:footnoteRef/>
      </w:r>
      <w:r w:rsidRPr="003B248B">
        <w:rPr>
          <w:rFonts w:ascii="Palatino Linotype" w:hAnsi="Palatino Linotype"/>
        </w:rPr>
        <w:t xml:space="preserve"> PG&amp;E AL 7206-E, Confidential Agreement, at </w:t>
      </w:r>
      <w:r>
        <w:rPr>
          <w:rFonts w:ascii="Palatino Linotype" w:hAnsi="Palatino Linotype"/>
        </w:rPr>
        <w:t>35</w:t>
      </w:r>
      <w:r w:rsidRPr="003B248B">
        <w:rPr>
          <w:rFonts w:ascii="Palatino Linotype" w:hAnsi="Palatino Linoty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DB83" w14:textId="77777777" w:rsidR="000929AD" w:rsidRDefault="00092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2C64D" w14:textId="34009118" w:rsidR="008935DE" w:rsidRPr="00CF5ABD" w:rsidRDefault="008935DE">
    <w:pPr>
      <w:pStyle w:val="Header"/>
      <w:rPr>
        <w:rFonts w:ascii="Palatino Linotype" w:hAnsi="Palatino Linotype"/>
        <w:sz w:val="24"/>
        <w:szCs w:val="24"/>
      </w:rPr>
    </w:pPr>
    <w:r w:rsidRPr="00CF5ABD">
      <w:rPr>
        <w:rFonts w:ascii="Palatino Linotype" w:hAnsi="Palatino Linotype"/>
        <w:sz w:val="24"/>
        <w:szCs w:val="24"/>
      </w:rPr>
      <w:t>ED/</w:t>
    </w:r>
    <w:r w:rsidR="00DA784A" w:rsidRPr="00CF5ABD">
      <w:rPr>
        <w:rFonts w:ascii="Palatino Linotype" w:hAnsi="Palatino Linotype"/>
        <w:sz w:val="24"/>
        <w:szCs w:val="24"/>
      </w:rPr>
      <w:t>Resolution E-5409</w:t>
    </w:r>
    <w:r w:rsidR="00E73E98" w:rsidRPr="00CF5ABD">
      <w:rPr>
        <w:rFonts w:ascii="Palatino Linotype" w:hAnsi="Palatino Linotype"/>
        <w:sz w:val="24"/>
        <w:szCs w:val="24"/>
      </w:rPr>
      <w:t xml:space="preserve"> </w:t>
    </w:r>
    <w:r w:rsidR="00FC08C6">
      <w:rPr>
        <w:rFonts w:ascii="Palatino Linotype" w:hAnsi="Palatino Linotype"/>
        <w:sz w:val="24"/>
        <w:szCs w:val="24"/>
      </w:rPr>
      <w:tab/>
      <w:t>DRAFT</w:t>
    </w:r>
    <w:r w:rsidR="00CF5ABD" w:rsidRPr="00CF5ABD">
      <w:rPr>
        <w:rFonts w:ascii="Palatino Linotype" w:hAnsi="Palatino Linotype"/>
        <w:sz w:val="24"/>
        <w:szCs w:val="24"/>
      </w:rPr>
      <w:tab/>
    </w:r>
    <w:r w:rsidR="00E73E98" w:rsidRPr="00CF5ABD">
      <w:rPr>
        <w:rFonts w:ascii="Palatino Linotype" w:hAnsi="Palatino Linotype"/>
        <w:sz w:val="24"/>
        <w:szCs w:val="24"/>
      </w:rPr>
      <w:t>August</w:t>
    </w:r>
    <w:r w:rsidR="00CF5ABD" w:rsidRPr="00CF5ABD">
      <w:rPr>
        <w:rFonts w:ascii="Palatino Linotype" w:hAnsi="Palatino Linotype"/>
        <w:sz w:val="24"/>
        <w:szCs w:val="24"/>
      </w:rPr>
      <w:t xml:space="preserve"> 14, 2025</w:t>
    </w:r>
  </w:p>
  <w:p w14:paraId="0A1B1A27" w14:textId="4D83D071" w:rsidR="00DA784A" w:rsidRDefault="00DA784A">
    <w:pPr>
      <w:pStyle w:val="Header"/>
      <w:rPr>
        <w:rFonts w:ascii="Palatino Linotype" w:hAnsi="Palatino Linotype"/>
        <w:sz w:val="24"/>
        <w:szCs w:val="24"/>
      </w:rPr>
    </w:pPr>
    <w:r w:rsidRPr="00CF5ABD">
      <w:rPr>
        <w:rFonts w:ascii="Palatino Linotype" w:hAnsi="Palatino Linotype"/>
        <w:sz w:val="24"/>
        <w:szCs w:val="24"/>
      </w:rPr>
      <w:t>PG&amp;E AL 7602-E</w:t>
    </w:r>
    <w:r w:rsidR="000601A6" w:rsidRPr="00CF5ABD">
      <w:rPr>
        <w:rFonts w:ascii="Palatino Linotype" w:hAnsi="Palatino Linotype"/>
        <w:sz w:val="24"/>
        <w:szCs w:val="24"/>
      </w:rPr>
      <w:t>/</w:t>
    </w:r>
    <w:r w:rsidR="00E73E98" w:rsidRPr="00CF5ABD">
      <w:rPr>
        <w:rFonts w:ascii="Palatino Linotype" w:hAnsi="Palatino Linotype"/>
        <w:sz w:val="24"/>
        <w:szCs w:val="24"/>
      </w:rPr>
      <w:t>NG3</w:t>
    </w:r>
  </w:p>
  <w:p w14:paraId="571A8F90" w14:textId="77777777" w:rsidR="00CF5ABD" w:rsidRPr="00CF5ABD" w:rsidRDefault="00CF5ABD">
    <w:pPr>
      <w:pStyle w:val="Header"/>
      <w:rPr>
        <w:rFonts w:ascii="Palatino Linotype" w:hAnsi="Palatino Linotype"/>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5556" w14:textId="047542F3" w:rsidR="00854266" w:rsidRPr="00260FEE" w:rsidRDefault="00260FEE" w:rsidP="002D48BC">
    <w:pPr>
      <w:pStyle w:val="Header"/>
      <w:rPr>
        <w:rFonts w:ascii="Palatino Linotype" w:hAnsi="Palatino Linotype"/>
        <w:sz w:val="24"/>
        <w:szCs w:val="24"/>
      </w:rPr>
    </w:pPr>
    <w:r w:rsidRPr="00260FEE">
      <w:rPr>
        <w:rFonts w:ascii="Palatino Linotype" w:hAnsi="Palatino Linotype"/>
        <w:sz w:val="24"/>
        <w:szCs w:val="24"/>
      </w:rPr>
      <w:tab/>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4C4"/>
    <w:multiLevelType w:val="hybridMultilevel"/>
    <w:tmpl w:val="A280789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DB7819"/>
    <w:multiLevelType w:val="hybridMultilevel"/>
    <w:tmpl w:val="0409000F"/>
    <w:lvl w:ilvl="0" w:tplc="28A22846">
      <w:start w:val="1"/>
      <w:numFmt w:val="decimal"/>
      <w:lvlText w:val="%1."/>
      <w:lvlJc w:val="left"/>
      <w:pPr>
        <w:tabs>
          <w:tab w:val="num" w:pos="360"/>
        </w:tabs>
        <w:ind w:left="360" w:hanging="360"/>
      </w:pPr>
    </w:lvl>
    <w:lvl w:ilvl="1" w:tplc="4F083E7A">
      <w:numFmt w:val="decimal"/>
      <w:lvlText w:val=""/>
      <w:lvlJc w:val="left"/>
    </w:lvl>
    <w:lvl w:ilvl="2" w:tplc="47C85A20">
      <w:numFmt w:val="decimal"/>
      <w:lvlText w:val=""/>
      <w:lvlJc w:val="left"/>
    </w:lvl>
    <w:lvl w:ilvl="3" w:tplc="F0348562">
      <w:numFmt w:val="decimal"/>
      <w:lvlText w:val=""/>
      <w:lvlJc w:val="left"/>
    </w:lvl>
    <w:lvl w:ilvl="4" w:tplc="A2D8A67E">
      <w:numFmt w:val="decimal"/>
      <w:lvlText w:val=""/>
      <w:lvlJc w:val="left"/>
    </w:lvl>
    <w:lvl w:ilvl="5" w:tplc="CF8E1EDA">
      <w:numFmt w:val="decimal"/>
      <w:lvlText w:val=""/>
      <w:lvlJc w:val="left"/>
    </w:lvl>
    <w:lvl w:ilvl="6" w:tplc="F5021964">
      <w:numFmt w:val="decimal"/>
      <w:lvlText w:val=""/>
      <w:lvlJc w:val="left"/>
    </w:lvl>
    <w:lvl w:ilvl="7" w:tplc="56C0950C">
      <w:numFmt w:val="decimal"/>
      <w:lvlText w:val=""/>
      <w:lvlJc w:val="left"/>
    </w:lvl>
    <w:lvl w:ilvl="8" w:tplc="8DAC735C">
      <w:numFmt w:val="decimal"/>
      <w:lvlText w:val=""/>
      <w:lvlJc w:val="left"/>
    </w:lvl>
  </w:abstractNum>
  <w:abstractNum w:abstractNumId="2" w15:restartNumberingAfterBreak="0">
    <w:nsid w:val="26F8414F"/>
    <w:multiLevelType w:val="hybridMultilevel"/>
    <w:tmpl w:val="99FE2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2565C7"/>
    <w:multiLevelType w:val="hybridMultilevel"/>
    <w:tmpl w:val="B4D29030"/>
    <w:lvl w:ilvl="0" w:tplc="B0BA4286">
      <w:start w:val="1"/>
      <w:numFmt w:val="decimal"/>
      <w:lvlText w:val="%1."/>
      <w:lvlJc w:val="left"/>
      <w:pPr>
        <w:tabs>
          <w:tab w:val="num" w:pos="420"/>
        </w:tabs>
        <w:ind w:left="420" w:hanging="420"/>
      </w:pPr>
      <w:rPr>
        <w:rFonts w:hint="default"/>
      </w:rPr>
    </w:lvl>
    <w:lvl w:ilvl="1" w:tplc="980EE42A">
      <w:numFmt w:val="decimal"/>
      <w:lvlText w:val=""/>
      <w:lvlJc w:val="left"/>
    </w:lvl>
    <w:lvl w:ilvl="2" w:tplc="A302F6E0">
      <w:numFmt w:val="decimal"/>
      <w:lvlText w:val=""/>
      <w:lvlJc w:val="left"/>
    </w:lvl>
    <w:lvl w:ilvl="3" w:tplc="815AE59C">
      <w:numFmt w:val="decimal"/>
      <w:lvlText w:val=""/>
      <w:lvlJc w:val="left"/>
    </w:lvl>
    <w:lvl w:ilvl="4" w:tplc="1C66C80A">
      <w:numFmt w:val="decimal"/>
      <w:lvlText w:val=""/>
      <w:lvlJc w:val="left"/>
    </w:lvl>
    <w:lvl w:ilvl="5" w:tplc="D90AF118">
      <w:numFmt w:val="decimal"/>
      <w:lvlText w:val=""/>
      <w:lvlJc w:val="left"/>
    </w:lvl>
    <w:lvl w:ilvl="6" w:tplc="AC746574">
      <w:numFmt w:val="decimal"/>
      <w:lvlText w:val=""/>
      <w:lvlJc w:val="left"/>
    </w:lvl>
    <w:lvl w:ilvl="7" w:tplc="728E44AE">
      <w:numFmt w:val="decimal"/>
      <w:lvlText w:val=""/>
      <w:lvlJc w:val="left"/>
    </w:lvl>
    <w:lvl w:ilvl="8" w:tplc="16D66D76">
      <w:numFmt w:val="decimal"/>
      <w:lvlText w:val=""/>
      <w:lvlJc w:val="left"/>
    </w:lvl>
  </w:abstractNum>
  <w:abstractNum w:abstractNumId="4" w15:restartNumberingAfterBreak="0">
    <w:nsid w:val="5A27653F"/>
    <w:multiLevelType w:val="multilevel"/>
    <w:tmpl w:val="DF660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EC46DE"/>
    <w:multiLevelType w:val="hybridMultilevel"/>
    <w:tmpl w:val="9A1A3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BB84711"/>
    <w:multiLevelType w:val="hybridMultilevel"/>
    <w:tmpl w:val="C582B82A"/>
    <w:lvl w:ilvl="0" w:tplc="04090001">
      <w:start w:val="1"/>
      <w:numFmt w:val="bullet"/>
      <w:lvlText w:val=""/>
      <w:lvlJc w:val="left"/>
      <w:pPr>
        <w:ind w:left="1440" w:hanging="360"/>
      </w:pPr>
      <w:rPr>
        <w:rFonts w:ascii="Symbol" w:hAnsi="Symbol" w:hint="default"/>
      </w:rPr>
    </w:lvl>
    <w:lvl w:ilvl="1" w:tplc="9D962DDE">
      <w:numFmt w:val="bullet"/>
      <w:lvlText w:val="•"/>
      <w:lvlJc w:val="left"/>
      <w:pPr>
        <w:ind w:left="2160" w:hanging="360"/>
      </w:pPr>
      <w:rPr>
        <w:rFonts w:ascii="Palatino" w:eastAsia="Times New Roman" w:hAnsi="Palatin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2326228">
    <w:abstractNumId w:val="3"/>
  </w:num>
  <w:num w:numId="2" w16cid:durableId="1990985697">
    <w:abstractNumId w:val="1"/>
  </w:num>
  <w:num w:numId="3" w16cid:durableId="2127384715">
    <w:abstractNumId w:val="2"/>
  </w:num>
  <w:num w:numId="4" w16cid:durableId="1353722570">
    <w:abstractNumId w:val="6"/>
  </w:num>
  <w:num w:numId="5" w16cid:durableId="658118272">
    <w:abstractNumId w:val="0"/>
  </w:num>
  <w:num w:numId="6" w16cid:durableId="86006629">
    <w:abstractNumId w:val="5"/>
  </w:num>
  <w:num w:numId="7" w16cid:durableId="404769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68"/>
    <w:rsid w:val="0000001A"/>
    <w:rsid w:val="000058C1"/>
    <w:rsid w:val="00006682"/>
    <w:rsid w:val="000175CB"/>
    <w:rsid w:val="0002381C"/>
    <w:rsid w:val="00023CFC"/>
    <w:rsid w:val="00023DD0"/>
    <w:rsid w:val="0002797D"/>
    <w:rsid w:val="000308A0"/>
    <w:rsid w:val="000313A1"/>
    <w:rsid w:val="00032364"/>
    <w:rsid w:val="00033AEB"/>
    <w:rsid w:val="00034375"/>
    <w:rsid w:val="00035299"/>
    <w:rsid w:val="00035EAE"/>
    <w:rsid w:val="0003794F"/>
    <w:rsid w:val="0004017B"/>
    <w:rsid w:val="00041BDA"/>
    <w:rsid w:val="000420CC"/>
    <w:rsid w:val="00042F41"/>
    <w:rsid w:val="00045F6E"/>
    <w:rsid w:val="00050674"/>
    <w:rsid w:val="00050870"/>
    <w:rsid w:val="00051626"/>
    <w:rsid w:val="000519BC"/>
    <w:rsid w:val="00053CA4"/>
    <w:rsid w:val="0005474A"/>
    <w:rsid w:val="00054887"/>
    <w:rsid w:val="00055124"/>
    <w:rsid w:val="000601A6"/>
    <w:rsid w:val="00061869"/>
    <w:rsid w:val="00062B1F"/>
    <w:rsid w:val="00063CB7"/>
    <w:rsid w:val="00064923"/>
    <w:rsid w:val="00065839"/>
    <w:rsid w:val="00065C24"/>
    <w:rsid w:val="00070813"/>
    <w:rsid w:val="00071D87"/>
    <w:rsid w:val="0007338E"/>
    <w:rsid w:val="000744D9"/>
    <w:rsid w:val="000752A4"/>
    <w:rsid w:val="00076CD6"/>
    <w:rsid w:val="00077A30"/>
    <w:rsid w:val="00080CFE"/>
    <w:rsid w:val="00083C29"/>
    <w:rsid w:val="000858EA"/>
    <w:rsid w:val="00085C78"/>
    <w:rsid w:val="0008675F"/>
    <w:rsid w:val="00087AF0"/>
    <w:rsid w:val="00087F29"/>
    <w:rsid w:val="0009102E"/>
    <w:rsid w:val="00091A61"/>
    <w:rsid w:val="000929AD"/>
    <w:rsid w:val="00096AF2"/>
    <w:rsid w:val="000973C0"/>
    <w:rsid w:val="000A1355"/>
    <w:rsid w:val="000A3033"/>
    <w:rsid w:val="000A3DAA"/>
    <w:rsid w:val="000A64B8"/>
    <w:rsid w:val="000B03E2"/>
    <w:rsid w:val="000B196A"/>
    <w:rsid w:val="000B64C7"/>
    <w:rsid w:val="000C101A"/>
    <w:rsid w:val="000C22DC"/>
    <w:rsid w:val="000C5AB9"/>
    <w:rsid w:val="000C729B"/>
    <w:rsid w:val="000D4EFF"/>
    <w:rsid w:val="000D556E"/>
    <w:rsid w:val="000E1B1C"/>
    <w:rsid w:val="000E48EA"/>
    <w:rsid w:val="000E6039"/>
    <w:rsid w:val="000F07AE"/>
    <w:rsid w:val="000F153A"/>
    <w:rsid w:val="000F4EF3"/>
    <w:rsid w:val="000F5026"/>
    <w:rsid w:val="000F789C"/>
    <w:rsid w:val="00100D8E"/>
    <w:rsid w:val="00100E59"/>
    <w:rsid w:val="00101EFE"/>
    <w:rsid w:val="00102B5A"/>
    <w:rsid w:val="00103716"/>
    <w:rsid w:val="001049B3"/>
    <w:rsid w:val="00105402"/>
    <w:rsid w:val="001072A5"/>
    <w:rsid w:val="0011016C"/>
    <w:rsid w:val="00112C75"/>
    <w:rsid w:val="0011773E"/>
    <w:rsid w:val="00120A17"/>
    <w:rsid w:val="001218F6"/>
    <w:rsid w:val="00126425"/>
    <w:rsid w:val="00126CBD"/>
    <w:rsid w:val="00133EE5"/>
    <w:rsid w:val="00134C01"/>
    <w:rsid w:val="00140129"/>
    <w:rsid w:val="00140315"/>
    <w:rsid w:val="00140890"/>
    <w:rsid w:val="001429A6"/>
    <w:rsid w:val="00153A85"/>
    <w:rsid w:val="00154D55"/>
    <w:rsid w:val="00154E7A"/>
    <w:rsid w:val="00155619"/>
    <w:rsid w:val="0015561F"/>
    <w:rsid w:val="00156E64"/>
    <w:rsid w:val="001573E9"/>
    <w:rsid w:val="00160084"/>
    <w:rsid w:val="001645D9"/>
    <w:rsid w:val="00165F93"/>
    <w:rsid w:val="0017018D"/>
    <w:rsid w:val="00172CE8"/>
    <w:rsid w:val="00173D58"/>
    <w:rsid w:val="00177197"/>
    <w:rsid w:val="00182FE5"/>
    <w:rsid w:val="00184D4B"/>
    <w:rsid w:val="0018737A"/>
    <w:rsid w:val="00191D34"/>
    <w:rsid w:val="00194B48"/>
    <w:rsid w:val="001A1115"/>
    <w:rsid w:val="001A3811"/>
    <w:rsid w:val="001A6609"/>
    <w:rsid w:val="001B1D45"/>
    <w:rsid w:val="001B25D3"/>
    <w:rsid w:val="001B2A02"/>
    <w:rsid w:val="001B7742"/>
    <w:rsid w:val="001B7B87"/>
    <w:rsid w:val="001C082E"/>
    <w:rsid w:val="001C1962"/>
    <w:rsid w:val="001C48B1"/>
    <w:rsid w:val="001C51EA"/>
    <w:rsid w:val="001C59B4"/>
    <w:rsid w:val="001C66AE"/>
    <w:rsid w:val="001C6C18"/>
    <w:rsid w:val="001C6C9C"/>
    <w:rsid w:val="001D6136"/>
    <w:rsid w:val="001E0478"/>
    <w:rsid w:val="001E0ECB"/>
    <w:rsid w:val="001E120F"/>
    <w:rsid w:val="001E3A70"/>
    <w:rsid w:val="001E63B6"/>
    <w:rsid w:val="001E726C"/>
    <w:rsid w:val="001F30FB"/>
    <w:rsid w:val="001F6430"/>
    <w:rsid w:val="001F67BA"/>
    <w:rsid w:val="001F769F"/>
    <w:rsid w:val="001F7D63"/>
    <w:rsid w:val="001F7E0E"/>
    <w:rsid w:val="00202DBB"/>
    <w:rsid w:val="00203C99"/>
    <w:rsid w:val="00203E39"/>
    <w:rsid w:val="002052D4"/>
    <w:rsid w:val="00205BFA"/>
    <w:rsid w:val="00210475"/>
    <w:rsid w:val="00211481"/>
    <w:rsid w:val="002121EC"/>
    <w:rsid w:val="00213116"/>
    <w:rsid w:val="00221D4B"/>
    <w:rsid w:val="00222970"/>
    <w:rsid w:val="0022647B"/>
    <w:rsid w:val="00226B3D"/>
    <w:rsid w:val="00230942"/>
    <w:rsid w:val="00232396"/>
    <w:rsid w:val="00232A39"/>
    <w:rsid w:val="00234F82"/>
    <w:rsid w:val="00235179"/>
    <w:rsid w:val="002407E7"/>
    <w:rsid w:val="00243924"/>
    <w:rsid w:val="002473D4"/>
    <w:rsid w:val="00250228"/>
    <w:rsid w:val="00250945"/>
    <w:rsid w:val="00253E6A"/>
    <w:rsid w:val="00254252"/>
    <w:rsid w:val="0025515F"/>
    <w:rsid w:val="00257B46"/>
    <w:rsid w:val="00260FEE"/>
    <w:rsid w:val="00262DD4"/>
    <w:rsid w:val="0026381D"/>
    <w:rsid w:val="00264E2E"/>
    <w:rsid w:val="0026598B"/>
    <w:rsid w:val="00267CFB"/>
    <w:rsid w:val="0027237C"/>
    <w:rsid w:val="00274FAA"/>
    <w:rsid w:val="00276374"/>
    <w:rsid w:val="00280109"/>
    <w:rsid w:val="002815C6"/>
    <w:rsid w:val="0028333F"/>
    <w:rsid w:val="00283B6D"/>
    <w:rsid w:val="00284E08"/>
    <w:rsid w:val="00287049"/>
    <w:rsid w:val="002905E9"/>
    <w:rsid w:val="00291666"/>
    <w:rsid w:val="002939EF"/>
    <w:rsid w:val="00296F91"/>
    <w:rsid w:val="00297BB5"/>
    <w:rsid w:val="002A0337"/>
    <w:rsid w:val="002A19A9"/>
    <w:rsid w:val="002A20B5"/>
    <w:rsid w:val="002A4405"/>
    <w:rsid w:val="002A79A1"/>
    <w:rsid w:val="002B01AE"/>
    <w:rsid w:val="002B0244"/>
    <w:rsid w:val="002B2B53"/>
    <w:rsid w:val="002B7079"/>
    <w:rsid w:val="002C19B7"/>
    <w:rsid w:val="002C308D"/>
    <w:rsid w:val="002C3157"/>
    <w:rsid w:val="002D3405"/>
    <w:rsid w:val="002D48BC"/>
    <w:rsid w:val="002D54C8"/>
    <w:rsid w:val="002D6958"/>
    <w:rsid w:val="002E0A73"/>
    <w:rsid w:val="002E1107"/>
    <w:rsid w:val="002E252C"/>
    <w:rsid w:val="002E25DD"/>
    <w:rsid w:val="002E4913"/>
    <w:rsid w:val="002E6E56"/>
    <w:rsid w:val="002F0D0D"/>
    <w:rsid w:val="002F26C9"/>
    <w:rsid w:val="002F4669"/>
    <w:rsid w:val="002F48AB"/>
    <w:rsid w:val="002F5A8D"/>
    <w:rsid w:val="00300EC4"/>
    <w:rsid w:val="00300FE3"/>
    <w:rsid w:val="0030109B"/>
    <w:rsid w:val="00301A85"/>
    <w:rsid w:val="003100C8"/>
    <w:rsid w:val="00313111"/>
    <w:rsid w:val="00314D09"/>
    <w:rsid w:val="00315C91"/>
    <w:rsid w:val="00315FD0"/>
    <w:rsid w:val="003169C9"/>
    <w:rsid w:val="00322805"/>
    <w:rsid w:val="003230D9"/>
    <w:rsid w:val="003256FF"/>
    <w:rsid w:val="00330CEC"/>
    <w:rsid w:val="00333D42"/>
    <w:rsid w:val="00335886"/>
    <w:rsid w:val="00341857"/>
    <w:rsid w:val="00343B71"/>
    <w:rsid w:val="00344365"/>
    <w:rsid w:val="003462EB"/>
    <w:rsid w:val="003464AE"/>
    <w:rsid w:val="003506C7"/>
    <w:rsid w:val="00350F55"/>
    <w:rsid w:val="003566CD"/>
    <w:rsid w:val="00357880"/>
    <w:rsid w:val="00357A0E"/>
    <w:rsid w:val="0036128F"/>
    <w:rsid w:val="0036153D"/>
    <w:rsid w:val="00365EFD"/>
    <w:rsid w:val="0037021E"/>
    <w:rsid w:val="0037064D"/>
    <w:rsid w:val="003748EB"/>
    <w:rsid w:val="00375FE4"/>
    <w:rsid w:val="0037603A"/>
    <w:rsid w:val="0038133F"/>
    <w:rsid w:val="00382A7B"/>
    <w:rsid w:val="00383E65"/>
    <w:rsid w:val="00384EB2"/>
    <w:rsid w:val="00385A3A"/>
    <w:rsid w:val="00385F62"/>
    <w:rsid w:val="00386F29"/>
    <w:rsid w:val="003877A5"/>
    <w:rsid w:val="00387A9D"/>
    <w:rsid w:val="00387D0B"/>
    <w:rsid w:val="00390A89"/>
    <w:rsid w:val="00390B4E"/>
    <w:rsid w:val="00394D7E"/>
    <w:rsid w:val="003967C8"/>
    <w:rsid w:val="003A26CC"/>
    <w:rsid w:val="003B248B"/>
    <w:rsid w:val="003B77DB"/>
    <w:rsid w:val="003C24E8"/>
    <w:rsid w:val="003C371F"/>
    <w:rsid w:val="003C4FEE"/>
    <w:rsid w:val="003C7B74"/>
    <w:rsid w:val="003D2341"/>
    <w:rsid w:val="003D2738"/>
    <w:rsid w:val="003D5D4A"/>
    <w:rsid w:val="003D79AF"/>
    <w:rsid w:val="003E11E7"/>
    <w:rsid w:val="003E2173"/>
    <w:rsid w:val="003E368B"/>
    <w:rsid w:val="00400C39"/>
    <w:rsid w:val="00402140"/>
    <w:rsid w:val="00402913"/>
    <w:rsid w:val="004063F1"/>
    <w:rsid w:val="004106A1"/>
    <w:rsid w:val="00410D0C"/>
    <w:rsid w:val="00411770"/>
    <w:rsid w:val="00413AAA"/>
    <w:rsid w:val="00414064"/>
    <w:rsid w:val="00415732"/>
    <w:rsid w:val="0041694C"/>
    <w:rsid w:val="00416DCD"/>
    <w:rsid w:val="004210F2"/>
    <w:rsid w:val="00421275"/>
    <w:rsid w:val="00421BE3"/>
    <w:rsid w:val="00422954"/>
    <w:rsid w:val="00424C6A"/>
    <w:rsid w:val="00425E36"/>
    <w:rsid w:val="004354FF"/>
    <w:rsid w:val="00437867"/>
    <w:rsid w:val="0044529B"/>
    <w:rsid w:val="004511D8"/>
    <w:rsid w:val="00455056"/>
    <w:rsid w:val="00456344"/>
    <w:rsid w:val="004564FC"/>
    <w:rsid w:val="004575BE"/>
    <w:rsid w:val="00461383"/>
    <w:rsid w:val="00462941"/>
    <w:rsid w:val="004639C4"/>
    <w:rsid w:val="00464829"/>
    <w:rsid w:val="00470FA6"/>
    <w:rsid w:val="004718A4"/>
    <w:rsid w:val="00471CDB"/>
    <w:rsid w:val="00473FA5"/>
    <w:rsid w:val="00476458"/>
    <w:rsid w:val="00481149"/>
    <w:rsid w:val="00481F46"/>
    <w:rsid w:val="004834D7"/>
    <w:rsid w:val="00483F53"/>
    <w:rsid w:val="00484130"/>
    <w:rsid w:val="004841F0"/>
    <w:rsid w:val="00485F44"/>
    <w:rsid w:val="00486B1C"/>
    <w:rsid w:val="00486D35"/>
    <w:rsid w:val="00486D49"/>
    <w:rsid w:val="00490387"/>
    <w:rsid w:val="00492A50"/>
    <w:rsid w:val="0049349A"/>
    <w:rsid w:val="00497698"/>
    <w:rsid w:val="0049784A"/>
    <w:rsid w:val="004A174A"/>
    <w:rsid w:val="004A275D"/>
    <w:rsid w:val="004A3583"/>
    <w:rsid w:val="004A7452"/>
    <w:rsid w:val="004A7D98"/>
    <w:rsid w:val="004B0AAE"/>
    <w:rsid w:val="004B2502"/>
    <w:rsid w:val="004B51E4"/>
    <w:rsid w:val="004B7304"/>
    <w:rsid w:val="004B7DB6"/>
    <w:rsid w:val="004C1EBA"/>
    <w:rsid w:val="004C1EC5"/>
    <w:rsid w:val="004C2344"/>
    <w:rsid w:val="004C5C64"/>
    <w:rsid w:val="004D3447"/>
    <w:rsid w:val="004D3C7B"/>
    <w:rsid w:val="004D4660"/>
    <w:rsid w:val="004E2DDA"/>
    <w:rsid w:val="004E3D54"/>
    <w:rsid w:val="004E6743"/>
    <w:rsid w:val="004F69C4"/>
    <w:rsid w:val="004F6A2B"/>
    <w:rsid w:val="004F6DA4"/>
    <w:rsid w:val="004F758B"/>
    <w:rsid w:val="004F7A5F"/>
    <w:rsid w:val="0050085A"/>
    <w:rsid w:val="00502706"/>
    <w:rsid w:val="00505F70"/>
    <w:rsid w:val="0050646D"/>
    <w:rsid w:val="00510104"/>
    <w:rsid w:val="0052055E"/>
    <w:rsid w:val="005257F8"/>
    <w:rsid w:val="00525C6F"/>
    <w:rsid w:val="005320A8"/>
    <w:rsid w:val="005324A4"/>
    <w:rsid w:val="0053683A"/>
    <w:rsid w:val="005373FC"/>
    <w:rsid w:val="00540854"/>
    <w:rsid w:val="00543749"/>
    <w:rsid w:val="00545543"/>
    <w:rsid w:val="00550701"/>
    <w:rsid w:val="00550C92"/>
    <w:rsid w:val="00552951"/>
    <w:rsid w:val="005608ED"/>
    <w:rsid w:val="005619C3"/>
    <w:rsid w:val="00564E5A"/>
    <w:rsid w:val="005672EA"/>
    <w:rsid w:val="0057053F"/>
    <w:rsid w:val="00570846"/>
    <w:rsid w:val="0057430D"/>
    <w:rsid w:val="0057446C"/>
    <w:rsid w:val="00576967"/>
    <w:rsid w:val="00580A7B"/>
    <w:rsid w:val="00580C3C"/>
    <w:rsid w:val="00581898"/>
    <w:rsid w:val="00584CA0"/>
    <w:rsid w:val="00596A95"/>
    <w:rsid w:val="00596EEB"/>
    <w:rsid w:val="005A5975"/>
    <w:rsid w:val="005B2143"/>
    <w:rsid w:val="005B3449"/>
    <w:rsid w:val="005B5CE3"/>
    <w:rsid w:val="005B7A7A"/>
    <w:rsid w:val="005C4F4E"/>
    <w:rsid w:val="005C67B9"/>
    <w:rsid w:val="005C6DB7"/>
    <w:rsid w:val="005D26A2"/>
    <w:rsid w:val="005D4AD7"/>
    <w:rsid w:val="005E0956"/>
    <w:rsid w:val="005E2695"/>
    <w:rsid w:val="005E4B4B"/>
    <w:rsid w:val="005E7525"/>
    <w:rsid w:val="005E7853"/>
    <w:rsid w:val="005E7B47"/>
    <w:rsid w:val="005F0D86"/>
    <w:rsid w:val="005F1F23"/>
    <w:rsid w:val="005F210D"/>
    <w:rsid w:val="005F2AD7"/>
    <w:rsid w:val="005F39F7"/>
    <w:rsid w:val="005F4112"/>
    <w:rsid w:val="005F71A4"/>
    <w:rsid w:val="0060181C"/>
    <w:rsid w:val="0060566A"/>
    <w:rsid w:val="0060687D"/>
    <w:rsid w:val="006070BB"/>
    <w:rsid w:val="00616F4A"/>
    <w:rsid w:val="00620693"/>
    <w:rsid w:val="0062511D"/>
    <w:rsid w:val="006261CF"/>
    <w:rsid w:val="00627501"/>
    <w:rsid w:val="00632524"/>
    <w:rsid w:val="00634129"/>
    <w:rsid w:val="006355A5"/>
    <w:rsid w:val="00644A4F"/>
    <w:rsid w:val="00645BAD"/>
    <w:rsid w:val="00646CB3"/>
    <w:rsid w:val="00647363"/>
    <w:rsid w:val="00650306"/>
    <w:rsid w:val="00651022"/>
    <w:rsid w:val="00651BCB"/>
    <w:rsid w:val="006527F9"/>
    <w:rsid w:val="006546A9"/>
    <w:rsid w:val="006555CE"/>
    <w:rsid w:val="00657371"/>
    <w:rsid w:val="00660096"/>
    <w:rsid w:val="006606FA"/>
    <w:rsid w:val="006608CD"/>
    <w:rsid w:val="00662894"/>
    <w:rsid w:val="00664873"/>
    <w:rsid w:val="006660EA"/>
    <w:rsid w:val="00666938"/>
    <w:rsid w:val="00666F14"/>
    <w:rsid w:val="006746B9"/>
    <w:rsid w:val="0068008B"/>
    <w:rsid w:val="006808AC"/>
    <w:rsid w:val="00682DF5"/>
    <w:rsid w:val="00685777"/>
    <w:rsid w:val="006875B5"/>
    <w:rsid w:val="006921A6"/>
    <w:rsid w:val="006921AE"/>
    <w:rsid w:val="006933A0"/>
    <w:rsid w:val="00693842"/>
    <w:rsid w:val="00693F12"/>
    <w:rsid w:val="00694124"/>
    <w:rsid w:val="0069466D"/>
    <w:rsid w:val="00694831"/>
    <w:rsid w:val="006974C5"/>
    <w:rsid w:val="006A09DB"/>
    <w:rsid w:val="006A3707"/>
    <w:rsid w:val="006A3A21"/>
    <w:rsid w:val="006A41CA"/>
    <w:rsid w:val="006A4312"/>
    <w:rsid w:val="006A5F94"/>
    <w:rsid w:val="006B0DA8"/>
    <w:rsid w:val="006B1F87"/>
    <w:rsid w:val="006B3D28"/>
    <w:rsid w:val="006B3D2B"/>
    <w:rsid w:val="006B57DF"/>
    <w:rsid w:val="006B5922"/>
    <w:rsid w:val="006C05D4"/>
    <w:rsid w:val="006C1042"/>
    <w:rsid w:val="006C20F0"/>
    <w:rsid w:val="006C3BFF"/>
    <w:rsid w:val="006C558E"/>
    <w:rsid w:val="006D0703"/>
    <w:rsid w:val="006D31F1"/>
    <w:rsid w:val="006D392B"/>
    <w:rsid w:val="006D3B4F"/>
    <w:rsid w:val="006D5670"/>
    <w:rsid w:val="006E41E0"/>
    <w:rsid w:val="006E5496"/>
    <w:rsid w:val="006E7982"/>
    <w:rsid w:val="006F086B"/>
    <w:rsid w:val="006F0DD5"/>
    <w:rsid w:val="006F1AB9"/>
    <w:rsid w:val="006F1C15"/>
    <w:rsid w:val="006F24E5"/>
    <w:rsid w:val="006F3B1E"/>
    <w:rsid w:val="006F4B01"/>
    <w:rsid w:val="006F511B"/>
    <w:rsid w:val="007013E4"/>
    <w:rsid w:val="0070164F"/>
    <w:rsid w:val="007019F0"/>
    <w:rsid w:val="00702112"/>
    <w:rsid w:val="007044D3"/>
    <w:rsid w:val="007045BA"/>
    <w:rsid w:val="007070CA"/>
    <w:rsid w:val="00710B00"/>
    <w:rsid w:val="007171CE"/>
    <w:rsid w:val="00723892"/>
    <w:rsid w:val="00733AB6"/>
    <w:rsid w:val="00734B21"/>
    <w:rsid w:val="007353CC"/>
    <w:rsid w:val="00735FC3"/>
    <w:rsid w:val="00741470"/>
    <w:rsid w:val="00741CF9"/>
    <w:rsid w:val="007421F3"/>
    <w:rsid w:val="00745E8D"/>
    <w:rsid w:val="0075032E"/>
    <w:rsid w:val="00751D45"/>
    <w:rsid w:val="0075343F"/>
    <w:rsid w:val="00754837"/>
    <w:rsid w:val="00754C94"/>
    <w:rsid w:val="00756C0B"/>
    <w:rsid w:val="00761DE3"/>
    <w:rsid w:val="00762296"/>
    <w:rsid w:val="007622FC"/>
    <w:rsid w:val="0077172C"/>
    <w:rsid w:val="00776270"/>
    <w:rsid w:val="0078008E"/>
    <w:rsid w:val="00785377"/>
    <w:rsid w:val="007859E7"/>
    <w:rsid w:val="00786CF1"/>
    <w:rsid w:val="00790607"/>
    <w:rsid w:val="007920CE"/>
    <w:rsid w:val="00792970"/>
    <w:rsid w:val="007929D2"/>
    <w:rsid w:val="00792D3D"/>
    <w:rsid w:val="00794905"/>
    <w:rsid w:val="007A2249"/>
    <w:rsid w:val="007A68BC"/>
    <w:rsid w:val="007B0E88"/>
    <w:rsid w:val="007B10D2"/>
    <w:rsid w:val="007B3D00"/>
    <w:rsid w:val="007C4C9B"/>
    <w:rsid w:val="007C62B7"/>
    <w:rsid w:val="007C679C"/>
    <w:rsid w:val="007C6D65"/>
    <w:rsid w:val="007D397A"/>
    <w:rsid w:val="007D4DD9"/>
    <w:rsid w:val="007D5D80"/>
    <w:rsid w:val="007E0C89"/>
    <w:rsid w:val="007E0F0E"/>
    <w:rsid w:val="007E31D3"/>
    <w:rsid w:val="007F0332"/>
    <w:rsid w:val="007F0FBA"/>
    <w:rsid w:val="007F4134"/>
    <w:rsid w:val="007F55CA"/>
    <w:rsid w:val="007F5B5F"/>
    <w:rsid w:val="00805BAA"/>
    <w:rsid w:val="0080766C"/>
    <w:rsid w:val="00812100"/>
    <w:rsid w:val="008154AB"/>
    <w:rsid w:val="0081693A"/>
    <w:rsid w:val="00820927"/>
    <w:rsid w:val="00824D31"/>
    <w:rsid w:val="00825129"/>
    <w:rsid w:val="0082600B"/>
    <w:rsid w:val="00826B27"/>
    <w:rsid w:val="00830B1C"/>
    <w:rsid w:val="0083226A"/>
    <w:rsid w:val="00840DFD"/>
    <w:rsid w:val="00841E8D"/>
    <w:rsid w:val="00841F54"/>
    <w:rsid w:val="008437D2"/>
    <w:rsid w:val="00844ACA"/>
    <w:rsid w:val="00847B09"/>
    <w:rsid w:val="00850611"/>
    <w:rsid w:val="00852633"/>
    <w:rsid w:val="00854266"/>
    <w:rsid w:val="008548D2"/>
    <w:rsid w:val="00857852"/>
    <w:rsid w:val="00860EDB"/>
    <w:rsid w:val="00862EC3"/>
    <w:rsid w:val="008644D1"/>
    <w:rsid w:val="00866E8F"/>
    <w:rsid w:val="00870F09"/>
    <w:rsid w:val="00872C87"/>
    <w:rsid w:val="0087310A"/>
    <w:rsid w:val="00880FF8"/>
    <w:rsid w:val="00882911"/>
    <w:rsid w:val="00884A30"/>
    <w:rsid w:val="008869C3"/>
    <w:rsid w:val="00886A86"/>
    <w:rsid w:val="008935DE"/>
    <w:rsid w:val="008955B6"/>
    <w:rsid w:val="008956EC"/>
    <w:rsid w:val="00896D53"/>
    <w:rsid w:val="008A1A20"/>
    <w:rsid w:val="008A1E7B"/>
    <w:rsid w:val="008A2356"/>
    <w:rsid w:val="008A2B18"/>
    <w:rsid w:val="008A51D3"/>
    <w:rsid w:val="008A6D7E"/>
    <w:rsid w:val="008B19EE"/>
    <w:rsid w:val="008B295F"/>
    <w:rsid w:val="008B5512"/>
    <w:rsid w:val="008B5740"/>
    <w:rsid w:val="008C0E76"/>
    <w:rsid w:val="008C1443"/>
    <w:rsid w:val="008C2176"/>
    <w:rsid w:val="008C7F23"/>
    <w:rsid w:val="008D66D1"/>
    <w:rsid w:val="008E007F"/>
    <w:rsid w:val="008E133C"/>
    <w:rsid w:val="008E1AA6"/>
    <w:rsid w:val="008F287D"/>
    <w:rsid w:val="008F2E45"/>
    <w:rsid w:val="00902148"/>
    <w:rsid w:val="009023C7"/>
    <w:rsid w:val="00905719"/>
    <w:rsid w:val="009065C4"/>
    <w:rsid w:val="00910E35"/>
    <w:rsid w:val="00917565"/>
    <w:rsid w:val="0092010F"/>
    <w:rsid w:val="00920C05"/>
    <w:rsid w:val="009251BD"/>
    <w:rsid w:val="00926035"/>
    <w:rsid w:val="00930E2A"/>
    <w:rsid w:val="00937138"/>
    <w:rsid w:val="009415B4"/>
    <w:rsid w:val="00945AE7"/>
    <w:rsid w:val="00946882"/>
    <w:rsid w:val="009478B1"/>
    <w:rsid w:val="009506A2"/>
    <w:rsid w:val="0095392D"/>
    <w:rsid w:val="00954977"/>
    <w:rsid w:val="00955319"/>
    <w:rsid w:val="009604A6"/>
    <w:rsid w:val="00960DB4"/>
    <w:rsid w:val="009612CF"/>
    <w:rsid w:val="00963C86"/>
    <w:rsid w:val="00966FB2"/>
    <w:rsid w:val="009671C5"/>
    <w:rsid w:val="00967970"/>
    <w:rsid w:val="00972A13"/>
    <w:rsid w:val="00972E61"/>
    <w:rsid w:val="0098085F"/>
    <w:rsid w:val="00980BCD"/>
    <w:rsid w:val="009822DE"/>
    <w:rsid w:val="009843D8"/>
    <w:rsid w:val="009862E6"/>
    <w:rsid w:val="00992B68"/>
    <w:rsid w:val="0099695E"/>
    <w:rsid w:val="00997B73"/>
    <w:rsid w:val="009A0329"/>
    <w:rsid w:val="009A116E"/>
    <w:rsid w:val="009A2E2D"/>
    <w:rsid w:val="009A31DB"/>
    <w:rsid w:val="009A5D93"/>
    <w:rsid w:val="009A7C80"/>
    <w:rsid w:val="009B0F23"/>
    <w:rsid w:val="009B294F"/>
    <w:rsid w:val="009B33EE"/>
    <w:rsid w:val="009B39AA"/>
    <w:rsid w:val="009B7140"/>
    <w:rsid w:val="009C1813"/>
    <w:rsid w:val="009C458B"/>
    <w:rsid w:val="009C747C"/>
    <w:rsid w:val="009D160A"/>
    <w:rsid w:val="009D266B"/>
    <w:rsid w:val="009D3CDB"/>
    <w:rsid w:val="009E041D"/>
    <w:rsid w:val="009E05FB"/>
    <w:rsid w:val="009E2B53"/>
    <w:rsid w:val="009E4C84"/>
    <w:rsid w:val="009E5C69"/>
    <w:rsid w:val="009E6386"/>
    <w:rsid w:val="009E74D9"/>
    <w:rsid w:val="009F1D56"/>
    <w:rsid w:val="009F742E"/>
    <w:rsid w:val="00A0371D"/>
    <w:rsid w:val="00A0711D"/>
    <w:rsid w:val="00A10912"/>
    <w:rsid w:val="00A112DE"/>
    <w:rsid w:val="00A13BAC"/>
    <w:rsid w:val="00A16646"/>
    <w:rsid w:val="00A169DF"/>
    <w:rsid w:val="00A20431"/>
    <w:rsid w:val="00A22508"/>
    <w:rsid w:val="00A25C0F"/>
    <w:rsid w:val="00A27664"/>
    <w:rsid w:val="00A30C7C"/>
    <w:rsid w:val="00A327C2"/>
    <w:rsid w:val="00A328AB"/>
    <w:rsid w:val="00A338F8"/>
    <w:rsid w:val="00A379E2"/>
    <w:rsid w:val="00A4076D"/>
    <w:rsid w:val="00A40C8E"/>
    <w:rsid w:val="00A45CC3"/>
    <w:rsid w:val="00A52C01"/>
    <w:rsid w:val="00A579A3"/>
    <w:rsid w:val="00A61B76"/>
    <w:rsid w:val="00A628C1"/>
    <w:rsid w:val="00A6397D"/>
    <w:rsid w:val="00A648D9"/>
    <w:rsid w:val="00A65AB8"/>
    <w:rsid w:val="00A70263"/>
    <w:rsid w:val="00A7168F"/>
    <w:rsid w:val="00A7260E"/>
    <w:rsid w:val="00A72B12"/>
    <w:rsid w:val="00A8097B"/>
    <w:rsid w:val="00A80FAC"/>
    <w:rsid w:val="00A83D08"/>
    <w:rsid w:val="00A906CB"/>
    <w:rsid w:val="00A90F25"/>
    <w:rsid w:val="00A9396C"/>
    <w:rsid w:val="00A96CC6"/>
    <w:rsid w:val="00A96F2A"/>
    <w:rsid w:val="00A97C3B"/>
    <w:rsid w:val="00AA2EB3"/>
    <w:rsid w:val="00AA6398"/>
    <w:rsid w:val="00AA72D8"/>
    <w:rsid w:val="00AB11E6"/>
    <w:rsid w:val="00AB2ABB"/>
    <w:rsid w:val="00AB435C"/>
    <w:rsid w:val="00AB630C"/>
    <w:rsid w:val="00AB6B8C"/>
    <w:rsid w:val="00AC09F3"/>
    <w:rsid w:val="00AC19DF"/>
    <w:rsid w:val="00AC23B2"/>
    <w:rsid w:val="00AC38EA"/>
    <w:rsid w:val="00AC71FC"/>
    <w:rsid w:val="00AD0625"/>
    <w:rsid w:val="00AD3B3A"/>
    <w:rsid w:val="00AD6A67"/>
    <w:rsid w:val="00AD7A57"/>
    <w:rsid w:val="00AD7C46"/>
    <w:rsid w:val="00AE2F7D"/>
    <w:rsid w:val="00AF4760"/>
    <w:rsid w:val="00AF74EE"/>
    <w:rsid w:val="00AF7E61"/>
    <w:rsid w:val="00B02077"/>
    <w:rsid w:val="00B057E1"/>
    <w:rsid w:val="00B0795C"/>
    <w:rsid w:val="00B07FD7"/>
    <w:rsid w:val="00B1122E"/>
    <w:rsid w:val="00B17DC9"/>
    <w:rsid w:val="00B2248F"/>
    <w:rsid w:val="00B22E10"/>
    <w:rsid w:val="00B246D2"/>
    <w:rsid w:val="00B27AE6"/>
    <w:rsid w:val="00B27D68"/>
    <w:rsid w:val="00B312ED"/>
    <w:rsid w:val="00B32C61"/>
    <w:rsid w:val="00B353F9"/>
    <w:rsid w:val="00B374B6"/>
    <w:rsid w:val="00B4173A"/>
    <w:rsid w:val="00B4792A"/>
    <w:rsid w:val="00B52BE6"/>
    <w:rsid w:val="00B5771B"/>
    <w:rsid w:val="00B57FE6"/>
    <w:rsid w:val="00B60A75"/>
    <w:rsid w:val="00B62EE7"/>
    <w:rsid w:val="00B62F7E"/>
    <w:rsid w:val="00B65D43"/>
    <w:rsid w:val="00B6625A"/>
    <w:rsid w:val="00B706E2"/>
    <w:rsid w:val="00B73E0F"/>
    <w:rsid w:val="00B76382"/>
    <w:rsid w:val="00B77C54"/>
    <w:rsid w:val="00B81A84"/>
    <w:rsid w:val="00B82615"/>
    <w:rsid w:val="00B84E68"/>
    <w:rsid w:val="00B8533D"/>
    <w:rsid w:val="00B85A5D"/>
    <w:rsid w:val="00B85A86"/>
    <w:rsid w:val="00B861DF"/>
    <w:rsid w:val="00B87020"/>
    <w:rsid w:val="00B9144D"/>
    <w:rsid w:val="00BA1484"/>
    <w:rsid w:val="00BA1982"/>
    <w:rsid w:val="00BA6329"/>
    <w:rsid w:val="00BA670F"/>
    <w:rsid w:val="00BA736F"/>
    <w:rsid w:val="00BB18C8"/>
    <w:rsid w:val="00BB1968"/>
    <w:rsid w:val="00BB3133"/>
    <w:rsid w:val="00BB3235"/>
    <w:rsid w:val="00BB458C"/>
    <w:rsid w:val="00BC18B1"/>
    <w:rsid w:val="00BC281A"/>
    <w:rsid w:val="00BC3476"/>
    <w:rsid w:val="00BC46C5"/>
    <w:rsid w:val="00BC5136"/>
    <w:rsid w:val="00BC5177"/>
    <w:rsid w:val="00BC570E"/>
    <w:rsid w:val="00BC7961"/>
    <w:rsid w:val="00BD2236"/>
    <w:rsid w:val="00BD23CD"/>
    <w:rsid w:val="00BD579E"/>
    <w:rsid w:val="00BE26A9"/>
    <w:rsid w:val="00BE2A34"/>
    <w:rsid w:val="00BE7EB7"/>
    <w:rsid w:val="00BF0F7C"/>
    <w:rsid w:val="00BF2D08"/>
    <w:rsid w:val="00BF459C"/>
    <w:rsid w:val="00BF691B"/>
    <w:rsid w:val="00BF71B2"/>
    <w:rsid w:val="00C0099D"/>
    <w:rsid w:val="00C011C6"/>
    <w:rsid w:val="00C01DA7"/>
    <w:rsid w:val="00C0797D"/>
    <w:rsid w:val="00C11177"/>
    <w:rsid w:val="00C12CCB"/>
    <w:rsid w:val="00C1497E"/>
    <w:rsid w:val="00C15661"/>
    <w:rsid w:val="00C16538"/>
    <w:rsid w:val="00C17FBE"/>
    <w:rsid w:val="00C2402C"/>
    <w:rsid w:val="00C24AEC"/>
    <w:rsid w:val="00C2615D"/>
    <w:rsid w:val="00C26E2D"/>
    <w:rsid w:val="00C31523"/>
    <w:rsid w:val="00C31763"/>
    <w:rsid w:val="00C31CF0"/>
    <w:rsid w:val="00C367E6"/>
    <w:rsid w:val="00C44B34"/>
    <w:rsid w:val="00C49CC2"/>
    <w:rsid w:val="00C53B6B"/>
    <w:rsid w:val="00C5469C"/>
    <w:rsid w:val="00C563DA"/>
    <w:rsid w:val="00C57A24"/>
    <w:rsid w:val="00C630FC"/>
    <w:rsid w:val="00C63EA6"/>
    <w:rsid w:val="00C65671"/>
    <w:rsid w:val="00C7172E"/>
    <w:rsid w:val="00C7302E"/>
    <w:rsid w:val="00C74C9D"/>
    <w:rsid w:val="00C75BE3"/>
    <w:rsid w:val="00C80E46"/>
    <w:rsid w:val="00C82542"/>
    <w:rsid w:val="00C86E4A"/>
    <w:rsid w:val="00C926CD"/>
    <w:rsid w:val="00C930F2"/>
    <w:rsid w:val="00C93380"/>
    <w:rsid w:val="00C9373C"/>
    <w:rsid w:val="00C96B97"/>
    <w:rsid w:val="00CA2BF2"/>
    <w:rsid w:val="00CA3D3F"/>
    <w:rsid w:val="00CA54EF"/>
    <w:rsid w:val="00CA61C8"/>
    <w:rsid w:val="00CA7247"/>
    <w:rsid w:val="00CA75AA"/>
    <w:rsid w:val="00CB060E"/>
    <w:rsid w:val="00CB50FA"/>
    <w:rsid w:val="00CB5403"/>
    <w:rsid w:val="00CB60ED"/>
    <w:rsid w:val="00CC641A"/>
    <w:rsid w:val="00CC6C64"/>
    <w:rsid w:val="00CC759F"/>
    <w:rsid w:val="00CD0110"/>
    <w:rsid w:val="00CD185E"/>
    <w:rsid w:val="00CD31B7"/>
    <w:rsid w:val="00CD3C16"/>
    <w:rsid w:val="00CD4DF3"/>
    <w:rsid w:val="00CE1977"/>
    <w:rsid w:val="00CE6F19"/>
    <w:rsid w:val="00CE71A9"/>
    <w:rsid w:val="00CF461B"/>
    <w:rsid w:val="00CF463E"/>
    <w:rsid w:val="00CF47C3"/>
    <w:rsid w:val="00CF5ABD"/>
    <w:rsid w:val="00CF62F4"/>
    <w:rsid w:val="00D007B3"/>
    <w:rsid w:val="00D031AA"/>
    <w:rsid w:val="00D05154"/>
    <w:rsid w:val="00D129B0"/>
    <w:rsid w:val="00D14C12"/>
    <w:rsid w:val="00D157C4"/>
    <w:rsid w:val="00D21E46"/>
    <w:rsid w:val="00D22188"/>
    <w:rsid w:val="00D22A3F"/>
    <w:rsid w:val="00D2436E"/>
    <w:rsid w:val="00D24601"/>
    <w:rsid w:val="00D269CA"/>
    <w:rsid w:val="00D26E04"/>
    <w:rsid w:val="00D26E23"/>
    <w:rsid w:val="00D2796B"/>
    <w:rsid w:val="00D300BA"/>
    <w:rsid w:val="00D30ADB"/>
    <w:rsid w:val="00D4075D"/>
    <w:rsid w:val="00D4444C"/>
    <w:rsid w:val="00D44452"/>
    <w:rsid w:val="00D45923"/>
    <w:rsid w:val="00D4743D"/>
    <w:rsid w:val="00D50987"/>
    <w:rsid w:val="00D55410"/>
    <w:rsid w:val="00D56544"/>
    <w:rsid w:val="00D567F6"/>
    <w:rsid w:val="00D5759F"/>
    <w:rsid w:val="00D57679"/>
    <w:rsid w:val="00D6434D"/>
    <w:rsid w:val="00D643D5"/>
    <w:rsid w:val="00D66D88"/>
    <w:rsid w:val="00D66DF4"/>
    <w:rsid w:val="00D67CFF"/>
    <w:rsid w:val="00D71E26"/>
    <w:rsid w:val="00D7201D"/>
    <w:rsid w:val="00D748BB"/>
    <w:rsid w:val="00D74D45"/>
    <w:rsid w:val="00D76BED"/>
    <w:rsid w:val="00D85217"/>
    <w:rsid w:val="00D859A9"/>
    <w:rsid w:val="00D877BD"/>
    <w:rsid w:val="00D87EB8"/>
    <w:rsid w:val="00DA23C5"/>
    <w:rsid w:val="00DA5DDE"/>
    <w:rsid w:val="00DA6BEF"/>
    <w:rsid w:val="00DA784A"/>
    <w:rsid w:val="00DB1A95"/>
    <w:rsid w:val="00DB1CD0"/>
    <w:rsid w:val="00DB20F0"/>
    <w:rsid w:val="00DB3559"/>
    <w:rsid w:val="00DB68BF"/>
    <w:rsid w:val="00DB6F51"/>
    <w:rsid w:val="00DC0504"/>
    <w:rsid w:val="00DC1107"/>
    <w:rsid w:val="00DC3974"/>
    <w:rsid w:val="00DC402E"/>
    <w:rsid w:val="00DC41A9"/>
    <w:rsid w:val="00DC5965"/>
    <w:rsid w:val="00DC5A30"/>
    <w:rsid w:val="00DC5C53"/>
    <w:rsid w:val="00DD12DD"/>
    <w:rsid w:val="00DD285E"/>
    <w:rsid w:val="00DD7B3E"/>
    <w:rsid w:val="00DE1A67"/>
    <w:rsid w:val="00DE295A"/>
    <w:rsid w:val="00DE506E"/>
    <w:rsid w:val="00DE5A59"/>
    <w:rsid w:val="00DE70FB"/>
    <w:rsid w:val="00DE7AE9"/>
    <w:rsid w:val="00DF06A6"/>
    <w:rsid w:val="00DF1143"/>
    <w:rsid w:val="00DF230A"/>
    <w:rsid w:val="00DF572E"/>
    <w:rsid w:val="00DF5D3B"/>
    <w:rsid w:val="00DF7C82"/>
    <w:rsid w:val="00E05D86"/>
    <w:rsid w:val="00E10368"/>
    <w:rsid w:val="00E1511F"/>
    <w:rsid w:val="00E200D3"/>
    <w:rsid w:val="00E21A70"/>
    <w:rsid w:val="00E2234D"/>
    <w:rsid w:val="00E24169"/>
    <w:rsid w:val="00E32AB8"/>
    <w:rsid w:val="00E32F48"/>
    <w:rsid w:val="00E33EF3"/>
    <w:rsid w:val="00E3504C"/>
    <w:rsid w:val="00E412B2"/>
    <w:rsid w:val="00E42259"/>
    <w:rsid w:val="00E422CB"/>
    <w:rsid w:val="00E43A5C"/>
    <w:rsid w:val="00E43C90"/>
    <w:rsid w:val="00E46318"/>
    <w:rsid w:val="00E5081D"/>
    <w:rsid w:val="00E521DB"/>
    <w:rsid w:val="00E5581A"/>
    <w:rsid w:val="00E60C23"/>
    <w:rsid w:val="00E61226"/>
    <w:rsid w:val="00E6207A"/>
    <w:rsid w:val="00E632F4"/>
    <w:rsid w:val="00E7080B"/>
    <w:rsid w:val="00E73390"/>
    <w:rsid w:val="00E73E98"/>
    <w:rsid w:val="00E7429A"/>
    <w:rsid w:val="00E818D6"/>
    <w:rsid w:val="00E822E5"/>
    <w:rsid w:val="00E8606E"/>
    <w:rsid w:val="00E86BBF"/>
    <w:rsid w:val="00E90E75"/>
    <w:rsid w:val="00E91E1B"/>
    <w:rsid w:val="00E92371"/>
    <w:rsid w:val="00E93863"/>
    <w:rsid w:val="00E949CE"/>
    <w:rsid w:val="00E9591B"/>
    <w:rsid w:val="00E95AA6"/>
    <w:rsid w:val="00E95B5E"/>
    <w:rsid w:val="00E97013"/>
    <w:rsid w:val="00E975AE"/>
    <w:rsid w:val="00EB1AAE"/>
    <w:rsid w:val="00EB1CDB"/>
    <w:rsid w:val="00EB20AD"/>
    <w:rsid w:val="00EB2CEC"/>
    <w:rsid w:val="00EB4497"/>
    <w:rsid w:val="00EB5C01"/>
    <w:rsid w:val="00EC3396"/>
    <w:rsid w:val="00EC40A0"/>
    <w:rsid w:val="00EC50AE"/>
    <w:rsid w:val="00ED3909"/>
    <w:rsid w:val="00ED3AF2"/>
    <w:rsid w:val="00ED3AFF"/>
    <w:rsid w:val="00ED5010"/>
    <w:rsid w:val="00ED674A"/>
    <w:rsid w:val="00ED7F9F"/>
    <w:rsid w:val="00EE0F3C"/>
    <w:rsid w:val="00EE16E4"/>
    <w:rsid w:val="00EE5958"/>
    <w:rsid w:val="00EE69FD"/>
    <w:rsid w:val="00EE7949"/>
    <w:rsid w:val="00EF06FE"/>
    <w:rsid w:val="00EF12E7"/>
    <w:rsid w:val="00EF5C78"/>
    <w:rsid w:val="00F00BB6"/>
    <w:rsid w:val="00F013FB"/>
    <w:rsid w:val="00F0269C"/>
    <w:rsid w:val="00F035D8"/>
    <w:rsid w:val="00F03D35"/>
    <w:rsid w:val="00F06B47"/>
    <w:rsid w:val="00F11555"/>
    <w:rsid w:val="00F119C0"/>
    <w:rsid w:val="00F124EA"/>
    <w:rsid w:val="00F15188"/>
    <w:rsid w:val="00F1648D"/>
    <w:rsid w:val="00F17867"/>
    <w:rsid w:val="00F20072"/>
    <w:rsid w:val="00F20E56"/>
    <w:rsid w:val="00F20F19"/>
    <w:rsid w:val="00F21E98"/>
    <w:rsid w:val="00F25C16"/>
    <w:rsid w:val="00F26F2F"/>
    <w:rsid w:val="00F35025"/>
    <w:rsid w:val="00F36B1C"/>
    <w:rsid w:val="00F36F31"/>
    <w:rsid w:val="00F37631"/>
    <w:rsid w:val="00F45944"/>
    <w:rsid w:val="00F45BAD"/>
    <w:rsid w:val="00F50329"/>
    <w:rsid w:val="00F50C11"/>
    <w:rsid w:val="00F53F7E"/>
    <w:rsid w:val="00F54470"/>
    <w:rsid w:val="00F5625C"/>
    <w:rsid w:val="00F602D3"/>
    <w:rsid w:val="00F61BF7"/>
    <w:rsid w:val="00F63DBC"/>
    <w:rsid w:val="00F65208"/>
    <w:rsid w:val="00F67A0F"/>
    <w:rsid w:val="00F70035"/>
    <w:rsid w:val="00F7264A"/>
    <w:rsid w:val="00F77F05"/>
    <w:rsid w:val="00F870F8"/>
    <w:rsid w:val="00F90A3E"/>
    <w:rsid w:val="00F9332B"/>
    <w:rsid w:val="00FA42F4"/>
    <w:rsid w:val="00FB20FF"/>
    <w:rsid w:val="00FB5148"/>
    <w:rsid w:val="00FB5CB1"/>
    <w:rsid w:val="00FB7333"/>
    <w:rsid w:val="00FC08C6"/>
    <w:rsid w:val="00FC09E0"/>
    <w:rsid w:val="00FC3CCD"/>
    <w:rsid w:val="00FC4101"/>
    <w:rsid w:val="00FC70DD"/>
    <w:rsid w:val="00FC718B"/>
    <w:rsid w:val="00FC730F"/>
    <w:rsid w:val="00FD0690"/>
    <w:rsid w:val="00FD2A54"/>
    <w:rsid w:val="00FD31E3"/>
    <w:rsid w:val="00FD52D8"/>
    <w:rsid w:val="00FD572A"/>
    <w:rsid w:val="00FD7D67"/>
    <w:rsid w:val="00FE01EB"/>
    <w:rsid w:val="00FE0390"/>
    <w:rsid w:val="00FE0B80"/>
    <w:rsid w:val="00FE0DCF"/>
    <w:rsid w:val="00FE2428"/>
    <w:rsid w:val="00FE28C1"/>
    <w:rsid w:val="00FE320C"/>
    <w:rsid w:val="00FE7F5B"/>
    <w:rsid w:val="00FF11E1"/>
    <w:rsid w:val="00FF1D4D"/>
    <w:rsid w:val="00FF4D65"/>
    <w:rsid w:val="00FF5F3F"/>
    <w:rsid w:val="00FF74AD"/>
    <w:rsid w:val="00FF7FAE"/>
    <w:rsid w:val="0273BD8D"/>
    <w:rsid w:val="03907D78"/>
    <w:rsid w:val="063AA4C9"/>
    <w:rsid w:val="06AB98AA"/>
    <w:rsid w:val="07151259"/>
    <w:rsid w:val="07C4B448"/>
    <w:rsid w:val="08932201"/>
    <w:rsid w:val="08D7E732"/>
    <w:rsid w:val="08D7F773"/>
    <w:rsid w:val="09763E21"/>
    <w:rsid w:val="09C87AF8"/>
    <w:rsid w:val="0B46DC80"/>
    <w:rsid w:val="0C3123EC"/>
    <w:rsid w:val="0DF9C2BA"/>
    <w:rsid w:val="0E067C76"/>
    <w:rsid w:val="109F6F35"/>
    <w:rsid w:val="11A7DBB0"/>
    <w:rsid w:val="13FF5535"/>
    <w:rsid w:val="1424AFA2"/>
    <w:rsid w:val="14AD769E"/>
    <w:rsid w:val="14F4C82E"/>
    <w:rsid w:val="152BA347"/>
    <w:rsid w:val="155EB2F8"/>
    <w:rsid w:val="15940057"/>
    <w:rsid w:val="161D2F06"/>
    <w:rsid w:val="1676C5BA"/>
    <w:rsid w:val="16B86018"/>
    <w:rsid w:val="1727C9EF"/>
    <w:rsid w:val="172AAD6E"/>
    <w:rsid w:val="173AEFBB"/>
    <w:rsid w:val="17A69216"/>
    <w:rsid w:val="185CAA2C"/>
    <w:rsid w:val="18D0E5E6"/>
    <w:rsid w:val="19749D4A"/>
    <w:rsid w:val="1A6DA15E"/>
    <w:rsid w:val="1AD2F77F"/>
    <w:rsid w:val="1E220F6B"/>
    <w:rsid w:val="1FE53D1C"/>
    <w:rsid w:val="2214F15C"/>
    <w:rsid w:val="22588F02"/>
    <w:rsid w:val="2585D29F"/>
    <w:rsid w:val="25C7BBDA"/>
    <w:rsid w:val="279CFD6C"/>
    <w:rsid w:val="27AE38AA"/>
    <w:rsid w:val="2C19CC6A"/>
    <w:rsid w:val="2CDBDA2A"/>
    <w:rsid w:val="2D7FA234"/>
    <w:rsid w:val="2D91FDD9"/>
    <w:rsid w:val="2EAF902B"/>
    <w:rsid w:val="2EAFACC7"/>
    <w:rsid w:val="2EC2B401"/>
    <w:rsid w:val="356B3849"/>
    <w:rsid w:val="35C24F75"/>
    <w:rsid w:val="3697C5F4"/>
    <w:rsid w:val="36BC55EF"/>
    <w:rsid w:val="36BDCB6D"/>
    <w:rsid w:val="36CB8899"/>
    <w:rsid w:val="3A0399E3"/>
    <w:rsid w:val="3A19E654"/>
    <w:rsid w:val="3A9D624C"/>
    <w:rsid w:val="3ED601B1"/>
    <w:rsid w:val="3FD3E61D"/>
    <w:rsid w:val="41C8F61E"/>
    <w:rsid w:val="422F09A9"/>
    <w:rsid w:val="42476DBD"/>
    <w:rsid w:val="42EA5306"/>
    <w:rsid w:val="4300776C"/>
    <w:rsid w:val="443C33AC"/>
    <w:rsid w:val="4460A956"/>
    <w:rsid w:val="4539269D"/>
    <w:rsid w:val="454095F2"/>
    <w:rsid w:val="46C142C6"/>
    <w:rsid w:val="4827B66C"/>
    <w:rsid w:val="48F0B097"/>
    <w:rsid w:val="49C0CB8E"/>
    <w:rsid w:val="4ADDF40F"/>
    <w:rsid w:val="4C300995"/>
    <w:rsid w:val="4D78EFCC"/>
    <w:rsid w:val="500BBEFF"/>
    <w:rsid w:val="504C3363"/>
    <w:rsid w:val="5103779B"/>
    <w:rsid w:val="516DC67A"/>
    <w:rsid w:val="51D7F400"/>
    <w:rsid w:val="526F39D3"/>
    <w:rsid w:val="5297E484"/>
    <w:rsid w:val="54110AE0"/>
    <w:rsid w:val="54242B4E"/>
    <w:rsid w:val="54A4872B"/>
    <w:rsid w:val="54FFC5CE"/>
    <w:rsid w:val="55A24BC0"/>
    <w:rsid w:val="55ED2020"/>
    <w:rsid w:val="563B020D"/>
    <w:rsid w:val="56E864C0"/>
    <w:rsid w:val="57A5D125"/>
    <w:rsid w:val="58EB139D"/>
    <w:rsid w:val="5914DE22"/>
    <w:rsid w:val="5929D888"/>
    <w:rsid w:val="59E71D8F"/>
    <w:rsid w:val="5A781342"/>
    <w:rsid w:val="5B09956E"/>
    <w:rsid w:val="5B7FBBF8"/>
    <w:rsid w:val="5C0AB1F8"/>
    <w:rsid w:val="5C5F1F3D"/>
    <w:rsid w:val="5C66B123"/>
    <w:rsid w:val="5C69AA2D"/>
    <w:rsid w:val="5F65D64E"/>
    <w:rsid w:val="5FF45EB9"/>
    <w:rsid w:val="60890598"/>
    <w:rsid w:val="62DC0578"/>
    <w:rsid w:val="62EC5CD1"/>
    <w:rsid w:val="63634FCD"/>
    <w:rsid w:val="63D985D0"/>
    <w:rsid w:val="64107F29"/>
    <w:rsid w:val="6773EBE1"/>
    <w:rsid w:val="67F03FAB"/>
    <w:rsid w:val="68C9A641"/>
    <w:rsid w:val="69248E7E"/>
    <w:rsid w:val="6CA82FB0"/>
    <w:rsid w:val="6D8A582F"/>
    <w:rsid w:val="6F7624FA"/>
    <w:rsid w:val="70481B4D"/>
    <w:rsid w:val="70EAF8C8"/>
    <w:rsid w:val="734E9025"/>
    <w:rsid w:val="73DD335E"/>
    <w:rsid w:val="74637ADB"/>
    <w:rsid w:val="74EBC998"/>
    <w:rsid w:val="76158B1F"/>
    <w:rsid w:val="771B4C95"/>
    <w:rsid w:val="782FF50B"/>
    <w:rsid w:val="7857C155"/>
    <w:rsid w:val="78F8A0C0"/>
    <w:rsid w:val="79433F1A"/>
    <w:rsid w:val="7B140B9A"/>
    <w:rsid w:val="7E1AEDB9"/>
    <w:rsid w:val="7E375390"/>
    <w:rsid w:val="7E69AC0A"/>
    <w:rsid w:val="7EEC15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15872"/>
  <w15:chartTrackingRefBased/>
  <w15:docId w15:val="{B566472B-F6AC-446C-96C9-B51B2970F89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E68"/>
  </w:style>
  <w:style w:type="paragraph" w:styleId="Heading1">
    <w:name w:val="heading 1"/>
    <w:basedOn w:val="Normal"/>
    <w:next w:val="Normal"/>
    <w:link w:val="Heading1Char"/>
    <w:uiPriority w:val="9"/>
    <w:qFormat/>
    <w:rsid w:val="00B84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84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E68"/>
    <w:rPr>
      <w:rFonts w:eastAsiaTheme="majorEastAsia" w:cstheme="majorBidi"/>
      <w:color w:val="272727" w:themeColor="text1" w:themeTint="D8"/>
    </w:rPr>
  </w:style>
  <w:style w:type="paragraph" w:styleId="Title">
    <w:name w:val="Title"/>
    <w:basedOn w:val="Normal"/>
    <w:next w:val="Normal"/>
    <w:link w:val="TitleChar"/>
    <w:uiPriority w:val="10"/>
    <w:qFormat/>
    <w:rsid w:val="00B84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E68"/>
    <w:pPr>
      <w:spacing w:before="160"/>
      <w:jc w:val="center"/>
    </w:pPr>
    <w:rPr>
      <w:i/>
      <w:iCs/>
      <w:color w:val="404040" w:themeColor="text1" w:themeTint="BF"/>
    </w:rPr>
  </w:style>
  <w:style w:type="character" w:customStyle="1" w:styleId="QuoteChar">
    <w:name w:val="Quote Char"/>
    <w:basedOn w:val="DefaultParagraphFont"/>
    <w:link w:val="Quote"/>
    <w:uiPriority w:val="29"/>
    <w:rsid w:val="00B84E68"/>
    <w:rPr>
      <w:i/>
      <w:iCs/>
      <w:color w:val="404040" w:themeColor="text1" w:themeTint="BF"/>
    </w:rPr>
  </w:style>
  <w:style w:type="paragraph" w:styleId="ListParagraph">
    <w:name w:val="List Paragraph"/>
    <w:basedOn w:val="Normal"/>
    <w:uiPriority w:val="34"/>
    <w:qFormat/>
    <w:rsid w:val="00B84E68"/>
    <w:pPr>
      <w:ind w:left="720"/>
      <w:contextualSpacing/>
    </w:pPr>
  </w:style>
  <w:style w:type="character" w:styleId="IntenseEmphasis">
    <w:name w:val="Intense Emphasis"/>
    <w:basedOn w:val="DefaultParagraphFont"/>
    <w:uiPriority w:val="21"/>
    <w:qFormat/>
    <w:rsid w:val="00B84E68"/>
    <w:rPr>
      <w:i/>
      <w:iCs/>
      <w:color w:val="0F4761" w:themeColor="accent1" w:themeShade="BF"/>
    </w:rPr>
  </w:style>
  <w:style w:type="paragraph" w:styleId="IntenseQuote">
    <w:name w:val="Intense Quote"/>
    <w:basedOn w:val="Normal"/>
    <w:next w:val="Normal"/>
    <w:link w:val="IntenseQuoteChar"/>
    <w:uiPriority w:val="30"/>
    <w:qFormat/>
    <w:rsid w:val="00B84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E68"/>
    <w:rPr>
      <w:i/>
      <w:iCs/>
      <w:color w:val="0F4761" w:themeColor="accent1" w:themeShade="BF"/>
    </w:rPr>
  </w:style>
  <w:style w:type="character" w:styleId="IntenseReference">
    <w:name w:val="Intense Reference"/>
    <w:basedOn w:val="DefaultParagraphFont"/>
    <w:uiPriority w:val="32"/>
    <w:qFormat/>
    <w:rsid w:val="00B84E68"/>
    <w:rPr>
      <w:b/>
      <w:bCs/>
      <w:smallCaps/>
      <w:color w:val="0F4761" w:themeColor="accent1" w:themeShade="BF"/>
      <w:spacing w:val="5"/>
    </w:rPr>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unhideWhenUsed/>
    <w:rsid w:val="00B84E68"/>
    <w:pPr>
      <w:spacing w:after="0" w:line="240" w:lineRule="auto"/>
    </w:pPr>
    <w:rPr>
      <w:sz w:val="20"/>
      <w:szCs w:val="20"/>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
    <w:basedOn w:val="DefaultParagraphFont"/>
    <w:link w:val="FootnoteText"/>
    <w:uiPriority w:val="99"/>
    <w:rsid w:val="00B84E68"/>
    <w:rPr>
      <w:sz w:val="20"/>
      <w:szCs w:val="20"/>
    </w:rPr>
  </w:style>
  <w:style w:type="paragraph" w:styleId="Header">
    <w:name w:val="header"/>
    <w:basedOn w:val="Normal"/>
    <w:link w:val="HeaderChar"/>
    <w:uiPriority w:val="99"/>
    <w:unhideWhenUsed/>
    <w:rsid w:val="00B84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E68"/>
  </w:style>
  <w:style w:type="paragraph" w:styleId="Footer">
    <w:name w:val="footer"/>
    <w:basedOn w:val="Normal"/>
    <w:link w:val="FooterChar"/>
    <w:uiPriority w:val="99"/>
    <w:unhideWhenUsed/>
    <w:rsid w:val="00B84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E68"/>
  </w:style>
  <w:style w:type="character" w:styleId="PageNumber">
    <w:name w:val="page number"/>
    <w:basedOn w:val="DefaultParagraphFont"/>
    <w:rsid w:val="00B84E68"/>
  </w:style>
  <w:style w:type="character" w:styleId="FootnoteReference">
    <w:name w:val="footnote reference"/>
    <w:aliases w:val="o,fr,Style 3,o1,o2,o3,o4,o5,o6,o11,o21,o7,Footnote Reference1"/>
    <w:qFormat/>
    <w:rsid w:val="00B84E68"/>
    <w:rPr>
      <w:vertAlign w:val="superscript"/>
    </w:rPr>
  </w:style>
  <w:style w:type="table" w:styleId="TableGrid">
    <w:name w:val="Table Grid"/>
    <w:basedOn w:val="TableNormal"/>
    <w:uiPriority w:val="59"/>
    <w:rsid w:val="00B84E6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E68"/>
    <w:rPr>
      <w:sz w:val="16"/>
      <w:szCs w:val="16"/>
    </w:rPr>
  </w:style>
  <w:style w:type="paragraph" w:styleId="CommentText">
    <w:name w:val="annotation text"/>
    <w:basedOn w:val="Normal"/>
    <w:link w:val="CommentTextChar"/>
    <w:uiPriority w:val="99"/>
    <w:unhideWhenUsed/>
    <w:rsid w:val="00B84E68"/>
    <w:pPr>
      <w:spacing w:after="0" w:line="240" w:lineRule="auto"/>
    </w:pPr>
    <w:rPr>
      <w:rFonts w:ascii="Palatino" w:eastAsia="Times New Roman" w:hAnsi="Palatino" w:cs="Times New Roman"/>
      <w:kern w:val="0"/>
      <w:sz w:val="20"/>
      <w:szCs w:val="20"/>
      <w14:ligatures w14:val="none"/>
    </w:rPr>
  </w:style>
  <w:style w:type="character" w:customStyle="1" w:styleId="CommentTextChar">
    <w:name w:val="Comment Text Char"/>
    <w:basedOn w:val="DefaultParagraphFont"/>
    <w:link w:val="CommentText"/>
    <w:uiPriority w:val="99"/>
    <w:rsid w:val="00B84E68"/>
    <w:rPr>
      <w:rFonts w:ascii="Palatino" w:eastAsia="Times New Roman" w:hAnsi="Palatino" w:cs="Times New Roman"/>
      <w:kern w:val="0"/>
      <w:sz w:val="20"/>
      <w:szCs w:val="20"/>
      <w14:ligatures w14:val="none"/>
    </w:rPr>
  </w:style>
  <w:style w:type="character" w:customStyle="1" w:styleId="cf01">
    <w:name w:val="cf01"/>
    <w:basedOn w:val="DefaultParagraphFont"/>
    <w:rsid w:val="00B84E6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FF74AD"/>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FF74AD"/>
    <w:rPr>
      <w:rFonts w:ascii="Palatino" w:eastAsia="Times New Roman" w:hAnsi="Palatino" w:cs="Times New Roman"/>
      <w:b/>
      <w:bCs/>
      <w:kern w:val="0"/>
      <w:sz w:val="20"/>
      <w:szCs w:val="20"/>
      <w14:ligatures w14:val="none"/>
    </w:rPr>
  </w:style>
  <w:style w:type="character" w:styleId="Mention">
    <w:name w:val="Mention"/>
    <w:basedOn w:val="DefaultParagraphFont"/>
    <w:uiPriority w:val="99"/>
    <w:unhideWhenUsed/>
    <w:rsid w:val="008437D2"/>
    <w:rPr>
      <w:color w:val="2B579A"/>
      <w:shd w:val="clear" w:color="auto" w:fill="E1DFDD"/>
    </w:rPr>
  </w:style>
  <w:style w:type="paragraph" w:styleId="Revision">
    <w:name w:val="Revision"/>
    <w:hidden/>
    <w:uiPriority w:val="99"/>
    <w:semiHidden/>
    <w:rsid w:val="00F20F19"/>
    <w:pPr>
      <w:spacing w:after="0" w:line="240" w:lineRule="auto"/>
    </w:pPr>
  </w:style>
  <w:style w:type="paragraph" w:customStyle="1" w:styleId="Res-Caption">
    <w:name w:val="Res-Caption"/>
    <w:basedOn w:val="Normal"/>
    <w:rsid w:val="00F20F19"/>
    <w:pPr>
      <w:spacing w:after="0" w:line="240" w:lineRule="auto"/>
      <w:ind w:left="720" w:right="720"/>
    </w:pPr>
    <w:rPr>
      <w:rFonts w:ascii="Palatino" w:eastAsia="Times New Roman" w:hAnsi="Palatino" w:cs="Times New Roman"/>
      <w:kern w:val="0"/>
      <w:sz w:val="26"/>
      <w:szCs w:val="20"/>
      <w14:ligatures w14:val="none"/>
    </w:rPr>
  </w:style>
  <w:style w:type="paragraph" w:styleId="NoSpacing">
    <w:name w:val="No Spacing"/>
    <w:uiPriority w:val="1"/>
    <w:qFormat/>
    <w:rsid w:val="002A79A1"/>
    <w:pPr>
      <w:spacing w:after="0" w:line="240" w:lineRule="auto"/>
    </w:pPr>
    <w:rPr>
      <w:rFonts w:ascii="Palatino" w:eastAsia="Times New Roman" w:hAnsi="Palatino" w:cs="Times New Roman"/>
      <w:kern w:val="0"/>
      <w:sz w:val="26"/>
      <w:szCs w:val="20"/>
      <w14:ligatures w14:val="none"/>
    </w:rPr>
  </w:style>
  <w:style w:type="character" w:styleId="Hyperlink">
    <w:name w:val="Hyperlink"/>
    <w:basedOn w:val="DefaultParagraphFont"/>
    <w:uiPriority w:val="99"/>
    <w:unhideWhenUsed/>
    <w:rsid w:val="001072A5"/>
    <w:rPr>
      <w:color w:val="467886" w:themeColor="hyperlink"/>
      <w:u w:val="single"/>
    </w:rPr>
  </w:style>
  <w:style w:type="paragraph" w:customStyle="1" w:styleId="paragraph">
    <w:name w:val="paragraph"/>
    <w:basedOn w:val="Normal"/>
    <w:rsid w:val="00AC38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C38EA"/>
  </w:style>
  <w:style w:type="character" w:customStyle="1" w:styleId="eop">
    <w:name w:val="eop"/>
    <w:basedOn w:val="DefaultParagraphFont"/>
    <w:rsid w:val="00AC38EA"/>
  </w:style>
  <w:style w:type="character" w:customStyle="1" w:styleId="tabchar">
    <w:name w:val="tabchar"/>
    <w:basedOn w:val="DefaultParagraphFont"/>
    <w:rsid w:val="00852633"/>
  </w:style>
  <w:style w:type="character" w:styleId="UnresolvedMention">
    <w:name w:val="Unresolved Mention"/>
    <w:basedOn w:val="DefaultParagraphFont"/>
    <w:uiPriority w:val="99"/>
    <w:semiHidden/>
    <w:unhideWhenUsed/>
    <w:rsid w:val="0026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513015">
      <w:bodyDiv w:val="1"/>
      <w:marLeft w:val="0"/>
      <w:marRight w:val="0"/>
      <w:marTop w:val="0"/>
      <w:marBottom w:val="0"/>
      <w:divBdr>
        <w:top w:val="none" w:sz="0" w:space="0" w:color="auto"/>
        <w:left w:val="none" w:sz="0" w:space="0" w:color="auto"/>
        <w:bottom w:val="none" w:sz="0" w:space="0" w:color="auto"/>
        <w:right w:val="none" w:sz="0" w:space="0" w:color="auto"/>
      </w:divBdr>
      <w:divsChild>
        <w:div w:id="324089053">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598755895">
          <w:marLeft w:val="0"/>
          <w:marRight w:val="0"/>
          <w:marTop w:val="0"/>
          <w:marBottom w:val="0"/>
          <w:divBdr>
            <w:top w:val="none" w:sz="0" w:space="0" w:color="auto"/>
            <w:left w:val="none" w:sz="0" w:space="0" w:color="auto"/>
            <w:bottom w:val="none" w:sz="0" w:space="0" w:color="auto"/>
            <w:right w:val="none" w:sz="0" w:space="0" w:color="auto"/>
          </w:divBdr>
        </w:div>
        <w:div w:id="784084723">
          <w:marLeft w:val="0"/>
          <w:marRight w:val="0"/>
          <w:marTop w:val="0"/>
          <w:marBottom w:val="0"/>
          <w:divBdr>
            <w:top w:val="none" w:sz="0" w:space="0" w:color="auto"/>
            <w:left w:val="none" w:sz="0" w:space="0" w:color="auto"/>
            <w:bottom w:val="none" w:sz="0" w:space="0" w:color="auto"/>
            <w:right w:val="none" w:sz="0" w:space="0" w:color="auto"/>
          </w:divBdr>
        </w:div>
        <w:div w:id="839151375">
          <w:marLeft w:val="0"/>
          <w:marRight w:val="0"/>
          <w:marTop w:val="0"/>
          <w:marBottom w:val="0"/>
          <w:divBdr>
            <w:top w:val="none" w:sz="0" w:space="0" w:color="auto"/>
            <w:left w:val="none" w:sz="0" w:space="0" w:color="auto"/>
            <w:bottom w:val="none" w:sz="0" w:space="0" w:color="auto"/>
            <w:right w:val="none" w:sz="0" w:space="0" w:color="auto"/>
          </w:divBdr>
        </w:div>
        <w:div w:id="979652685">
          <w:marLeft w:val="0"/>
          <w:marRight w:val="0"/>
          <w:marTop w:val="0"/>
          <w:marBottom w:val="0"/>
          <w:divBdr>
            <w:top w:val="none" w:sz="0" w:space="0" w:color="auto"/>
            <w:left w:val="none" w:sz="0" w:space="0" w:color="auto"/>
            <w:bottom w:val="none" w:sz="0" w:space="0" w:color="auto"/>
            <w:right w:val="none" w:sz="0" w:space="0" w:color="auto"/>
          </w:divBdr>
        </w:div>
        <w:div w:id="1117259358">
          <w:marLeft w:val="0"/>
          <w:marRight w:val="0"/>
          <w:marTop w:val="0"/>
          <w:marBottom w:val="0"/>
          <w:divBdr>
            <w:top w:val="none" w:sz="0" w:space="0" w:color="auto"/>
            <w:left w:val="none" w:sz="0" w:space="0" w:color="auto"/>
            <w:bottom w:val="none" w:sz="0" w:space="0" w:color="auto"/>
            <w:right w:val="none" w:sz="0" w:space="0" w:color="auto"/>
          </w:divBdr>
        </w:div>
        <w:div w:id="1270620340">
          <w:marLeft w:val="0"/>
          <w:marRight w:val="0"/>
          <w:marTop w:val="0"/>
          <w:marBottom w:val="0"/>
          <w:divBdr>
            <w:top w:val="none" w:sz="0" w:space="0" w:color="auto"/>
            <w:left w:val="none" w:sz="0" w:space="0" w:color="auto"/>
            <w:bottom w:val="none" w:sz="0" w:space="0" w:color="auto"/>
            <w:right w:val="none" w:sz="0" w:space="0" w:color="auto"/>
          </w:divBdr>
        </w:div>
        <w:div w:id="1673727374">
          <w:marLeft w:val="0"/>
          <w:marRight w:val="0"/>
          <w:marTop w:val="0"/>
          <w:marBottom w:val="0"/>
          <w:divBdr>
            <w:top w:val="none" w:sz="0" w:space="0" w:color="auto"/>
            <w:left w:val="none" w:sz="0" w:space="0" w:color="auto"/>
            <w:bottom w:val="none" w:sz="0" w:space="0" w:color="auto"/>
            <w:right w:val="none" w:sz="0" w:space="0" w:color="auto"/>
          </w:divBdr>
        </w:div>
      </w:divsChild>
    </w:div>
    <w:div w:id="144149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alpine.com/pastoria-solar-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95f576-ac1d-41e6-9609-5e83155ee812">
      <Terms xmlns="http://schemas.microsoft.com/office/infopath/2007/PartnerControls"/>
    </lcf76f155ced4ddcb4097134ff3c332f>
    <TaxCatchAll xmlns="76be18ba-3f21-4542-9cb1-4070a1d5be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6BC3AB7D76A4C95100ABA517F5E83" ma:contentTypeVersion="13" ma:contentTypeDescription="Create a new document." ma:contentTypeScope="" ma:versionID="715311d07e1dfe594a051c714fac9b13">
  <xsd:schema xmlns:xsd="http://www.w3.org/2001/XMLSchema" xmlns:xs="http://www.w3.org/2001/XMLSchema" xmlns:p="http://schemas.microsoft.com/office/2006/metadata/properties" xmlns:ns2="76be18ba-3f21-4542-9cb1-4070a1d5beb6" xmlns:ns3="1b95f576-ac1d-41e6-9609-5e83155ee812" targetNamespace="http://schemas.microsoft.com/office/2006/metadata/properties" ma:root="true" ma:fieldsID="bec313f2b2f58337428abfa84ef11959" ns2:_="" ns3:_="">
    <xsd:import namespace="76be18ba-3f21-4542-9cb1-4070a1d5beb6"/>
    <xsd:import namespace="1b95f576-ac1d-41e6-9609-5e83155ee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e18ba-3f21-4542-9cb1-4070a1d5be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ad91bc-5df5-4177-b239-83290d7e6c2a}" ma:internalName="TaxCatchAll" ma:showField="CatchAllData" ma:web="76be18ba-3f21-4542-9cb1-4070a1d5be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95f576-ac1d-41e6-9609-5e83155ee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B2EBE-76D7-475B-B790-2F1ED1A9C2F5}">
  <ds:schemaRefs>
    <ds:schemaRef ds:uri="http://schemas.microsoft.com/office/2006/metadata/properties"/>
    <ds:schemaRef ds:uri="http://schemas.microsoft.com/office/infopath/2007/PartnerControls"/>
    <ds:schemaRef ds:uri="1b95f576-ac1d-41e6-9609-5e83155ee812"/>
    <ds:schemaRef ds:uri="76be18ba-3f21-4542-9cb1-4070a1d5beb6"/>
  </ds:schemaRefs>
</ds:datastoreItem>
</file>

<file path=customXml/itemProps2.xml><?xml version="1.0" encoding="utf-8"?>
<ds:datastoreItem xmlns:ds="http://schemas.openxmlformats.org/officeDocument/2006/customXml" ds:itemID="{67FF073F-17C4-4268-B567-94280A8B7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e18ba-3f21-4542-9cb1-4070a1d5beb6"/>
    <ds:schemaRef ds:uri="1b95f576-ac1d-41e6-9609-5e83155ee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5922A-2F77-4C06-8111-07A427FC64B5}">
  <ds:schemaRefs>
    <ds:schemaRef ds:uri="http://schemas.openxmlformats.org/officeDocument/2006/bibliography"/>
  </ds:schemaRefs>
</ds:datastoreItem>
</file>

<file path=customXml/itemProps4.xml><?xml version="1.0" encoding="utf-8"?>
<ds:datastoreItem xmlns:ds="http://schemas.openxmlformats.org/officeDocument/2006/customXml" ds:itemID="{F1E906F5-F8F7-4976-AC5B-FF3DF91EF7F3}">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12</ap:Pages>
  <ap:Words>3358</ap:Words>
  <ap:Characters>19145</ap:Characters>
  <ap:Application>Microsoft Office Word</ap:Application>
  <ap:DocSecurity>0</ap:DocSecurity>
  <ap:Lines>159</ap:Lines>
  <ap:Paragraphs>44</ap:Paragraphs>
  <ap:ScaleCrop>false</ap:ScaleCrop>
  <ap:Company/>
  <ap:LinksUpToDate>false</ap:LinksUpToDate>
  <ap:CharactersWithSpaces>22459</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2025-07-10T09:24:08Z</dcterms:created>
  <dcterms:modified xsi:type="dcterms:W3CDTF">2025-07-10T09:24:08Z</dcterms:modified>
</cp:coreProperties>
</file>