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7650D" w:rsidR="00B60421" w:rsidP="007E0FEE" w:rsidRDefault="001769C2" w14:paraId="7CF3AAE7" w14:textId="0D480801">
      <w:pPr>
        <w:tabs>
          <w:tab w:val="center" w:pos="4680"/>
          <w:tab w:val="right" w:pos="9360"/>
        </w:tabs>
        <w:spacing w:line="240" w:lineRule="auto"/>
        <w:ind w:firstLine="0"/>
      </w:pPr>
      <w:r w:rsidRPr="0097650D">
        <w:t>ALJ</w:t>
      </w:r>
      <w:r w:rsidRPr="0097650D" w:rsidR="00DA7B5D">
        <w:t>/</w:t>
      </w:r>
      <w:r w:rsidRPr="0097650D">
        <w:t>VUK</w:t>
      </w:r>
      <w:r w:rsidRPr="0097650D" w:rsidR="00DA7B5D">
        <w:t>/</w:t>
      </w:r>
      <w:r w:rsidR="0097650D">
        <w:t>nd3</w:t>
      </w:r>
      <w:r w:rsidRPr="0097650D" w:rsidR="007E0FEE">
        <w:tab/>
      </w:r>
      <w:r w:rsidRPr="0097650D" w:rsidR="00DA7B5D">
        <w:rPr>
          <w:rFonts w:cs="Arial"/>
          <w:b/>
          <w:szCs w:val="32"/>
        </w:rPr>
        <w:t>PROPOSED DECISION</w:t>
      </w:r>
      <w:r w:rsidRPr="0097650D" w:rsidR="00DA7B5D">
        <w:tab/>
      </w:r>
      <w:r w:rsidRPr="0097650D" w:rsidR="00DA7B5D">
        <w:rPr>
          <w:b/>
        </w:rPr>
        <w:t>Agenda ID #</w:t>
      </w:r>
      <w:r w:rsidRPr="000F789F" w:rsidR="000F789F">
        <w:rPr>
          <w:b/>
        </w:rPr>
        <w:t>23541</w:t>
      </w:r>
      <w:r w:rsidR="00544560">
        <w:rPr>
          <w:b/>
        </w:rPr>
        <w:t xml:space="preserve"> (Rev.1)</w:t>
      </w:r>
    </w:p>
    <w:p w:rsidR="00DA7B5D" w:rsidP="00632207" w:rsidRDefault="001769C2" w14:paraId="2AF066CA" w14:textId="0DD39D3A">
      <w:pPr>
        <w:spacing w:line="240" w:lineRule="auto"/>
        <w:jc w:val="right"/>
        <w:rPr>
          <w:b/>
        </w:rPr>
      </w:pPr>
      <w:r>
        <w:rPr>
          <w:b/>
        </w:rPr>
        <w:t>Ratesetting</w:t>
      </w:r>
    </w:p>
    <w:p w:rsidR="00544560" w:rsidP="00632207" w:rsidRDefault="00544560" w14:paraId="45CEABC4" w14:textId="72B716F8">
      <w:pPr>
        <w:spacing w:line="240" w:lineRule="auto"/>
        <w:jc w:val="right"/>
        <w:rPr>
          <w:b/>
        </w:rPr>
      </w:pPr>
      <w:r>
        <w:rPr>
          <w:b/>
        </w:rPr>
        <w:t>7/24/2025  Item #</w:t>
      </w:r>
      <w:r w:rsidR="005F4B3C">
        <w:rPr>
          <w:b/>
        </w:rPr>
        <w:t>11</w:t>
      </w:r>
    </w:p>
    <w:p w:rsidRPr="00EE4315" w:rsidR="0097650D" w:rsidP="0097650D" w:rsidRDefault="0097650D" w14:paraId="1B2FCA5E" w14:textId="77777777">
      <w:pPr>
        <w:spacing w:line="240" w:lineRule="auto"/>
        <w:ind w:firstLine="0"/>
        <w:rPr>
          <w:b/>
        </w:rPr>
      </w:pPr>
    </w:p>
    <w:p w:rsidR="00DA7B5D" w:rsidP="0097650D" w:rsidRDefault="00DA7B5D" w14:paraId="63A42B6C" w14:textId="77777777">
      <w:pPr>
        <w:spacing w:line="240" w:lineRule="auto"/>
        <w:ind w:firstLine="0"/>
      </w:pPr>
    </w:p>
    <w:p w:rsidRPr="00EE3060" w:rsidR="00DA7B5D" w:rsidP="0097650D" w:rsidRDefault="00DA7B5D" w14:paraId="2C22B87C" w14:textId="3B7E3D0F">
      <w:pPr>
        <w:spacing w:line="240" w:lineRule="auto"/>
        <w:ind w:firstLine="0"/>
      </w:pPr>
      <w:r>
        <w:t xml:space="preserve">Decision </w:t>
      </w:r>
      <w:r w:rsidRPr="008C033E" w:rsidR="00600AC0">
        <w:rPr>
          <w:b/>
          <w:bCs/>
          <w:u w:val="single"/>
        </w:rPr>
        <w:t xml:space="preserve">PROPOSED DECISION OF ALJ </w:t>
      </w:r>
      <w:r w:rsidR="00600AC0">
        <w:rPr>
          <w:b/>
          <w:bCs/>
          <w:u w:val="single"/>
        </w:rPr>
        <w:t>KAO</w:t>
      </w:r>
      <w:r w:rsidRPr="008C033E" w:rsidR="00600AC0">
        <w:rPr>
          <w:b/>
          <w:bCs/>
        </w:rPr>
        <w:t xml:space="preserve"> (Mailed </w:t>
      </w:r>
      <w:r w:rsidR="000F789F">
        <w:rPr>
          <w:b/>
          <w:bCs/>
        </w:rPr>
        <w:t>5/30</w:t>
      </w:r>
      <w:r w:rsidRPr="008C033E" w:rsidR="00600AC0">
        <w:rPr>
          <w:b/>
          <w:bCs/>
        </w:rPr>
        <w:t>/2025)</w:t>
      </w:r>
    </w:p>
    <w:p w:rsidR="00DA7B5D" w:rsidP="0097650D" w:rsidRDefault="00DA7B5D" w14:paraId="4B0C3640" w14:textId="77777777">
      <w:pPr>
        <w:spacing w:line="240" w:lineRule="auto"/>
        <w:ind w:firstLine="0"/>
        <w:rPr>
          <w:u w:val="single"/>
        </w:rPr>
      </w:pPr>
    </w:p>
    <w:p w:rsidR="0097650D" w:rsidP="0097650D" w:rsidRDefault="0097650D" w14:paraId="5784CDA7" w14:textId="77777777">
      <w:pPr>
        <w:spacing w:line="240" w:lineRule="auto"/>
        <w:ind w:firstLine="0"/>
        <w:rPr>
          <w:u w:val="single"/>
        </w:rPr>
      </w:pPr>
    </w:p>
    <w:p w:rsidR="00DA7B5D" w:rsidP="00BB0243" w:rsidRDefault="00DA7B5D" w14:paraId="2E8A20D9"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041AF862" w14:textId="77777777">
      <w:pPr>
        <w:spacing w:line="240" w:lineRule="auto"/>
        <w:ind w:firstLine="0"/>
        <w:rPr>
          <w:rFonts w:ascii="Arial" w:hAnsi="Arial" w:cs="Arial"/>
          <w:sz w:val="24"/>
          <w:szCs w:val="24"/>
        </w:rPr>
      </w:pPr>
    </w:p>
    <w:tbl>
      <w:tblPr>
        <w:tblStyle w:val="TableGrid"/>
        <w:tblW w:w="9360" w:type="dxa"/>
        <w:tblLayout w:type="fixed"/>
        <w:tblLook w:val="04A0" w:firstRow="1" w:lastRow="0" w:firstColumn="1" w:lastColumn="0" w:noHBand="0" w:noVBand="1"/>
      </w:tblPr>
      <w:tblGrid>
        <w:gridCol w:w="4680"/>
        <w:gridCol w:w="4680"/>
      </w:tblGrid>
      <w:tr w:rsidR="00DA7B5D" w:rsidTr="008E510F" w14:paraId="646443ED" w14:textId="77777777">
        <w:tc>
          <w:tcPr>
            <w:tcW w:w="5040" w:type="dxa"/>
            <w:tcBorders>
              <w:top w:val="nil"/>
              <w:left w:val="nil"/>
              <w:bottom w:val="single" w:color="auto" w:sz="4" w:space="0"/>
              <w:right w:val="single" w:color="auto" w:sz="4" w:space="0"/>
            </w:tcBorders>
          </w:tcPr>
          <w:p w:rsidR="00DA7B5D" w:rsidP="00C10B5F" w:rsidRDefault="00AF6F66" w14:paraId="46C2BB95" w14:textId="04933ED2">
            <w:pPr>
              <w:spacing w:line="240" w:lineRule="auto"/>
              <w:ind w:firstLine="0"/>
              <w:rPr>
                <w:rFonts w:cs="Arial"/>
                <w:szCs w:val="26"/>
              </w:rPr>
            </w:pPr>
            <w:r w:rsidRPr="00AF6F66">
              <w:rPr>
                <w:rFonts w:cs="Arial"/>
                <w:szCs w:val="26"/>
              </w:rPr>
              <w:t xml:space="preserve">Application of Southern California Edison Company (U338E) for Approval under Public Utilities Code </w:t>
            </w:r>
            <w:r w:rsidR="00B738F6">
              <w:rPr>
                <w:rFonts w:cs="Arial"/>
                <w:szCs w:val="26"/>
              </w:rPr>
              <w:t>Section </w:t>
            </w:r>
            <w:r w:rsidRPr="00AF6F66">
              <w:rPr>
                <w:rFonts w:cs="Arial"/>
                <w:szCs w:val="26"/>
              </w:rPr>
              <w:t>851 for the Sale of Its General Office Building #5 Property.</w:t>
            </w:r>
          </w:p>
          <w:p w:rsidRPr="00DA7B5D" w:rsidR="00AF6F66" w:rsidP="00C10B5F" w:rsidRDefault="00AF6F66" w14:paraId="19B76906" w14:textId="22BD895A">
            <w:pPr>
              <w:spacing w:line="240" w:lineRule="auto"/>
              <w:ind w:firstLine="0"/>
              <w:rPr>
                <w:rFonts w:cs="Arial"/>
                <w:szCs w:val="26"/>
              </w:rPr>
            </w:pPr>
          </w:p>
        </w:tc>
        <w:tc>
          <w:tcPr>
            <w:tcW w:w="5040" w:type="dxa"/>
            <w:tcBorders>
              <w:top w:val="nil"/>
              <w:left w:val="single" w:color="auto" w:sz="4" w:space="0"/>
              <w:bottom w:val="nil"/>
              <w:right w:val="nil"/>
            </w:tcBorders>
            <w:vAlign w:val="center"/>
          </w:tcPr>
          <w:p w:rsidRPr="00DA7B5D" w:rsidR="00DA7B5D" w:rsidP="00412C83" w:rsidRDefault="001769C2" w14:paraId="2C44BF1B" w14:textId="269385FF">
            <w:pPr>
              <w:spacing w:line="240" w:lineRule="auto"/>
              <w:ind w:firstLine="0"/>
              <w:jc w:val="center"/>
              <w:rPr>
                <w:rFonts w:cs="Arial"/>
                <w:szCs w:val="26"/>
              </w:rPr>
            </w:pPr>
            <w:r>
              <w:rPr>
                <w:rFonts w:cs="Arial"/>
                <w:szCs w:val="26"/>
              </w:rPr>
              <w:t>Application 24</w:t>
            </w:r>
            <w:r w:rsidR="0028615D">
              <w:rPr>
                <w:rFonts w:cs="Arial"/>
                <w:szCs w:val="26"/>
              </w:rPr>
              <w:noBreakHyphen/>
            </w:r>
            <w:r>
              <w:rPr>
                <w:rFonts w:cs="Arial"/>
                <w:szCs w:val="26"/>
              </w:rPr>
              <w:t>08</w:t>
            </w:r>
            <w:r w:rsidR="0028615D">
              <w:rPr>
                <w:rFonts w:cs="Arial"/>
                <w:szCs w:val="26"/>
              </w:rPr>
              <w:noBreakHyphen/>
            </w:r>
            <w:r>
              <w:rPr>
                <w:rFonts w:cs="Arial"/>
                <w:szCs w:val="26"/>
              </w:rPr>
              <w:t>003</w:t>
            </w:r>
          </w:p>
        </w:tc>
      </w:tr>
    </w:tbl>
    <w:p w:rsidR="00DA7B5D" w:rsidP="008F0116" w:rsidRDefault="00DA7B5D" w14:paraId="758EC21F" w14:textId="77777777">
      <w:pPr>
        <w:spacing w:line="240" w:lineRule="auto"/>
        <w:ind w:firstLine="0"/>
        <w:rPr>
          <w:rFonts w:ascii="Arial" w:hAnsi="Arial" w:cs="Arial"/>
          <w:sz w:val="24"/>
          <w:szCs w:val="24"/>
        </w:rPr>
      </w:pPr>
    </w:p>
    <w:p w:rsidR="00DA7B5D" w:rsidP="008F0116" w:rsidRDefault="00DA7B5D" w14:paraId="00BA161A" w14:textId="77777777">
      <w:pPr>
        <w:spacing w:line="240" w:lineRule="auto"/>
        <w:ind w:firstLine="0"/>
        <w:rPr>
          <w:rFonts w:ascii="Arial" w:hAnsi="Arial" w:cs="Arial"/>
          <w:sz w:val="24"/>
          <w:szCs w:val="24"/>
        </w:rPr>
      </w:pPr>
    </w:p>
    <w:p w:rsidR="00F92385" w:rsidP="00A27793" w:rsidRDefault="001769C2" w14:paraId="110AC1E5" w14:textId="77777777">
      <w:pPr>
        <w:pStyle w:val="Main"/>
      </w:pPr>
      <w:r>
        <w:t xml:space="preserve">DECISION REGARDING </w:t>
      </w:r>
      <w:r w:rsidR="00EE521E">
        <w:t xml:space="preserve">SOUTHERN CALIFORNIA EDISON COMPANY’S </w:t>
      </w:r>
      <w:r>
        <w:t>PROPOSED SALE OF ITS GENERAL OFFICE BUILDING #5 PROPERTY</w:t>
      </w:r>
    </w:p>
    <w:p w:rsidR="0097650D" w:rsidP="00A27793" w:rsidRDefault="0097650D" w14:paraId="06307A85" w14:textId="77777777">
      <w:pPr>
        <w:pStyle w:val="Main"/>
        <w:jc w:val="left"/>
      </w:pPr>
    </w:p>
    <w:p w:rsidRPr="00D3796F" w:rsidR="005A148C" w:rsidP="00D3796F" w:rsidRDefault="005A148C" w14:paraId="0FF47661" w14:textId="77777777">
      <w:pPr>
        <w:pStyle w:val="Dummy"/>
      </w:pPr>
      <w:bookmarkStart w:name="_Toc8123714" w:id="0"/>
      <w:bookmarkStart w:name="_Toc133843842" w:id="1"/>
      <w:r>
        <w:t>Summary</w:t>
      </w:r>
      <w:bookmarkEnd w:id="0"/>
      <w:bookmarkEnd w:id="1"/>
    </w:p>
    <w:p w:rsidR="00DC1F64" w:rsidP="006E6574" w:rsidRDefault="00DC1F64" w14:paraId="47D3F5F4" w14:textId="14C6173A">
      <w:pPr>
        <w:pStyle w:val="Standard"/>
      </w:pPr>
      <w:r>
        <w:t>T</w:t>
      </w:r>
      <w:r w:rsidRPr="00DC1F64">
        <w:t xml:space="preserve">his decision approves a request by </w:t>
      </w:r>
      <w:r>
        <w:t xml:space="preserve">Southern California Edison </w:t>
      </w:r>
      <w:r w:rsidRPr="00DC1F64">
        <w:t xml:space="preserve">Company to sell </w:t>
      </w:r>
      <w:r w:rsidR="00042BB8">
        <w:t xml:space="preserve">its lease interest </w:t>
      </w:r>
      <w:r w:rsidR="002752C9">
        <w:t xml:space="preserve">in a parcel of land </w:t>
      </w:r>
      <w:r w:rsidR="0013133C">
        <w:t>in its General Office business campus</w:t>
      </w:r>
      <w:r w:rsidRPr="00DC1F64">
        <w:t xml:space="preserve"> under California Public Utilities Code </w:t>
      </w:r>
      <w:r w:rsidR="00B738F6">
        <w:t>Section </w:t>
      </w:r>
      <w:r w:rsidRPr="00DC1F64">
        <w:t xml:space="preserve">851. We find that the proposed sale is in the public interest and satisfies relevant </w:t>
      </w:r>
      <w:r w:rsidR="00B92EFF">
        <w:t>requirements</w:t>
      </w:r>
      <w:r w:rsidRPr="00DC1F64">
        <w:t>.</w:t>
      </w:r>
    </w:p>
    <w:p w:rsidR="0073353F" w:rsidP="00DC1F64" w:rsidRDefault="00DC1F64" w14:paraId="5647090D" w14:textId="295F5442">
      <w:pPr>
        <w:pStyle w:val="Standard"/>
      </w:pPr>
      <w:r w:rsidRPr="00DC1F64">
        <w:t>This proceeding is close</w:t>
      </w:r>
      <w:r w:rsidR="00233F54">
        <w:t>d</w:t>
      </w:r>
      <w:r>
        <w:t>.</w:t>
      </w:r>
    </w:p>
    <w:p w:rsidR="005A148C" w:rsidP="00156933" w:rsidRDefault="002C7FE9" w14:paraId="7E3321BE" w14:textId="77777777">
      <w:pPr>
        <w:pStyle w:val="Heading1"/>
      </w:pPr>
      <w:bookmarkStart w:name="_Toc8123715" w:id="2"/>
      <w:bookmarkStart w:name="_Toc133843843" w:id="3"/>
      <w:r w:rsidRPr="00121089">
        <w:t>Background</w:t>
      </w:r>
      <w:bookmarkEnd w:id="2"/>
      <w:bookmarkEnd w:id="3"/>
    </w:p>
    <w:p w:rsidR="002C7FE9" w:rsidP="006E6574" w:rsidRDefault="00073B22" w14:paraId="0AA2770E" w14:textId="0F911000">
      <w:pPr>
        <w:pStyle w:val="Standard"/>
      </w:pPr>
      <w:r>
        <w:t xml:space="preserve">On </w:t>
      </w:r>
      <w:r w:rsidR="00621849">
        <w:t>August </w:t>
      </w:r>
      <w:r>
        <w:t xml:space="preserve">2, 2024, Southern California Edison Company (SCE) </w:t>
      </w:r>
      <w:r w:rsidR="005E3D8D">
        <w:t xml:space="preserve">filed an application with the California Public Utilities Commission (Commission) requesting authorization pursuant to Public Utilities </w:t>
      </w:r>
      <w:r w:rsidR="004461CA">
        <w:t>(</w:t>
      </w:r>
      <w:r w:rsidR="00446AD9">
        <w:t>Pub. Util.</w:t>
      </w:r>
      <w:r w:rsidR="004461CA">
        <w:t xml:space="preserve">) Code </w:t>
      </w:r>
      <w:r w:rsidR="00B738F6">
        <w:lastRenderedPageBreak/>
        <w:t>Section </w:t>
      </w:r>
      <w:r w:rsidR="004461CA">
        <w:t>851</w:t>
      </w:r>
      <w:r w:rsidR="006179AD">
        <w:rPr>
          <w:rStyle w:val="FootnoteReference"/>
        </w:rPr>
        <w:footnoteReference w:id="2"/>
      </w:r>
      <w:r w:rsidR="004461CA">
        <w:t xml:space="preserve"> for the sale of </w:t>
      </w:r>
      <w:r w:rsidR="009361DE">
        <w:t xml:space="preserve">its </w:t>
      </w:r>
      <w:r w:rsidR="000D3D2B">
        <w:t xml:space="preserve">lease interest </w:t>
      </w:r>
      <w:r w:rsidR="008017CF">
        <w:t xml:space="preserve">in a </w:t>
      </w:r>
      <w:r w:rsidR="00DF157C">
        <w:t>9.23</w:t>
      </w:r>
      <w:r w:rsidR="0028615D">
        <w:noBreakHyphen/>
      </w:r>
      <w:r w:rsidR="00DF157C">
        <w:t xml:space="preserve">acre </w:t>
      </w:r>
      <w:r w:rsidR="008017CF">
        <w:t xml:space="preserve">parcel </w:t>
      </w:r>
      <w:r w:rsidR="00992732">
        <w:t>of land that includes SCE’s General Office Building #5</w:t>
      </w:r>
      <w:r w:rsidR="004461CA">
        <w:t xml:space="preserve"> (Property)</w:t>
      </w:r>
      <w:r w:rsidR="00590C0C">
        <w:t>,</w:t>
      </w:r>
      <w:r w:rsidR="004461CA">
        <w:t xml:space="preserve"> and </w:t>
      </w:r>
      <w:r w:rsidR="00F66D5F">
        <w:t xml:space="preserve">allocation of the loss on sale </w:t>
      </w:r>
      <w:r w:rsidR="001D20CB">
        <w:t>to</w:t>
      </w:r>
      <w:r w:rsidR="00F66D5F">
        <w:t xml:space="preserve"> SCE’s ratepayers. </w:t>
      </w:r>
      <w:r w:rsidR="00111661">
        <w:t xml:space="preserve">SCE </w:t>
      </w:r>
      <w:r w:rsidR="007F6350">
        <w:t xml:space="preserve">purchased its </w:t>
      </w:r>
      <w:r w:rsidR="004D3C13">
        <w:t xml:space="preserve">lease </w:t>
      </w:r>
      <w:r w:rsidR="007F6350">
        <w:t>interest in the Property in 2010 and owns the General Office Building #5 during the term of the lease</w:t>
      </w:r>
      <w:r w:rsidR="000B6887">
        <w:t>; the current term of the lease expires in November 2028</w:t>
      </w:r>
      <w:r w:rsidR="0063491C">
        <w:t>.</w:t>
      </w:r>
    </w:p>
    <w:p w:rsidR="00465110" w:rsidP="006E6574" w:rsidRDefault="00465110" w14:paraId="7BD08132" w14:textId="47B6FA18">
      <w:pPr>
        <w:pStyle w:val="Standard"/>
      </w:pPr>
      <w:r>
        <w:t xml:space="preserve">A Purchase </w:t>
      </w:r>
      <w:r w:rsidR="0060570A">
        <w:t xml:space="preserve">and Sale </w:t>
      </w:r>
      <w:r>
        <w:t xml:space="preserve">Agreement </w:t>
      </w:r>
      <w:r w:rsidR="0060570A">
        <w:t xml:space="preserve">(Purchase Agreement) </w:t>
      </w:r>
      <w:r>
        <w:t xml:space="preserve">included </w:t>
      </w:r>
      <w:r w:rsidR="00057D20">
        <w:t>with</w:t>
      </w:r>
      <w:r>
        <w:t xml:space="preserve"> the application </w:t>
      </w:r>
      <w:r w:rsidR="00031A17">
        <w:t xml:space="preserve">states that SCE intends to sell its interest in the Property to </w:t>
      </w:r>
      <w:r w:rsidR="00D3796F">
        <w:t>1515 Walnut</w:t>
      </w:r>
      <w:r w:rsidR="009A58D6">
        <w:t xml:space="preserve"> Grove, LP, a Delaware</w:t>
      </w:r>
      <w:r w:rsidR="003C73CA">
        <w:t xml:space="preserve"> limited liability company (Buyer),</w:t>
      </w:r>
      <w:r w:rsidR="009A58D6">
        <w:t xml:space="preserve"> </w:t>
      </w:r>
      <w:r w:rsidR="00031A17">
        <w:t>for $13,</w:t>
      </w:r>
      <w:r w:rsidR="00B42325">
        <w:t>400,000. The Purchase Agreement is contingent upon Commission approval of the transaction. The anticipated after</w:t>
      </w:r>
      <w:r w:rsidR="00AD4E31">
        <w:noBreakHyphen/>
      </w:r>
      <w:r w:rsidR="00B42325">
        <w:t xml:space="preserve">tax loss on the sale is estimated to be </w:t>
      </w:r>
      <w:r w:rsidR="002410F9">
        <w:t>$</w:t>
      </w:r>
      <w:r w:rsidR="00CB61F0">
        <w:t>27</w:t>
      </w:r>
      <w:r w:rsidR="002410F9">
        <w:t>,1</w:t>
      </w:r>
      <w:r w:rsidR="00584BC2">
        <w:t>54</w:t>
      </w:r>
      <w:r w:rsidR="002410F9">
        <w:t>,</w:t>
      </w:r>
      <w:r w:rsidR="00584BC2">
        <w:t>334</w:t>
      </w:r>
      <w:r w:rsidR="002410F9">
        <w:t xml:space="preserve">. SCE estimates </w:t>
      </w:r>
      <w:r w:rsidR="00146DB6">
        <w:t xml:space="preserve">the </w:t>
      </w:r>
      <w:r w:rsidR="001561F0">
        <w:t xml:space="preserve">decrease in rate base </w:t>
      </w:r>
      <w:r w:rsidR="00146DB6">
        <w:t xml:space="preserve">that would result from the transaction </w:t>
      </w:r>
      <w:r w:rsidR="005C536C">
        <w:t>is $47,397,705.</w:t>
      </w:r>
      <w:r w:rsidR="003959A9">
        <w:rPr>
          <w:rStyle w:val="FootnoteReference"/>
        </w:rPr>
        <w:footnoteReference w:id="3"/>
      </w:r>
    </w:p>
    <w:p w:rsidR="003C39BB" w:rsidP="00B25EEC" w:rsidRDefault="00224E44" w14:paraId="13EDCA19" w14:textId="2022C4EB">
      <w:pPr>
        <w:pStyle w:val="Standard"/>
      </w:pPr>
      <w:r>
        <w:t xml:space="preserve">SCE states </w:t>
      </w:r>
      <w:r w:rsidR="003E683F">
        <w:t xml:space="preserve">its operations no longer require </w:t>
      </w:r>
      <w:r w:rsidR="00215020">
        <w:t xml:space="preserve">use of the office space at the building; additionally, </w:t>
      </w:r>
      <w:r w:rsidR="007D2499">
        <w:t xml:space="preserve">a recent seismic review </w:t>
      </w:r>
      <w:r w:rsidR="00B54C25">
        <w:t xml:space="preserve">indicated serious seismic risk requiring </w:t>
      </w:r>
      <w:r w:rsidR="00AC2894">
        <w:t>extensive retrofitting with an approximate cost of $40</w:t>
      </w:r>
      <w:r w:rsidR="0028615D">
        <w:noBreakHyphen/>
      </w:r>
      <w:r w:rsidR="00AC2894">
        <w:t>60</w:t>
      </w:r>
      <w:r w:rsidR="007958CA">
        <w:t> million</w:t>
      </w:r>
      <w:r w:rsidR="00AC2894">
        <w:t>.</w:t>
      </w:r>
      <w:r w:rsidR="00B22177">
        <w:rPr>
          <w:rStyle w:val="FootnoteReference"/>
        </w:rPr>
        <w:footnoteReference w:id="4"/>
      </w:r>
      <w:r w:rsidR="00AC2894">
        <w:t xml:space="preserve"> </w:t>
      </w:r>
      <w:r w:rsidR="00F515C1">
        <w:t xml:space="preserve">The </w:t>
      </w:r>
      <w:r w:rsidR="00E65320">
        <w:t xml:space="preserve">Buyer intends to </w:t>
      </w:r>
      <w:r w:rsidR="009174F6">
        <w:t xml:space="preserve">also purchase the fee interest in the parcel from SCE’s landlord, and </w:t>
      </w:r>
      <w:r w:rsidR="007862EB">
        <w:t xml:space="preserve">raze the </w:t>
      </w:r>
      <w:r w:rsidR="00E65320">
        <w:t>building and redevelop th</w:t>
      </w:r>
      <w:r w:rsidR="009174F6">
        <w:t xml:space="preserve">e </w:t>
      </w:r>
      <w:r w:rsidR="00AA00FD">
        <w:t>property into a</w:t>
      </w:r>
      <w:r w:rsidR="004B5900">
        <w:t>n approximately 190</w:t>
      </w:r>
      <w:r w:rsidR="0028615D">
        <w:noBreakHyphen/>
      </w:r>
      <w:r w:rsidR="00AA00FD">
        <w:t xml:space="preserve">unit </w:t>
      </w:r>
      <w:r w:rsidR="00AA00FD">
        <w:lastRenderedPageBreak/>
        <w:t xml:space="preserve">residential community following receipt of necessary </w:t>
      </w:r>
      <w:r w:rsidR="00D20C55">
        <w:t>local land use entitlements and associated approvals</w:t>
      </w:r>
      <w:r w:rsidR="003C39BB">
        <w:t>.</w:t>
      </w:r>
      <w:r w:rsidR="004B5900">
        <w:rPr>
          <w:rStyle w:val="FootnoteReference"/>
        </w:rPr>
        <w:footnoteReference w:id="5"/>
      </w:r>
    </w:p>
    <w:p w:rsidR="003C39BB" w:rsidP="006E6574" w:rsidRDefault="005645CD" w14:paraId="31E3F7C8" w14:textId="2B36AC91">
      <w:pPr>
        <w:pStyle w:val="Standard"/>
      </w:pPr>
      <w:r>
        <w:t xml:space="preserve">In </w:t>
      </w:r>
      <w:r w:rsidR="007F7E62">
        <w:t>October</w:t>
      </w:r>
      <w:r w:rsidR="00C55E01">
        <w:t xml:space="preserve"> 2024, the assigned </w:t>
      </w:r>
      <w:r w:rsidR="00B738F6">
        <w:t>Administrative Law Judg</w:t>
      </w:r>
      <w:r w:rsidR="00C55E01">
        <w:t xml:space="preserve">e (ALJ) conducted a prehearing conference to address relevant issues </w:t>
      </w:r>
      <w:r w:rsidR="002B22D7">
        <w:t xml:space="preserve">and establish a proceeding schedule. On </w:t>
      </w:r>
      <w:r w:rsidR="00621849">
        <w:t>October </w:t>
      </w:r>
      <w:r w:rsidR="005C7CE3">
        <w:t>31</w:t>
      </w:r>
      <w:r w:rsidR="002B22D7">
        <w:t xml:space="preserve">, 2024, </w:t>
      </w:r>
      <w:r w:rsidR="00C05323">
        <w:t>the assigned Commissioner issued a scoping memorandum and ruling (scoping memo). SCE and Buyer</w:t>
      </w:r>
      <w:r w:rsidR="00E266C7">
        <w:t xml:space="preserve"> responded to the </w:t>
      </w:r>
      <w:r w:rsidR="00214E3E">
        <w:t xml:space="preserve">scoping memo on </w:t>
      </w:r>
      <w:r w:rsidR="00621849">
        <w:t>November </w:t>
      </w:r>
      <w:r w:rsidR="00BC06D1">
        <w:t>12</w:t>
      </w:r>
      <w:r w:rsidR="00214E3E">
        <w:t>, 2024</w:t>
      </w:r>
      <w:r w:rsidR="00BC06D1">
        <w:t xml:space="preserve"> and </w:t>
      </w:r>
      <w:r w:rsidR="00621849">
        <w:t>March </w:t>
      </w:r>
      <w:r w:rsidR="00BC06D1">
        <w:t>18, 2025</w:t>
      </w:r>
      <w:r w:rsidR="00214E3E">
        <w:t>.</w:t>
      </w:r>
      <w:r w:rsidR="00752DD6">
        <w:t xml:space="preserve"> On </w:t>
      </w:r>
      <w:r w:rsidR="00621849">
        <w:t>April </w:t>
      </w:r>
      <w:r w:rsidR="00752DD6">
        <w:t>14, 2025, SCE filed a document providing supplemental information regarding the impacts of the proposed transaction on environmental and social justice communities, and on customer bills</w:t>
      </w:r>
      <w:r w:rsidR="002D35C0">
        <w:t>.</w:t>
      </w:r>
      <w:r w:rsidR="007F08E6">
        <w:t xml:space="preserve"> On </w:t>
      </w:r>
      <w:r w:rsidR="00621849">
        <w:t>May </w:t>
      </w:r>
      <w:r w:rsidR="007F08E6">
        <w:t xml:space="preserve">5, 2025, SCE filed </w:t>
      </w:r>
      <w:r w:rsidR="00B21612">
        <w:t xml:space="preserve">supplemental information </w:t>
      </w:r>
      <w:r w:rsidR="00921553">
        <w:t>detailing both its original analysis of the comparative present value revenue requirement (PVRR) of each option SCE considered, and an updated PVRR analysis</w:t>
      </w:r>
      <w:r w:rsidR="00137851">
        <w:t>.</w:t>
      </w:r>
    </w:p>
    <w:p w:rsidR="00214E3E" w:rsidP="006E6574" w:rsidRDefault="00214E3E" w14:paraId="428FC7E6" w14:textId="130308A8">
      <w:pPr>
        <w:pStyle w:val="Standard"/>
      </w:pPr>
      <w:r>
        <w:t>The Commission did not receive any protest or response to the application.</w:t>
      </w:r>
    </w:p>
    <w:p w:rsidR="0063491C" w:rsidP="00E95B74" w:rsidRDefault="004E093A" w14:paraId="15BDFF79" w14:textId="422D8284">
      <w:pPr>
        <w:pStyle w:val="Heading1"/>
      </w:pPr>
      <w:r>
        <w:t>Submission Date</w:t>
      </w:r>
    </w:p>
    <w:p w:rsidR="00621849" w:rsidP="00AC2009" w:rsidRDefault="0063491C" w14:paraId="3BBF5BC8" w14:textId="5E0806E3">
      <w:pPr>
        <w:pStyle w:val="Standard"/>
      </w:pPr>
      <w:r>
        <w:t>Th</w:t>
      </w:r>
      <w:r w:rsidR="004E093A">
        <w:t>is matter was submitted on</w:t>
      </w:r>
      <w:r w:rsidR="00395848">
        <w:t xml:space="preserve"> </w:t>
      </w:r>
      <w:r w:rsidR="00621849">
        <w:t>May </w:t>
      </w:r>
      <w:r w:rsidR="00605DF8">
        <w:t>5</w:t>
      </w:r>
      <w:r w:rsidR="00395848">
        <w:t xml:space="preserve">, 2025 upon receipt of SCE’s </w:t>
      </w:r>
      <w:r w:rsidR="00752DD6">
        <w:t xml:space="preserve">supplemental information </w:t>
      </w:r>
      <w:r w:rsidR="00395848">
        <w:t>filin</w:t>
      </w:r>
      <w:r w:rsidR="00752DD6">
        <w:t>g</w:t>
      </w:r>
      <w:r w:rsidR="002436B2">
        <w:t>.</w:t>
      </w:r>
    </w:p>
    <w:p w:rsidR="005A148C" w:rsidP="00121089" w:rsidRDefault="0063491C" w14:paraId="743F4885" w14:textId="497C2C61">
      <w:pPr>
        <w:pStyle w:val="Heading1"/>
      </w:pPr>
      <w:bookmarkStart w:name="_Toc8123718" w:id="4"/>
      <w:bookmarkStart w:name="_Toc133843847" w:id="5"/>
      <w:r>
        <w:t>Jurisdiction</w:t>
      </w:r>
      <w:bookmarkEnd w:id="4"/>
      <w:bookmarkEnd w:id="5"/>
    </w:p>
    <w:p w:rsidR="00621849" w:rsidP="006E6574" w:rsidRDefault="00AC2009" w14:paraId="6819C463" w14:textId="77777777">
      <w:pPr>
        <w:pStyle w:val="Standard"/>
      </w:pPr>
      <w:r>
        <w:t xml:space="preserve">SCE </w:t>
      </w:r>
      <w:r w:rsidR="00CD424D">
        <w:t xml:space="preserve">has operated as a public utility providing electric services in California since </w:t>
      </w:r>
      <w:r w:rsidR="0090756D">
        <w:t>1909</w:t>
      </w:r>
      <w:r w:rsidR="00CD424D">
        <w:t>. SCE is an electric utility subject to the Commission’s jurisdiction.</w:t>
      </w:r>
    </w:p>
    <w:p w:rsidR="005A148C" w:rsidP="005939A5" w:rsidRDefault="00CD424D" w14:paraId="0EDB42B9" w14:textId="3730D9A1">
      <w:pPr>
        <w:pStyle w:val="Heading1"/>
      </w:pPr>
      <w:bookmarkStart w:name="_Toc8123719" w:id="6"/>
      <w:bookmarkStart w:name="_Toc133843848" w:id="7"/>
      <w:r>
        <w:t xml:space="preserve">Compliance with </w:t>
      </w:r>
      <w:r w:rsidR="00B738F6">
        <w:t>Section </w:t>
      </w:r>
      <w:r>
        <w:t>851</w:t>
      </w:r>
      <w:bookmarkEnd w:id="6"/>
      <w:bookmarkEnd w:id="7"/>
    </w:p>
    <w:p w:rsidR="00F21429" w:rsidP="00CA0F30" w:rsidRDefault="00B738F6" w14:paraId="28E46B23" w14:textId="2EFAD98F">
      <w:pPr>
        <w:pStyle w:val="Standard"/>
        <w:keepNext/>
      </w:pPr>
      <w:r>
        <w:t>Section </w:t>
      </w:r>
      <w:r w:rsidR="00F21429">
        <w:t xml:space="preserve">851 provides, in relevant part, that </w:t>
      </w:r>
      <w:r w:rsidR="00A4213B">
        <w:t>a</w:t>
      </w:r>
      <w:r w:rsidR="00F21429">
        <w:t xml:space="preserve"> public utility:</w:t>
      </w:r>
    </w:p>
    <w:p w:rsidR="00621849" w:rsidP="00CA0F30" w:rsidRDefault="007B1CF6" w14:paraId="0FACF5CB" w14:textId="77777777">
      <w:pPr>
        <w:pStyle w:val="BlockQuote0"/>
      </w:pPr>
      <w:r>
        <w:t>s</w:t>
      </w:r>
      <w:r w:rsidR="00A4213B">
        <w:t>hall not sell, lease, assign, mortgage, or otherwise dispose of, or encumber</w:t>
      </w:r>
      <w:r w:rsidR="00260703">
        <w:t xml:space="preserve"> the whole or any </w:t>
      </w:r>
      <w:r w:rsidR="006B5370">
        <w:t xml:space="preserve">part of its </w:t>
      </w:r>
      <w:r w:rsidR="008147E0">
        <w:t xml:space="preserve">railroad, street railroad, line, plant, system, or other property necessary or useful in the performance of its duties to the public, or any </w:t>
      </w:r>
      <w:r w:rsidR="008147E0">
        <w:lastRenderedPageBreak/>
        <w:t xml:space="preserve">franchise or permit </w:t>
      </w:r>
      <w:r w:rsidR="009E4D35">
        <w:t xml:space="preserve">or any right thereunder, or by any means whatsoever, directly or indirectly, merge or consolidate its railroad, street railroad, line, plant, system, or other property, or franchises </w:t>
      </w:r>
      <w:r w:rsidR="00350E36">
        <w:t>or permits or any part thereof, without first having either secured an order from the commission authorizing it to do so for qualified transactions valued above five</w:t>
      </w:r>
      <w:r w:rsidR="007958CA">
        <w:t> million</w:t>
      </w:r>
      <w:r w:rsidR="00350E36">
        <w:t xml:space="preserve"> dollars ($5,000,000)</w:t>
      </w:r>
      <w:r w:rsidR="005414E6">
        <w:t>…</w:t>
      </w:r>
    </w:p>
    <w:p w:rsidR="005D77DF" w:rsidP="00A44E8D" w:rsidRDefault="00357E91" w14:paraId="1A7F83B6" w14:textId="4653EC0C">
      <w:pPr>
        <w:pStyle w:val="Standard"/>
      </w:pPr>
      <w:r>
        <w:t>The value of the proposed transaction is greater than five</w:t>
      </w:r>
      <w:r w:rsidR="007958CA">
        <w:t> million</w:t>
      </w:r>
      <w:r>
        <w:t xml:space="preserve"> dollars, therefore the provisions of </w:t>
      </w:r>
      <w:r w:rsidR="00B738F6">
        <w:t>Section </w:t>
      </w:r>
      <w:r>
        <w:t xml:space="preserve">851 apply to the </w:t>
      </w:r>
      <w:r w:rsidR="00D41795">
        <w:t xml:space="preserve">proposed transaction. </w:t>
      </w:r>
      <w:r w:rsidR="00872B99">
        <w:t>Thus</w:t>
      </w:r>
      <w:r w:rsidR="5AE259A8">
        <w:t>,</w:t>
      </w:r>
      <w:r w:rsidR="00872B99">
        <w:t xml:space="preserve"> our inquiry turns to an assessment of whether the transaction is in the public interest.</w:t>
      </w:r>
      <w:r w:rsidR="00CB6D45">
        <w:t xml:space="preserve"> </w:t>
      </w:r>
      <w:r w:rsidR="00AC54B5">
        <w:t xml:space="preserve">The application states </w:t>
      </w:r>
      <w:r w:rsidR="001B087C">
        <w:t>that SCE’s sale of its interest in the Property will not interfere with SCE’s operations or its ability to provide safe and reliable utility service.</w:t>
      </w:r>
      <w:r w:rsidR="00255CFB">
        <w:rPr>
          <w:rStyle w:val="FootnoteReference"/>
        </w:rPr>
        <w:footnoteReference w:id="6"/>
      </w:r>
      <w:r w:rsidR="001B087C">
        <w:t xml:space="preserve"> </w:t>
      </w:r>
      <w:r w:rsidR="003D334E">
        <w:t xml:space="preserve">The transaction </w:t>
      </w:r>
      <w:r w:rsidR="007B0F24">
        <w:t xml:space="preserve">will result in removal of </w:t>
      </w:r>
      <w:r w:rsidR="002F5AED">
        <w:t xml:space="preserve">the Property </w:t>
      </w:r>
      <w:r w:rsidR="007B0F24">
        <w:t>from</w:t>
      </w:r>
      <w:r w:rsidR="002F5AED">
        <w:t xml:space="preserve"> SCE’s rate base</w:t>
      </w:r>
      <w:r w:rsidR="001E23BC">
        <w:t xml:space="preserve"> and maintenance costs</w:t>
      </w:r>
      <w:r w:rsidR="00F66AFA">
        <w:t xml:space="preserve">, which </w:t>
      </w:r>
      <w:r w:rsidR="007B0F24">
        <w:t xml:space="preserve">SCE estimates </w:t>
      </w:r>
      <w:r w:rsidR="00812A03">
        <w:t>will reduce its revenue requirement by $2.46</w:t>
      </w:r>
      <w:r w:rsidR="007958CA">
        <w:t> million</w:t>
      </w:r>
      <w:r w:rsidR="00812A03">
        <w:t xml:space="preserve"> annually</w:t>
      </w:r>
      <w:r w:rsidR="00A825EC">
        <w:t xml:space="preserve">, </w:t>
      </w:r>
      <w:r w:rsidR="00FA2705">
        <w:t xml:space="preserve">or </w:t>
      </w:r>
      <w:r w:rsidR="007F6F7C">
        <w:t xml:space="preserve">a decrease of </w:t>
      </w:r>
      <w:r w:rsidR="00A825EC">
        <w:t xml:space="preserve">$0.02 </w:t>
      </w:r>
      <w:r w:rsidR="009B7069">
        <w:t>to the average residential customer’s bill</w:t>
      </w:r>
      <w:r w:rsidR="00FA2705">
        <w:t xml:space="preserve"> for customers not on California Alternate Rates for Energy</w:t>
      </w:r>
      <w:r w:rsidR="00AA39C9">
        <w:t xml:space="preserve"> (</w:t>
      </w:r>
      <w:r w:rsidR="00F85C47">
        <w:t>CARE</w:t>
      </w:r>
      <w:r w:rsidR="00FA2705">
        <w:t>)</w:t>
      </w:r>
      <w:r w:rsidR="005939A5">
        <w:t>.</w:t>
      </w:r>
      <w:r w:rsidR="00EE73B5">
        <w:t xml:space="preserve"> </w:t>
      </w:r>
      <w:r w:rsidR="00075C84">
        <w:t xml:space="preserve">This financial benefit </w:t>
      </w:r>
      <w:r w:rsidR="00EA2C0E">
        <w:t>favorably impacts our consideration of whether the proposed transaction is in the public interest.</w:t>
      </w:r>
    </w:p>
    <w:p w:rsidR="005939A5" w:rsidP="004A06B7" w:rsidRDefault="00EE73B5" w14:paraId="0C9B681C" w14:textId="57D3C95E">
      <w:pPr>
        <w:pStyle w:val="Standard"/>
      </w:pPr>
      <w:r>
        <w:t xml:space="preserve">The </w:t>
      </w:r>
      <w:r w:rsidR="00A93706">
        <w:t xml:space="preserve">sale proceeds will </w:t>
      </w:r>
      <w:r w:rsidR="007C1492">
        <w:t>result in an after</w:t>
      </w:r>
      <w:r w:rsidR="00AD4E31">
        <w:noBreakHyphen/>
      </w:r>
      <w:r w:rsidR="007C1492">
        <w:t xml:space="preserve">tax loss of approximately </w:t>
      </w:r>
      <w:r w:rsidR="00A17E26">
        <w:t>$27.15</w:t>
      </w:r>
      <w:r w:rsidR="007958CA">
        <w:t> million</w:t>
      </w:r>
      <w:r w:rsidR="00A17E26">
        <w:t xml:space="preserve"> and a</w:t>
      </w:r>
      <w:r w:rsidR="00FD4C10">
        <w:t>n incremental</w:t>
      </w:r>
      <w:r w:rsidR="00A17E26">
        <w:t xml:space="preserve"> revenue requirement of $37.7</w:t>
      </w:r>
      <w:r w:rsidR="007958CA">
        <w:t> million</w:t>
      </w:r>
      <w:r w:rsidR="00A17E26">
        <w:t xml:space="preserve">, which SCE </w:t>
      </w:r>
      <w:r w:rsidR="00AA39C9">
        <w:t>proposes</w:t>
      </w:r>
      <w:r w:rsidR="00A17E26">
        <w:t xml:space="preserve"> to recover </w:t>
      </w:r>
      <w:r w:rsidR="00431448">
        <w:t>from ratepayers over a 12</w:t>
      </w:r>
      <w:r w:rsidR="00AD4E31">
        <w:noBreakHyphen/>
      </w:r>
      <w:r w:rsidR="00431448">
        <w:t>month period</w:t>
      </w:r>
      <w:r w:rsidR="00502153">
        <w:t xml:space="preserve">. </w:t>
      </w:r>
      <w:r w:rsidRPr="0004200D" w:rsidR="0004200D">
        <w:t>The estimated $37.7</w:t>
      </w:r>
      <w:r w:rsidR="007958CA">
        <w:t> million</w:t>
      </w:r>
      <w:r w:rsidRPr="0004200D" w:rsidR="0004200D">
        <w:t xml:space="preserve"> incremental revenue requirement reflects the present value of costs associated with removing the asset from rate base and recovering the after</w:t>
      </w:r>
      <w:r w:rsidR="00AD4E31">
        <w:noBreakHyphen/>
      </w:r>
      <w:r w:rsidRPr="0004200D" w:rsidR="0004200D">
        <w:t xml:space="preserve">tax loss through customer rates. Consistent with </w:t>
      </w:r>
      <w:r w:rsidR="007958CA">
        <w:t>Decision (D.) </w:t>
      </w:r>
      <w:r w:rsidRPr="0004200D" w:rsidR="0004200D">
        <w:t>06</w:t>
      </w:r>
      <w:r w:rsidR="00AD4E31">
        <w:noBreakHyphen/>
      </w:r>
      <w:r w:rsidRPr="0004200D" w:rsidR="0004200D">
        <w:t>05</w:t>
      </w:r>
      <w:r w:rsidR="00AD4E31">
        <w:noBreakHyphen/>
      </w:r>
      <w:r w:rsidRPr="0004200D" w:rsidR="0004200D">
        <w:t>041 and D.06</w:t>
      </w:r>
      <w:r w:rsidR="0028615D">
        <w:noBreakHyphen/>
      </w:r>
      <w:r w:rsidRPr="0004200D" w:rsidR="0004200D">
        <w:t>12</w:t>
      </w:r>
      <w:r w:rsidR="0028615D">
        <w:noBreakHyphen/>
      </w:r>
      <w:r w:rsidRPr="0004200D" w:rsidR="0004200D">
        <w:t xml:space="preserve">043, the full cost is allocated to ratepayers under the Commission’s percentage allocation rule, as the asset is considered fully depreciable. </w:t>
      </w:r>
      <w:r w:rsidR="002212DD">
        <w:t xml:space="preserve">SCE </w:t>
      </w:r>
      <w:r w:rsidR="002212DD">
        <w:lastRenderedPageBreak/>
        <w:t>estimates the impact to residential customers</w:t>
      </w:r>
      <w:r w:rsidR="005275EC">
        <w:t xml:space="preserve"> to be $0.07 per kilowatt</w:t>
      </w:r>
      <w:r w:rsidR="0028615D">
        <w:noBreakHyphen/>
      </w:r>
      <w:r w:rsidR="005275EC">
        <w:t>hour or $0.37</w:t>
      </w:r>
      <w:r w:rsidR="00CB69C1">
        <w:t xml:space="preserve"> to the average </w:t>
      </w:r>
      <w:r w:rsidR="00F85C47">
        <w:t>non</w:t>
      </w:r>
      <w:r w:rsidR="0028615D">
        <w:noBreakHyphen/>
      </w:r>
      <w:r w:rsidR="00F85C47">
        <w:t xml:space="preserve">CARE </w:t>
      </w:r>
      <w:r w:rsidR="00CB69C1">
        <w:t>residential customer’s bill</w:t>
      </w:r>
      <w:r w:rsidR="005D6BAB">
        <w:t>.</w:t>
      </w:r>
      <w:r w:rsidR="00255CFB">
        <w:rPr>
          <w:rStyle w:val="FootnoteReference"/>
        </w:rPr>
        <w:footnoteReference w:id="7"/>
      </w:r>
      <w:r w:rsidR="00CA6FCE">
        <w:t xml:space="preserve"> </w:t>
      </w:r>
      <w:r w:rsidR="00B44E41">
        <w:t xml:space="preserve">The application describes </w:t>
      </w:r>
      <w:r w:rsidR="00540AE3">
        <w:t>three alternative options that SCE reviewed</w:t>
      </w:r>
      <w:r w:rsidR="00621849">
        <w:t xml:space="preserve">:  </w:t>
      </w:r>
      <w:r w:rsidR="00540AE3">
        <w:t>waiting to sell the Property</w:t>
      </w:r>
      <w:r w:rsidR="008F398B">
        <w:t>, retrofitting and reoccupying the building, and returning the Property to the landlord at the end of the lease term</w:t>
      </w:r>
      <w:r w:rsidR="0082020C">
        <w:t>.</w:t>
      </w:r>
      <w:r w:rsidR="0092790A">
        <w:t xml:space="preserve"> </w:t>
      </w:r>
      <w:r w:rsidR="00481845">
        <w:t xml:space="preserve">The application states that </w:t>
      </w:r>
      <w:r w:rsidR="007357E6">
        <w:t>SCE and its commercial real estate broker</w:t>
      </w:r>
      <w:r w:rsidR="00EF222C">
        <w:t>,</w:t>
      </w:r>
      <w:r w:rsidR="007357E6">
        <w:t xml:space="preserve"> </w:t>
      </w:r>
      <w:r w:rsidR="008B4048">
        <w:t>C</w:t>
      </w:r>
      <w:r w:rsidR="005B0D8D">
        <w:t>oldwell</w:t>
      </w:r>
      <w:r w:rsidR="008B4048">
        <w:t xml:space="preserve"> B</w:t>
      </w:r>
      <w:r w:rsidR="005B0D8D">
        <w:t>an</w:t>
      </w:r>
      <w:r w:rsidR="008B4048">
        <w:t xml:space="preserve">ker </w:t>
      </w:r>
      <w:r w:rsidR="00DB6B6C">
        <w:t>Richard Ellis</w:t>
      </w:r>
      <w:r w:rsidR="00EF222C">
        <w:t>,</w:t>
      </w:r>
      <w:r w:rsidR="00DB6B6C">
        <w:t xml:space="preserve"> do not foresee </w:t>
      </w:r>
      <w:r w:rsidR="009542AE">
        <w:t>the demand for office buildings strengthening over the next several years</w:t>
      </w:r>
      <w:r w:rsidR="00227D3B">
        <w:t xml:space="preserve">, suggesting that waiting to sell the Property </w:t>
      </w:r>
      <w:r w:rsidR="00E86567">
        <w:t>is unlikely to yield a higher sales price.</w:t>
      </w:r>
      <w:r w:rsidR="00222EAE">
        <w:t xml:space="preserve"> </w:t>
      </w:r>
      <w:r w:rsidR="00B0003F">
        <w:t xml:space="preserve">SCE’s updated </w:t>
      </w:r>
      <w:r w:rsidRPr="008660D7" w:rsidR="008660D7">
        <w:t>PVRR analysis evaluated multiple alternatives, including</w:t>
      </w:r>
      <w:r w:rsidR="00621849">
        <w:t xml:space="preserve">:  </w:t>
      </w:r>
      <w:r w:rsidRPr="008660D7" w:rsidR="008660D7">
        <w:t>(1)</w:t>
      </w:r>
      <w:r w:rsidR="009D339B">
        <w:t> </w:t>
      </w:r>
      <w:r w:rsidRPr="008660D7" w:rsidR="008660D7">
        <w:t>retrofitting and reoccupying the building while continuing to lease the land; (2)</w:t>
      </w:r>
      <w:r w:rsidR="009D339B">
        <w:t> </w:t>
      </w:r>
      <w:r w:rsidRPr="008660D7" w:rsidR="008660D7">
        <w:t>retrofitting with land purchase; (3)</w:t>
      </w:r>
      <w:r w:rsidR="009D339B">
        <w:t> </w:t>
      </w:r>
      <w:r w:rsidRPr="008660D7" w:rsidR="008660D7">
        <w:t>holding the property until 2030 for possible sale in a more favorable market; and (4)</w:t>
      </w:r>
      <w:r w:rsidR="009D339B">
        <w:t> </w:t>
      </w:r>
      <w:r w:rsidRPr="008660D7" w:rsidR="008660D7">
        <w:t>relinquishing the asset to the landlord at lease expiration. The proposed transaction yielded the lowest PVRR among these options, confirming it as the least</w:t>
      </w:r>
      <w:r w:rsidR="0028615D">
        <w:noBreakHyphen/>
      </w:r>
      <w:r w:rsidRPr="008660D7" w:rsidR="008660D7">
        <w:t>cost alternative for ratepayers</w:t>
      </w:r>
      <w:r w:rsidR="004C1C64">
        <w:t>.</w:t>
      </w:r>
      <w:r w:rsidR="004A06B7">
        <w:t xml:space="preserve"> Although SCE </w:t>
      </w:r>
      <w:r w:rsidR="00581B55">
        <w:t>anticipate</w:t>
      </w:r>
      <w:r w:rsidR="004A06B7">
        <w:t>s</w:t>
      </w:r>
      <w:r w:rsidR="00581B55">
        <w:t xml:space="preserve"> a higher sales price</w:t>
      </w:r>
      <w:r w:rsidR="00792DDD">
        <w:t xml:space="preserve"> in 2030, </w:t>
      </w:r>
      <w:r w:rsidR="00785749">
        <w:t xml:space="preserve">the costs to </w:t>
      </w:r>
      <w:r w:rsidR="009F3F7D">
        <w:t xml:space="preserve">retain ownership </w:t>
      </w:r>
      <w:r w:rsidR="00A2281D">
        <w:t>until 2030 exceed the difference in sales price; further, SCE</w:t>
      </w:r>
      <w:r w:rsidR="00581B55">
        <w:t xml:space="preserve"> notes that </w:t>
      </w:r>
      <w:r w:rsidR="00873D29">
        <w:t>the</w:t>
      </w:r>
      <w:r w:rsidR="004E4FCD">
        <w:t xml:space="preserve"> future building price is an assumption and </w:t>
      </w:r>
      <w:r w:rsidR="00D70BCC">
        <w:t>SCE’s</w:t>
      </w:r>
      <w:r w:rsidR="00873D29">
        <w:t xml:space="preserve"> confidence level </w:t>
      </w:r>
      <w:r w:rsidR="0095187F">
        <w:t>on the future price is unknown.</w:t>
      </w:r>
      <w:r w:rsidR="00530A04">
        <w:t xml:space="preserve"> </w:t>
      </w:r>
      <w:r w:rsidR="00A80B3D">
        <w:t xml:space="preserve">Retrofitting the building would </w:t>
      </w:r>
      <w:r w:rsidR="000807CF">
        <w:t>require high capital costs to mitigate the seismic risk, which SCE</w:t>
      </w:r>
      <w:r w:rsidR="00977D9E">
        <w:t>’s analysis indicates</w:t>
      </w:r>
      <w:r w:rsidR="000807CF">
        <w:t xml:space="preserve"> is uneconomical given </w:t>
      </w:r>
      <w:r w:rsidR="00A01EA4">
        <w:t>the other usable office space in SCE’s portfolio</w:t>
      </w:r>
      <w:r w:rsidR="008232DD">
        <w:t xml:space="preserve">. </w:t>
      </w:r>
      <w:r w:rsidR="00352EFC">
        <w:t xml:space="preserve">And returning the Property to the landlord at the end of the lease term would </w:t>
      </w:r>
      <w:r w:rsidR="00B116B5">
        <w:t xml:space="preserve">have SCE forego the revenue from the sale and furthermore require SCE to </w:t>
      </w:r>
      <w:r w:rsidR="007E0042">
        <w:t>retain ownership of a building with high seismic risk and liabilities until 2028.</w:t>
      </w:r>
      <w:r w:rsidR="00A01EA4">
        <w:t xml:space="preserve"> </w:t>
      </w:r>
      <w:r w:rsidR="000D3B55">
        <w:t xml:space="preserve">Both SCE’s original and updated PVRR analyses </w:t>
      </w:r>
      <w:r w:rsidR="0029214D">
        <w:t xml:space="preserve">show that </w:t>
      </w:r>
      <w:r w:rsidR="000B1831">
        <w:t xml:space="preserve">the proposed transaction is estimated to result in the </w:t>
      </w:r>
      <w:r w:rsidR="000B1831">
        <w:lastRenderedPageBreak/>
        <w:t xml:space="preserve">lowest cost to </w:t>
      </w:r>
      <w:r w:rsidR="00B77C83">
        <w:t>SCE’s customers</w:t>
      </w:r>
      <w:r w:rsidR="000B1831">
        <w:t>.</w:t>
      </w:r>
      <w:r w:rsidR="001B1196">
        <w:rPr>
          <w:rStyle w:val="FootnoteReference"/>
        </w:rPr>
        <w:footnoteReference w:id="8"/>
      </w:r>
      <w:r w:rsidR="00B800CA">
        <w:t xml:space="preserve"> </w:t>
      </w:r>
      <w:r w:rsidR="0092790A">
        <w:t xml:space="preserve">This decision </w:t>
      </w:r>
      <w:r w:rsidR="00B34AEE">
        <w:t xml:space="preserve">finds that </w:t>
      </w:r>
      <w:r w:rsidR="00506A04">
        <w:t xml:space="preserve">the proposed transaction </w:t>
      </w:r>
      <w:r w:rsidR="006C2D63">
        <w:t xml:space="preserve">will likely result in the lowest cost to customers relative to the </w:t>
      </w:r>
      <w:r w:rsidR="009133AB">
        <w:t xml:space="preserve">alternatives </w:t>
      </w:r>
      <w:r w:rsidR="00224583">
        <w:t>that SCE reviewed</w:t>
      </w:r>
      <w:r w:rsidR="007701AB">
        <w:t xml:space="preserve">, which </w:t>
      </w:r>
      <w:r w:rsidR="002A2248">
        <w:t>further</w:t>
      </w:r>
      <w:r w:rsidR="007701AB">
        <w:t xml:space="preserve"> weighs in favor of </w:t>
      </w:r>
      <w:r w:rsidR="002A2248">
        <w:t>the public interest.</w:t>
      </w:r>
    </w:p>
    <w:p w:rsidR="00621849" w:rsidP="0083062A" w:rsidRDefault="00B92E40" w14:paraId="2C968A67" w14:textId="3B0C609E">
      <w:pPr>
        <w:pStyle w:val="Standard"/>
      </w:pPr>
      <w:r>
        <w:t>We also consider the Commission’s Environmental and Social Justice</w:t>
      </w:r>
      <w:r w:rsidR="00D157ED">
        <w:t xml:space="preserve"> (ESJ)</w:t>
      </w:r>
      <w:r>
        <w:t xml:space="preserve"> Action Plan. </w:t>
      </w:r>
      <w:r w:rsidR="00FB5062">
        <w:t xml:space="preserve">The Commission’s </w:t>
      </w:r>
      <w:r w:rsidR="00D157ED">
        <w:t>ESJ</w:t>
      </w:r>
      <w:r w:rsidDel="00D157ED" w:rsidR="00D157ED">
        <w:t xml:space="preserve"> </w:t>
      </w:r>
      <w:r w:rsidR="00FB5062">
        <w:t xml:space="preserve">Action Plan </w:t>
      </w:r>
      <w:r w:rsidR="00C94FB2">
        <w:t>focuses on communities disproportionately impacted by environmental hazards and underrepresented in decision</w:t>
      </w:r>
      <w:r w:rsidR="0028615D">
        <w:noBreakHyphen/>
      </w:r>
      <w:r w:rsidR="00C94FB2">
        <w:t xml:space="preserve">making. </w:t>
      </w:r>
      <w:r w:rsidR="002F051A">
        <w:t xml:space="preserve">It also includes but is not limited to disadvantaged communities </w:t>
      </w:r>
      <w:r w:rsidR="00184FF8">
        <w:t xml:space="preserve">(DAC) </w:t>
      </w:r>
      <w:r w:rsidR="002F051A">
        <w:t>located in the top 25</w:t>
      </w:r>
      <w:r w:rsidR="007958CA">
        <w:t> percent</w:t>
      </w:r>
      <w:r w:rsidR="002F051A">
        <w:t xml:space="preserve"> of the communities </w:t>
      </w:r>
      <w:r w:rsidR="003C4389">
        <w:t>identified by the California Environmental Protection Agency’s CalEnviroScreen, tribal lands, and low</w:t>
      </w:r>
      <w:r w:rsidR="0028615D">
        <w:noBreakHyphen/>
      </w:r>
      <w:r w:rsidR="003C4389">
        <w:t>income households and low</w:t>
      </w:r>
      <w:r w:rsidR="0028615D">
        <w:noBreakHyphen/>
      </w:r>
      <w:r w:rsidR="003C4389">
        <w:t>income census tracts.</w:t>
      </w:r>
      <w:r w:rsidR="003C4389">
        <w:rPr>
          <w:rStyle w:val="FootnoteReference"/>
        </w:rPr>
        <w:footnoteReference w:id="9"/>
      </w:r>
      <w:r w:rsidR="003C4389">
        <w:t xml:space="preserve"> </w:t>
      </w:r>
      <w:r w:rsidR="005D3117">
        <w:t xml:space="preserve">SCE confirms that </w:t>
      </w:r>
      <w:r w:rsidR="00594490">
        <w:t xml:space="preserve">the Property is in a census tract identified in CalEnviroScreen as a </w:t>
      </w:r>
      <w:r w:rsidR="00184FF8">
        <w:t>DAC</w:t>
      </w:r>
      <w:r w:rsidR="001A0383">
        <w:t>, and is further surrounded on three sides by other DAC census tracts.</w:t>
      </w:r>
      <w:r w:rsidR="00594490">
        <w:t xml:space="preserve"> </w:t>
      </w:r>
      <w:r w:rsidR="0063691C">
        <w:t xml:space="preserve">According to SCE, the Buyer </w:t>
      </w:r>
      <w:r w:rsidR="00D05C49">
        <w:t xml:space="preserve">presented its proposed development concept </w:t>
      </w:r>
      <w:r w:rsidR="00984ACA">
        <w:t xml:space="preserve">to members of the Rosemead City </w:t>
      </w:r>
      <w:r w:rsidR="007D370E">
        <w:t xml:space="preserve">(City) </w:t>
      </w:r>
      <w:r w:rsidR="00984ACA">
        <w:t xml:space="preserve">Council, Planning Commission and community at a publicly noticed community workshop </w:t>
      </w:r>
      <w:r w:rsidR="004D7F9A">
        <w:t>in January 2024</w:t>
      </w:r>
      <w:r w:rsidR="009C3060">
        <w:t>, and additional community meetings will be held to share updates and gather further feedback</w:t>
      </w:r>
      <w:r w:rsidR="009961F1">
        <w:t>,</w:t>
      </w:r>
      <w:r w:rsidR="009C3060">
        <w:t xml:space="preserve"> </w:t>
      </w:r>
      <w:r w:rsidR="008C2096">
        <w:t xml:space="preserve">and public input will be </w:t>
      </w:r>
      <w:r w:rsidR="009961F1">
        <w:t>solicited as part of</w:t>
      </w:r>
      <w:r w:rsidR="00805F1E">
        <w:t xml:space="preserve"> the entitlement process.</w:t>
      </w:r>
      <w:r w:rsidR="0063691C">
        <w:t xml:space="preserve"> </w:t>
      </w:r>
      <w:r w:rsidR="00AD0B53">
        <w:t xml:space="preserve">In place of </w:t>
      </w:r>
      <w:r w:rsidR="00626650">
        <w:t xml:space="preserve">the Property, which SCE has been using primarily for storage, </w:t>
      </w:r>
      <w:r w:rsidR="00A33EF5">
        <w:t>the Buyer intends to develop quality housing</w:t>
      </w:r>
      <w:r w:rsidR="003D65E8">
        <w:t xml:space="preserve">, which will </w:t>
      </w:r>
      <w:r w:rsidR="00AF4EC5">
        <w:t xml:space="preserve">help the City </w:t>
      </w:r>
      <w:r w:rsidR="00412FC7">
        <w:t xml:space="preserve">meet its goals of </w:t>
      </w:r>
      <w:r w:rsidR="00361EA4">
        <w:t xml:space="preserve">providing for current and future housing needs </w:t>
      </w:r>
      <w:r w:rsidR="00764E96">
        <w:t>and</w:t>
      </w:r>
      <w:r w:rsidR="00A67DE2">
        <w:t xml:space="preserve"> generate tax revenues </w:t>
      </w:r>
      <w:r w:rsidR="00D50701">
        <w:t xml:space="preserve">for the benefit of the community. SCE further states </w:t>
      </w:r>
      <w:r w:rsidR="007D370E">
        <w:t xml:space="preserve">the Buyer </w:t>
      </w:r>
      <w:r w:rsidR="00F24773">
        <w:t>intends to work</w:t>
      </w:r>
      <w:r w:rsidR="007D370E">
        <w:t xml:space="preserve"> with City staff to </w:t>
      </w:r>
      <w:r w:rsidR="00DA5805">
        <w:t>apply</w:t>
      </w:r>
      <w:r w:rsidR="00353F0D">
        <w:t xml:space="preserve"> affordable housing program funds or other incentives </w:t>
      </w:r>
      <w:r w:rsidR="004E27B5">
        <w:t>to the planned development.</w:t>
      </w:r>
      <w:r w:rsidR="00764E96">
        <w:t xml:space="preserve"> </w:t>
      </w:r>
      <w:r w:rsidR="0096126E">
        <w:t xml:space="preserve">According to SCE, the planned development </w:t>
      </w:r>
      <w:r w:rsidR="00A23A4F">
        <w:t xml:space="preserve">will include a </w:t>
      </w:r>
      <w:r w:rsidR="00A23A4F">
        <w:lastRenderedPageBreak/>
        <w:t xml:space="preserve">recreational facility, a park area, and water quality basins; substantial amounts of copper and steel will be salvaged </w:t>
      </w:r>
      <w:r w:rsidR="003734A6">
        <w:t>and recycled; and the Buyer is exploring the feasibility of crushing the building concrete in place for use onsite within the internal roadways and drive aisles</w:t>
      </w:r>
      <w:r w:rsidR="003B4D1C">
        <w:t>. The new residential buildings will include solar panel systems</w:t>
      </w:r>
      <w:r w:rsidR="009E5F9D">
        <w:t xml:space="preserve"> and only electric, energy</w:t>
      </w:r>
      <w:r w:rsidR="00AD4E31">
        <w:noBreakHyphen/>
      </w:r>
      <w:r w:rsidR="009E5F9D">
        <w:t xml:space="preserve">efficient appliances; and the site landscape </w:t>
      </w:r>
      <w:r w:rsidR="00B47E6B">
        <w:t>will be designed to meet the City’s Water Efficient Landscape Ordinance.</w:t>
      </w:r>
      <w:r w:rsidR="00C47EA7">
        <w:rPr>
          <w:rStyle w:val="FootnoteReference"/>
        </w:rPr>
        <w:footnoteReference w:id="10"/>
      </w:r>
      <w:r w:rsidR="00523A0E">
        <w:t xml:space="preserve"> </w:t>
      </w:r>
      <w:r w:rsidR="007513B6">
        <w:t>T</w:t>
      </w:r>
      <w:r w:rsidRPr="007513B6" w:rsidR="007513B6">
        <w:t xml:space="preserve">he proposed </w:t>
      </w:r>
      <w:r w:rsidR="007513B6">
        <w:t xml:space="preserve">transaction and </w:t>
      </w:r>
      <w:r w:rsidR="004C0569">
        <w:t xml:space="preserve">intended </w:t>
      </w:r>
      <w:r w:rsidRPr="007513B6" w:rsidR="007513B6">
        <w:t xml:space="preserve">development of the </w:t>
      </w:r>
      <w:r w:rsidR="004C0569">
        <w:t>Property</w:t>
      </w:r>
      <w:r w:rsidRPr="007513B6" w:rsidR="007513B6">
        <w:t xml:space="preserve"> appears likely to have a positive impact on broader community development objectives, which does not conflict with the Commission’s </w:t>
      </w:r>
      <w:r w:rsidR="00673CE2">
        <w:t>ESJ</w:t>
      </w:r>
      <w:r w:rsidRPr="007513B6" w:rsidR="007513B6">
        <w:t xml:space="preserve"> Action Plan</w:t>
      </w:r>
      <w:r w:rsidR="004C0569">
        <w:t>.</w:t>
      </w:r>
      <w:r w:rsidRPr="007513B6" w:rsidR="007513B6">
        <w:t xml:space="preserve"> </w:t>
      </w:r>
      <w:r w:rsidR="00150EF6">
        <w:t>In light of these considerations, t</w:t>
      </w:r>
      <w:r w:rsidR="00E41AE3">
        <w:t xml:space="preserve">his decision finds that the proposed transaction </w:t>
      </w:r>
      <w:r w:rsidR="00150EF6">
        <w:t>is in the public interest</w:t>
      </w:r>
      <w:r w:rsidR="00852448">
        <w:t>.</w:t>
      </w:r>
    </w:p>
    <w:p w:rsidR="005939A5" w:rsidP="005939A5" w:rsidRDefault="009A7C35" w14:paraId="40F5B6CA" w14:textId="37ACAF1A">
      <w:pPr>
        <w:pStyle w:val="Heading1"/>
      </w:pPr>
      <w:r>
        <w:t>Compliance with the Commission’s</w:t>
      </w:r>
      <w:r w:rsidR="00156933">
        <w:br/>
      </w:r>
      <w:r>
        <w:t>Tribal Land Transfer Policy</w:t>
      </w:r>
    </w:p>
    <w:p w:rsidR="00B164D3" w:rsidP="00EB042D" w:rsidRDefault="00E55A9E" w14:paraId="6E27FEEB" w14:textId="0221EAAA">
      <w:pPr>
        <w:pStyle w:val="Standard"/>
      </w:pPr>
      <w:r w:rsidRPr="00E55A9E">
        <w:t xml:space="preserve">The Commission adopted the Tribal Land Transfer Policy on </w:t>
      </w:r>
      <w:r w:rsidR="00621849">
        <w:t>December </w:t>
      </w:r>
      <w:r w:rsidRPr="00E55A9E">
        <w:t>5, 2019</w:t>
      </w:r>
      <w:r w:rsidR="004C7698">
        <w:t>,</w:t>
      </w:r>
      <w:r>
        <w:rPr>
          <w:rStyle w:val="FootnoteReference"/>
        </w:rPr>
        <w:footnoteReference w:id="11"/>
      </w:r>
      <w:r w:rsidRPr="00E55A9E">
        <w:t xml:space="preserve"> </w:t>
      </w:r>
      <w:r w:rsidR="004C7698">
        <w:t xml:space="preserve">in recognition of </w:t>
      </w:r>
      <w:r w:rsidR="0068710B">
        <w:t>a relationship between the State of California and California Native Americans that was “fraught with violence, exploitation</w:t>
      </w:r>
      <w:r w:rsidR="00EC21AA">
        <w:t>,</w:t>
      </w:r>
      <w:r w:rsidR="0068710B">
        <w:t xml:space="preserve"> dispossession </w:t>
      </w:r>
      <w:r w:rsidR="00EC21AA">
        <w:t>and the attempted destruction of tribal communities.”</w:t>
      </w:r>
      <w:r w:rsidR="00BC447C">
        <w:t xml:space="preserve"> The policy </w:t>
      </w:r>
      <w:r w:rsidR="00876F21">
        <w:t>recognizes</w:t>
      </w:r>
      <w:r w:rsidR="00B164D3">
        <w:t xml:space="preserve"> that</w:t>
      </w:r>
      <w:r w:rsidR="00CB0599">
        <w:t xml:space="preserve"> the </w:t>
      </w:r>
      <w:r w:rsidR="007958CA">
        <w:t>investor</w:t>
      </w:r>
      <w:r w:rsidR="00AD4E31">
        <w:noBreakHyphen/>
      </w:r>
      <w:r w:rsidR="007958CA">
        <w:t>owned utilitie</w:t>
      </w:r>
      <w:r w:rsidR="00CB0599">
        <w:t>s</w:t>
      </w:r>
      <w:r w:rsidR="00282641">
        <w:t xml:space="preserve"> often</w:t>
      </w:r>
      <w:r w:rsidR="00CB0599">
        <w:t xml:space="preserve"> </w:t>
      </w:r>
      <w:r w:rsidRPr="00B164D3" w:rsidR="00B164D3">
        <w:t xml:space="preserve">own </w:t>
      </w:r>
      <w:r w:rsidR="00E714F8">
        <w:t>r</w:t>
      </w:r>
      <w:r w:rsidRPr="00B164D3" w:rsidR="00B164D3">
        <w:t xml:space="preserve">eal </w:t>
      </w:r>
      <w:r w:rsidR="00E714F8">
        <w:t>p</w:t>
      </w:r>
      <w:r w:rsidRPr="00B164D3" w:rsidR="00B164D3">
        <w:t>roperty located within Tr</w:t>
      </w:r>
      <w:r w:rsidR="00282641">
        <w:t>ibal</w:t>
      </w:r>
      <w:r w:rsidRPr="00B164D3" w:rsidR="00B164D3">
        <w:t xml:space="preserve"> ancestral territories</w:t>
      </w:r>
      <w:r w:rsidR="00E6305F">
        <w:t>.</w:t>
      </w:r>
      <w:r w:rsidRPr="00B164D3" w:rsidR="00B164D3">
        <w:t xml:space="preserve"> </w:t>
      </w:r>
      <w:r w:rsidR="00E6305F">
        <w:t>T</w:t>
      </w:r>
      <w:r w:rsidR="00D507D6">
        <w:t xml:space="preserve">hese real properties hold </w:t>
      </w:r>
      <w:r w:rsidRPr="00B164D3" w:rsidR="00D507D6">
        <w:t xml:space="preserve">historical, spiritual </w:t>
      </w:r>
      <w:r w:rsidRPr="00B164D3" w:rsidR="00D507D6">
        <w:lastRenderedPageBreak/>
        <w:t>and other significance for California Tribes</w:t>
      </w:r>
      <w:r w:rsidR="00621849">
        <w:t xml:space="preserve">:  </w:t>
      </w:r>
      <w:r w:rsidRPr="00B164D3" w:rsidR="00D507D6">
        <w:t>some of these lands include the remains of California Native Americans; others are places of spiritual and cultural importance where California Native Americans have prayed, held ceremonies, and gathered traditional and medicinal plants</w:t>
      </w:r>
      <w:r w:rsidRPr="00B164D3" w:rsidR="00B164D3">
        <w:t>.</w:t>
      </w:r>
      <w:r w:rsidR="00EB042D">
        <w:t xml:space="preserve"> </w:t>
      </w:r>
      <w:r w:rsidRPr="00B164D3" w:rsidR="00EB042D">
        <w:t>Executive Orders, federal and state laws, policies, and regulations acknowledge legal rights of access to certain lands and require state consultation with affected California Native American Tribes prior to taking actions impacting such lands</w:t>
      </w:r>
      <w:r w:rsidR="00EB042D">
        <w:t xml:space="preserve">. </w:t>
      </w:r>
      <w:r w:rsidRPr="00B164D3" w:rsidR="00B164D3">
        <w:t>California law and policy encourages consultation and cooperation with tribal governments, particularly concerning the protection of Tribal sacred places and cultural resources.</w:t>
      </w:r>
    </w:p>
    <w:p w:rsidR="00621849" w:rsidP="006E6574" w:rsidRDefault="00B164D3" w14:paraId="439DD0C5" w14:textId="4F7AA9A8">
      <w:pPr>
        <w:pStyle w:val="Standard"/>
      </w:pPr>
      <w:r>
        <w:t>The Tribal Land Transfer Policy</w:t>
      </w:r>
      <w:r w:rsidR="002B086D">
        <w:t xml:space="preserve"> </w:t>
      </w:r>
      <w:r w:rsidRPr="00E55A9E" w:rsidR="00E55A9E">
        <w:t>provides that utilities must (1)</w:t>
      </w:r>
      <w:r w:rsidR="00DE17F0">
        <w:t> </w:t>
      </w:r>
      <w:r w:rsidRPr="00E55A9E" w:rsidR="00E55A9E">
        <w:t>notify the appropriate local Native American tribes</w:t>
      </w:r>
      <w:r w:rsidR="009374DF">
        <w:rPr>
          <w:rStyle w:val="FootnoteReference"/>
        </w:rPr>
        <w:footnoteReference w:id="12"/>
      </w:r>
      <w:r w:rsidRPr="00E55A9E" w:rsidR="00E55A9E">
        <w:t xml:space="preserve"> of any proposed dispositions of utility</w:t>
      </w:r>
      <w:r w:rsidR="00AD4E31">
        <w:noBreakHyphen/>
      </w:r>
      <w:r w:rsidRPr="00E55A9E" w:rsidR="00E55A9E">
        <w:t xml:space="preserve">owned real property that are subject to </w:t>
      </w:r>
      <w:r w:rsidR="00B738F6">
        <w:t>Section </w:t>
      </w:r>
      <w:r w:rsidRPr="00E55A9E" w:rsidR="00E55A9E">
        <w:t>851, and (2)</w:t>
      </w:r>
      <w:r w:rsidR="00DE17F0">
        <w:t> </w:t>
      </w:r>
      <w:r w:rsidRPr="00E55A9E" w:rsidR="00E55A9E">
        <w:t>allow 90 days for the tribes to respond as to their interest to take, purchase or refuse the transfer of the subject real property</w:t>
      </w:r>
      <w:r w:rsidR="007F4898">
        <w:t>.</w:t>
      </w:r>
      <w:r w:rsidR="007F4898">
        <w:rPr>
          <w:rStyle w:val="FootnoteReference"/>
        </w:rPr>
        <w:footnoteReference w:id="13"/>
      </w:r>
    </w:p>
    <w:p w:rsidR="00621849" w:rsidP="00226ACB" w:rsidRDefault="00BE3DAC" w14:paraId="0BBA49FA" w14:textId="2B3C3548">
      <w:pPr>
        <w:pStyle w:val="Standard"/>
      </w:pPr>
      <w:r w:rsidRPr="00A35CDB">
        <w:t xml:space="preserve">The application contends that the </w:t>
      </w:r>
      <w:r w:rsidRPr="00A35CDB" w:rsidR="004A5624">
        <w:t xml:space="preserve">Tribal Land Transfer Policy does not </w:t>
      </w:r>
      <w:r w:rsidRPr="00A35CDB" w:rsidR="00F82D0C">
        <w:t xml:space="preserve">apply to the </w:t>
      </w:r>
      <w:r w:rsidRPr="00A35CDB">
        <w:t>proposed transaction</w:t>
      </w:r>
      <w:r w:rsidRPr="00A35CDB" w:rsidR="0070789E">
        <w:t xml:space="preserve">, citing </w:t>
      </w:r>
      <w:r w:rsidR="005670CE">
        <w:t>Resolution </w:t>
      </w:r>
      <w:r w:rsidRPr="00A35CDB" w:rsidR="0070789E">
        <w:t>E</w:t>
      </w:r>
      <w:r w:rsidR="0028615D">
        <w:noBreakHyphen/>
      </w:r>
      <w:r w:rsidRPr="00A35CDB" w:rsidR="0070789E">
        <w:t xml:space="preserve">5076 (guidelines for implementation of the Tribal Land Transfer Policy), which defines “disposition” as </w:t>
      </w:r>
      <w:r w:rsidRPr="00A35CDB" w:rsidR="0093085B">
        <w:t>the transfer, sale, donation or disposition by any other means of a fee interest in real property, and noting that</w:t>
      </w:r>
      <w:r w:rsidRPr="00A35CDB" w:rsidR="00F82D0C">
        <w:t xml:space="preserve"> “SCE is the ground lessee of the Land and does not own the Land in fee.”</w:t>
      </w:r>
      <w:r w:rsidRPr="00A35CDB" w:rsidR="00F82D0C">
        <w:rPr>
          <w:rStyle w:val="FootnoteReference"/>
        </w:rPr>
        <w:footnoteReference w:id="14"/>
      </w:r>
      <w:r w:rsidRPr="00A35CDB" w:rsidR="00906DFC">
        <w:t xml:space="preserve"> </w:t>
      </w:r>
      <w:r w:rsidRPr="00A35CDB" w:rsidR="00CC3542">
        <w:t>D</w:t>
      </w:r>
      <w:r w:rsidRPr="00A35CDB" w:rsidR="009457FE">
        <w:t xml:space="preserve">uring the prehearing conference, and as </w:t>
      </w:r>
      <w:r w:rsidRPr="00A35CDB" w:rsidR="00146561">
        <w:lastRenderedPageBreak/>
        <w:t>subsequently</w:t>
      </w:r>
      <w:r w:rsidRPr="00A35CDB" w:rsidR="009457FE">
        <w:t xml:space="preserve"> confirmed in SCE’s and Buyer’s </w:t>
      </w:r>
      <w:r w:rsidRPr="00A35CDB" w:rsidR="004D73BE">
        <w:t>supplemental filings, i</w:t>
      </w:r>
      <w:r w:rsidRPr="00A35CDB" w:rsidR="009313A7">
        <w:t xml:space="preserve">t was revealed that </w:t>
      </w:r>
      <w:r w:rsidRPr="00A35CDB" w:rsidR="00E466F9">
        <w:t>the landowner approached SCE about buying the land prior to SCE’s decision to divest itself of the Property</w:t>
      </w:r>
      <w:r w:rsidRPr="00A35CDB" w:rsidR="000B70E7">
        <w:t>.</w:t>
      </w:r>
      <w:r w:rsidRPr="00A35CDB" w:rsidR="00D33FEA">
        <w:rPr>
          <w:rStyle w:val="FootnoteReference"/>
        </w:rPr>
        <w:footnoteReference w:id="15"/>
      </w:r>
      <w:r w:rsidRPr="00A35CDB" w:rsidR="008C2CE3">
        <w:t xml:space="preserve"> Thus</w:t>
      </w:r>
      <w:r w:rsidRPr="00A35CDB" w:rsidR="00A02364">
        <w:t xml:space="preserve">, SCE </w:t>
      </w:r>
      <w:r w:rsidRPr="00A35CDB" w:rsidR="00456870">
        <w:t xml:space="preserve">was aware that the underlying property was available for sale in addition to SCE’s building and </w:t>
      </w:r>
      <w:r w:rsidRPr="00A35CDB" w:rsidR="00A02364">
        <w:t xml:space="preserve">could have provided notice </w:t>
      </w:r>
      <w:r w:rsidRPr="00A35CDB" w:rsidR="00D75CA1">
        <w:t xml:space="preserve">to tribes of </w:t>
      </w:r>
      <w:r w:rsidRPr="00A35CDB" w:rsidR="00CD2C20">
        <w:t xml:space="preserve">both </w:t>
      </w:r>
      <w:r w:rsidRPr="00A35CDB" w:rsidR="00BE2079">
        <w:t xml:space="preserve">its (SCE’s) intent to sell the Property and </w:t>
      </w:r>
      <w:r w:rsidRPr="00A35CDB" w:rsidR="00CD2C20">
        <w:t xml:space="preserve">the landowner’s intent to sell the </w:t>
      </w:r>
      <w:r w:rsidRPr="00A35CDB" w:rsidR="00BE2079">
        <w:t>underlying land</w:t>
      </w:r>
      <w:r w:rsidRPr="00A35CDB" w:rsidR="00CD2C20">
        <w:t>.</w:t>
      </w:r>
    </w:p>
    <w:p w:rsidR="00621849" w:rsidP="00226ACB" w:rsidRDefault="006352C0" w14:paraId="2203904D" w14:textId="46DBCD3E">
      <w:pPr>
        <w:pStyle w:val="Standard"/>
      </w:pPr>
      <w:r w:rsidRPr="00A35CDB">
        <w:t xml:space="preserve">Although SCE does not dispute that the </w:t>
      </w:r>
      <w:r w:rsidRPr="00A35CDB" w:rsidR="00083C60">
        <w:t xml:space="preserve">proposed transaction </w:t>
      </w:r>
      <w:r w:rsidRPr="00A35CDB" w:rsidR="00E33ABA">
        <w:t xml:space="preserve">is subject to Commission approval under </w:t>
      </w:r>
      <w:r w:rsidR="00B738F6">
        <w:t>Section </w:t>
      </w:r>
      <w:r w:rsidRPr="00A35CDB" w:rsidR="00456DA8">
        <w:t xml:space="preserve">851, </w:t>
      </w:r>
      <w:r w:rsidRPr="00A35CDB" w:rsidR="0034187E">
        <w:t xml:space="preserve">SCE maintains that the Tribal Land Transfer Policy </w:t>
      </w:r>
      <w:r w:rsidRPr="00A35CDB" w:rsidR="00F15740">
        <w:t>does not apply to the proposed transaction</w:t>
      </w:r>
      <w:r w:rsidRPr="00A35CDB" w:rsidR="00456DA8">
        <w:t xml:space="preserve"> according to the specific definition of “disposition” in </w:t>
      </w:r>
      <w:r w:rsidR="005670CE">
        <w:t>Resolution </w:t>
      </w:r>
      <w:r w:rsidRPr="00A35CDB" w:rsidR="00456DA8">
        <w:t>E</w:t>
      </w:r>
      <w:r w:rsidR="0028615D">
        <w:noBreakHyphen/>
      </w:r>
      <w:r w:rsidRPr="00A35CDB" w:rsidR="00456DA8">
        <w:t>5076.</w:t>
      </w:r>
      <w:r w:rsidRPr="00A35CDB" w:rsidR="005E1C34">
        <w:t xml:space="preserve"> </w:t>
      </w:r>
      <w:r w:rsidR="00F722D8">
        <w:t xml:space="preserve">We do not agree with </w:t>
      </w:r>
      <w:r w:rsidRPr="00A35CDB" w:rsidR="00F722D8">
        <w:t>SCE’s</w:t>
      </w:r>
      <w:r w:rsidRPr="00A35CDB" w:rsidR="005E1C34">
        <w:t xml:space="preserve"> </w:t>
      </w:r>
      <w:r w:rsidR="00F722D8">
        <w:t>overly narrow</w:t>
      </w:r>
      <w:r w:rsidRPr="00A35CDB" w:rsidR="00333081">
        <w:t xml:space="preserve"> reading</w:t>
      </w:r>
      <w:r w:rsidRPr="00A35CDB" w:rsidR="003B76DB">
        <w:t xml:space="preserve"> </w:t>
      </w:r>
      <w:r w:rsidRPr="00A35CDB" w:rsidR="005E1C34">
        <w:t xml:space="preserve">of the </w:t>
      </w:r>
      <w:r w:rsidRPr="00A35CDB" w:rsidR="005A109A">
        <w:t>Tribal Land Transfer Policy i</w:t>
      </w:r>
      <w:r w:rsidRPr="00A35CDB" w:rsidR="00E174BE">
        <w:t xml:space="preserve">mplementation </w:t>
      </w:r>
      <w:r w:rsidRPr="00A35CDB" w:rsidR="005A109A">
        <w:t>g</w:t>
      </w:r>
      <w:r w:rsidRPr="00A35CDB" w:rsidR="00E174BE">
        <w:t>uidelines</w:t>
      </w:r>
      <w:r w:rsidR="00A57B3B">
        <w:t>;</w:t>
      </w:r>
      <w:r w:rsidRPr="00A35CDB" w:rsidR="005E1C34">
        <w:rPr>
          <w:color w:val="808080" w:themeColor="background1" w:themeShade="80"/>
        </w:rPr>
        <w:t xml:space="preserve"> </w:t>
      </w:r>
      <w:r w:rsidRPr="00A35CDB" w:rsidR="005E1C34">
        <w:t>this decision finds that SCE</w:t>
      </w:r>
      <w:r w:rsidRPr="00A35CDB" w:rsidR="00D801AB">
        <w:t xml:space="preserve">’s initial failure to </w:t>
      </w:r>
      <w:r w:rsidRPr="00A35CDB" w:rsidR="00A706CC">
        <w:t xml:space="preserve">notify appropriate local tribes </w:t>
      </w:r>
      <w:r w:rsidR="001C7A68">
        <w:t xml:space="preserve">and to post the </w:t>
      </w:r>
      <w:r w:rsidR="001E3717">
        <w:t xml:space="preserve">required notices to its website </w:t>
      </w:r>
      <w:r w:rsidRPr="00A35CDB" w:rsidR="00F56DEB">
        <w:t>circumvents</w:t>
      </w:r>
      <w:r w:rsidRPr="00A35CDB" w:rsidR="005C6835">
        <w:t xml:space="preserve"> the </w:t>
      </w:r>
      <w:r w:rsidR="00282641">
        <w:t xml:space="preserve">clear intent of the </w:t>
      </w:r>
      <w:r w:rsidRPr="00A35CDB" w:rsidR="005C6835">
        <w:t>Tribal Land Transfer Policy.</w:t>
      </w:r>
      <w:r w:rsidRPr="00A35CDB" w:rsidR="00601A47">
        <w:t xml:space="preserve"> SCE did</w:t>
      </w:r>
      <w:r w:rsidRPr="00A35CDB" w:rsidR="00327195">
        <w:t xml:space="preserve"> ultimately</w:t>
      </w:r>
      <w:r w:rsidRPr="00A35CDB" w:rsidR="00601A47">
        <w:t xml:space="preserve"> </w:t>
      </w:r>
      <w:r w:rsidRPr="00A35CDB" w:rsidR="00327195">
        <w:t xml:space="preserve">follow the Tribal Land Transfer </w:t>
      </w:r>
      <w:r w:rsidRPr="00A35CDB" w:rsidR="00456870">
        <w:t>Policy</w:t>
      </w:r>
      <w:r w:rsidR="00F722D8">
        <w:t xml:space="preserve"> and </w:t>
      </w:r>
      <w:r w:rsidRPr="00F722D8" w:rsidR="00F722D8">
        <w:t>notify the appropriate local Native American tribes</w:t>
      </w:r>
      <w:r w:rsidRPr="00A35CDB" w:rsidR="00456870">
        <w:t>, albeit</w:t>
      </w:r>
      <w:r w:rsidRPr="00A35CDB" w:rsidR="00327195">
        <w:t xml:space="preserve"> </w:t>
      </w:r>
      <w:r w:rsidRPr="00A35CDB" w:rsidR="00AF3BC1">
        <w:t>only at the direction of the assigned Commissioner</w:t>
      </w:r>
      <w:r w:rsidRPr="00A35CDB" w:rsidR="00456870">
        <w:t>.</w:t>
      </w:r>
      <w:r w:rsidRPr="00A35CDB" w:rsidR="00AF3BC1">
        <w:t xml:space="preserve"> </w:t>
      </w:r>
      <w:r w:rsidRPr="00A35CDB" w:rsidR="00456870">
        <w:t xml:space="preserve">While possibly warranted, </w:t>
      </w:r>
      <w:r w:rsidRPr="00A35CDB" w:rsidR="00B47676">
        <w:t>w</w:t>
      </w:r>
      <w:r w:rsidRPr="00A35CDB" w:rsidR="00456870">
        <w:t>e will</w:t>
      </w:r>
      <w:r w:rsidRPr="00A35CDB" w:rsidR="00DA44ED">
        <w:t xml:space="preserve"> not initiate an order </w:t>
      </w:r>
      <w:r w:rsidRPr="00A35CDB" w:rsidR="009A6BA9">
        <w:t xml:space="preserve">for SCE to show cause why it should not be sanctioned for failure to </w:t>
      </w:r>
      <w:r w:rsidR="00F722D8">
        <w:t>adhere to the Tribal Land Transfer Policy</w:t>
      </w:r>
      <w:r w:rsidRPr="00A35CDB" w:rsidR="009A6BA9">
        <w:t>.</w:t>
      </w:r>
      <w:r w:rsidRPr="00A35CDB" w:rsidR="00226ACB">
        <w:t xml:space="preserve"> </w:t>
      </w:r>
      <w:r w:rsidRPr="00A35CDB" w:rsidR="003E3479">
        <w:t>This decision</w:t>
      </w:r>
      <w:r w:rsidRPr="00A35CDB" w:rsidR="007D74A1">
        <w:t xml:space="preserve"> admonish</w:t>
      </w:r>
      <w:r w:rsidRPr="00A35CDB" w:rsidR="003E3479">
        <w:t>es</w:t>
      </w:r>
      <w:r w:rsidRPr="00A35CDB" w:rsidR="00E6178E">
        <w:t xml:space="preserve"> SCE</w:t>
      </w:r>
      <w:r w:rsidRPr="00A35CDB" w:rsidR="007D74A1">
        <w:t xml:space="preserve"> </w:t>
      </w:r>
      <w:r w:rsidRPr="00A35CDB" w:rsidR="005C22B7">
        <w:t xml:space="preserve">for its initial failure to comply with the Tribal Land Transfer Policy and directs SCE </w:t>
      </w:r>
      <w:r w:rsidRPr="00A35CDB" w:rsidR="007D74A1">
        <w:t>to</w:t>
      </w:r>
      <w:r w:rsidRPr="00A35CDB" w:rsidR="001035D3">
        <w:t xml:space="preserve"> recognize the </w:t>
      </w:r>
      <w:r w:rsidRPr="00A35CDB" w:rsidR="0038238E">
        <w:t xml:space="preserve">Commission’s intent in adopting the Tribal Land Transfer Policy </w:t>
      </w:r>
      <w:r w:rsidRPr="00A35CDB" w:rsidR="005C22B7">
        <w:t xml:space="preserve">is </w:t>
      </w:r>
      <w:r w:rsidRPr="00A35CDB" w:rsidR="00BA7F07">
        <w:t xml:space="preserve">for the </w:t>
      </w:r>
      <w:r w:rsidRPr="00A35CDB" w:rsidR="005C22B7">
        <w:t xml:space="preserve">regulated </w:t>
      </w:r>
      <w:r w:rsidRPr="00A35CDB" w:rsidR="00BA7F07">
        <w:t xml:space="preserve">utilities </w:t>
      </w:r>
      <w:r w:rsidRPr="00A35CDB" w:rsidR="0038238E">
        <w:t xml:space="preserve">to </w:t>
      </w:r>
      <w:r w:rsidRPr="00A35CDB" w:rsidR="00775F68">
        <w:t xml:space="preserve">forge </w:t>
      </w:r>
      <w:r w:rsidRPr="00A35CDB" w:rsidR="008F7C68">
        <w:t xml:space="preserve">a relationship with tribes built on respect for </w:t>
      </w:r>
      <w:r w:rsidRPr="00A35CDB" w:rsidR="007A4AA8">
        <w:t xml:space="preserve">tribal sovereignty and for </w:t>
      </w:r>
      <w:r w:rsidRPr="00A35CDB" w:rsidR="00F2116C">
        <w:t>tribes’</w:t>
      </w:r>
      <w:r w:rsidRPr="00A35CDB" w:rsidR="00AC5EC9">
        <w:t xml:space="preserve"> </w:t>
      </w:r>
      <w:r w:rsidRPr="00A35CDB" w:rsidR="008F6BDD">
        <w:t>long</w:t>
      </w:r>
      <w:r w:rsidR="0028615D">
        <w:noBreakHyphen/>
      </w:r>
      <w:r w:rsidRPr="00A35CDB" w:rsidR="008F6BDD">
        <w:t xml:space="preserve">held </w:t>
      </w:r>
      <w:r w:rsidRPr="00A35CDB" w:rsidR="00AC5EC9">
        <w:t>connection to the land.</w:t>
      </w:r>
    </w:p>
    <w:p w:rsidR="009A7C35" w:rsidP="00FA1B4F" w:rsidRDefault="009A7C35" w14:paraId="31D7C996" w14:textId="6AD6506E">
      <w:pPr>
        <w:pStyle w:val="Heading1"/>
      </w:pPr>
      <w:bookmarkStart w:name="_Toc133843852" w:id="8"/>
      <w:bookmarkStart w:name="_Toc8123721" w:id="9"/>
      <w:r>
        <w:lastRenderedPageBreak/>
        <w:t>Compliance with the California</w:t>
      </w:r>
      <w:r w:rsidR="008C3723">
        <w:br/>
      </w:r>
      <w:r>
        <w:t>Environmental Quality Act</w:t>
      </w:r>
    </w:p>
    <w:p w:rsidR="008137D2" w:rsidP="008137D2" w:rsidRDefault="005438BD" w14:paraId="46A80B94" w14:textId="21666C3F">
      <w:pPr>
        <w:pStyle w:val="Standard"/>
      </w:pPr>
      <w:r w:rsidRPr="005438BD">
        <w:t>The California Environmental Quality Act (CEQA) applies to discretionary projects to be carried out or approved by public agencies.</w:t>
      </w:r>
      <w:r w:rsidR="00FC04CF">
        <w:rPr>
          <w:rStyle w:val="FootnoteReference"/>
        </w:rPr>
        <w:footnoteReference w:id="16"/>
      </w:r>
      <w:r w:rsidRPr="005438BD">
        <w:t xml:space="preserve"> A basic purpose of CEQA is to “inform governmental decision</w:t>
      </w:r>
      <w:r w:rsidR="0028615D">
        <w:noBreakHyphen/>
      </w:r>
      <w:r w:rsidRPr="005438BD">
        <w:t>makers and the public about the potential, significant environmental effects of the proposed activities.”</w:t>
      </w:r>
      <w:r w:rsidR="00FC04CF">
        <w:rPr>
          <w:rStyle w:val="FootnoteReference"/>
        </w:rPr>
        <w:footnoteReference w:id="17"/>
      </w:r>
      <w:r w:rsidRPr="005438BD">
        <w:t xml:space="preserve"> The Lead Agency is the public agency with the greatest responsibility for supervising or approving the project as a whole.</w:t>
      </w:r>
      <w:r w:rsidR="00FC04CF">
        <w:rPr>
          <w:rStyle w:val="FootnoteReference"/>
        </w:rPr>
        <w:footnoteReference w:id="18"/>
      </w:r>
      <w:r w:rsidRPr="005438BD">
        <w:t xml:space="preserve"> In cases where a project requires approval from multiple public agencies, only one agency assumes the role of the “Lead Agency” and is accountable for providing the Environmental Impact Report (EIR) or a negative declaration.</w:t>
      </w:r>
      <w:r w:rsidR="00FC04CF">
        <w:rPr>
          <w:rStyle w:val="FootnoteReference"/>
        </w:rPr>
        <w:footnoteReference w:id="19"/>
      </w:r>
      <w:r w:rsidRPr="005438BD">
        <w:t xml:space="preserve"> All other agencies possessing discretionary approval authority over the project are referred to as “Responsible Agencies.” To comply with CEQA, a Responsible Agency must consider the Lead Agency’s EIR, negative declaration or other CEQA analysis. The Lead Agency’s determination is final and conclusive on the Responsible Agency unless the determination is challenged under the Public Resources (</w:t>
      </w:r>
      <w:r w:rsidR="00C63FDF">
        <w:t>Pub. Res.</w:t>
      </w:r>
      <w:r w:rsidRPr="005438BD">
        <w:t xml:space="preserve">) Code </w:t>
      </w:r>
      <w:r w:rsidR="00B738F6">
        <w:t>Section </w:t>
      </w:r>
      <w:r w:rsidRPr="005438BD">
        <w:t>21167, circumstances or conditions change, or the Responsible Agency assumes the Lead Agency role.</w:t>
      </w:r>
      <w:r w:rsidR="00FC04CF">
        <w:rPr>
          <w:rStyle w:val="FootnoteReference"/>
        </w:rPr>
        <w:footnoteReference w:id="20"/>
      </w:r>
    </w:p>
    <w:p w:rsidRPr="008137D2" w:rsidR="00563E6A" w:rsidP="008137D2" w:rsidRDefault="00563E6A" w14:paraId="619BB799" w14:textId="03EAC802">
      <w:pPr>
        <w:pStyle w:val="Standard"/>
      </w:pPr>
      <w:r>
        <w:t xml:space="preserve">The application states that the City is anticipated to </w:t>
      </w:r>
      <w:r w:rsidR="004727C1">
        <w:t xml:space="preserve">serve as Lead Agency </w:t>
      </w:r>
      <w:r w:rsidR="003C6649">
        <w:t xml:space="preserve">for the review of Purchaser’s residential project. This decision confirms that the </w:t>
      </w:r>
      <w:r w:rsidR="003C6649">
        <w:lastRenderedPageBreak/>
        <w:t xml:space="preserve">Commission is not the </w:t>
      </w:r>
      <w:r w:rsidR="003C1D9C">
        <w:t>Lead Agency for purposes of environmental review under CEQA for the Property.</w:t>
      </w:r>
    </w:p>
    <w:p w:rsidR="0057739A" w:rsidP="00FA1B4F" w:rsidRDefault="0057739A" w14:paraId="3457D2AD" w14:textId="015A537D">
      <w:pPr>
        <w:pStyle w:val="Heading1"/>
      </w:pPr>
      <w:r>
        <w:t>Ratemaking Treatment of the Proposed Sale</w:t>
      </w:r>
    </w:p>
    <w:p w:rsidR="00A20609" w:rsidP="00A20609" w:rsidRDefault="00A20609" w14:paraId="3F229C12" w14:textId="395D246F">
      <w:pPr>
        <w:pStyle w:val="Standard"/>
      </w:pPr>
      <w:r>
        <w:t>The Commission’s policy on gain/loss on sale of utility assets allows utilities to seek allocation of an after</w:t>
      </w:r>
      <w:r w:rsidR="00AD4E31">
        <w:noBreakHyphen/>
      </w:r>
      <w:r>
        <w:t>tax gain or loss of $50</w:t>
      </w:r>
      <w:r w:rsidR="007958CA">
        <w:t> million</w:t>
      </w:r>
      <w:r>
        <w:t xml:space="preserve"> or less pursuant to </w:t>
      </w:r>
      <w:r w:rsidR="00EA1DE1">
        <w:t>D.06</w:t>
      </w:r>
      <w:r w:rsidR="0028615D">
        <w:noBreakHyphen/>
      </w:r>
      <w:r w:rsidR="00EA1DE1">
        <w:t>05</w:t>
      </w:r>
      <w:r w:rsidR="0028615D">
        <w:noBreakHyphen/>
      </w:r>
      <w:r w:rsidR="00EA1DE1">
        <w:t>041, as modified by D.06</w:t>
      </w:r>
      <w:r w:rsidR="0028615D">
        <w:noBreakHyphen/>
      </w:r>
      <w:r w:rsidR="00EA1DE1">
        <w:t>12</w:t>
      </w:r>
      <w:r w:rsidR="0028615D">
        <w:noBreakHyphen/>
      </w:r>
      <w:r w:rsidR="00EA1DE1">
        <w:t>043 (referred to as the percentage allocation rule)</w:t>
      </w:r>
      <w:r>
        <w:t>, wherein 100</w:t>
      </w:r>
      <w:r w:rsidR="007958CA">
        <w:t> percent</w:t>
      </w:r>
      <w:r>
        <w:t xml:space="preserve"> of depreciable assets are allocated to </w:t>
      </w:r>
      <w:r w:rsidR="001A31F9">
        <w:t>ratepayers, 67</w:t>
      </w:r>
      <w:r w:rsidR="007958CA">
        <w:t> percent</w:t>
      </w:r>
      <w:r w:rsidR="001A31F9">
        <w:t xml:space="preserve"> of non</w:t>
      </w:r>
      <w:r w:rsidR="00AD4E31">
        <w:noBreakHyphen/>
      </w:r>
      <w:r w:rsidR="001A31F9">
        <w:t>depreciable assets are allocated to ratepayers, and 33</w:t>
      </w:r>
      <w:r w:rsidR="007958CA">
        <w:t> percent</w:t>
      </w:r>
      <w:r w:rsidR="001A31F9">
        <w:t xml:space="preserve"> of non</w:t>
      </w:r>
      <w:r w:rsidR="00AD4E31">
        <w:noBreakHyphen/>
      </w:r>
      <w:r w:rsidR="001A31F9">
        <w:t>depreciable assets are allocated to shareholders.</w:t>
      </w:r>
      <w:r w:rsidR="00311E48">
        <w:rPr>
          <w:rStyle w:val="FootnoteReference"/>
        </w:rPr>
        <w:footnoteReference w:id="21"/>
      </w:r>
    </w:p>
    <w:p w:rsidR="00621849" w:rsidP="004E706D" w:rsidRDefault="001A31F9" w14:paraId="55D09B83" w14:textId="00030021">
      <w:pPr>
        <w:pStyle w:val="Standard"/>
      </w:pPr>
      <w:r>
        <w:t xml:space="preserve">For the Property, SCE proposes </w:t>
      </w:r>
      <w:r w:rsidR="00311E48">
        <w:t>that the allocation of gain or loss on sale be recovered in accordance with</w:t>
      </w:r>
      <w:r w:rsidRPr="00EA1DE1" w:rsidR="00EA1DE1">
        <w:t xml:space="preserve"> </w:t>
      </w:r>
      <w:r w:rsidR="00EA1DE1">
        <w:t>the percentage allocation rule</w:t>
      </w:r>
      <w:r w:rsidR="00311E48">
        <w:t>.</w:t>
      </w:r>
      <w:r w:rsidR="00617294">
        <w:t xml:space="preserve"> Because </w:t>
      </w:r>
      <w:r w:rsidR="00C73A12">
        <w:t>SCE does not own the underlying land</w:t>
      </w:r>
      <w:r w:rsidR="004C5583">
        <w:t>, the proposed transaction only includes depreciable assets</w:t>
      </w:r>
      <w:r w:rsidR="00617294">
        <w:t xml:space="preserve">, </w:t>
      </w:r>
      <w:r w:rsidR="0082651C">
        <w:t xml:space="preserve">for which </w:t>
      </w:r>
      <w:r w:rsidR="009947CD">
        <w:t xml:space="preserve">SCE would allocate </w:t>
      </w:r>
      <w:r w:rsidR="0082651C">
        <w:t>100</w:t>
      </w:r>
      <w:r w:rsidR="007958CA">
        <w:t> percent</w:t>
      </w:r>
      <w:r w:rsidR="009947CD">
        <w:t xml:space="preserve"> of the after</w:t>
      </w:r>
      <w:r w:rsidR="00AD4E31">
        <w:noBreakHyphen/>
      </w:r>
      <w:r w:rsidR="009947CD">
        <w:t>tax loss to ratepayers.</w:t>
      </w:r>
      <w:r w:rsidR="004E706D">
        <w:t xml:space="preserve"> </w:t>
      </w:r>
      <w:r w:rsidR="001E7752">
        <w:t xml:space="preserve">Based on these rules, SCE estimates that the sale of the </w:t>
      </w:r>
      <w:r w:rsidR="00673AA7">
        <w:t>Property for $13.3</w:t>
      </w:r>
      <w:r w:rsidR="007958CA">
        <w:t> million</w:t>
      </w:r>
      <w:r w:rsidR="00673AA7">
        <w:t xml:space="preserve"> less estimated transaction costs, historical cost </w:t>
      </w:r>
      <w:r w:rsidR="008606A9">
        <w:t xml:space="preserve">of the Property, and the accumulated depreciation value of the Property to be sold would result in an estimated </w:t>
      </w:r>
      <w:r w:rsidR="00293728">
        <w:t>after</w:t>
      </w:r>
      <w:r w:rsidR="00AD4E31">
        <w:noBreakHyphen/>
      </w:r>
      <w:r w:rsidR="00293728">
        <w:t>tax loss on sale of $27,154,334.</w:t>
      </w:r>
      <w:r w:rsidR="00612C72">
        <w:t xml:space="preserve"> SCE proposes to recover the </w:t>
      </w:r>
      <w:r w:rsidR="00A5723B">
        <w:t>loss on sale</w:t>
      </w:r>
      <w:r w:rsidR="00831300">
        <w:t xml:space="preserve"> </w:t>
      </w:r>
      <w:r w:rsidR="00FB65DF">
        <w:t>by recording debit</w:t>
      </w:r>
      <w:r w:rsidR="00A556A8">
        <w:t>s</w:t>
      </w:r>
      <w:r w:rsidR="00FB65DF">
        <w:t xml:space="preserve"> in its Base Revenue Requirement Balancing Account</w:t>
      </w:r>
      <w:r w:rsidR="00374070">
        <w:t xml:space="preserve"> of approximately $37.7</w:t>
      </w:r>
      <w:r w:rsidR="007958CA">
        <w:t> million</w:t>
      </w:r>
      <w:r w:rsidR="007035AF">
        <w:t xml:space="preserve">, an approximately </w:t>
      </w:r>
      <w:r w:rsidR="008F14DE">
        <w:t>$0.37</w:t>
      </w:r>
      <w:r w:rsidR="007035AF">
        <w:t xml:space="preserve"> increase </w:t>
      </w:r>
      <w:r w:rsidR="001B0082">
        <w:t>to the average non</w:t>
      </w:r>
      <w:r w:rsidR="0028615D">
        <w:noBreakHyphen/>
      </w:r>
      <w:r w:rsidR="001B0082">
        <w:t>CARE residential bill,</w:t>
      </w:r>
      <w:r w:rsidR="00A5723B">
        <w:t xml:space="preserve"> over </w:t>
      </w:r>
      <w:r w:rsidR="00AD78D1">
        <w:t>12 months</w:t>
      </w:r>
      <w:r w:rsidR="00A5723B">
        <w:t>.</w:t>
      </w:r>
    </w:p>
    <w:p w:rsidR="007218A5" w:rsidP="004E706D" w:rsidRDefault="007218A5" w14:paraId="57E01434" w14:textId="7DC3A652">
      <w:pPr>
        <w:pStyle w:val="Standard"/>
      </w:pPr>
      <w:r>
        <w:t xml:space="preserve">SCE proposes to true up the final financial information and submit a </w:t>
      </w:r>
      <w:r w:rsidR="00305BB2">
        <w:t>Tier 1</w:t>
      </w:r>
      <w:r>
        <w:t xml:space="preserve"> advice letter that provides the actual price and </w:t>
      </w:r>
      <w:r w:rsidR="00F72043">
        <w:t xml:space="preserve">loss for the sale of the Property no later than 90 days following the close of the sale of the Property. </w:t>
      </w:r>
      <w:r w:rsidR="00F800B1">
        <w:t>The actual</w:t>
      </w:r>
      <w:r w:rsidR="00405128">
        <w:t xml:space="preserve"> loss </w:t>
      </w:r>
      <w:r w:rsidR="00405128">
        <w:lastRenderedPageBreak/>
        <w:t xml:space="preserve">may be different than the amount estimated by SCE, however the allocation of gain or loss </w:t>
      </w:r>
      <w:r w:rsidR="00E76C46">
        <w:t>on sale should remain consistent with the percentage allocation rule.</w:t>
      </w:r>
    </w:p>
    <w:p w:rsidRPr="00A20609" w:rsidR="00E76C46" w:rsidP="004E706D" w:rsidRDefault="00E76C46" w14:paraId="5024FED7" w14:textId="3F9115A3">
      <w:pPr>
        <w:pStyle w:val="Standard"/>
      </w:pPr>
      <w:r>
        <w:t>We approve SCE’s proposed ratemaking treatment for the sale of the Property, as it is consistent with the Commission’s percentage allocation rule.</w:t>
      </w:r>
    </w:p>
    <w:p w:rsidR="00603238" w:rsidP="00FA1B4F" w:rsidRDefault="00603238" w14:paraId="4AF361C6" w14:textId="1B840F9E">
      <w:pPr>
        <w:pStyle w:val="Heading1"/>
      </w:pPr>
      <w:r>
        <w:t>Summary of Public Comment</w:t>
      </w:r>
      <w:bookmarkEnd w:id="8"/>
    </w:p>
    <w:p w:rsidR="00603238" w:rsidP="00963339" w:rsidRDefault="00F0648A" w14:paraId="312B6470" w14:textId="5C471CC4">
      <w:pPr>
        <w:pStyle w:val="Standard"/>
      </w:pPr>
      <w:r>
        <w:t>Rule </w:t>
      </w:r>
      <w:r w:rsidRPr="003E6BCF" w:rsidR="00603238">
        <w:t xml:space="preserve">1.18 </w:t>
      </w:r>
      <w:r>
        <w:t xml:space="preserve">of the Commission’s Rules of Practice and Procedure (Rules) </w:t>
      </w:r>
      <w:r w:rsidRPr="003E6BCF" w:rsidR="00603238">
        <w:t>allows any member of the public to submit written comment in any Commission proceeding using the “Public Comment” tab of the online Docket Card for that proceeding on the Commission’s website.</w:t>
      </w:r>
      <w:r w:rsidR="00530A04">
        <w:t xml:space="preserve"> </w:t>
      </w:r>
      <w:r>
        <w:t>Rule </w:t>
      </w:r>
      <w:r w:rsidRPr="003E6BCF" w:rsidR="00603238">
        <w:t>1.18(b) requires that relevant written comment submitted in a proceeding be summarized in the final decision issued in that proceeding.</w:t>
      </w:r>
    </w:p>
    <w:p w:rsidRPr="00AE4779" w:rsidR="00603238" w:rsidP="718127C8" w:rsidRDefault="00B91625" w14:paraId="68B8DDCC" w14:textId="4A68E07F">
      <w:pPr>
        <w:pStyle w:val="Standard"/>
        <w:rPr>
          <w:rFonts w:ascii="Calibri" w:hAnsi="Calibri"/>
          <w:sz w:val="22"/>
        </w:rPr>
      </w:pPr>
      <w:r>
        <w:t xml:space="preserve">As of </w:t>
      </w:r>
      <w:r w:rsidR="00621849">
        <w:t>May </w:t>
      </w:r>
      <w:r>
        <w:t xml:space="preserve">6, 2025, the Public Comment tab for this proceeding included </w:t>
      </w:r>
      <w:r w:rsidR="008B1F0D">
        <w:t>16 public comments</w:t>
      </w:r>
      <w:r w:rsidR="00AC2EAC">
        <w:t xml:space="preserve">, </w:t>
      </w:r>
      <w:r w:rsidR="000848E5">
        <w:t xml:space="preserve">all of which opposed </w:t>
      </w:r>
      <w:r w:rsidR="00C4160A">
        <w:t xml:space="preserve">any rate increase. </w:t>
      </w:r>
      <w:r w:rsidR="00CE032A">
        <w:t xml:space="preserve">Four of the comments also </w:t>
      </w:r>
      <w:r w:rsidR="00EC75EA">
        <w:t xml:space="preserve">noted that the link provided in the bill enclosure incorrectly directed </w:t>
      </w:r>
      <w:r w:rsidR="009479C6">
        <w:t>customers to “</w:t>
      </w:r>
      <w:r w:rsidRPr="009479C6" w:rsidR="009479C6">
        <w:t>www.apps.cpuc.ca.gov</w:t>
      </w:r>
      <w:r w:rsidR="009479C6">
        <w:t>”</w:t>
      </w:r>
      <w:r w:rsidR="00555ABA">
        <w:t xml:space="preserve">. </w:t>
      </w:r>
      <w:r w:rsidR="00A028BE">
        <w:t>Two comments ask</w:t>
      </w:r>
      <w:r w:rsidR="00AE4779">
        <w:t>ed</w:t>
      </w:r>
      <w:r w:rsidR="00A028BE">
        <w:t xml:space="preserve"> for an audit of the company. One comment </w:t>
      </w:r>
      <w:r w:rsidR="00596E92">
        <w:t>also raise</w:t>
      </w:r>
      <w:r w:rsidR="00AE4779">
        <w:t>d</w:t>
      </w:r>
      <w:r w:rsidR="00596E92">
        <w:t xml:space="preserve"> issues with SCE’s customer service, stating that SCE does not provide </w:t>
      </w:r>
      <w:r w:rsidR="007C49CB">
        <w:t>an email summary of what was discussed and any resolutions that were agreed on</w:t>
      </w:r>
      <w:r w:rsidR="00AF60EE">
        <w:t xml:space="preserve">, and that SCE does not </w:t>
      </w:r>
      <w:r w:rsidR="00471C43">
        <w:t>enable tracking and follow</w:t>
      </w:r>
      <w:r w:rsidR="00AD4E31">
        <w:noBreakHyphen/>
      </w:r>
      <w:r w:rsidR="00471C43">
        <w:t>up in the case of an ongoing issue</w:t>
      </w:r>
      <w:r w:rsidR="009D0CED">
        <w:t>; further, that SCE does not</w:t>
      </w:r>
      <w:r w:rsidR="006A611C">
        <w:t xml:space="preserve"> provide the ability to schedule payments or to pay an amount other than the entire </w:t>
      </w:r>
      <w:r w:rsidR="00141F12">
        <w:t xml:space="preserve">bill, all of which </w:t>
      </w:r>
      <w:r w:rsidR="00CB7588">
        <w:t>create additional hardship for struggling individuals and businesses.</w:t>
      </w:r>
    </w:p>
    <w:p w:rsidR="004A1EAD" w:rsidP="004A1EAD" w:rsidRDefault="004A1EAD" w14:paraId="27492153" w14:textId="77777777">
      <w:pPr>
        <w:pStyle w:val="Heading1"/>
      </w:pPr>
      <w:bookmarkStart w:name="_Toc8123723" w:id="10"/>
      <w:bookmarkStart w:name="_Toc133843854" w:id="11"/>
      <w:bookmarkEnd w:id="9"/>
      <w:r>
        <w:t>Procedural Matters</w:t>
      </w:r>
    </w:p>
    <w:p w:rsidRPr="008B175A" w:rsidR="004A1EAD" w:rsidP="004A1EAD" w:rsidRDefault="004A1EAD" w14:paraId="3B904425" w14:textId="7576981A">
      <w:pPr>
        <w:pStyle w:val="Standard"/>
      </w:pPr>
      <w:r w:rsidRPr="008B175A">
        <w:t>This decision affirms all rulings made by the A</w:t>
      </w:r>
      <w:r w:rsidR="0055479E">
        <w:t>LJ</w:t>
      </w:r>
      <w:r w:rsidRPr="008B175A">
        <w:t xml:space="preserve"> and assigned Commissioner in this proceeding. All motions not ruled on are deemed denied.</w:t>
      </w:r>
    </w:p>
    <w:p w:rsidR="005939A5" w:rsidP="005939A5" w:rsidRDefault="005939A5" w14:paraId="289314DD" w14:textId="77777777">
      <w:pPr>
        <w:pStyle w:val="Heading1"/>
      </w:pPr>
      <w:r>
        <w:lastRenderedPageBreak/>
        <w:t>Comments on Proposed Decision</w:t>
      </w:r>
      <w:bookmarkEnd w:id="10"/>
      <w:bookmarkEnd w:id="11"/>
    </w:p>
    <w:p w:rsidR="00621849" w:rsidP="005C58FA" w:rsidRDefault="005C58FA" w14:paraId="524799E8" w14:textId="329263C2">
      <w:pPr>
        <w:pStyle w:val="Standard"/>
      </w:pPr>
      <w:r w:rsidRPr="000F3C7C">
        <w:t>The proposed decision of ALJ</w:t>
      </w:r>
      <w:r w:rsidR="008F0E8B">
        <w:t> </w:t>
      </w:r>
      <w:r w:rsidR="005473FA">
        <w:t>Valerie U.</w:t>
      </w:r>
      <w:r w:rsidRPr="000F3C7C" w:rsidR="00BE3B38">
        <w:t xml:space="preserve"> Kao </w:t>
      </w:r>
      <w:r w:rsidRPr="000F3C7C">
        <w:t>in this matter was mailed to the pa</w:t>
      </w:r>
      <w:r>
        <w:t>rties in accordance with</w:t>
      </w:r>
      <w:r w:rsidR="00521356">
        <w:t xml:space="preserve"> Pub. Util. Code</w:t>
      </w:r>
      <w:r>
        <w:t xml:space="preserve"> </w:t>
      </w:r>
      <w:r w:rsidR="00B738F6">
        <w:t>Section </w:t>
      </w:r>
      <w:r>
        <w:t xml:space="preserve">311 and comments were allowed under </w:t>
      </w:r>
      <w:r w:rsidR="00F0648A">
        <w:t>Rule </w:t>
      </w:r>
      <w:r>
        <w:t>14.3.</w:t>
      </w:r>
      <w:r w:rsidR="00530A04">
        <w:t xml:space="preserve"> </w:t>
      </w:r>
      <w:r w:rsidR="003303BB">
        <w:t>The Commission received no c</w:t>
      </w:r>
      <w:r>
        <w:t xml:space="preserve">omments </w:t>
      </w:r>
      <w:r w:rsidR="003303BB">
        <w:t>to the proposed decision</w:t>
      </w:r>
      <w:r>
        <w:t>.</w:t>
      </w:r>
    </w:p>
    <w:p w:rsidR="005939A5" w:rsidP="005939A5" w:rsidRDefault="005939A5" w14:paraId="008E7E0C" w14:textId="3EEAD704">
      <w:pPr>
        <w:pStyle w:val="Heading1"/>
      </w:pPr>
      <w:bookmarkStart w:name="_Toc8123724" w:id="12"/>
      <w:bookmarkStart w:name="_Toc133843855" w:id="13"/>
      <w:r>
        <w:t>Assignment of Proceeding</w:t>
      </w:r>
      <w:bookmarkEnd w:id="12"/>
      <w:bookmarkEnd w:id="13"/>
    </w:p>
    <w:p w:rsidR="005939A5" w:rsidP="006E6574" w:rsidRDefault="000F3C7C" w14:paraId="758647B5" w14:textId="4B0F64F3">
      <w:pPr>
        <w:pStyle w:val="Standard"/>
      </w:pPr>
      <w:r>
        <w:t>Darcie L. Houck</w:t>
      </w:r>
      <w:r w:rsidR="005939A5">
        <w:t xml:space="preserve"> is the assigned Commissioner and </w:t>
      </w:r>
      <w:r w:rsidR="005473FA">
        <w:t>Valerie U.</w:t>
      </w:r>
      <w:r>
        <w:t xml:space="preserve"> Kao</w:t>
      </w:r>
      <w:r w:rsidR="005939A5">
        <w:t xml:space="preserve"> is the assigned A</w:t>
      </w:r>
      <w:r>
        <w:t xml:space="preserve">LJ </w:t>
      </w:r>
      <w:r w:rsidR="005939A5">
        <w:t>in this proceeding.</w:t>
      </w:r>
    </w:p>
    <w:p w:rsidR="005939A5" w:rsidP="00D3796F" w:rsidRDefault="005939A5" w14:paraId="3B79D12F" w14:textId="77777777">
      <w:pPr>
        <w:pStyle w:val="Dummy"/>
      </w:pPr>
      <w:bookmarkStart w:name="_Toc8123725" w:id="14"/>
      <w:bookmarkStart w:name="_Toc133843856" w:id="15"/>
      <w:r>
        <w:t>Findings of Fact</w:t>
      </w:r>
      <w:bookmarkEnd w:id="14"/>
      <w:bookmarkEnd w:id="15"/>
    </w:p>
    <w:p w:rsidR="007D74B3" w:rsidP="001E2A62" w:rsidRDefault="0062248D" w14:paraId="11F188C8" w14:textId="0D677837">
      <w:pPr>
        <w:pStyle w:val="FoF"/>
      </w:pPr>
      <w:r>
        <w:t xml:space="preserve">SCE seeks the Commission’s approval to sell its lease interest in </w:t>
      </w:r>
      <w:r w:rsidR="00435F89">
        <w:t>a</w:t>
      </w:r>
      <w:r w:rsidR="00B76A5C">
        <w:t xml:space="preserve"> 9.23</w:t>
      </w:r>
      <w:r w:rsidR="0028615D">
        <w:noBreakHyphen/>
      </w:r>
      <w:r>
        <w:t>acre</w:t>
      </w:r>
      <w:r w:rsidR="00435F89">
        <w:t xml:space="preserve"> parcel</w:t>
      </w:r>
      <w:r>
        <w:t xml:space="preserve"> of land in </w:t>
      </w:r>
      <w:r w:rsidR="00DB3084">
        <w:t>the City</w:t>
      </w:r>
      <w:r w:rsidR="00B03698">
        <w:t xml:space="preserve">. </w:t>
      </w:r>
      <w:r w:rsidR="007D74B3">
        <w:t>SCE’s General Office Building #5 is located on the parcel.</w:t>
      </w:r>
    </w:p>
    <w:p w:rsidR="007D74B3" w:rsidP="001E2A62" w:rsidRDefault="007D74B3" w14:paraId="1D417C78" w14:textId="77777777">
      <w:pPr>
        <w:pStyle w:val="FoF"/>
      </w:pPr>
      <w:r>
        <w:t>No party filed a protest or response to SCE’s application.</w:t>
      </w:r>
    </w:p>
    <w:p w:rsidR="005E3BDF" w:rsidP="001E2A62" w:rsidRDefault="005E3BDF" w14:paraId="4174B27D" w14:textId="77777777">
      <w:pPr>
        <w:pStyle w:val="FoF"/>
      </w:pPr>
      <w:r>
        <w:t>SCE and Buyer entered into a Purchase Agreement for Buyer to purchase the Property for $13,400,000.</w:t>
      </w:r>
    </w:p>
    <w:p w:rsidR="00BB0019" w:rsidP="001E2A62" w:rsidRDefault="00BB0019" w14:paraId="2AF84781" w14:textId="77777777">
      <w:pPr>
        <w:pStyle w:val="FoF"/>
      </w:pPr>
      <w:r>
        <w:t>The sale will occur after SCE obtains Commission approval.</w:t>
      </w:r>
    </w:p>
    <w:p w:rsidR="00E97CB0" w:rsidP="001E2A62" w:rsidRDefault="00BB0019" w14:paraId="4DA4CD29" w14:textId="46F8B3E7">
      <w:pPr>
        <w:pStyle w:val="FoF"/>
      </w:pPr>
      <w:r>
        <w:t xml:space="preserve">The purpose of the sale is to redevelop </w:t>
      </w:r>
      <w:r w:rsidR="00E97CB0">
        <w:t>the Property into a multi</w:t>
      </w:r>
      <w:r w:rsidR="0028615D">
        <w:noBreakHyphen/>
      </w:r>
      <w:r w:rsidR="00E97CB0">
        <w:t xml:space="preserve">unit residential </w:t>
      </w:r>
      <w:r w:rsidR="00B76A5C">
        <w:t>community</w:t>
      </w:r>
      <w:r w:rsidR="00E97CB0">
        <w:t>.</w:t>
      </w:r>
    </w:p>
    <w:p w:rsidR="00242431" w:rsidP="001E2A62" w:rsidRDefault="00E97CB0" w14:paraId="3D5FAD1E" w14:textId="77777777">
      <w:pPr>
        <w:pStyle w:val="FoF"/>
      </w:pPr>
      <w:r>
        <w:t>The proposed transaction will not interfere with SCE’s utility operations or with service to SCE’s customers and the public</w:t>
      </w:r>
      <w:r w:rsidR="00242431">
        <w:t>.</w:t>
      </w:r>
    </w:p>
    <w:p w:rsidR="00604937" w:rsidP="001E2A62" w:rsidRDefault="00242431" w14:paraId="5D335C55" w14:textId="77777777">
      <w:pPr>
        <w:pStyle w:val="FoF"/>
      </w:pPr>
      <w:r>
        <w:t>The proposed transaction will benefit ratepayers in the form of reduced revenue requirements</w:t>
      </w:r>
      <w:r w:rsidR="00604937">
        <w:t xml:space="preserve"> associated with retaining the Property.</w:t>
      </w:r>
    </w:p>
    <w:p w:rsidR="00621849" w:rsidP="001E2A62" w:rsidRDefault="00604937" w14:paraId="29A7C1D1" w14:textId="77777777">
      <w:pPr>
        <w:pStyle w:val="FoF"/>
      </w:pPr>
      <w:r>
        <w:t xml:space="preserve">SCE </w:t>
      </w:r>
      <w:r w:rsidR="000602AC">
        <w:t xml:space="preserve">failed to notify tribes of its intent to sell the Property </w:t>
      </w:r>
      <w:r w:rsidR="0075042F">
        <w:t>prior to seeking Commission approval of the proposed transaction.</w:t>
      </w:r>
    </w:p>
    <w:p w:rsidR="00336DCD" w:rsidP="001E2A62" w:rsidRDefault="008B5E38" w14:paraId="3881547B" w14:textId="1FE830E0">
      <w:pPr>
        <w:pStyle w:val="FoF"/>
      </w:pPr>
      <w:r>
        <w:t xml:space="preserve">SCE </w:t>
      </w:r>
      <w:r w:rsidR="00604937">
        <w:t xml:space="preserve">complied with the Commission’s Tribal Land </w:t>
      </w:r>
      <w:r>
        <w:t>Transfer Policy</w:t>
      </w:r>
      <w:r w:rsidR="00336DCD">
        <w:t xml:space="preserve"> following the issuance of the assigned Commissioner’s scoping memo</w:t>
      </w:r>
      <w:r>
        <w:t>.</w:t>
      </w:r>
    </w:p>
    <w:p w:rsidR="00E91D62" w:rsidP="001E2A62" w:rsidRDefault="00303273" w14:paraId="6976B05F" w14:textId="7BCED589">
      <w:pPr>
        <w:pStyle w:val="FoF"/>
      </w:pPr>
      <w:r>
        <w:lastRenderedPageBreak/>
        <w:t xml:space="preserve">The Commission is not the Lead Agency </w:t>
      </w:r>
      <w:r w:rsidR="001D3D75">
        <w:t>for purposes of environmental review under CEQA for the Property.</w:t>
      </w:r>
    </w:p>
    <w:p w:rsidR="00B736EE" w:rsidP="001E2A62" w:rsidRDefault="00E91D62" w14:paraId="3635EAED" w14:textId="34AA6FAF">
      <w:pPr>
        <w:pStyle w:val="FoF"/>
      </w:pPr>
      <w:r>
        <w:t>The estimated after</w:t>
      </w:r>
      <w:r w:rsidR="00AD4E31">
        <w:noBreakHyphen/>
      </w:r>
      <w:r>
        <w:t xml:space="preserve">tax loss on the sale is </w:t>
      </w:r>
      <w:r w:rsidR="00574412">
        <w:t>$27,154,334</w:t>
      </w:r>
      <w:r w:rsidR="00E568BE">
        <w:t>.</w:t>
      </w:r>
    </w:p>
    <w:p w:rsidR="00303273" w:rsidP="001E2A62" w:rsidRDefault="00303273" w14:paraId="2D1B01B0" w14:textId="451E1415">
      <w:pPr>
        <w:pStyle w:val="FoF"/>
      </w:pPr>
      <w:r>
        <w:t>The proposed transaction only includes depreciable assets, for which SCE would allocate 100</w:t>
      </w:r>
      <w:r w:rsidR="007958CA">
        <w:t> percent</w:t>
      </w:r>
      <w:r>
        <w:t xml:space="preserve"> of the after</w:t>
      </w:r>
      <w:r w:rsidR="00AD4E31">
        <w:noBreakHyphen/>
      </w:r>
      <w:r>
        <w:t>tax loss to ratepayers.</w:t>
      </w:r>
    </w:p>
    <w:p w:rsidRPr="001E2A62" w:rsidR="008E6AE6" w:rsidP="00B736EE" w:rsidRDefault="00B736EE" w14:paraId="392391B0" w14:textId="7D71A996">
      <w:pPr>
        <w:pStyle w:val="FoF"/>
      </w:pPr>
      <w:r>
        <w:t>SCE’s proposed ratemaking treatment for the proposed transaction is consistent with the Commission’s percentage allocation rule.</w:t>
      </w:r>
    </w:p>
    <w:p w:rsidRPr="00D3796F" w:rsidR="005939A5" w:rsidP="00D3796F" w:rsidRDefault="005939A5" w14:paraId="2498DC4A" w14:textId="77777777">
      <w:pPr>
        <w:pStyle w:val="Dummy"/>
      </w:pPr>
      <w:bookmarkStart w:name="_Toc8123726" w:id="16"/>
      <w:bookmarkStart w:name="_Toc133843857" w:id="17"/>
      <w:r>
        <w:t>Conclusions of Law</w:t>
      </w:r>
      <w:bookmarkEnd w:id="16"/>
      <w:bookmarkEnd w:id="17"/>
    </w:p>
    <w:p w:rsidR="00445914" w:rsidP="001E2A62" w:rsidRDefault="00D25538" w14:paraId="3A349E0F" w14:textId="4B1B2433">
      <w:pPr>
        <w:pStyle w:val="CoL"/>
      </w:pPr>
      <w:r>
        <w:t xml:space="preserve">The proposed </w:t>
      </w:r>
      <w:r w:rsidR="007C44D9">
        <w:t xml:space="preserve">transaction </w:t>
      </w:r>
      <w:r>
        <w:t xml:space="preserve">is in the public interest and complies with </w:t>
      </w:r>
      <w:r w:rsidR="00446AD9">
        <w:t>Pub. Util.</w:t>
      </w:r>
      <w:r>
        <w:t xml:space="preserve"> Code </w:t>
      </w:r>
      <w:r w:rsidR="00B738F6">
        <w:t>Section </w:t>
      </w:r>
      <w:r>
        <w:t xml:space="preserve">851. Sale of the </w:t>
      </w:r>
      <w:r w:rsidR="005921F6">
        <w:t xml:space="preserve">Property enables beneficial redevelopment while also relieving SCE ratepayers </w:t>
      </w:r>
      <w:r w:rsidR="00445914">
        <w:t>from the revenue requirement associated with retaining the Property.</w:t>
      </w:r>
    </w:p>
    <w:p w:rsidR="00445914" w:rsidP="001E2A62" w:rsidRDefault="00445914" w14:paraId="074217C9" w14:textId="77962BDC">
      <w:pPr>
        <w:pStyle w:val="CoL"/>
      </w:pPr>
      <w:r>
        <w:t xml:space="preserve">The </w:t>
      </w:r>
      <w:r w:rsidR="007C44D9">
        <w:t>proposed transaction</w:t>
      </w:r>
      <w:r>
        <w:t xml:space="preserve"> does not conflict with the Commission’s </w:t>
      </w:r>
      <w:r w:rsidR="00535C2C">
        <w:t>ESJ</w:t>
      </w:r>
      <w:r w:rsidDel="00535C2C" w:rsidR="00535C2C">
        <w:t xml:space="preserve"> </w:t>
      </w:r>
      <w:r>
        <w:t>Action Plan.</w:t>
      </w:r>
    </w:p>
    <w:p w:rsidRPr="001A382E" w:rsidR="003C5CC4" w:rsidP="001E2A62" w:rsidRDefault="00445914" w14:paraId="7FE43A52" w14:textId="68EA062C">
      <w:pPr>
        <w:pStyle w:val="CoL"/>
      </w:pPr>
      <w:r w:rsidRPr="001A382E">
        <w:t xml:space="preserve">The Commission </w:t>
      </w:r>
      <w:r w:rsidRPr="001A382E" w:rsidR="003C5CC4">
        <w:t xml:space="preserve">is not the </w:t>
      </w:r>
      <w:r w:rsidRPr="001A382E" w:rsidR="00AB724B">
        <w:t>Lead Agency for purposes of environmental review under CEQA for the Property</w:t>
      </w:r>
      <w:r w:rsidRPr="001A382E" w:rsidR="003C5CC4">
        <w:t>.</w:t>
      </w:r>
    </w:p>
    <w:p w:rsidRPr="001E2A62" w:rsidR="008F143D" w:rsidP="003C5CC4" w:rsidRDefault="003C5CC4" w14:paraId="3DBE591A" w14:textId="39916C4C">
      <w:pPr>
        <w:pStyle w:val="CoL"/>
      </w:pPr>
      <w:r>
        <w:t xml:space="preserve">The </w:t>
      </w:r>
      <w:r w:rsidR="007C44D9">
        <w:t>proposed transaction</w:t>
      </w:r>
      <w:r>
        <w:t xml:space="preserve"> complies with the Commission’s Tribal Land Transfer Policy.</w:t>
      </w:r>
    </w:p>
    <w:p w:rsidR="00BB0243" w:rsidP="000A6E05" w:rsidRDefault="005939A5" w14:paraId="4A6D0081" w14:textId="77777777">
      <w:pPr>
        <w:pStyle w:val="Mainex"/>
      </w:pPr>
      <w:bookmarkStart w:name="_Toc133843858" w:id="18"/>
      <w:r>
        <w:t>O</w:t>
      </w:r>
      <w:r w:rsidR="00722850">
        <w:t>RDER</w:t>
      </w:r>
      <w:bookmarkEnd w:id="18"/>
    </w:p>
    <w:p w:rsidR="00BB0243" w:rsidP="00963339" w:rsidRDefault="00BB0243" w14:paraId="52B92855" w14:textId="77777777">
      <w:pPr>
        <w:pStyle w:val="Standard"/>
        <w:keepNext/>
      </w:pPr>
      <w:r w:rsidRPr="00BB0243">
        <w:rPr>
          <w:b/>
        </w:rPr>
        <w:t>IT IS ORDERED</w:t>
      </w:r>
      <w:r>
        <w:t xml:space="preserve"> that:</w:t>
      </w:r>
    </w:p>
    <w:p w:rsidR="00932865" w:rsidP="001E2A62" w:rsidRDefault="00164392" w14:paraId="244D2C0F" w14:textId="407EC5FD">
      <w:pPr>
        <w:pStyle w:val="OP"/>
      </w:pPr>
      <w:r>
        <w:t xml:space="preserve">Southern California Edison Company </w:t>
      </w:r>
      <w:r w:rsidR="00D43270">
        <w:t xml:space="preserve">is authorized to enter into and perform under a Purchase and Sale Agreement with </w:t>
      </w:r>
      <w:r w:rsidR="00D3796F">
        <w:t>1515 Walnut</w:t>
      </w:r>
      <w:r w:rsidR="00D43270">
        <w:t xml:space="preserve"> Grove</w:t>
      </w:r>
      <w:r w:rsidR="0008058D">
        <w:t>, LP</w:t>
      </w:r>
      <w:r w:rsidR="00D43270">
        <w:t xml:space="preserve"> to sell its lease interest in </w:t>
      </w:r>
      <w:r w:rsidR="00E10B5F">
        <w:t>9.23</w:t>
      </w:r>
      <w:r w:rsidR="00D43270">
        <w:t xml:space="preserve"> acres of land </w:t>
      </w:r>
      <w:r w:rsidR="008465B7">
        <w:t xml:space="preserve">located </w:t>
      </w:r>
      <w:r w:rsidR="0008058D">
        <w:t>in Rosemead</w:t>
      </w:r>
      <w:r w:rsidR="008465B7">
        <w:t xml:space="preserve">, as provided in </w:t>
      </w:r>
      <w:r w:rsidR="00553972">
        <w:t>Appendix </w:t>
      </w:r>
      <w:r w:rsidR="00D3796F">
        <w:t>A</w:t>
      </w:r>
      <w:r w:rsidR="008465B7">
        <w:t xml:space="preserve"> of the application</w:t>
      </w:r>
      <w:r w:rsidRPr="001E2A62" w:rsidR="000A6E05">
        <w:t>.</w:t>
      </w:r>
    </w:p>
    <w:p w:rsidR="008465B7" w:rsidP="001E2A62" w:rsidRDefault="008465B7" w14:paraId="65B105F2" w14:textId="5A72715A">
      <w:pPr>
        <w:pStyle w:val="OP"/>
      </w:pPr>
      <w:r>
        <w:lastRenderedPageBreak/>
        <w:t xml:space="preserve">Southern California Edison Company shall follow the ratemaking </w:t>
      </w:r>
      <w:r w:rsidR="005249DC">
        <w:t xml:space="preserve">treatment for the sale of the Property as described in </w:t>
      </w:r>
      <w:r w:rsidR="00B738F6">
        <w:t>Section </w:t>
      </w:r>
      <w:r w:rsidR="00A22B84">
        <w:t xml:space="preserve">5 of the application and </w:t>
      </w:r>
      <w:r w:rsidR="00B738F6">
        <w:t>Section </w:t>
      </w:r>
      <w:r w:rsidR="00A22B84">
        <w:t>6</w:t>
      </w:r>
      <w:r w:rsidR="005249DC">
        <w:t xml:space="preserve"> of this decision.</w:t>
      </w:r>
    </w:p>
    <w:p w:rsidRPr="001E2A62" w:rsidR="005249DC" w:rsidP="001E2A62" w:rsidRDefault="00C40A5E" w14:paraId="18DBCCC6" w14:textId="1F2910AF">
      <w:pPr>
        <w:pStyle w:val="OP"/>
      </w:pPr>
      <w:r>
        <w:t xml:space="preserve">Within </w:t>
      </w:r>
      <w:r w:rsidR="00782FA0">
        <w:t>6</w:t>
      </w:r>
      <w:r>
        <w:t xml:space="preserve">0 days after the closing date of the Purchase and Sale Agreement, Southern California Edison Company shall submit the closing financial information to the California Public Utilities Commission’s Energy Division as a </w:t>
      </w:r>
      <w:r w:rsidR="00305BB2">
        <w:t>Tier 1</w:t>
      </w:r>
      <w:r>
        <w:t xml:space="preserve"> advice letter. The financial information shall consist of the final calculation </w:t>
      </w:r>
      <w:r w:rsidR="00D25538">
        <w:t>of the gain or loss on sale and tax information related to the transaction.</w:t>
      </w:r>
    </w:p>
    <w:p w:rsidR="00F6397D" w:rsidP="00963339" w:rsidRDefault="00E23CBB" w14:paraId="3F9FF37F" w14:textId="6C3619F0">
      <w:pPr>
        <w:pStyle w:val="OP"/>
        <w:keepNext/>
      </w:pPr>
      <w:r w:rsidRPr="001E2A62">
        <w:t>Application</w:t>
      </w:r>
      <w:r w:rsidR="001A6CF4">
        <w:t xml:space="preserve"> 24</w:t>
      </w:r>
      <w:r w:rsidR="00AD4E31">
        <w:noBreakHyphen/>
      </w:r>
      <w:r w:rsidR="001A6CF4">
        <w:t>08</w:t>
      </w:r>
      <w:r w:rsidR="00AD4E31">
        <w:noBreakHyphen/>
      </w:r>
      <w:r w:rsidR="001A6CF4">
        <w:t>003</w:t>
      </w:r>
      <w:r w:rsidRPr="001E2A62">
        <w:t xml:space="preserve"> is closed.</w:t>
      </w:r>
    </w:p>
    <w:p w:rsidR="008F0116" w:rsidP="00963339" w:rsidRDefault="008F0116" w14:paraId="764D23E1" w14:textId="77777777">
      <w:pPr>
        <w:pStyle w:val="Standard"/>
        <w:keepNext/>
      </w:pPr>
      <w:r>
        <w:t>This order is effective today.</w:t>
      </w:r>
    </w:p>
    <w:p w:rsidR="00714CF2" w:rsidP="00963339" w:rsidRDefault="008F0116" w14:paraId="0866594A" w14:textId="1D658A2F">
      <w:pPr>
        <w:pStyle w:val="Standard"/>
        <w:keepNext/>
      </w:pPr>
      <w:r>
        <w:t>Dated</w:t>
      </w:r>
      <w:r w:rsidR="00963339">
        <w:t xml:space="preserve"> ____________________</w:t>
      </w:r>
      <w:r>
        <w:t>, at San Francisco, California</w:t>
      </w:r>
      <w:r w:rsidR="00963339">
        <w:t>.</w:t>
      </w:r>
    </w:p>
    <w:p w:rsidR="00963339" w:rsidP="00963339" w:rsidRDefault="00963339" w14:paraId="60EF54F6" w14:textId="77777777">
      <w:pPr>
        <w:pStyle w:val="Standard"/>
        <w:keepNext/>
      </w:pPr>
    </w:p>
    <w:p w:rsidR="00963339" w:rsidP="00963339" w:rsidRDefault="00963339" w14:paraId="5A4BC31C" w14:textId="77777777">
      <w:pPr>
        <w:pStyle w:val="Standard"/>
        <w:keepNext/>
      </w:pPr>
    </w:p>
    <w:p w:rsidRPr="00714CF2" w:rsidR="00963339" w:rsidP="00963339" w:rsidRDefault="00963339" w14:paraId="4A0F3509" w14:textId="77777777">
      <w:pPr>
        <w:pStyle w:val="Standard"/>
        <w:keepNext/>
      </w:pPr>
    </w:p>
    <w:sectPr w:rsidRPr="00714CF2" w:rsidR="00963339" w:rsidSect="0097650D">
      <w:headerReference w:type="default" r:id="rId11"/>
      <w:footerReference w:type="default" r:id="rId12"/>
      <w:headerReference w:type="first" r:id="rId13"/>
      <w:footerReference w:type="first" r:id="rId14"/>
      <w:pgSz w:w="12240" w:h="15840"/>
      <w:pgMar w:top="1728" w:right="1440" w:bottom="1440" w:left="1440" w:header="720" w:footer="720" w:gutter="0"/>
      <w:pgNumType w:start="1"/>
      <w:cols w:space="720"/>
      <w:titlePg/>
      <w:docGrid w:linePitch="360"/>
    </w:sectPr>
    <w:p>
      <w:r>
        <w:t xml:space="preserve"/>
      </w:r>
    </w:p>
    <w:p>
      <w:r>
        <w:t xml:space="preserve">Attachment 1: </w:t>
      </w:r>
    </w:p>
    <w:p>
      <w:hyperlink w:history="true" r:id="R8755cf02862a476c">
        <w:r w:rsidRPr="00CB1292">
          <w:rPr>
            <w:rStyle w:val="Hyperlink"/>
            <w:color w:val="2E74B5" w:themeColor="accent1" w:themeShade="BF"/>
            <w:u w:val="single"/>
          </w:rPr>
          <w:t>A2408003 Kao PD (Redline Version).pdf</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464EC" w14:textId="77777777" w:rsidR="000D29E3" w:rsidRDefault="000D29E3" w:rsidP="0098138E">
      <w:pPr>
        <w:spacing w:line="240" w:lineRule="auto"/>
      </w:pPr>
      <w:r>
        <w:separator/>
      </w:r>
    </w:p>
  </w:endnote>
  <w:endnote w:type="continuationSeparator" w:id="0">
    <w:p w14:paraId="143F0121" w14:textId="77777777" w:rsidR="000D29E3" w:rsidRDefault="000D29E3"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4191" w14:textId="108C8A5A" w:rsidR="00E23CBB" w:rsidRDefault="0028615D" w:rsidP="00ED2FD3">
    <w:pPr>
      <w:spacing w:line="240" w:lineRule="auto"/>
      <w:ind w:firstLine="0"/>
      <w:jc w:val="center"/>
    </w:pPr>
    <w:r>
      <w:noBreakHyphen/>
    </w:r>
    <w:sdt>
      <w:sdtPr>
        <w:id w:val="-1034043401"/>
        <w:docPartObj>
          <w:docPartGallery w:val="Page Numbers (Bottom of Page)"/>
          <w:docPartUnique/>
        </w:docPartObj>
      </w:sdtPr>
      <w:sdtEndPr>
        <w:rPr>
          <w:noProof/>
        </w:rPr>
      </w:sdtEndPr>
      <w:sdtContent>
        <w:r w:rsidR="00EE4315">
          <w:t xml:space="preserve"> </w:t>
        </w:r>
        <w:r w:rsidR="00E23CBB">
          <w:fldChar w:fldCharType="begin"/>
        </w:r>
        <w:r w:rsidR="00E23CBB">
          <w:instrText xml:space="preserve"> PAGE   \* MERGEFORMAT </w:instrText>
        </w:r>
        <w:r w:rsidR="00E23CBB">
          <w:fldChar w:fldCharType="separate"/>
        </w:r>
        <w:r w:rsidR="00F722D8">
          <w:rPr>
            <w:noProof/>
          </w:rPr>
          <w:t>16</w:t>
        </w:r>
        <w:r w:rsidR="00E23CBB">
          <w:rPr>
            <w:noProof/>
          </w:rPr>
          <w:fldChar w:fldCharType="end"/>
        </w:r>
        <w:r w:rsidR="00EE4315">
          <w:rPr>
            <w:noProof/>
          </w:rPr>
          <w:t xml:space="preserve"> </w:t>
        </w:r>
        <w:r>
          <w:rPr>
            <w:noProof/>
          </w:rPr>
          <w:noBreakHyphen/>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09BB" w14:textId="63587EE8" w:rsidR="00ED2FD3" w:rsidRPr="00ED2FD3" w:rsidRDefault="00886E52" w:rsidP="00ED2FD3">
    <w:pPr>
      <w:pStyle w:val="Footer"/>
      <w:ind w:firstLine="0"/>
      <w:rPr>
        <w:sz w:val="16"/>
      </w:rPr>
    </w:pPr>
    <w:r w:rsidRPr="00886E52">
      <w:rPr>
        <w:sz w:val="16"/>
      </w:rPr>
      <w:t>572940451</w:t>
    </w:r>
    <w:r w:rsidR="00ED2FD3" w:rsidRPr="00ED2FD3">
      <w:rPr>
        <w:sz w:val="16"/>
      </w:rPr>
      <w:tab/>
    </w:r>
    <w:r w:rsidR="0028615D">
      <w:noBreakHyphen/>
    </w:r>
    <w:r w:rsidR="00ED2FD3">
      <w:t xml:space="preserve"> </w:t>
    </w:r>
    <w:r w:rsidR="00ED2FD3">
      <w:fldChar w:fldCharType="begin"/>
    </w:r>
    <w:r w:rsidR="00ED2FD3">
      <w:instrText xml:space="preserve"> PAGE   \* MERGEFORMAT </w:instrText>
    </w:r>
    <w:r w:rsidR="00ED2FD3">
      <w:fldChar w:fldCharType="separate"/>
    </w:r>
    <w:r w:rsidR="00282641">
      <w:rPr>
        <w:noProof/>
      </w:rPr>
      <w:t>1</w:t>
    </w:r>
    <w:r w:rsidR="00ED2FD3">
      <w:rPr>
        <w:noProof/>
      </w:rPr>
      <w:fldChar w:fldCharType="end"/>
    </w:r>
    <w:r w:rsidR="00ED2FD3">
      <w:t xml:space="preserve"> </w:t>
    </w:r>
    <w:r w:rsidR="0028615D">
      <w:noBreak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A6534" w14:textId="77777777" w:rsidR="000D29E3" w:rsidRDefault="000D29E3" w:rsidP="00DF58E7">
      <w:pPr>
        <w:spacing w:line="240" w:lineRule="auto"/>
        <w:ind w:firstLine="0"/>
      </w:pPr>
      <w:r>
        <w:separator/>
      </w:r>
    </w:p>
  </w:footnote>
  <w:footnote w:type="continuationSeparator" w:id="0">
    <w:p w14:paraId="2980FAE1" w14:textId="77777777" w:rsidR="000D29E3" w:rsidRDefault="000D29E3" w:rsidP="00DF58E7">
      <w:pPr>
        <w:spacing w:line="240" w:lineRule="auto"/>
        <w:ind w:firstLine="0"/>
      </w:pPr>
      <w:r>
        <w:continuationSeparator/>
      </w:r>
    </w:p>
  </w:footnote>
  <w:footnote w:type="continuationNotice" w:id="1">
    <w:p w14:paraId="3647FA85" w14:textId="77777777" w:rsidR="000D29E3" w:rsidRPr="00DF58E7" w:rsidRDefault="000D29E3" w:rsidP="00DF58E7">
      <w:pPr>
        <w:spacing w:line="240" w:lineRule="auto"/>
        <w:ind w:firstLine="0"/>
        <w:jc w:val="right"/>
        <w:rPr>
          <w:i/>
          <w:sz w:val="22"/>
        </w:rPr>
      </w:pPr>
      <w:r w:rsidRPr="00DF58E7">
        <w:rPr>
          <w:i/>
          <w:sz w:val="22"/>
        </w:rPr>
        <w:t>Footnote continued on next page.</w:t>
      </w:r>
    </w:p>
  </w:footnote>
  <w:footnote w:id="2">
    <w:p w14:paraId="14B8D940" w14:textId="46A1CFF8" w:rsidR="006179AD" w:rsidRDefault="006179AD">
      <w:pPr>
        <w:pStyle w:val="FootnoteText"/>
      </w:pPr>
      <w:r>
        <w:rPr>
          <w:rStyle w:val="FootnoteReference"/>
        </w:rPr>
        <w:footnoteRef/>
      </w:r>
      <w:r>
        <w:t xml:space="preserve"> </w:t>
      </w:r>
      <w:r w:rsidR="006A6FE0" w:rsidRPr="006A6FE0">
        <w:t>Unless otherwise specified, all subsequent “Sections” refer to the California Public Utilities Code.</w:t>
      </w:r>
    </w:p>
  </w:footnote>
  <w:footnote w:id="3">
    <w:p w14:paraId="1E4DA12B" w14:textId="63C7C249" w:rsidR="003959A9" w:rsidRDefault="003959A9">
      <w:pPr>
        <w:pStyle w:val="FootnoteText"/>
      </w:pPr>
      <w:r>
        <w:rPr>
          <w:rStyle w:val="FootnoteReference"/>
        </w:rPr>
        <w:footnoteRef/>
      </w:r>
      <w:r>
        <w:t xml:space="preserve"> </w:t>
      </w:r>
      <w:r w:rsidR="009D6C7F" w:rsidRPr="00B370B0">
        <w:rPr>
          <w:i/>
          <w:iCs/>
        </w:rPr>
        <w:t>Southern California Edison Company’s (U</w:t>
      </w:r>
      <w:r w:rsidR="0028615D">
        <w:rPr>
          <w:i/>
          <w:iCs/>
        </w:rPr>
        <w:noBreakHyphen/>
      </w:r>
      <w:r w:rsidR="009D6C7F" w:rsidRPr="00B370B0">
        <w:rPr>
          <w:i/>
          <w:iCs/>
        </w:rPr>
        <w:t>338</w:t>
      </w:r>
      <w:r w:rsidR="00950EAA" w:rsidRPr="00B370B0">
        <w:rPr>
          <w:i/>
          <w:iCs/>
        </w:rPr>
        <w:t>E) Response to Assigned Commissioner’s Scoping Memo and Ruling</w:t>
      </w:r>
      <w:r w:rsidR="00950EAA">
        <w:t xml:space="preserve">, filed </w:t>
      </w:r>
      <w:r w:rsidR="00621849">
        <w:t>November </w:t>
      </w:r>
      <w:r w:rsidR="00363E8C">
        <w:t>1</w:t>
      </w:r>
      <w:r w:rsidR="00390913">
        <w:t>2</w:t>
      </w:r>
      <w:r w:rsidR="00363E8C">
        <w:t xml:space="preserve">, 2024 </w:t>
      </w:r>
      <w:r w:rsidR="00950EAA">
        <w:t xml:space="preserve">(SCE </w:t>
      </w:r>
      <w:r w:rsidR="00621849">
        <w:t>November </w:t>
      </w:r>
      <w:r w:rsidR="00950EAA">
        <w:t>12</w:t>
      </w:r>
      <w:r w:rsidR="00326E41">
        <w:t xml:space="preserve">, 2024 </w:t>
      </w:r>
      <w:r w:rsidR="00783A2A">
        <w:t>s</w:t>
      </w:r>
      <w:r w:rsidR="00363E8C">
        <w:t>upplemental info</w:t>
      </w:r>
      <w:r w:rsidR="00326E41">
        <w:t>rmation)</w:t>
      </w:r>
      <w:r w:rsidR="00363E8C">
        <w:t xml:space="preserve"> </w:t>
      </w:r>
      <w:r w:rsidR="00553972">
        <w:t>Appendix </w:t>
      </w:r>
      <w:r w:rsidR="00D3796F">
        <w:t>A</w:t>
      </w:r>
      <w:r w:rsidR="00B3771E">
        <w:t>; and</w:t>
      </w:r>
      <w:r w:rsidR="00B2795C">
        <w:t xml:space="preserve"> </w:t>
      </w:r>
      <w:r w:rsidR="00B348C5" w:rsidRPr="00B370B0">
        <w:rPr>
          <w:i/>
          <w:iCs/>
        </w:rPr>
        <w:t>Southern California Edison Company’s (U</w:t>
      </w:r>
      <w:r w:rsidR="0028615D">
        <w:rPr>
          <w:i/>
          <w:iCs/>
        </w:rPr>
        <w:noBreakHyphen/>
      </w:r>
      <w:r w:rsidR="00B348C5" w:rsidRPr="00B370B0">
        <w:rPr>
          <w:i/>
          <w:iCs/>
        </w:rPr>
        <w:t>338E) Response to Administrative Law Judge’s Ruling Seeking Supplemental Information</w:t>
      </w:r>
      <w:r w:rsidR="00B348C5">
        <w:t xml:space="preserve">, filed </w:t>
      </w:r>
      <w:r w:rsidR="00621849">
        <w:t>April </w:t>
      </w:r>
      <w:r w:rsidR="00B370B0">
        <w:t>14</w:t>
      </w:r>
      <w:r w:rsidR="00B2795C">
        <w:t xml:space="preserve">, 2025 </w:t>
      </w:r>
      <w:r w:rsidR="00F451EA">
        <w:t xml:space="preserve">(SCE </w:t>
      </w:r>
      <w:r w:rsidR="00621849">
        <w:t>April </w:t>
      </w:r>
      <w:r w:rsidR="00F451EA">
        <w:t>14, 2025</w:t>
      </w:r>
      <w:r w:rsidR="00783A2A">
        <w:t xml:space="preserve"> supplemental information)</w:t>
      </w:r>
      <w:r w:rsidR="0024432A">
        <w:t xml:space="preserve"> at </w:t>
      </w:r>
      <w:r w:rsidR="001A6243">
        <w:t>11.</w:t>
      </w:r>
    </w:p>
  </w:footnote>
  <w:footnote w:id="4">
    <w:p w14:paraId="0AFF52E1" w14:textId="0E52E67D" w:rsidR="00B22177" w:rsidRDefault="00B22177">
      <w:pPr>
        <w:pStyle w:val="FootnoteText"/>
      </w:pPr>
      <w:r>
        <w:rPr>
          <w:rStyle w:val="FootnoteReference"/>
        </w:rPr>
        <w:footnoteRef/>
      </w:r>
      <w:r>
        <w:t xml:space="preserve"> </w:t>
      </w:r>
      <w:r w:rsidR="00F82DAD" w:rsidRPr="00F451EA">
        <w:rPr>
          <w:i/>
          <w:iCs/>
        </w:rPr>
        <w:t xml:space="preserve">Application of Southern California Edison Company </w:t>
      </w:r>
      <w:r w:rsidR="00F451EA" w:rsidRPr="00F451EA">
        <w:rPr>
          <w:i/>
          <w:iCs/>
        </w:rPr>
        <w:t>(U</w:t>
      </w:r>
      <w:r w:rsidR="0028615D">
        <w:rPr>
          <w:i/>
          <w:iCs/>
        </w:rPr>
        <w:noBreakHyphen/>
      </w:r>
      <w:r w:rsidR="00F451EA" w:rsidRPr="00F451EA">
        <w:rPr>
          <w:i/>
          <w:iCs/>
        </w:rPr>
        <w:t xml:space="preserve">338E) for Approval Under Public Utilities Code </w:t>
      </w:r>
      <w:r w:rsidR="00B738F6">
        <w:rPr>
          <w:i/>
          <w:iCs/>
        </w:rPr>
        <w:t>Section </w:t>
      </w:r>
      <w:r w:rsidR="00F451EA" w:rsidRPr="00F451EA">
        <w:rPr>
          <w:i/>
          <w:iCs/>
        </w:rPr>
        <w:t>851 for the Sale of Its General Office Building #5 Property</w:t>
      </w:r>
      <w:r w:rsidR="00F451EA">
        <w:t xml:space="preserve">, filed </w:t>
      </w:r>
      <w:r w:rsidR="00621849">
        <w:t>August </w:t>
      </w:r>
      <w:r w:rsidR="00F451EA">
        <w:t>2, 2024 (</w:t>
      </w:r>
      <w:r>
        <w:t>Application</w:t>
      </w:r>
      <w:r w:rsidR="00F451EA">
        <w:t>)</w:t>
      </w:r>
      <w:r w:rsidR="0024432A">
        <w:t xml:space="preserve"> at </w:t>
      </w:r>
      <w:r>
        <w:t>2.</w:t>
      </w:r>
    </w:p>
  </w:footnote>
  <w:footnote w:id="5">
    <w:p w14:paraId="130B457E" w14:textId="144E5D05" w:rsidR="004B5900" w:rsidRDefault="004B5900">
      <w:pPr>
        <w:pStyle w:val="FootnoteText"/>
      </w:pPr>
      <w:r>
        <w:rPr>
          <w:rStyle w:val="FootnoteReference"/>
        </w:rPr>
        <w:footnoteRef/>
      </w:r>
      <w:r>
        <w:t xml:space="preserve"> Application</w:t>
      </w:r>
      <w:r w:rsidR="0024432A">
        <w:t xml:space="preserve"> at </w:t>
      </w:r>
      <w:r w:rsidR="00362976">
        <w:t xml:space="preserve">3 </w:t>
      </w:r>
      <w:r>
        <w:t xml:space="preserve">and </w:t>
      </w:r>
      <w:r w:rsidR="00783A2A">
        <w:t xml:space="preserve">SCE </w:t>
      </w:r>
      <w:r w:rsidR="00621849">
        <w:t>April </w:t>
      </w:r>
      <w:r>
        <w:t>14, 2025 supplemental information</w:t>
      </w:r>
      <w:r w:rsidR="0024432A">
        <w:t xml:space="preserve"> at </w:t>
      </w:r>
      <w:r w:rsidR="00362976">
        <w:t>2.</w:t>
      </w:r>
    </w:p>
  </w:footnote>
  <w:footnote w:id="6">
    <w:p w14:paraId="654FAEE9" w14:textId="1D53D9E3" w:rsidR="00255CFB" w:rsidRDefault="00255CFB">
      <w:pPr>
        <w:pStyle w:val="FootnoteText"/>
      </w:pPr>
      <w:r>
        <w:rPr>
          <w:rStyle w:val="FootnoteReference"/>
        </w:rPr>
        <w:footnoteRef/>
      </w:r>
      <w:r>
        <w:t xml:space="preserve"> Application</w:t>
      </w:r>
      <w:r w:rsidR="0024432A">
        <w:t xml:space="preserve"> at </w:t>
      </w:r>
      <w:r>
        <w:t>3.</w:t>
      </w:r>
    </w:p>
  </w:footnote>
  <w:footnote w:id="7">
    <w:p w14:paraId="3B8F658A" w14:textId="401B82B0" w:rsidR="00255CFB" w:rsidRDefault="00255CFB">
      <w:pPr>
        <w:pStyle w:val="FootnoteText"/>
      </w:pPr>
      <w:r>
        <w:rPr>
          <w:rStyle w:val="FootnoteReference"/>
        </w:rPr>
        <w:footnoteRef/>
      </w:r>
      <w:r>
        <w:t xml:space="preserve"> </w:t>
      </w:r>
      <w:r w:rsidR="00BB069F">
        <w:t xml:space="preserve">SCE </w:t>
      </w:r>
      <w:r w:rsidR="00621849">
        <w:t>April </w:t>
      </w:r>
      <w:r w:rsidR="00700C37">
        <w:t xml:space="preserve">14, 2025 </w:t>
      </w:r>
      <w:r w:rsidR="00BB069F">
        <w:t>s</w:t>
      </w:r>
      <w:r>
        <w:t xml:space="preserve">upplemental </w:t>
      </w:r>
      <w:r w:rsidR="00700C37">
        <w:t>information</w:t>
      </w:r>
      <w:r w:rsidR="0024432A">
        <w:t xml:space="preserve"> at </w:t>
      </w:r>
      <w:r w:rsidR="00572BA4">
        <w:t>8</w:t>
      </w:r>
      <w:r w:rsidR="0028615D">
        <w:noBreakHyphen/>
      </w:r>
      <w:r w:rsidR="00572BA4">
        <w:t>11.</w:t>
      </w:r>
    </w:p>
  </w:footnote>
  <w:footnote w:id="8">
    <w:p w14:paraId="29B86C68" w14:textId="073D343F" w:rsidR="001B1196" w:rsidRDefault="001B1196">
      <w:pPr>
        <w:pStyle w:val="FootnoteText"/>
      </w:pPr>
      <w:r>
        <w:rPr>
          <w:rStyle w:val="FootnoteReference"/>
        </w:rPr>
        <w:footnoteRef/>
      </w:r>
      <w:r>
        <w:t xml:space="preserve"> </w:t>
      </w:r>
      <w:r w:rsidR="008763C1" w:rsidRPr="008763C1">
        <w:rPr>
          <w:i/>
          <w:iCs/>
        </w:rPr>
        <w:t>Southern California Edison Company’s (U</w:t>
      </w:r>
      <w:r w:rsidR="0028615D">
        <w:rPr>
          <w:i/>
          <w:iCs/>
        </w:rPr>
        <w:noBreakHyphen/>
      </w:r>
      <w:r w:rsidR="008763C1" w:rsidRPr="008763C1">
        <w:rPr>
          <w:i/>
          <w:iCs/>
        </w:rPr>
        <w:t>338E) Response to Administrative Law Judge’s Ruling Seeking Supplemental Information</w:t>
      </w:r>
      <w:r w:rsidR="008763C1">
        <w:t xml:space="preserve">, filed </w:t>
      </w:r>
      <w:r w:rsidR="00621849">
        <w:t>May </w:t>
      </w:r>
      <w:r w:rsidR="00472416">
        <w:t>5, 2025</w:t>
      </w:r>
      <w:r w:rsidR="0024432A">
        <w:t>, at </w:t>
      </w:r>
      <w:r w:rsidR="00EF06F1">
        <w:t xml:space="preserve">4 and </w:t>
      </w:r>
      <w:r w:rsidR="0028615D">
        <w:t>Attachments </w:t>
      </w:r>
      <w:r w:rsidR="00EF06F1">
        <w:t>A</w:t>
      </w:r>
      <w:r w:rsidR="0028615D">
        <w:noBreakHyphen/>
      </w:r>
      <w:r w:rsidR="00EF06F1">
        <w:t>C.</w:t>
      </w:r>
    </w:p>
  </w:footnote>
  <w:footnote w:id="9">
    <w:p w14:paraId="2328049E" w14:textId="6CDDF1B0" w:rsidR="003C4389" w:rsidRDefault="003C4389">
      <w:pPr>
        <w:pStyle w:val="FootnoteText"/>
      </w:pPr>
      <w:r>
        <w:rPr>
          <w:rStyle w:val="FootnoteReference"/>
        </w:rPr>
        <w:footnoteRef/>
      </w:r>
      <w:r>
        <w:t xml:space="preserve"> </w:t>
      </w:r>
      <w:r w:rsidR="005D3117">
        <w:t xml:space="preserve">Environmental and Social Justice Action Plan </w:t>
      </w:r>
      <w:r w:rsidR="000F489C">
        <w:t>(Version</w:t>
      </w:r>
      <w:r w:rsidR="0028615D">
        <w:t> </w:t>
      </w:r>
      <w:r w:rsidR="00CA501E">
        <w:t>2</w:t>
      </w:r>
      <w:r w:rsidR="000F489C">
        <w:t>.0)</w:t>
      </w:r>
      <w:r w:rsidR="002F4521">
        <w:t xml:space="preserve"> published </w:t>
      </w:r>
      <w:r w:rsidR="00621849">
        <w:t>April </w:t>
      </w:r>
      <w:r w:rsidR="002F4521">
        <w:t>7, 2022</w:t>
      </w:r>
      <w:r w:rsidR="0028615D">
        <w:t>,</w:t>
      </w:r>
      <w:r w:rsidR="0024432A">
        <w:t xml:space="preserve"> at </w:t>
      </w:r>
      <w:r w:rsidR="00CA501E">
        <w:t>11</w:t>
      </w:r>
      <w:r w:rsidR="0028615D">
        <w:noBreakHyphen/>
      </w:r>
      <w:r w:rsidR="005D3117">
        <w:t>1</w:t>
      </w:r>
      <w:r w:rsidR="00CA501E">
        <w:t>2</w:t>
      </w:r>
      <w:r w:rsidR="005D3117">
        <w:t>.</w:t>
      </w:r>
    </w:p>
  </w:footnote>
  <w:footnote w:id="10">
    <w:p w14:paraId="24241CCA" w14:textId="72626BC2" w:rsidR="00C47EA7" w:rsidRDefault="00C47EA7">
      <w:pPr>
        <w:pStyle w:val="FootnoteText"/>
      </w:pPr>
      <w:r>
        <w:rPr>
          <w:rStyle w:val="FootnoteReference"/>
        </w:rPr>
        <w:footnoteRef/>
      </w:r>
      <w:r>
        <w:t xml:space="preserve"> </w:t>
      </w:r>
      <w:r w:rsidR="002F4521">
        <w:t xml:space="preserve">SCE </w:t>
      </w:r>
      <w:r w:rsidR="00621849">
        <w:t>April </w:t>
      </w:r>
      <w:r>
        <w:t>14, 2025 supplemental information</w:t>
      </w:r>
      <w:r w:rsidR="0024432A">
        <w:t xml:space="preserve"> at </w:t>
      </w:r>
      <w:r w:rsidR="00BD7C09">
        <w:t>2</w:t>
      </w:r>
      <w:r w:rsidR="0028615D">
        <w:noBreakHyphen/>
      </w:r>
      <w:r w:rsidR="00ED5C28">
        <w:t>7.</w:t>
      </w:r>
    </w:p>
  </w:footnote>
  <w:footnote w:id="11">
    <w:p w14:paraId="0771CD70" w14:textId="0E13709E" w:rsidR="00E55A9E" w:rsidRPr="002929CB" w:rsidRDefault="00E55A9E">
      <w:pPr>
        <w:pStyle w:val="FootnoteText"/>
      </w:pPr>
      <w:r>
        <w:rPr>
          <w:rStyle w:val="FootnoteReference"/>
        </w:rPr>
        <w:footnoteRef/>
      </w:r>
      <w:r>
        <w:t xml:space="preserve"> </w:t>
      </w:r>
      <w:r w:rsidR="00FD55A4" w:rsidRPr="00FD55A4">
        <w:rPr>
          <w:i/>
          <w:iCs/>
        </w:rPr>
        <w:t>Investor</w:t>
      </w:r>
      <w:r w:rsidR="0028615D">
        <w:rPr>
          <w:i/>
          <w:iCs/>
        </w:rPr>
        <w:noBreakHyphen/>
      </w:r>
      <w:r w:rsidR="00FD55A4" w:rsidRPr="00FD55A4">
        <w:rPr>
          <w:i/>
          <w:iCs/>
        </w:rPr>
        <w:t>Owned Utility Real Property</w:t>
      </w:r>
      <w:r w:rsidR="008F3338">
        <w:rPr>
          <w:i/>
          <w:iCs/>
        </w:rPr>
        <w:t xml:space="preserve"> — </w:t>
      </w:r>
      <w:r w:rsidR="00FD55A4" w:rsidRPr="00FD55A4">
        <w:rPr>
          <w:i/>
          <w:iCs/>
        </w:rPr>
        <w:t>Land Disposition</w:t>
      </w:r>
      <w:r w:rsidR="008F3338">
        <w:rPr>
          <w:i/>
          <w:iCs/>
        </w:rPr>
        <w:t xml:space="preserve"> — </w:t>
      </w:r>
      <w:r w:rsidR="00FD55A4" w:rsidRPr="00FD55A4">
        <w:rPr>
          <w:i/>
          <w:iCs/>
        </w:rPr>
        <w:t>First Right of Refusal for Disposition of Real Property Within the Ancestral Territories of California Native American Tribes</w:t>
      </w:r>
      <w:r w:rsidR="00FD55A4" w:rsidRPr="00FD55A4">
        <w:t>, adopted pursuant to the California</w:t>
      </w:r>
      <w:r w:rsidR="007D7CA4">
        <w:t xml:space="preserve"> Public Utilities Commission</w:t>
      </w:r>
      <w:r w:rsidR="00FD55A4" w:rsidRPr="00FD55A4">
        <w:t xml:space="preserve">’s Tribal Consultation Policy in Executive </w:t>
      </w:r>
      <w:r w:rsidR="00E5052F">
        <w:t>Order </w:t>
      </w:r>
      <w:r w:rsidR="00FD55A4" w:rsidRPr="00FD55A4">
        <w:t>B</w:t>
      </w:r>
      <w:r w:rsidR="0028615D">
        <w:noBreakHyphen/>
      </w:r>
      <w:r w:rsidR="00FD55A4" w:rsidRPr="00FD55A4">
        <w:t>10</w:t>
      </w:r>
      <w:r w:rsidR="0028615D">
        <w:noBreakHyphen/>
      </w:r>
      <w:r w:rsidR="00FD55A4" w:rsidRPr="00FD55A4">
        <w:t>11 (</w:t>
      </w:r>
      <w:r w:rsidR="00621849">
        <w:t>September </w:t>
      </w:r>
      <w:r w:rsidR="00FD55A4" w:rsidRPr="00FD55A4">
        <w:t xml:space="preserve">19, 2011) and Executive </w:t>
      </w:r>
      <w:r w:rsidR="00E5052F">
        <w:t>Order </w:t>
      </w:r>
      <w:r w:rsidR="00FD55A4" w:rsidRPr="00FD55A4">
        <w:t>N</w:t>
      </w:r>
      <w:r w:rsidR="0028615D">
        <w:noBreakHyphen/>
      </w:r>
      <w:r w:rsidR="00FD55A4" w:rsidRPr="00FD55A4">
        <w:t>15</w:t>
      </w:r>
      <w:r w:rsidR="0028615D">
        <w:noBreakHyphen/>
      </w:r>
      <w:r w:rsidR="00FD55A4" w:rsidRPr="00FD55A4">
        <w:t>19 (</w:t>
      </w:r>
      <w:r w:rsidR="00621849">
        <w:t>June </w:t>
      </w:r>
      <w:r w:rsidR="00FD55A4" w:rsidRPr="00FD55A4">
        <w:t>18, 2019)</w:t>
      </w:r>
      <w:r w:rsidR="007D7CA4">
        <w:t>; and</w:t>
      </w:r>
      <w:r w:rsidR="007C4616">
        <w:t xml:space="preserve"> Executive </w:t>
      </w:r>
      <w:r w:rsidR="00E5052F">
        <w:t>Order </w:t>
      </w:r>
      <w:r w:rsidR="007C4616">
        <w:t>N</w:t>
      </w:r>
      <w:r w:rsidR="0028615D">
        <w:noBreakHyphen/>
      </w:r>
      <w:r w:rsidR="007C4616">
        <w:t>15</w:t>
      </w:r>
      <w:r w:rsidR="0028615D">
        <w:noBreakHyphen/>
      </w:r>
      <w:r w:rsidR="007C4616">
        <w:t>19</w:t>
      </w:r>
      <w:r w:rsidR="00B421E6">
        <w:t xml:space="preserve"> </w:t>
      </w:r>
      <w:r w:rsidR="00EA7D53">
        <w:t xml:space="preserve">apologizing on behalf of California to California Native American Peoples </w:t>
      </w:r>
      <w:r w:rsidR="009B707A">
        <w:t xml:space="preserve">for mistreatment, violence and neglect; </w:t>
      </w:r>
      <w:r w:rsidR="00EA7D53">
        <w:t>and establishing the Truth and Healing Council</w:t>
      </w:r>
      <w:r w:rsidR="009B707A">
        <w:t xml:space="preserve"> </w:t>
      </w:r>
      <w:r w:rsidR="009B707A" w:rsidRPr="002929CB">
        <w:t>to provide Native Americans a platform to clarify the historical record and work collaboratively with the state to begin the healing process</w:t>
      </w:r>
      <w:r w:rsidR="002929CB" w:rsidRPr="002929CB">
        <w:t>. Uniform resource locator (</w:t>
      </w:r>
      <w:r w:rsidR="00E5052F" w:rsidRPr="002929CB">
        <w:t>URL</w:t>
      </w:r>
      <w:r w:rsidR="002929CB" w:rsidRPr="002929CB">
        <w:t>)</w:t>
      </w:r>
      <w:r w:rsidR="00621849">
        <w:t xml:space="preserve">:  </w:t>
      </w:r>
      <w:hyperlink r:id="rId1" w:history="1">
        <w:r w:rsidR="002929CB" w:rsidRPr="002929CB">
          <w:rPr>
            <w:rStyle w:val="Hyperlink"/>
          </w:rPr>
          <w:t>https://www.gov.ca.gov/wp</w:t>
        </w:r>
        <w:r w:rsidR="0028615D">
          <w:rPr>
            <w:rStyle w:val="Hyperlink"/>
          </w:rPr>
          <w:noBreakHyphen/>
        </w:r>
        <w:r w:rsidR="002929CB" w:rsidRPr="002929CB">
          <w:rPr>
            <w:rStyle w:val="Hyperlink"/>
          </w:rPr>
          <w:t>content/uploads/2019/06/6.18.19</w:t>
        </w:r>
        <w:r w:rsidR="0028615D">
          <w:rPr>
            <w:rStyle w:val="Hyperlink"/>
          </w:rPr>
          <w:noBreakHyphen/>
        </w:r>
        <w:r w:rsidR="002929CB" w:rsidRPr="002929CB">
          <w:rPr>
            <w:rStyle w:val="Hyperlink"/>
          </w:rPr>
          <w:t>Executive</w:t>
        </w:r>
        <w:r w:rsidR="0028615D">
          <w:rPr>
            <w:rStyle w:val="Hyperlink"/>
          </w:rPr>
          <w:noBreakHyphen/>
        </w:r>
        <w:r w:rsidR="002929CB" w:rsidRPr="002929CB">
          <w:rPr>
            <w:rStyle w:val="Hyperlink"/>
          </w:rPr>
          <w:t>Order.pdf</w:t>
        </w:r>
      </w:hyperlink>
      <w:r w:rsidR="002929CB" w:rsidRPr="002929CB">
        <w:t xml:space="preserve"> (accessible as of </w:t>
      </w:r>
      <w:r w:rsidR="00621849">
        <w:t>April </w:t>
      </w:r>
      <w:r w:rsidR="002929CB" w:rsidRPr="002929CB">
        <w:t>17, 2025).</w:t>
      </w:r>
    </w:p>
  </w:footnote>
  <w:footnote w:id="12">
    <w:p w14:paraId="3488CD3B" w14:textId="01C5BB8D" w:rsidR="009374DF" w:rsidRDefault="009374DF">
      <w:pPr>
        <w:pStyle w:val="FootnoteText"/>
      </w:pPr>
      <w:r>
        <w:rPr>
          <w:rStyle w:val="FootnoteReference"/>
        </w:rPr>
        <w:footnoteRef/>
      </w:r>
      <w:r>
        <w:t xml:space="preserve"> </w:t>
      </w:r>
      <w:r w:rsidRPr="009374DF">
        <w:t>According to Commission Tribal Land Transfer Policy (</w:t>
      </w:r>
      <w:r w:rsidR="00621849">
        <w:t>December </w:t>
      </w:r>
      <w:r w:rsidRPr="009374DF">
        <w:t>5, 2019)</w:t>
      </w:r>
      <w:r w:rsidR="0024432A">
        <w:t xml:space="preserve"> at </w:t>
      </w:r>
      <w:r w:rsidRPr="009374DF">
        <w:t>1, a “</w:t>
      </w:r>
      <w:r w:rsidR="00170EA6">
        <w:t>t</w:t>
      </w:r>
      <w:r w:rsidRPr="009374DF">
        <w:t>ribe” refers to a California Native American Tribe that is on the contact list maintained by the Native American Heritage Commission</w:t>
      </w:r>
      <w:r w:rsidR="00F3179C">
        <w:t>; this list</w:t>
      </w:r>
      <w:r w:rsidRPr="009374DF">
        <w:t xml:space="preserve"> contains both federally recognized tribes and tribes that are not recognized by the federal government.</w:t>
      </w:r>
    </w:p>
  </w:footnote>
  <w:footnote w:id="13">
    <w:p w14:paraId="2E559E59" w14:textId="5F4426B1" w:rsidR="007F4898" w:rsidRDefault="007F4898">
      <w:pPr>
        <w:pStyle w:val="FootnoteText"/>
      </w:pPr>
      <w:r>
        <w:rPr>
          <w:rStyle w:val="FootnoteReference"/>
        </w:rPr>
        <w:footnoteRef/>
      </w:r>
      <w:r>
        <w:t xml:space="preserve"> </w:t>
      </w:r>
      <w:r w:rsidRPr="007F4898">
        <w:t>D.21</w:t>
      </w:r>
      <w:r w:rsidR="0028615D">
        <w:noBreakHyphen/>
      </w:r>
      <w:r w:rsidRPr="007F4898">
        <w:t>08</w:t>
      </w:r>
      <w:r w:rsidR="0028615D">
        <w:noBreakHyphen/>
      </w:r>
      <w:r w:rsidRPr="007F4898">
        <w:t>027</w:t>
      </w:r>
      <w:r w:rsidR="0024432A">
        <w:t xml:space="preserve"> at </w:t>
      </w:r>
      <w:r w:rsidRPr="007F4898">
        <w:t>17</w:t>
      </w:r>
      <w:r>
        <w:t>.</w:t>
      </w:r>
    </w:p>
  </w:footnote>
  <w:footnote w:id="14">
    <w:p w14:paraId="2EEA8A49" w14:textId="4B51BD28" w:rsidR="00F82D0C" w:rsidRDefault="00F82D0C">
      <w:pPr>
        <w:pStyle w:val="FootnoteText"/>
      </w:pPr>
      <w:r>
        <w:rPr>
          <w:rStyle w:val="FootnoteReference"/>
        </w:rPr>
        <w:footnoteRef/>
      </w:r>
      <w:r>
        <w:t xml:space="preserve"> Application</w:t>
      </w:r>
      <w:r w:rsidR="0024432A">
        <w:t xml:space="preserve"> at </w:t>
      </w:r>
      <w:r w:rsidR="00906DFC">
        <w:t>7.</w:t>
      </w:r>
    </w:p>
  </w:footnote>
  <w:footnote w:id="15">
    <w:p w14:paraId="79EEC0CF" w14:textId="4AF5CF62" w:rsidR="00D33FEA" w:rsidRDefault="00D33FEA">
      <w:pPr>
        <w:pStyle w:val="FootnoteText"/>
      </w:pPr>
      <w:r>
        <w:rPr>
          <w:rStyle w:val="FootnoteReference"/>
        </w:rPr>
        <w:footnoteRef/>
      </w:r>
      <w:r>
        <w:t xml:space="preserve"> </w:t>
      </w:r>
      <w:r w:rsidR="00F61EFE">
        <w:t>Transcript</w:t>
      </w:r>
      <w:r w:rsidR="0024432A">
        <w:t xml:space="preserve"> at </w:t>
      </w:r>
      <w:r w:rsidR="00F61EFE">
        <w:t>10</w:t>
      </w:r>
      <w:r w:rsidR="0028615D">
        <w:noBreakHyphen/>
      </w:r>
      <w:r w:rsidR="00F61EFE">
        <w:t>13</w:t>
      </w:r>
      <w:r w:rsidR="00B454C2">
        <w:t>;</w:t>
      </w:r>
      <w:r w:rsidR="00F61EFE">
        <w:t xml:space="preserve"> SCE </w:t>
      </w:r>
      <w:r w:rsidR="00621849">
        <w:t>November </w:t>
      </w:r>
      <w:r w:rsidR="009F21EF">
        <w:t xml:space="preserve">12, 2024 </w:t>
      </w:r>
      <w:r w:rsidR="00F61EFE">
        <w:t xml:space="preserve">supplemental </w:t>
      </w:r>
      <w:r w:rsidR="009F21EF">
        <w:t>information</w:t>
      </w:r>
      <w:r w:rsidR="00156FE1">
        <w:t xml:space="preserve"> at </w:t>
      </w:r>
      <w:r w:rsidR="00553972">
        <w:t>Appendix </w:t>
      </w:r>
      <w:r w:rsidR="00156FE1">
        <w:t>B</w:t>
      </w:r>
      <w:r w:rsidR="00B454C2">
        <w:t>;</w:t>
      </w:r>
      <w:r w:rsidR="00156FE1">
        <w:t xml:space="preserve"> and </w:t>
      </w:r>
      <w:r w:rsidR="00D3796F">
        <w:rPr>
          <w:i/>
          <w:iCs/>
        </w:rPr>
        <w:t>1515 Walnut</w:t>
      </w:r>
      <w:r w:rsidR="00AA5695" w:rsidRPr="00237AEA">
        <w:rPr>
          <w:i/>
          <w:iCs/>
        </w:rPr>
        <w:t xml:space="preserve"> Grove, LP’s Response to Assigned Commissioner’s Scoping Memo and Ruling</w:t>
      </w:r>
      <w:r w:rsidR="00237AEA">
        <w:t xml:space="preserve"> filed </w:t>
      </w:r>
      <w:r w:rsidR="00621849">
        <w:t>November </w:t>
      </w:r>
      <w:r w:rsidR="00237AEA">
        <w:t>12, 2024</w:t>
      </w:r>
      <w:r w:rsidR="00C3731C">
        <w:t>,</w:t>
      </w:r>
      <w:r w:rsidR="0024432A">
        <w:t xml:space="preserve"> at </w:t>
      </w:r>
      <w:r w:rsidR="00666661">
        <w:t>5.</w:t>
      </w:r>
    </w:p>
  </w:footnote>
  <w:footnote w:id="16">
    <w:p w14:paraId="47E4D77D" w14:textId="276538CB" w:rsidR="00FC04CF" w:rsidRDefault="00FC04CF">
      <w:pPr>
        <w:pStyle w:val="FootnoteText"/>
      </w:pPr>
      <w:r>
        <w:rPr>
          <w:rStyle w:val="FootnoteReference"/>
        </w:rPr>
        <w:footnoteRef/>
      </w:r>
      <w:r>
        <w:t xml:space="preserve"> </w:t>
      </w:r>
      <w:r w:rsidR="00C63FDF">
        <w:t>Pub. Res.</w:t>
      </w:r>
      <w:r w:rsidR="007809E5" w:rsidRPr="007809E5">
        <w:t xml:space="preserve"> Code </w:t>
      </w:r>
      <w:r w:rsidR="00B738F6">
        <w:t>§ </w:t>
      </w:r>
      <w:r w:rsidR="007809E5" w:rsidRPr="007809E5">
        <w:t xml:space="preserve">21000, </w:t>
      </w:r>
      <w:r w:rsidR="007809E5" w:rsidRPr="00C63FDF">
        <w:rPr>
          <w:i/>
          <w:iCs/>
        </w:rPr>
        <w:t>et seq.</w:t>
      </w:r>
    </w:p>
  </w:footnote>
  <w:footnote w:id="17">
    <w:p w14:paraId="61718042" w14:textId="23C32A7F" w:rsidR="00FC04CF" w:rsidRDefault="00FC04CF">
      <w:pPr>
        <w:pStyle w:val="FootnoteText"/>
      </w:pPr>
      <w:r>
        <w:rPr>
          <w:rStyle w:val="FootnoteReference"/>
        </w:rPr>
        <w:footnoteRef/>
      </w:r>
      <w:r>
        <w:t xml:space="preserve"> </w:t>
      </w:r>
      <w:r w:rsidR="007809E5" w:rsidRPr="007809E5">
        <w:t xml:space="preserve">Title 14 of the California Code of Regulations (CEQA Guidelines), </w:t>
      </w:r>
      <w:r w:rsidR="00B738F6">
        <w:t>§ </w:t>
      </w:r>
      <w:r w:rsidR="007809E5" w:rsidRPr="007809E5">
        <w:t>15002(a)(1).</w:t>
      </w:r>
    </w:p>
  </w:footnote>
  <w:footnote w:id="18">
    <w:p w14:paraId="6647247F" w14:textId="64A3230B" w:rsidR="00FC04CF" w:rsidRDefault="00FC04CF">
      <w:pPr>
        <w:pStyle w:val="FootnoteText"/>
      </w:pPr>
      <w:r>
        <w:rPr>
          <w:rStyle w:val="FootnoteReference"/>
        </w:rPr>
        <w:footnoteRef/>
      </w:r>
      <w:r>
        <w:t xml:space="preserve"> </w:t>
      </w:r>
      <w:r w:rsidR="007809E5" w:rsidRPr="007809E5">
        <w:t xml:space="preserve">CEQA Guidelines </w:t>
      </w:r>
      <w:r w:rsidR="00B738F6">
        <w:t>§ </w:t>
      </w:r>
      <w:r w:rsidR="007809E5" w:rsidRPr="007809E5">
        <w:t>15051(b).</w:t>
      </w:r>
    </w:p>
  </w:footnote>
  <w:footnote w:id="19">
    <w:p w14:paraId="045302DF" w14:textId="61844CCA" w:rsidR="00FC04CF" w:rsidRDefault="00FC04CF">
      <w:pPr>
        <w:pStyle w:val="FootnoteText"/>
      </w:pPr>
      <w:r>
        <w:rPr>
          <w:rStyle w:val="FootnoteReference"/>
        </w:rPr>
        <w:footnoteRef/>
      </w:r>
      <w:r>
        <w:t xml:space="preserve"> </w:t>
      </w:r>
      <w:r w:rsidR="007809E5" w:rsidRPr="007809E5">
        <w:t xml:space="preserve">CEQA Guidelines </w:t>
      </w:r>
      <w:r w:rsidR="00B738F6">
        <w:t>§ </w:t>
      </w:r>
      <w:r w:rsidR="007809E5" w:rsidRPr="007809E5">
        <w:t>15050.</w:t>
      </w:r>
    </w:p>
  </w:footnote>
  <w:footnote w:id="20">
    <w:p w14:paraId="48BE8A19" w14:textId="5160CADC" w:rsidR="00FC04CF" w:rsidRDefault="00FC04CF">
      <w:pPr>
        <w:pStyle w:val="FootnoteText"/>
      </w:pPr>
      <w:r>
        <w:rPr>
          <w:rStyle w:val="FootnoteReference"/>
        </w:rPr>
        <w:footnoteRef/>
      </w:r>
      <w:r>
        <w:t xml:space="preserve"> </w:t>
      </w:r>
      <w:r w:rsidR="00C63FDF" w:rsidRPr="00C63FDF">
        <w:rPr>
          <w:i/>
          <w:iCs/>
        </w:rPr>
        <w:t>Id.</w:t>
      </w:r>
      <w:r w:rsidR="007809E5" w:rsidRPr="007809E5">
        <w:t xml:space="preserve">, </w:t>
      </w:r>
      <w:r w:rsidR="00B738F6">
        <w:t>§ </w:t>
      </w:r>
      <w:r w:rsidR="007809E5" w:rsidRPr="007809E5">
        <w:t>15050(b)</w:t>
      </w:r>
      <w:r w:rsidR="0028615D">
        <w:noBreakHyphen/>
      </w:r>
      <w:r w:rsidR="007809E5" w:rsidRPr="007809E5">
        <w:t>(c).</w:t>
      </w:r>
    </w:p>
  </w:footnote>
  <w:footnote w:id="21">
    <w:p w14:paraId="6DAA1916" w14:textId="7E12792D" w:rsidR="00311E48" w:rsidRDefault="00311E48">
      <w:pPr>
        <w:pStyle w:val="FootnoteText"/>
      </w:pPr>
      <w:r>
        <w:rPr>
          <w:rStyle w:val="FootnoteReference"/>
        </w:rPr>
        <w:footnoteRef/>
      </w:r>
      <w:r>
        <w:t xml:space="preserve"> </w:t>
      </w:r>
      <w:r w:rsidRPr="00311E48">
        <w:t>D.06</w:t>
      </w:r>
      <w:r w:rsidR="0028615D">
        <w:noBreakHyphen/>
      </w:r>
      <w:r w:rsidRPr="00311E48">
        <w:t>05</w:t>
      </w:r>
      <w:r w:rsidR="0028615D">
        <w:noBreakHyphen/>
      </w:r>
      <w:r w:rsidRPr="00311E48">
        <w:t>041 as modified by D.06</w:t>
      </w:r>
      <w:r w:rsidR="0028615D">
        <w:noBreakHyphen/>
      </w:r>
      <w:r w:rsidRPr="00311E48">
        <w:t>12</w:t>
      </w:r>
      <w:r w:rsidR="0028615D">
        <w:noBreakHyphen/>
      </w:r>
      <w:r w:rsidRPr="00311E48">
        <w:t>043.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44B2" w14:textId="06ECA4D3" w:rsidR="0097650D" w:rsidRPr="00874AB8" w:rsidRDefault="0097650D" w:rsidP="00874AB8">
    <w:pPr>
      <w:pStyle w:val="Header"/>
      <w:tabs>
        <w:tab w:val="clear" w:pos="4680"/>
      </w:tabs>
      <w:ind w:firstLine="0"/>
      <w:rPr>
        <w:b/>
      </w:rPr>
    </w:pPr>
    <w:r>
      <w:t>A.24</w:t>
    </w:r>
    <w:r w:rsidR="0028615D">
      <w:noBreakHyphen/>
    </w:r>
    <w:r>
      <w:t>08</w:t>
    </w:r>
    <w:r w:rsidR="0028615D">
      <w:noBreakHyphen/>
    </w:r>
    <w:r>
      <w:t>003  ALJ/VUK/nd3</w:t>
    </w:r>
    <w:r>
      <w:tab/>
    </w:r>
    <w:r w:rsidRPr="0097650D">
      <w:rPr>
        <w:bCs/>
      </w:rPr>
      <w:t>PROPOSED DECISION</w:t>
    </w:r>
    <w:r w:rsidR="00544560" w:rsidRPr="00544560">
      <w:rPr>
        <w:bCs/>
      </w:rPr>
      <w:t xml:space="preserve"> (Rev.1)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58A9" w14:textId="57469D18" w:rsidR="0097650D" w:rsidRPr="00874AB8" w:rsidRDefault="0097650D" w:rsidP="00874AB8">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E10BF6"/>
    <w:multiLevelType w:val="hybridMultilevel"/>
    <w:tmpl w:val="3D2AD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5F056CB"/>
    <w:multiLevelType w:val="multilevel"/>
    <w:tmpl w:val="18F4A5AC"/>
    <w:numStyleLink w:val="FoFCoLOP"/>
  </w:abstractNum>
  <w:abstractNum w:abstractNumId="4"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0038F"/>
    <w:multiLevelType w:val="multilevel"/>
    <w:tmpl w:val="3C526EDE"/>
    <w:numStyleLink w:val="Headings"/>
  </w:abstractNum>
  <w:abstractNum w:abstractNumId="6" w15:restartNumberingAfterBreak="0">
    <w:nsid w:val="1E2242C9"/>
    <w:multiLevelType w:val="multilevel"/>
    <w:tmpl w:val="3C526EDE"/>
    <w:numStyleLink w:val="Headings"/>
  </w:abstractNum>
  <w:abstractNum w:abstractNumId="7" w15:restartNumberingAfterBreak="0">
    <w:nsid w:val="21FB58FE"/>
    <w:multiLevelType w:val="multilevel"/>
    <w:tmpl w:val="3C526EDE"/>
    <w:numStyleLink w:val="Headings"/>
  </w:abstractNum>
  <w:abstractNum w:abstractNumId="8" w15:restartNumberingAfterBreak="0">
    <w:nsid w:val="243663A0"/>
    <w:multiLevelType w:val="multilevel"/>
    <w:tmpl w:val="3C526EDE"/>
    <w:numStyleLink w:val="Headings"/>
  </w:abstractNum>
  <w:abstractNum w:abstractNumId="9" w15:restartNumberingAfterBreak="0">
    <w:nsid w:val="2B8124D7"/>
    <w:multiLevelType w:val="multilevel"/>
    <w:tmpl w:val="3C526EDE"/>
    <w:numStyleLink w:val="Headings"/>
  </w:abstractNum>
  <w:abstractNum w:abstractNumId="10"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59D042D7"/>
    <w:multiLevelType w:val="multilevel"/>
    <w:tmpl w:val="18F4A5AC"/>
    <w:numStyleLink w:val="FoFCoLOP"/>
  </w:abstractNum>
  <w:abstractNum w:abstractNumId="12" w15:restartNumberingAfterBreak="0">
    <w:nsid w:val="5A9E2171"/>
    <w:multiLevelType w:val="multilevel"/>
    <w:tmpl w:val="3C526EDE"/>
    <w:numStyleLink w:val="Headings"/>
  </w:abstractNum>
  <w:abstractNum w:abstractNumId="13" w15:restartNumberingAfterBreak="0">
    <w:nsid w:val="61A25780"/>
    <w:multiLevelType w:val="multilevel"/>
    <w:tmpl w:val="EDF67F1A"/>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ind w:left="1584" w:hanging="864"/>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4"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9A0AFE"/>
    <w:multiLevelType w:val="multilevel"/>
    <w:tmpl w:val="18F4A5AC"/>
    <w:numStyleLink w:val="FoFCoLOP"/>
  </w:abstractNum>
  <w:num w:numId="1" w16cid:durableId="1346862764">
    <w:abstractNumId w:val="12"/>
  </w:num>
  <w:num w:numId="2" w16cid:durableId="549852921">
    <w:abstractNumId w:val="2"/>
  </w:num>
  <w:num w:numId="3" w16cid:durableId="564071582">
    <w:abstractNumId w:val="11"/>
  </w:num>
  <w:num w:numId="4" w16cid:durableId="788671084">
    <w:abstractNumId w:val="3"/>
  </w:num>
  <w:num w:numId="5" w16cid:durableId="1518883260">
    <w:abstractNumId w:val="15"/>
  </w:num>
  <w:num w:numId="6" w16cid:durableId="745765916">
    <w:abstractNumId w:val="10"/>
  </w:num>
  <w:num w:numId="7" w16cid:durableId="2039574745">
    <w:abstractNumId w:val="6"/>
  </w:num>
  <w:num w:numId="8" w16cid:durableId="965771064">
    <w:abstractNumId w:val="14"/>
  </w:num>
  <w:num w:numId="9" w16cid:durableId="911964348">
    <w:abstractNumId w:val="0"/>
  </w:num>
  <w:num w:numId="10" w16cid:durableId="1732265490">
    <w:abstractNumId w:val="5"/>
  </w:num>
  <w:num w:numId="11" w16cid:durableId="140276664">
    <w:abstractNumId w:val="7"/>
  </w:num>
  <w:num w:numId="12" w16cid:durableId="546838117">
    <w:abstractNumId w:val="4"/>
  </w:num>
  <w:num w:numId="13" w16cid:durableId="293757292">
    <w:abstractNumId w:val="8"/>
  </w:num>
  <w:num w:numId="14" w16cid:durableId="920528779">
    <w:abstractNumId w:val="9"/>
  </w:num>
  <w:num w:numId="15" w16cid:durableId="1859079917">
    <w:abstractNumId w:val="13"/>
  </w:num>
  <w:num w:numId="16" w16cid:durableId="16038028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0929394">
    <w:abstractNumId w:val="13"/>
  </w:num>
  <w:num w:numId="18" w16cid:durableId="103627763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C2"/>
    <w:rsid w:val="00000F6A"/>
    <w:rsid w:val="000017E5"/>
    <w:rsid w:val="00012067"/>
    <w:rsid w:val="000211BD"/>
    <w:rsid w:val="00031A17"/>
    <w:rsid w:val="0004200D"/>
    <w:rsid w:val="00042BB8"/>
    <w:rsid w:val="00054443"/>
    <w:rsid w:val="000548AB"/>
    <w:rsid w:val="00057D20"/>
    <w:rsid w:val="000602AC"/>
    <w:rsid w:val="0006535F"/>
    <w:rsid w:val="0007115A"/>
    <w:rsid w:val="00073B22"/>
    <w:rsid w:val="00075C84"/>
    <w:rsid w:val="0008058D"/>
    <w:rsid w:val="000807CF"/>
    <w:rsid w:val="00083C60"/>
    <w:rsid w:val="000848E5"/>
    <w:rsid w:val="000973C8"/>
    <w:rsid w:val="000A2AA9"/>
    <w:rsid w:val="000A56F2"/>
    <w:rsid w:val="000A6E05"/>
    <w:rsid w:val="000B0810"/>
    <w:rsid w:val="000B12FA"/>
    <w:rsid w:val="000B1831"/>
    <w:rsid w:val="000B4271"/>
    <w:rsid w:val="000B6887"/>
    <w:rsid w:val="000B70E7"/>
    <w:rsid w:val="000C08BF"/>
    <w:rsid w:val="000C3B9A"/>
    <w:rsid w:val="000D25A8"/>
    <w:rsid w:val="000D29E3"/>
    <w:rsid w:val="000D3B55"/>
    <w:rsid w:val="000D3D2B"/>
    <w:rsid w:val="000E270A"/>
    <w:rsid w:val="000E4C53"/>
    <w:rsid w:val="000F1494"/>
    <w:rsid w:val="000F3C7C"/>
    <w:rsid w:val="000F489C"/>
    <w:rsid w:val="000F48C6"/>
    <w:rsid w:val="000F789F"/>
    <w:rsid w:val="0010131E"/>
    <w:rsid w:val="00101D54"/>
    <w:rsid w:val="001035D3"/>
    <w:rsid w:val="001103AC"/>
    <w:rsid w:val="00111661"/>
    <w:rsid w:val="001142CB"/>
    <w:rsid w:val="00121089"/>
    <w:rsid w:val="001257F2"/>
    <w:rsid w:val="0013090E"/>
    <w:rsid w:val="0013133C"/>
    <w:rsid w:val="00135B47"/>
    <w:rsid w:val="00137851"/>
    <w:rsid w:val="00137AE7"/>
    <w:rsid w:val="00141F12"/>
    <w:rsid w:val="001420C4"/>
    <w:rsid w:val="00146561"/>
    <w:rsid w:val="00146DB6"/>
    <w:rsid w:val="00150EF6"/>
    <w:rsid w:val="00152E10"/>
    <w:rsid w:val="00154ECE"/>
    <w:rsid w:val="001561F0"/>
    <w:rsid w:val="00156933"/>
    <w:rsid w:val="00156FE1"/>
    <w:rsid w:val="00164392"/>
    <w:rsid w:val="00170EA6"/>
    <w:rsid w:val="00175DDC"/>
    <w:rsid w:val="001769C2"/>
    <w:rsid w:val="00184A8F"/>
    <w:rsid w:val="00184FF8"/>
    <w:rsid w:val="001A0383"/>
    <w:rsid w:val="001A31F9"/>
    <w:rsid w:val="001A382E"/>
    <w:rsid w:val="001A6243"/>
    <w:rsid w:val="001A6CF4"/>
    <w:rsid w:val="001B0082"/>
    <w:rsid w:val="001B087C"/>
    <w:rsid w:val="001B1196"/>
    <w:rsid w:val="001B3915"/>
    <w:rsid w:val="001B3ADD"/>
    <w:rsid w:val="001C363F"/>
    <w:rsid w:val="001C7A68"/>
    <w:rsid w:val="001D20CB"/>
    <w:rsid w:val="001D3B95"/>
    <w:rsid w:val="001D3CD3"/>
    <w:rsid w:val="001D3D75"/>
    <w:rsid w:val="001E1D62"/>
    <w:rsid w:val="001E23BC"/>
    <w:rsid w:val="001E2A62"/>
    <w:rsid w:val="001E2CBA"/>
    <w:rsid w:val="001E3717"/>
    <w:rsid w:val="001E7752"/>
    <w:rsid w:val="001F1525"/>
    <w:rsid w:val="001F2819"/>
    <w:rsid w:val="00200E03"/>
    <w:rsid w:val="002043EC"/>
    <w:rsid w:val="00214E3E"/>
    <w:rsid w:val="00215020"/>
    <w:rsid w:val="002171AD"/>
    <w:rsid w:val="002172F3"/>
    <w:rsid w:val="00220DE9"/>
    <w:rsid w:val="002212DD"/>
    <w:rsid w:val="00222EAE"/>
    <w:rsid w:val="00224583"/>
    <w:rsid w:val="00224E44"/>
    <w:rsid w:val="00226ACB"/>
    <w:rsid w:val="00227D3B"/>
    <w:rsid w:val="00230D5A"/>
    <w:rsid w:val="00233F54"/>
    <w:rsid w:val="002355C9"/>
    <w:rsid w:val="00237AEA"/>
    <w:rsid w:val="002410F9"/>
    <w:rsid w:val="00242431"/>
    <w:rsid w:val="002436B2"/>
    <w:rsid w:val="00243DC0"/>
    <w:rsid w:val="0024432A"/>
    <w:rsid w:val="00247477"/>
    <w:rsid w:val="00247B4D"/>
    <w:rsid w:val="00251B15"/>
    <w:rsid w:val="00254243"/>
    <w:rsid w:val="00255CFB"/>
    <w:rsid w:val="00260703"/>
    <w:rsid w:val="00266130"/>
    <w:rsid w:val="00270440"/>
    <w:rsid w:val="00270F58"/>
    <w:rsid w:val="002752C9"/>
    <w:rsid w:val="00282641"/>
    <w:rsid w:val="00284D8D"/>
    <w:rsid w:val="0028615D"/>
    <w:rsid w:val="00287BC5"/>
    <w:rsid w:val="0029214D"/>
    <w:rsid w:val="002929CB"/>
    <w:rsid w:val="00293728"/>
    <w:rsid w:val="00293DEE"/>
    <w:rsid w:val="002A0B5D"/>
    <w:rsid w:val="002A2248"/>
    <w:rsid w:val="002B086D"/>
    <w:rsid w:val="002B22D7"/>
    <w:rsid w:val="002C0BAE"/>
    <w:rsid w:val="002C7FE9"/>
    <w:rsid w:val="002D0DC5"/>
    <w:rsid w:val="002D24C5"/>
    <w:rsid w:val="002D35C0"/>
    <w:rsid w:val="002D4EFD"/>
    <w:rsid w:val="002D7066"/>
    <w:rsid w:val="002E272D"/>
    <w:rsid w:val="002F051A"/>
    <w:rsid w:val="002F4521"/>
    <w:rsid w:val="002F5AED"/>
    <w:rsid w:val="00303273"/>
    <w:rsid w:val="003051B1"/>
    <w:rsid w:val="00305BB2"/>
    <w:rsid w:val="00307EA0"/>
    <w:rsid w:val="0031048D"/>
    <w:rsid w:val="003119F3"/>
    <w:rsid w:val="00311E48"/>
    <w:rsid w:val="00312577"/>
    <w:rsid w:val="00315A97"/>
    <w:rsid w:val="00316071"/>
    <w:rsid w:val="00326E41"/>
    <w:rsid w:val="00327195"/>
    <w:rsid w:val="003303BB"/>
    <w:rsid w:val="00333081"/>
    <w:rsid w:val="00336DCD"/>
    <w:rsid w:val="0034187E"/>
    <w:rsid w:val="00343E5C"/>
    <w:rsid w:val="00344FB8"/>
    <w:rsid w:val="00345207"/>
    <w:rsid w:val="00350E36"/>
    <w:rsid w:val="00352EFC"/>
    <w:rsid w:val="00353F0D"/>
    <w:rsid w:val="003558B4"/>
    <w:rsid w:val="00357E91"/>
    <w:rsid w:val="0036017B"/>
    <w:rsid w:val="00361EA4"/>
    <w:rsid w:val="00362755"/>
    <w:rsid w:val="00362976"/>
    <w:rsid w:val="00363E8C"/>
    <w:rsid w:val="003734A6"/>
    <w:rsid w:val="00373B93"/>
    <w:rsid w:val="00374070"/>
    <w:rsid w:val="00380CD1"/>
    <w:rsid w:val="00381B03"/>
    <w:rsid w:val="0038238E"/>
    <w:rsid w:val="00390913"/>
    <w:rsid w:val="00391E00"/>
    <w:rsid w:val="00395848"/>
    <w:rsid w:val="003959A9"/>
    <w:rsid w:val="00396348"/>
    <w:rsid w:val="00396A26"/>
    <w:rsid w:val="003A02CA"/>
    <w:rsid w:val="003A1BCA"/>
    <w:rsid w:val="003A38F0"/>
    <w:rsid w:val="003B4D1C"/>
    <w:rsid w:val="003B76DB"/>
    <w:rsid w:val="003C1D9C"/>
    <w:rsid w:val="003C349F"/>
    <w:rsid w:val="003C39BB"/>
    <w:rsid w:val="003C4389"/>
    <w:rsid w:val="003C5CC4"/>
    <w:rsid w:val="003C6649"/>
    <w:rsid w:val="003C73CA"/>
    <w:rsid w:val="003D1DE7"/>
    <w:rsid w:val="003D334E"/>
    <w:rsid w:val="003D65E8"/>
    <w:rsid w:val="003E3479"/>
    <w:rsid w:val="003E683F"/>
    <w:rsid w:val="003E6BCF"/>
    <w:rsid w:val="003F069A"/>
    <w:rsid w:val="003F4329"/>
    <w:rsid w:val="00403AB0"/>
    <w:rsid w:val="004046AB"/>
    <w:rsid w:val="00405128"/>
    <w:rsid w:val="00405C64"/>
    <w:rsid w:val="00412534"/>
    <w:rsid w:val="00412C83"/>
    <w:rsid w:val="00412FC7"/>
    <w:rsid w:val="00426014"/>
    <w:rsid w:val="00431448"/>
    <w:rsid w:val="00435F89"/>
    <w:rsid w:val="00444C69"/>
    <w:rsid w:val="00445914"/>
    <w:rsid w:val="00445E5C"/>
    <w:rsid w:val="0044617E"/>
    <w:rsid w:val="004461CA"/>
    <w:rsid w:val="00446AD9"/>
    <w:rsid w:val="00456870"/>
    <w:rsid w:val="00456DA8"/>
    <w:rsid w:val="0046078B"/>
    <w:rsid w:val="00460B7D"/>
    <w:rsid w:val="00465110"/>
    <w:rsid w:val="00471C43"/>
    <w:rsid w:val="00472416"/>
    <w:rsid w:val="004727C1"/>
    <w:rsid w:val="00480CB0"/>
    <w:rsid w:val="00481845"/>
    <w:rsid w:val="00483603"/>
    <w:rsid w:val="004959EF"/>
    <w:rsid w:val="004A06B7"/>
    <w:rsid w:val="004A1EAD"/>
    <w:rsid w:val="004A47BE"/>
    <w:rsid w:val="004A5624"/>
    <w:rsid w:val="004B34EA"/>
    <w:rsid w:val="004B3F34"/>
    <w:rsid w:val="004B5494"/>
    <w:rsid w:val="004B5900"/>
    <w:rsid w:val="004B6C0F"/>
    <w:rsid w:val="004C0569"/>
    <w:rsid w:val="004C1C64"/>
    <w:rsid w:val="004C5583"/>
    <w:rsid w:val="004C7698"/>
    <w:rsid w:val="004C7A2B"/>
    <w:rsid w:val="004C7D3A"/>
    <w:rsid w:val="004D03BB"/>
    <w:rsid w:val="004D336F"/>
    <w:rsid w:val="004D3C13"/>
    <w:rsid w:val="004D73BE"/>
    <w:rsid w:val="004D7F9A"/>
    <w:rsid w:val="004E0470"/>
    <w:rsid w:val="004E079D"/>
    <w:rsid w:val="004E093A"/>
    <w:rsid w:val="004E27B5"/>
    <w:rsid w:val="004E3D3F"/>
    <w:rsid w:val="004E4FCD"/>
    <w:rsid w:val="004E634F"/>
    <w:rsid w:val="004E706D"/>
    <w:rsid w:val="004E795B"/>
    <w:rsid w:val="004F2337"/>
    <w:rsid w:val="005018A8"/>
    <w:rsid w:val="00502153"/>
    <w:rsid w:val="00503C88"/>
    <w:rsid w:val="00505A39"/>
    <w:rsid w:val="00506A04"/>
    <w:rsid w:val="0051558D"/>
    <w:rsid w:val="00516355"/>
    <w:rsid w:val="00517546"/>
    <w:rsid w:val="00521356"/>
    <w:rsid w:val="00523A0E"/>
    <w:rsid w:val="005240BF"/>
    <w:rsid w:val="005249DC"/>
    <w:rsid w:val="00526FD8"/>
    <w:rsid w:val="005275EC"/>
    <w:rsid w:val="00530A04"/>
    <w:rsid w:val="00535C2C"/>
    <w:rsid w:val="0053793E"/>
    <w:rsid w:val="00540AE3"/>
    <w:rsid w:val="005414E6"/>
    <w:rsid w:val="00542A61"/>
    <w:rsid w:val="005438BD"/>
    <w:rsid w:val="005444FD"/>
    <w:rsid w:val="00544560"/>
    <w:rsid w:val="005473FA"/>
    <w:rsid w:val="00553972"/>
    <w:rsid w:val="0055479E"/>
    <w:rsid w:val="00555ABA"/>
    <w:rsid w:val="00563A4F"/>
    <w:rsid w:val="00563E6A"/>
    <w:rsid w:val="005645CD"/>
    <w:rsid w:val="005670CE"/>
    <w:rsid w:val="00572BA4"/>
    <w:rsid w:val="00574412"/>
    <w:rsid w:val="00576080"/>
    <w:rsid w:val="00577335"/>
    <w:rsid w:val="0057739A"/>
    <w:rsid w:val="00581B55"/>
    <w:rsid w:val="00584BC2"/>
    <w:rsid w:val="00585390"/>
    <w:rsid w:val="00590C0C"/>
    <w:rsid w:val="005921F6"/>
    <w:rsid w:val="005939A5"/>
    <w:rsid w:val="00594490"/>
    <w:rsid w:val="00596E92"/>
    <w:rsid w:val="0059792C"/>
    <w:rsid w:val="005A109A"/>
    <w:rsid w:val="005A148C"/>
    <w:rsid w:val="005A459B"/>
    <w:rsid w:val="005B0D8D"/>
    <w:rsid w:val="005C22B7"/>
    <w:rsid w:val="005C384C"/>
    <w:rsid w:val="005C536C"/>
    <w:rsid w:val="005C58FA"/>
    <w:rsid w:val="005C6835"/>
    <w:rsid w:val="005C7CE3"/>
    <w:rsid w:val="005D3117"/>
    <w:rsid w:val="005D6BAB"/>
    <w:rsid w:val="005D77DF"/>
    <w:rsid w:val="005E19D9"/>
    <w:rsid w:val="005E1C34"/>
    <w:rsid w:val="005E3BDF"/>
    <w:rsid w:val="005E3D8D"/>
    <w:rsid w:val="005F4B3C"/>
    <w:rsid w:val="00600AC0"/>
    <w:rsid w:val="00601A47"/>
    <w:rsid w:val="00603238"/>
    <w:rsid w:val="00604937"/>
    <w:rsid w:val="0060570A"/>
    <w:rsid w:val="00605DF8"/>
    <w:rsid w:val="00611095"/>
    <w:rsid w:val="00612C72"/>
    <w:rsid w:val="00617294"/>
    <w:rsid w:val="006179AD"/>
    <w:rsid w:val="00621849"/>
    <w:rsid w:val="00621F1A"/>
    <w:rsid w:val="0062248D"/>
    <w:rsid w:val="0062262F"/>
    <w:rsid w:val="00623132"/>
    <w:rsid w:val="00626650"/>
    <w:rsid w:val="00626E50"/>
    <w:rsid w:val="00632207"/>
    <w:rsid w:val="0063491C"/>
    <w:rsid w:val="006352C0"/>
    <w:rsid w:val="0063624F"/>
    <w:rsid w:val="0063691C"/>
    <w:rsid w:val="00641A5C"/>
    <w:rsid w:val="00661AFE"/>
    <w:rsid w:val="00666661"/>
    <w:rsid w:val="00673699"/>
    <w:rsid w:val="00673AA7"/>
    <w:rsid w:val="00673CE2"/>
    <w:rsid w:val="0067416E"/>
    <w:rsid w:val="00680F19"/>
    <w:rsid w:val="006823A8"/>
    <w:rsid w:val="00683B2C"/>
    <w:rsid w:val="0068710B"/>
    <w:rsid w:val="00691164"/>
    <w:rsid w:val="006A5ACB"/>
    <w:rsid w:val="006A611C"/>
    <w:rsid w:val="006A6FE0"/>
    <w:rsid w:val="006B1DA8"/>
    <w:rsid w:val="006B5370"/>
    <w:rsid w:val="006C1F10"/>
    <w:rsid w:val="006C2D63"/>
    <w:rsid w:val="006E163F"/>
    <w:rsid w:val="006E3A42"/>
    <w:rsid w:val="006E502A"/>
    <w:rsid w:val="006E5E28"/>
    <w:rsid w:val="006E6574"/>
    <w:rsid w:val="006F54A4"/>
    <w:rsid w:val="00700C37"/>
    <w:rsid w:val="007035AF"/>
    <w:rsid w:val="00704881"/>
    <w:rsid w:val="0070789E"/>
    <w:rsid w:val="0071483A"/>
    <w:rsid w:val="00714CF2"/>
    <w:rsid w:val="007156B9"/>
    <w:rsid w:val="00720817"/>
    <w:rsid w:val="00720B03"/>
    <w:rsid w:val="007218A5"/>
    <w:rsid w:val="00722850"/>
    <w:rsid w:val="0073353F"/>
    <w:rsid w:val="007357E6"/>
    <w:rsid w:val="00735A91"/>
    <w:rsid w:val="00742E45"/>
    <w:rsid w:val="00743946"/>
    <w:rsid w:val="007447AF"/>
    <w:rsid w:val="00745245"/>
    <w:rsid w:val="0075042F"/>
    <w:rsid w:val="00750816"/>
    <w:rsid w:val="0075094C"/>
    <w:rsid w:val="007513B6"/>
    <w:rsid w:val="00752DD6"/>
    <w:rsid w:val="00760D4B"/>
    <w:rsid w:val="00762CFA"/>
    <w:rsid w:val="00764E96"/>
    <w:rsid w:val="007657C1"/>
    <w:rsid w:val="00765CB0"/>
    <w:rsid w:val="007701AB"/>
    <w:rsid w:val="00775F68"/>
    <w:rsid w:val="0077755F"/>
    <w:rsid w:val="007809E5"/>
    <w:rsid w:val="00782FA0"/>
    <w:rsid w:val="00783A2A"/>
    <w:rsid w:val="00785749"/>
    <w:rsid w:val="007862EB"/>
    <w:rsid w:val="00790FFA"/>
    <w:rsid w:val="00792DDD"/>
    <w:rsid w:val="0079322A"/>
    <w:rsid w:val="00794FBA"/>
    <w:rsid w:val="007958CA"/>
    <w:rsid w:val="007A0A88"/>
    <w:rsid w:val="007A2652"/>
    <w:rsid w:val="007A406D"/>
    <w:rsid w:val="007A4AA8"/>
    <w:rsid w:val="007A57D3"/>
    <w:rsid w:val="007A62B0"/>
    <w:rsid w:val="007B0F24"/>
    <w:rsid w:val="007B1CF6"/>
    <w:rsid w:val="007C1492"/>
    <w:rsid w:val="007C44D9"/>
    <w:rsid w:val="007C4616"/>
    <w:rsid w:val="007C49CB"/>
    <w:rsid w:val="007C5A0C"/>
    <w:rsid w:val="007D2499"/>
    <w:rsid w:val="007D370E"/>
    <w:rsid w:val="007D74A1"/>
    <w:rsid w:val="007D74B3"/>
    <w:rsid w:val="007D7CA4"/>
    <w:rsid w:val="007E0042"/>
    <w:rsid w:val="007E0FEE"/>
    <w:rsid w:val="007F08E6"/>
    <w:rsid w:val="007F2017"/>
    <w:rsid w:val="007F4898"/>
    <w:rsid w:val="007F54E4"/>
    <w:rsid w:val="007F6350"/>
    <w:rsid w:val="007F6F7C"/>
    <w:rsid w:val="007F7E62"/>
    <w:rsid w:val="008017CF"/>
    <w:rsid w:val="008037E1"/>
    <w:rsid w:val="0080390E"/>
    <w:rsid w:val="00805F1E"/>
    <w:rsid w:val="0081268D"/>
    <w:rsid w:val="00812A03"/>
    <w:rsid w:val="008137D2"/>
    <w:rsid w:val="00814732"/>
    <w:rsid w:val="008147E0"/>
    <w:rsid w:val="008159CF"/>
    <w:rsid w:val="00816E05"/>
    <w:rsid w:val="0082020C"/>
    <w:rsid w:val="008232DD"/>
    <w:rsid w:val="0082651C"/>
    <w:rsid w:val="0083062A"/>
    <w:rsid w:val="00831300"/>
    <w:rsid w:val="008339BB"/>
    <w:rsid w:val="008465B7"/>
    <w:rsid w:val="00852448"/>
    <w:rsid w:val="008606A9"/>
    <w:rsid w:val="0086419A"/>
    <w:rsid w:val="008660D7"/>
    <w:rsid w:val="00866967"/>
    <w:rsid w:val="0087023B"/>
    <w:rsid w:val="00872B99"/>
    <w:rsid w:val="008731FE"/>
    <w:rsid w:val="00873D29"/>
    <w:rsid w:val="00874AB8"/>
    <w:rsid w:val="008763C1"/>
    <w:rsid w:val="00876F21"/>
    <w:rsid w:val="008850A9"/>
    <w:rsid w:val="00886B59"/>
    <w:rsid w:val="00886E52"/>
    <w:rsid w:val="008873BD"/>
    <w:rsid w:val="008A08BF"/>
    <w:rsid w:val="008A179F"/>
    <w:rsid w:val="008B0864"/>
    <w:rsid w:val="008B175A"/>
    <w:rsid w:val="008B1F0D"/>
    <w:rsid w:val="008B3CF5"/>
    <w:rsid w:val="008B4048"/>
    <w:rsid w:val="008B5E38"/>
    <w:rsid w:val="008C2096"/>
    <w:rsid w:val="008C2295"/>
    <w:rsid w:val="008C2CE3"/>
    <w:rsid w:val="008C3723"/>
    <w:rsid w:val="008C3CB7"/>
    <w:rsid w:val="008C409D"/>
    <w:rsid w:val="008C6312"/>
    <w:rsid w:val="008C7413"/>
    <w:rsid w:val="008D16B7"/>
    <w:rsid w:val="008E11CE"/>
    <w:rsid w:val="008E510F"/>
    <w:rsid w:val="008E6AE6"/>
    <w:rsid w:val="008F0116"/>
    <w:rsid w:val="008F0E8B"/>
    <w:rsid w:val="008F143D"/>
    <w:rsid w:val="008F14DE"/>
    <w:rsid w:val="008F2027"/>
    <w:rsid w:val="008F27BA"/>
    <w:rsid w:val="008F3338"/>
    <w:rsid w:val="008F398B"/>
    <w:rsid w:val="008F6BDD"/>
    <w:rsid w:val="008F7C68"/>
    <w:rsid w:val="0090371C"/>
    <w:rsid w:val="00906DFC"/>
    <w:rsid w:val="0090756D"/>
    <w:rsid w:val="009133AB"/>
    <w:rsid w:val="009174F6"/>
    <w:rsid w:val="00921553"/>
    <w:rsid w:val="0092172C"/>
    <w:rsid w:val="00921DF9"/>
    <w:rsid w:val="0092790A"/>
    <w:rsid w:val="0093085B"/>
    <w:rsid w:val="00930AA2"/>
    <w:rsid w:val="009313A7"/>
    <w:rsid w:val="00932865"/>
    <w:rsid w:val="009361DE"/>
    <w:rsid w:val="009374DF"/>
    <w:rsid w:val="00940913"/>
    <w:rsid w:val="009457FE"/>
    <w:rsid w:val="009479C6"/>
    <w:rsid w:val="00950C89"/>
    <w:rsid w:val="00950EAA"/>
    <w:rsid w:val="0095187F"/>
    <w:rsid w:val="009542AE"/>
    <w:rsid w:val="00960BC5"/>
    <w:rsid w:val="0096126E"/>
    <w:rsid w:val="00963339"/>
    <w:rsid w:val="009704B0"/>
    <w:rsid w:val="0097650D"/>
    <w:rsid w:val="00977D9E"/>
    <w:rsid w:val="0098138E"/>
    <w:rsid w:val="00984ACA"/>
    <w:rsid w:val="0098655A"/>
    <w:rsid w:val="00991DE6"/>
    <w:rsid w:val="00992732"/>
    <w:rsid w:val="009947CD"/>
    <w:rsid w:val="009961F1"/>
    <w:rsid w:val="009A58D6"/>
    <w:rsid w:val="009A6BA9"/>
    <w:rsid w:val="009A6E36"/>
    <w:rsid w:val="009A7C35"/>
    <w:rsid w:val="009B5053"/>
    <w:rsid w:val="009B7069"/>
    <w:rsid w:val="009B707A"/>
    <w:rsid w:val="009C3060"/>
    <w:rsid w:val="009C35CC"/>
    <w:rsid w:val="009C718C"/>
    <w:rsid w:val="009D0CED"/>
    <w:rsid w:val="009D2D52"/>
    <w:rsid w:val="009D339B"/>
    <w:rsid w:val="009D6C7F"/>
    <w:rsid w:val="009E4D35"/>
    <w:rsid w:val="009E5F9D"/>
    <w:rsid w:val="009E6052"/>
    <w:rsid w:val="009E7C7F"/>
    <w:rsid w:val="009F21EF"/>
    <w:rsid w:val="009F3F7D"/>
    <w:rsid w:val="009F7CDA"/>
    <w:rsid w:val="00A01EA4"/>
    <w:rsid w:val="00A02364"/>
    <w:rsid w:val="00A028BE"/>
    <w:rsid w:val="00A11014"/>
    <w:rsid w:val="00A17C81"/>
    <w:rsid w:val="00A17CE0"/>
    <w:rsid w:val="00A17E26"/>
    <w:rsid w:val="00A20609"/>
    <w:rsid w:val="00A2281D"/>
    <w:rsid w:val="00A22B84"/>
    <w:rsid w:val="00A23095"/>
    <w:rsid w:val="00A23A4F"/>
    <w:rsid w:val="00A23D48"/>
    <w:rsid w:val="00A240C3"/>
    <w:rsid w:val="00A27793"/>
    <w:rsid w:val="00A309A4"/>
    <w:rsid w:val="00A33EF5"/>
    <w:rsid w:val="00A34836"/>
    <w:rsid w:val="00A35CDB"/>
    <w:rsid w:val="00A4213B"/>
    <w:rsid w:val="00A42306"/>
    <w:rsid w:val="00A44E8D"/>
    <w:rsid w:val="00A46EA8"/>
    <w:rsid w:val="00A556A8"/>
    <w:rsid w:val="00A55ACD"/>
    <w:rsid w:val="00A5723B"/>
    <w:rsid w:val="00A57B3B"/>
    <w:rsid w:val="00A67DE2"/>
    <w:rsid w:val="00A706CC"/>
    <w:rsid w:val="00A80B3D"/>
    <w:rsid w:val="00A81403"/>
    <w:rsid w:val="00A825EC"/>
    <w:rsid w:val="00A85D27"/>
    <w:rsid w:val="00A86541"/>
    <w:rsid w:val="00A93706"/>
    <w:rsid w:val="00AA00FD"/>
    <w:rsid w:val="00AA29C3"/>
    <w:rsid w:val="00AA39C9"/>
    <w:rsid w:val="00AA4687"/>
    <w:rsid w:val="00AA5695"/>
    <w:rsid w:val="00AB1512"/>
    <w:rsid w:val="00AB3A10"/>
    <w:rsid w:val="00AB724B"/>
    <w:rsid w:val="00AB7875"/>
    <w:rsid w:val="00AC2009"/>
    <w:rsid w:val="00AC2894"/>
    <w:rsid w:val="00AC2EAC"/>
    <w:rsid w:val="00AC54B5"/>
    <w:rsid w:val="00AC5EC9"/>
    <w:rsid w:val="00AC68EE"/>
    <w:rsid w:val="00AC731E"/>
    <w:rsid w:val="00AD0B53"/>
    <w:rsid w:val="00AD0EB3"/>
    <w:rsid w:val="00AD4E31"/>
    <w:rsid w:val="00AD78D1"/>
    <w:rsid w:val="00AE4779"/>
    <w:rsid w:val="00AF3BC1"/>
    <w:rsid w:val="00AF4EC5"/>
    <w:rsid w:val="00AF56B1"/>
    <w:rsid w:val="00AF60EE"/>
    <w:rsid w:val="00AF6F66"/>
    <w:rsid w:val="00AF7C84"/>
    <w:rsid w:val="00B0003F"/>
    <w:rsid w:val="00B01F7E"/>
    <w:rsid w:val="00B03698"/>
    <w:rsid w:val="00B116B5"/>
    <w:rsid w:val="00B1285E"/>
    <w:rsid w:val="00B164D3"/>
    <w:rsid w:val="00B16C2A"/>
    <w:rsid w:val="00B21612"/>
    <w:rsid w:val="00B22177"/>
    <w:rsid w:val="00B25EEC"/>
    <w:rsid w:val="00B2795C"/>
    <w:rsid w:val="00B3087D"/>
    <w:rsid w:val="00B31539"/>
    <w:rsid w:val="00B34794"/>
    <w:rsid w:val="00B348C5"/>
    <w:rsid w:val="00B34AEE"/>
    <w:rsid w:val="00B370B0"/>
    <w:rsid w:val="00B3771E"/>
    <w:rsid w:val="00B421E6"/>
    <w:rsid w:val="00B42325"/>
    <w:rsid w:val="00B42800"/>
    <w:rsid w:val="00B44E41"/>
    <w:rsid w:val="00B454C2"/>
    <w:rsid w:val="00B47676"/>
    <w:rsid w:val="00B47E6B"/>
    <w:rsid w:val="00B51F72"/>
    <w:rsid w:val="00B54C25"/>
    <w:rsid w:val="00B60421"/>
    <w:rsid w:val="00B736EE"/>
    <w:rsid w:val="00B738F6"/>
    <w:rsid w:val="00B76A5C"/>
    <w:rsid w:val="00B77C83"/>
    <w:rsid w:val="00B800CA"/>
    <w:rsid w:val="00B81EB6"/>
    <w:rsid w:val="00B903DD"/>
    <w:rsid w:val="00B91625"/>
    <w:rsid w:val="00B92E40"/>
    <w:rsid w:val="00B92EFF"/>
    <w:rsid w:val="00BA3C96"/>
    <w:rsid w:val="00BA7F07"/>
    <w:rsid w:val="00BB0019"/>
    <w:rsid w:val="00BB0243"/>
    <w:rsid w:val="00BB069F"/>
    <w:rsid w:val="00BB133C"/>
    <w:rsid w:val="00BB220A"/>
    <w:rsid w:val="00BB3B91"/>
    <w:rsid w:val="00BC06D1"/>
    <w:rsid w:val="00BC447C"/>
    <w:rsid w:val="00BD7C09"/>
    <w:rsid w:val="00BE2079"/>
    <w:rsid w:val="00BE3B38"/>
    <w:rsid w:val="00BE3DAC"/>
    <w:rsid w:val="00BE552F"/>
    <w:rsid w:val="00BF5B03"/>
    <w:rsid w:val="00C05323"/>
    <w:rsid w:val="00C10B5F"/>
    <w:rsid w:val="00C11695"/>
    <w:rsid w:val="00C15326"/>
    <w:rsid w:val="00C27164"/>
    <w:rsid w:val="00C3731C"/>
    <w:rsid w:val="00C40A5E"/>
    <w:rsid w:val="00C4160A"/>
    <w:rsid w:val="00C47EA7"/>
    <w:rsid w:val="00C55876"/>
    <w:rsid w:val="00C55E01"/>
    <w:rsid w:val="00C62232"/>
    <w:rsid w:val="00C63FDF"/>
    <w:rsid w:val="00C73370"/>
    <w:rsid w:val="00C7397A"/>
    <w:rsid w:val="00C73A12"/>
    <w:rsid w:val="00C75900"/>
    <w:rsid w:val="00C878D5"/>
    <w:rsid w:val="00C9033B"/>
    <w:rsid w:val="00C913A1"/>
    <w:rsid w:val="00C94FB2"/>
    <w:rsid w:val="00CA0F30"/>
    <w:rsid w:val="00CA501E"/>
    <w:rsid w:val="00CA6FCE"/>
    <w:rsid w:val="00CB0599"/>
    <w:rsid w:val="00CB5443"/>
    <w:rsid w:val="00CB61F0"/>
    <w:rsid w:val="00CB69C1"/>
    <w:rsid w:val="00CB6D45"/>
    <w:rsid w:val="00CB7588"/>
    <w:rsid w:val="00CC3542"/>
    <w:rsid w:val="00CC49D8"/>
    <w:rsid w:val="00CC6063"/>
    <w:rsid w:val="00CC6A99"/>
    <w:rsid w:val="00CD2C20"/>
    <w:rsid w:val="00CD424D"/>
    <w:rsid w:val="00CE032A"/>
    <w:rsid w:val="00CF15D8"/>
    <w:rsid w:val="00D00AA3"/>
    <w:rsid w:val="00D0504E"/>
    <w:rsid w:val="00D05C49"/>
    <w:rsid w:val="00D07F73"/>
    <w:rsid w:val="00D14844"/>
    <w:rsid w:val="00D157ED"/>
    <w:rsid w:val="00D15F4D"/>
    <w:rsid w:val="00D2041C"/>
    <w:rsid w:val="00D20C55"/>
    <w:rsid w:val="00D22A9F"/>
    <w:rsid w:val="00D25538"/>
    <w:rsid w:val="00D25ADE"/>
    <w:rsid w:val="00D33FEA"/>
    <w:rsid w:val="00D3796F"/>
    <w:rsid w:val="00D41795"/>
    <w:rsid w:val="00D43270"/>
    <w:rsid w:val="00D43297"/>
    <w:rsid w:val="00D44DB6"/>
    <w:rsid w:val="00D45BB7"/>
    <w:rsid w:val="00D50119"/>
    <w:rsid w:val="00D50701"/>
    <w:rsid w:val="00D507D6"/>
    <w:rsid w:val="00D53B59"/>
    <w:rsid w:val="00D60C9A"/>
    <w:rsid w:val="00D70BCC"/>
    <w:rsid w:val="00D75CA1"/>
    <w:rsid w:val="00D801AB"/>
    <w:rsid w:val="00D824BF"/>
    <w:rsid w:val="00D82A43"/>
    <w:rsid w:val="00D90FC7"/>
    <w:rsid w:val="00DA09AC"/>
    <w:rsid w:val="00DA44ED"/>
    <w:rsid w:val="00DA5805"/>
    <w:rsid w:val="00DA7B5D"/>
    <w:rsid w:val="00DB3084"/>
    <w:rsid w:val="00DB6B6C"/>
    <w:rsid w:val="00DC1F64"/>
    <w:rsid w:val="00DE17F0"/>
    <w:rsid w:val="00DF157C"/>
    <w:rsid w:val="00DF58E7"/>
    <w:rsid w:val="00DF6C89"/>
    <w:rsid w:val="00E0472A"/>
    <w:rsid w:val="00E10B5F"/>
    <w:rsid w:val="00E116C7"/>
    <w:rsid w:val="00E11876"/>
    <w:rsid w:val="00E174BE"/>
    <w:rsid w:val="00E23CBB"/>
    <w:rsid w:val="00E266C7"/>
    <w:rsid w:val="00E33ABA"/>
    <w:rsid w:val="00E37B59"/>
    <w:rsid w:val="00E41AE3"/>
    <w:rsid w:val="00E466F9"/>
    <w:rsid w:val="00E47FF5"/>
    <w:rsid w:val="00E5052F"/>
    <w:rsid w:val="00E53438"/>
    <w:rsid w:val="00E552B9"/>
    <w:rsid w:val="00E55A9E"/>
    <w:rsid w:val="00E568BE"/>
    <w:rsid w:val="00E6178E"/>
    <w:rsid w:val="00E6305F"/>
    <w:rsid w:val="00E65320"/>
    <w:rsid w:val="00E7041E"/>
    <w:rsid w:val="00E714F8"/>
    <w:rsid w:val="00E725FC"/>
    <w:rsid w:val="00E76C46"/>
    <w:rsid w:val="00E77F3D"/>
    <w:rsid w:val="00E83F6C"/>
    <w:rsid w:val="00E86567"/>
    <w:rsid w:val="00E91D62"/>
    <w:rsid w:val="00E94664"/>
    <w:rsid w:val="00E95B74"/>
    <w:rsid w:val="00E97CB0"/>
    <w:rsid w:val="00EA1DE1"/>
    <w:rsid w:val="00EA2C0E"/>
    <w:rsid w:val="00EA36C6"/>
    <w:rsid w:val="00EA7D53"/>
    <w:rsid w:val="00EB042D"/>
    <w:rsid w:val="00EC21AA"/>
    <w:rsid w:val="00EC30F9"/>
    <w:rsid w:val="00EC641C"/>
    <w:rsid w:val="00EC75EA"/>
    <w:rsid w:val="00ED2FD3"/>
    <w:rsid w:val="00ED5725"/>
    <w:rsid w:val="00ED58DA"/>
    <w:rsid w:val="00ED5C28"/>
    <w:rsid w:val="00ED6992"/>
    <w:rsid w:val="00ED7031"/>
    <w:rsid w:val="00EE3060"/>
    <w:rsid w:val="00EE4315"/>
    <w:rsid w:val="00EE521E"/>
    <w:rsid w:val="00EE73B5"/>
    <w:rsid w:val="00EF06F1"/>
    <w:rsid w:val="00EF07BD"/>
    <w:rsid w:val="00EF222C"/>
    <w:rsid w:val="00EF3008"/>
    <w:rsid w:val="00EF6925"/>
    <w:rsid w:val="00F04789"/>
    <w:rsid w:val="00F0648A"/>
    <w:rsid w:val="00F10E8C"/>
    <w:rsid w:val="00F12118"/>
    <w:rsid w:val="00F15740"/>
    <w:rsid w:val="00F162EF"/>
    <w:rsid w:val="00F2116C"/>
    <w:rsid w:val="00F21429"/>
    <w:rsid w:val="00F24773"/>
    <w:rsid w:val="00F26ED3"/>
    <w:rsid w:val="00F30E9A"/>
    <w:rsid w:val="00F3179C"/>
    <w:rsid w:val="00F451EA"/>
    <w:rsid w:val="00F45AA9"/>
    <w:rsid w:val="00F47E96"/>
    <w:rsid w:val="00F515C1"/>
    <w:rsid w:val="00F56DEB"/>
    <w:rsid w:val="00F61EFE"/>
    <w:rsid w:val="00F62B7A"/>
    <w:rsid w:val="00F6397D"/>
    <w:rsid w:val="00F66AFA"/>
    <w:rsid w:val="00F66D5F"/>
    <w:rsid w:val="00F70551"/>
    <w:rsid w:val="00F72043"/>
    <w:rsid w:val="00F722D8"/>
    <w:rsid w:val="00F7293E"/>
    <w:rsid w:val="00F734B0"/>
    <w:rsid w:val="00F76650"/>
    <w:rsid w:val="00F800B1"/>
    <w:rsid w:val="00F82D0C"/>
    <w:rsid w:val="00F82DAD"/>
    <w:rsid w:val="00F85C47"/>
    <w:rsid w:val="00F8605A"/>
    <w:rsid w:val="00F9187B"/>
    <w:rsid w:val="00F92385"/>
    <w:rsid w:val="00FA1B4F"/>
    <w:rsid w:val="00FA2705"/>
    <w:rsid w:val="00FB18DD"/>
    <w:rsid w:val="00FB5062"/>
    <w:rsid w:val="00FB65DF"/>
    <w:rsid w:val="00FC04CF"/>
    <w:rsid w:val="00FC47F9"/>
    <w:rsid w:val="00FC50C3"/>
    <w:rsid w:val="00FC7E98"/>
    <w:rsid w:val="00FD4C10"/>
    <w:rsid w:val="00FD55A4"/>
    <w:rsid w:val="00FE2351"/>
    <w:rsid w:val="00FE337D"/>
    <w:rsid w:val="00FE5580"/>
    <w:rsid w:val="00FF110C"/>
    <w:rsid w:val="04A9B5F2"/>
    <w:rsid w:val="0ADC8B72"/>
    <w:rsid w:val="0C8529C8"/>
    <w:rsid w:val="0CE5F846"/>
    <w:rsid w:val="15A716B0"/>
    <w:rsid w:val="1A8A478A"/>
    <w:rsid w:val="1DC0F430"/>
    <w:rsid w:val="1E34F818"/>
    <w:rsid w:val="1E736200"/>
    <w:rsid w:val="28383991"/>
    <w:rsid w:val="29BA87B8"/>
    <w:rsid w:val="30DFF22E"/>
    <w:rsid w:val="3462E2F8"/>
    <w:rsid w:val="3B2FD3E8"/>
    <w:rsid w:val="44D84560"/>
    <w:rsid w:val="47FFCD34"/>
    <w:rsid w:val="495D29E2"/>
    <w:rsid w:val="4AA3E47D"/>
    <w:rsid w:val="4BB9F137"/>
    <w:rsid w:val="4BFB2830"/>
    <w:rsid w:val="51729747"/>
    <w:rsid w:val="5A4AA412"/>
    <w:rsid w:val="5AE259A8"/>
    <w:rsid w:val="5C0C860F"/>
    <w:rsid w:val="5D6BF392"/>
    <w:rsid w:val="5F7F1A14"/>
    <w:rsid w:val="6100E896"/>
    <w:rsid w:val="641D5E32"/>
    <w:rsid w:val="66B48080"/>
    <w:rsid w:val="68BC43F5"/>
    <w:rsid w:val="6E20DB63"/>
    <w:rsid w:val="6EC8596C"/>
    <w:rsid w:val="71364932"/>
    <w:rsid w:val="718127C8"/>
    <w:rsid w:val="731B9AC6"/>
    <w:rsid w:val="73888690"/>
    <w:rsid w:val="778B3CAC"/>
    <w:rsid w:val="7AE1B12C"/>
    <w:rsid w:val="7CD44274"/>
    <w:rsid w:val="7F53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05393"/>
  <w15:docId w15:val="{A800A00D-407E-45CA-AD19-E68A9250CDC0}"/>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5"/>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5"/>
      </w:numPr>
      <w:ind w:right="216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character" w:customStyle="1" w:styleId="UnresolvedMention1">
    <w:name w:val="Unresolved Mention1"/>
    <w:basedOn w:val="DefaultParagraphFont"/>
    <w:uiPriority w:val="99"/>
    <w:semiHidden/>
    <w:unhideWhenUsed/>
    <w:rsid w:val="002929CB"/>
    <w:rPr>
      <w:color w:val="605E5C"/>
      <w:shd w:val="clear" w:color="auto" w:fill="E1DFDD"/>
    </w:rPr>
  </w:style>
  <w:style w:type="paragraph" w:styleId="Revision">
    <w:name w:val="Revision"/>
    <w:hidden/>
    <w:uiPriority w:val="99"/>
    <w:semiHidden/>
    <w:rsid w:val="00456870"/>
    <w:pPr>
      <w:spacing w:after="0" w:line="240" w:lineRule="auto"/>
    </w:pPr>
    <w:rPr>
      <w:rFonts w:ascii="Book Antiqua" w:hAnsi="Book Antiqua"/>
      <w:sz w:val="26"/>
    </w:rPr>
  </w:style>
  <w:style w:type="paragraph" w:customStyle="1" w:styleId="BlockQuote0">
    <w:name w:val="BlockQuote"/>
    <w:basedOn w:val="Normal"/>
    <w:qFormat/>
    <w:rsid w:val="00CA0F30"/>
    <w:pPr>
      <w:spacing w:after="120" w:line="240" w:lineRule="auto"/>
      <w:ind w:left="720" w:right="1440" w:firstLine="0"/>
    </w:pPr>
  </w:style>
  <w:style w:type="paragraph" w:styleId="BodyText">
    <w:name w:val="Body Text"/>
    <w:basedOn w:val="Normal"/>
    <w:link w:val="BodyTextChar"/>
    <w:unhideWhenUsed/>
    <w:rsid w:val="0024432A"/>
    <w:pPr>
      <w:tabs>
        <w:tab w:val="left" w:pos="2160"/>
        <w:tab w:val="left" w:pos="3600"/>
      </w:tabs>
      <w:spacing w:line="240" w:lineRule="auto"/>
      <w:ind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4432A"/>
    <w:rPr>
      <w:rFonts w:ascii="Times New Roman" w:eastAsia="Times New Roman" w:hAnsi="Times New Roman" w:cs="Times New Roman"/>
      <w:sz w:val="24"/>
      <w:szCs w:val="20"/>
    </w:rPr>
  </w:style>
  <w:style w:type="paragraph" w:customStyle="1" w:styleId="Note1">
    <w:name w:val="Note1"/>
    <w:basedOn w:val="Normal"/>
    <w:qFormat/>
    <w:rsid w:val="0024432A"/>
    <w:pPr>
      <w:spacing w:line="240" w:lineRule="auto"/>
      <w:ind w:left="533" w:hanging="533"/>
    </w:pPr>
    <w:rPr>
      <w:rFonts w:ascii="Times New Roman" w:hAnsi="Times New Roman"/>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225800243">
      <w:bodyDiv w:val="1"/>
      <w:marLeft w:val="0"/>
      <w:marRight w:val="0"/>
      <w:marTop w:val="0"/>
      <w:marBottom w:val="0"/>
      <w:divBdr>
        <w:top w:val="none" w:sz="0" w:space="0" w:color="auto"/>
        <w:left w:val="none" w:sz="0" w:space="0" w:color="auto"/>
        <w:bottom w:val="none" w:sz="0" w:space="0" w:color="auto"/>
        <w:right w:val="none" w:sz="0" w:space="0" w:color="auto"/>
      </w:divBdr>
    </w:div>
    <w:div w:id="19354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docs.cpuc.ca.gov/PublishedDocs/Published/G000/M573/K510/573510069.pdf" TargetMode="External" Id="R8755cf02862a476c" /></Relationships>
</file>

<file path=word/_rels/footnotes.xml.rels><?xml version="1.0" encoding="UTF-8" standalone="yes"?>
<Relationships xmlns="http://schemas.openxmlformats.org/package/2006/relationships"><Relationship Id="rId1" Type="http://schemas.openxmlformats.org/officeDocument/2006/relationships/hyperlink" Target="https://www.gov.ca.gov/wp-content/uploads/2019/06/6.18.19-Executive-Or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6" ma:contentTypeDescription="Create a new document." ma:contentTypeScope="" ma:versionID="eea420ac1ba3dcd00acdf10f671c25ee">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654a2f02f20c70d75825c1ed89053b75"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3:ContentTag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ContentTagLIst" ma:index="23" nillable="true" ma:displayName="Content Tag" ma:format="Dropdown" ma:internalName="ContentTagLIst">
      <xsd:complexType>
        <xsd:complexContent>
          <xsd:extension base="dms:MultiChoice">
            <xsd:sequence>
              <xsd:element name="Value" maxOccurs="unbounded" minOccurs="0" nillable="true">
                <xsd:simpleType>
                  <xsd:restriction base="dms:Choice">
                    <xsd:enumeration value="ALJ Material"/>
                    <xsd:enumeration value="Support Material"/>
                    <xsd:enumeration value="Miscellaneo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ContentTagLIst xmlns="ef7e321c-44a6-4cb5-81f0-0bfd95ece2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79FFE-0A8C-409C-9D2A-DF55C286F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3.xml><?xml version="1.0" encoding="utf-8"?>
<ds:datastoreItem xmlns:ds="http://schemas.openxmlformats.org/officeDocument/2006/customXml" ds:itemID="{C939061A-2C1E-457A-B19C-F2831EE66DC0}">
  <ds:schemaRefs>
    <ds:schemaRef ds:uri="http://schemas.openxmlformats.org/officeDocument/2006/bibliography"/>
  </ds:schemaRefs>
</ds:datastoreItem>
</file>

<file path=customXml/itemProps4.xml><?xml version="1.0" encoding="utf-8"?>
<ds:datastoreItem xmlns:ds="http://schemas.openxmlformats.org/officeDocument/2006/customXml" ds:itemID="{B930DE7C-9577-4EA8-AC89-8E2B6CC952C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ap:Pages>
  <ap:Words>3301</ap:Words>
  <ap:Characters>18821</ap:Characters>
  <ap:Application>Microsoft Office Word</ap:Application>
  <ap:DocSecurity>0</ap:DocSecurity>
  <ap:Lines>156</ap:Lines>
  <ap:Paragraphs>44</ap:Paragraphs>
  <ap:ScaleCrop>false</ap:ScaleCrop>
  <ap:Company/>
  <ap:LinksUpToDate>false</ap:LinksUpToDate>
  <ap:CharactersWithSpaces>22078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2019-07-03T22:18:00Z</cp:lastPrinted>
  <dcterms:created xsi:type="dcterms:W3CDTF">2025-07-15T12:50:53Z</dcterms:created>
  <dcterms:modified xsi:type="dcterms:W3CDTF">2025-07-15T12:50:53Z</dcterms:modified>
</cp:coreProperties>
</file>