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1AAB" w:rsidR="00A76F4A" w:rsidP="00802705" w:rsidRDefault="00A76F4A" w14:paraId="1038F1A9" w14:textId="77777777">
      <w:pPr>
        <w:spacing w:after="0" w:line="240" w:lineRule="auto"/>
        <w:jc w:val="center"/>
        <w:rPr>
          <w:rFonts w:ascii="Helvetica" w:hAnsi="Helvetica" w:eastAsia="Times New Roman" w:cs="Helvetica"/>
          <w:b/>
          <w:bCs/>
          <w:spacing w:val="20"/>
          <w:kern w:val="0"/>
          <w:sz w:val="26"/>
          <w:szCs w:val="26"/>
          <w14:ligatures w14:val="none"/>
        </w:rPr>
      </w:pPr>
      <w:r w:rsidRPr="00251AAB">
        <w:rPr>
          <w:rFonts w:ascii="Helvetica" w:hAnsi="Helvetica" w:eastAsia="Times New Roman" w:cs="Helvetica"/>
          <w:b/>
          <w:bCs/>
          <w:spacing w:val="20"/>
          <w:kern w:val="0"/>
          <w:sz w:val="26"/>
          <w:szCs w:val="26"/>
          <w14:ligatures w14:val="none"/>
        </w:rPr>
        <w:t>PUBLIC UTILITIES COMMISSION OF THE STATE OF CALIFORNIA</w:t>
      </w:r>
    </w:p>
    <w:p w:rsidRPr="00251AAB" w:rsidR="00A76F4A" w:rsidP="00A76F4A" w:rsidRDefault="00A76F4A" w14:paraId="739BA5B3" w14:textId="77777777">
      <w:pPr>
        <w:suppressAutoHyphens/>
        <w:spacing w:after="0" w:line="240" w:lineRule="auto"/>
        <w:rPr>
          <w:rFonts w:ascii="Palatino Linotype" w:hAnsi="Palatino Linotype" w:eastAsia="Times New Roman" w:cs="Times New Roman"/>
          <w:kern w:val="0"/>
          <w14:ligatures w14:val="none"/>
        </w:rPr>
      </w:pPr>
    </w:p>
    <w:p w:rsidRPr="00251AAB" w:rsidR="00A76F4A" w:rsidP="00C65CF9" w:rsidRDefault="00A76F4A" w14:paraId="2AFEBBF1" w14:textId="5C398697">
      <w:pPr>
        <w:tabs>
          <w:tab w:val="left" w:pos="6300"/>
          <w:tab w:val="left" w:pos="6960"/>
          <w:tab w:val="right" w:pos="8820"/>
        </w:tabs>
        <w:spacing w:after="0" w:line="240" w:lineRule="auto"/>
        <w:rPr>
          <w:rFonts w:ascii="Palatino Linotype" w:hAnsi="Palatino Linotype" w:eastAsia="Times New Roman" w:cs="Times New Roman"/>
          <w:b/>
          <w:kern w:val="0"/>
          <w14:ligatures w14:val="none"/>
        </w:rPr>
      </w:pPr>
      <w:r w:rsidRPr="00251AAB">
        <w:rPr>
          <w:rFonts w:ascii="Palatino Linotype" w:hAnsi="Palatino Linotype" w:eastAsia="Times New Roman" w:cs="Times New Roman"/>
          <w:b/>
          <w:kern w:val="0"/>
          <w14:ligatures w14:val="none"/>
        </w:rPr>
        <w:tab/>
      </w:r>
      <w:r w:rsidR="00C65CF9">
        <w:rPr>
          <w:rFonts w:ascii="Palatino Linotype" w:hAnsi="Palatino Linotype" w:eastAsia="Times New Roman" w:cs="Times New Roman"/>
          <w:b/>
          <w:kern w:val="0"/>
          <w14:ligatures w14:val="none"/>
        </w:rPr>
        <w:t xml:space="preserve">         </w:t>
      </w:r>
      <w:r w:rsidRPr="00251AAB">
        <w:rPr>
          <w:rFonts w:ascii="Palatino Linotype" w:hAnsi="Palatino Linotype" w:eastAsia="Times New Roman" w:cs="Times New Roman"/>
          <w:b/>
          <w:kern w:val="0"/>
          <w14:ligatures w14:val="none"/>
        </w:rPr>
        <w:t>Agenda ID#</w:t>
      </w:r>
      <w:r w:rsidR="00C65CF9">
        <w:rPr>
          <w:rFonts w:ascii="Palatino Linotype" w:hAnsi="Palatino Linotype" w:eastAsia="Times New Roman" w:cs="Times New Roman"/>
          <w:b/>
          <w:kern w:val="0"/>
          <w14:ligatures w14:val="none"/>
        </w:rPr>
        <w:t xml:space="preserve"> </w:t>
      </w:r>
      <w:r w:rsidRPr="00C65CF9" w:rsidR="00C65CF9">
        <w:rPr>
          <w:rFonts w:ascii="Palatino Linotype" w:hAnsi="Palatino Linotype" w:eastAsia="Times New Roman" w:cs="Times New Roman"/>
          <w:b/>
          <w:bCs/>
          <w:kern w:val="0"/>
          <w14:ligatures w14:val="none"/>
        </w:rPr>
        <w:t>23629</w:t>
      </w:r>
    </w:p>
    <w:p w:rsidRPr="00251AAB" w:rsidR="00A76F4A" w:rsidP="00A76F4A" w:rsidRDefault="00204B1B" w14:paraId="097CE738" w14:textId="1779AA76">
      <w:pPr>
        <w:tabs>
          <w:tab w:val="right" w:pos="8820"/>
        </w:tabs>
        <w:spacing w:after="0" w:line="240" w:lineRule="auto"/>
        <w:rPr>
          <w:rFonts w:ascii="Palatino Linotype" w:hAnsi="Palatino Linotype" w:eastAsia="Palatino Linotype" w:cs="Times New Roman"/>
          <w:b/>
          <w:kern w:val="0"/>
          <w14:ligatures w14:val="none"/>
        </w:rPr>
      </w:pPr>
      <w:r w:rsidRPr="00251AAB">
        <w:rPr>
          <w:rFonts w:ascii="Palatino Linotype" w:hAnsi="Palatino Linotype" w:eastAsia="Palatino Linotype" w:cs="Times New Roman"/>
          <w:b/>
          <w:kern w:val="0"/>
          <w14:ligatures w14:val="none"/>
        </w:rPr>
        <w:t>ENERGY DIVISION</w:t>
      </w:r>
      <w:r w:rsidRPr="00251AAB" w:rsidR="00A76F4A">
        <w:rPr>
          <w:rFonts w:ascii="Palatino Linotype" w:hAnsi="Palatino Linotype" w:eastAsia="Times New Roman" w:cs="Times New Roman"/>
          <w:b/>
          <w:kern w:val="0"/>
          <w14:ligatures w14:val="none"/>
        </w:rPr>
        <w:tab/>
      </w:r>
      <w:r w:rsidRPr="00251AAB" w:rsidR="00A76F4A">
        <w:rPr>
          <w:rFonts w:ascii="Palatino Linotype" w:hAnsi="Palatino Linotype" w:eastAsia="Palatino Linotype" w:cs="Times New Roman"/>
          <w:b/>
          <w:kern w:val="0"/>
          <w14:ligatures w14:val="none"/>
        </w:rPr>
        <w:t xml:space="preserve">       </w:t>
      </w:r>
      <w:r w:rsidRPr="00251AAB" w:rsidR="00A76F4A">
        <w:rPr>
          <w:rFonts w:ascii="Palatino Linotype" w:hAnsi="Palatino Linotype" w:eastAsia="Palatino Linotype" w:cs="Times New Roman"/>
          <w:b/>
        </w:rPr>
        <w:t xml:space="preserve">RESOLUTION </w:t>
      </w:r>
      <w:r w:rsidRPr="00251AAB" w:rsidR="00126C6C">
        <w:rPr>
          <w:rFonts w:ascii="Palatino Linotype" w:hAnsi="Palatino Linotype" w:eastAsia="Palatino Linotype" w:cs="Times New Roman"/>
          <w:b/>
        </w:rPr>
        <w:t>G-3606</w:t>
      </w:r>
    </w:p>
    <w:p w:rsidRPr="00251AAB" w:rsidR="00A76F4A" w:rsidP="00A76F4A" w:rsidRDefault="00251AAB" w14:paraId="17BEFA95" w14:textId="5AE1D390">
      <w:pPr>
        <w:tabs>
          <w:tab w:val="right" w:pos="8820"/>
        </w:tabs>
        <w:spacing w:after="0" w:line="240" w:lineRule="auto"/>
        <w:ind w:left="5040"/>
        <w:rPr>
          <w:rFonts w:ascii="Palatino Linotype" w:hAnsi="Palatino Linotype" w:eastAsia="Times New Roman" w:cs="Times New Roman"/>
          <w:b/>
          <w:kern w:val="0"/>
          <w14:ligatures w14:val="none"/>
        </w:rPr>
      </w:pPr>
      <w:r w:rsidRPr="00251AAB">
        <w:rPr>
          <w:rFonts w:ascii="Palatino Linotype" w:hAnsi="Palatino Linotype" w:eastAsia="Times New Roman" w:cs="Times New Roman"/>
          <w:b/>
          <w:kern w:val="0"/>
          <w14:ligatures w14:val="none"/>
        </w:rPr>
        <w:t xml:space="preserve">                                  August 14, 2025</w:t>
      </w:r>
    </w:p>
    <w:p w:rsidRPr="00251AAB" w:rsidR="00251AAB" w:rsidP="00251AAB" w:rsidRDefault="00A76F4A" w14:paraId="1371712E" w14:textId="66D6C271">
      <w:pPr>
        <w:tabs>
          <w:tab w:val="right" w:pos="8910"/>
        </w:tabs>
        <w:spacing w:after="0" w:line="240" w:lineRule="auto"/>
        <w:ind w:left="1440" w:firstLine="720"/>
        <w:rPr>
          <w:rFonts w:ascii="Palatino Linotype" w:hAnsi="Palatino Linotype" w:eastAsia="Times New Roman" w:cs="Times New Roman"/>
          <w:b/>
          <w:kern w:val="0"/>
          <w14:ligatures w14:val="none"/>
        </w:rPr>
      </w:pPr>
      <w:r w:rsidRPr="00251AAB">
        <w:rPr>
          <w:rFonts w:ascii="Palatino Linotype" w:hAnsi="Palatino Linotype" w:eastAsia="Times New Roman" w:cs="Times New Roman"/>
          <w:b/>
          <w:kern w:val="0"/>
          <w14:ligatures w14:val="none"/>
        </w:rPr>
        <w:tab/>
      </w:r>
    </w:p>
    <w:p w:rsidRPr="00251AAB" w:rsidR="00A76F4A" w:rsidP="00A76F4A" w:rsidRDefault="00A76F4A" w14:paraId="524F4DC8"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376FAB" w:rsidR="00A76F4A" w:rsidP="00A76F4A" w:rsidRDefault="00A76F4A" w14:paraId="4767E366" w14:textId="77777777">
      <w:pPr>
        <w:keepNext/>
        <w:spacing w:after="0" w:line="240" w:lineRule="auto"/>
        <w:jc w:val="center"/>
        <w:rPr>
          <w:rFonts w:ascii="Palatino Linotype" w:hAnsi="Palatino Linotype" w:eastAsia="Times New Roman" w:cs="Times New Roman"/>
          <w:b/>
          <w:spacing w:val="120"/>
          <w:kern w:val="0"/>
          <w:sz w:val="26"/>
          <w:szCs w:val="26"/>
          <w:u w:val="single"/>
          <w14:ligatures w14:val="none"/>
        </w:rPr>
      </w:pPr>
      <w:bookmarkStart w:name="_Ref404993683" w:id="0"/>
      <w:r w:rsidRPr="00376FAB">
        <w:rPr>
          <w:rFonts w:ascii="Palatino Linotype" w:hAnsi="Palatino Linotype" w:eastAsia="Times New Roman" w:cs="Times New Roman"/>
          <w:b/>
          <w:spacing w:val="120"/>
          <w:kern w:val="0"/>
          <w:sz w:val="26"/>
          <w:szCs w:val="26"/>
          <w:u w:val="single"/>
          <w14:ligatures w14:val="none"/>
        </w:rPr>
        <w:t>RESOLUTION</w:t>
      </w:r>
    </w:p>
    <w:p w:rsidRPr="00251AAB" w:rsidR="00A76F4A" w:rsidP="00A76F4A" w:rsidRDefault="00A76F4A" w14:paraId="778B8F8D"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400F09B6" w14:textId="02B92B5D">
      <w:pPr>
        <w:spacing w:after="0" w:line="240" w:lineRule="auto"/>
        <w:ind w:left="720" w:right="720"/>
        <w:rPr>
          <w:rFonts w:ascii="Palatino Linotype" w:hAnsi="Palatino Linotype" w:eastAsia="Times New Roman" w:cs="Times New Roman"/>
          <w:kern w:val="0"/>
          <w14:ligatures w14:val="none"/>
        </w:rPr>
      </w:pPr>
      <w:r w:rsidRPr="00251AAB">
        <w:rPr>
          <w:rFonts w:ascii="Palatino Linotype" w:hAnsi="Palatino Linotype" w:eastAsia="Times New Roman" w:cs="Times New Roman"/>
          <w:kern w:val="0"/>
          <w14:ligatures w14:val="none"/>
        </w:rPr>
        <w:t xml:space="preserve">Resolution </w:t>
      </w:r>
      <w:r w:rsidRPr="00251AAB" w:rsidR="00126C6C">
        <w:rPr>
          <w:rFonts w:ascii="Palatino Linotype" w:hAnsi="Palatino Linotype" w:eastAsia="Times New Roman" w:cs="Times New Roman"/>
          <w:kern w:val="0"/>
          <w14:ligatures w14:val="none"/>
        </w:rPr>
        <w:t>G-3606</w:t>
      </w:r>
      <w:r w:rsidRPr="00251AAB" w:rsidR="00D242C4">
        <w:rPr>
          <w:rFonts w:ascii="Palatino Linotype" w:hAnsi="Palatino Linotype" w:eastAsia="Times New Roman" w:cs="Times New Roman"/>
          <w:kern w:val="0"/>
          <w14:ligatures w14:val="none"/>
        </w:rPr>
        <w:t xml:space="preserve">. </w:t>
      </w:r>
      <w:r w:rsidRPr="00251AAB" w:rsidR="006E18C0">
        <w:rPr>
          <w:rFonts w:ascii="Palatino Linotype" w:hAnsi="Palatino Linotype" w:eastAsia="Times New Roman" w:cs="Times New Roman"/>
          <w:kern w:val="0"/>
          <w14:ligatures w14:val="none"/>
        </w:rPr>
        <w:t>D</w:t>
      </w:r>
      <w:r w:rsidRPr="00251AAB" w:rsidR="00D242C4">
        <w:rPr>
          <w:rFonts w:ascii="Palatino Linotype" w:hAnsi="Palatino Linotype" w:eastAsia="Times New Roman" w:cs="Times New Roman"/>
          <w:kern w:val="0"/>
          <w14:ligatures w14:val="none"/>
        </w:rPr>
        <w:t>enies</w:t>
      </w:r>
      <w:r w:rsidRPr="00251AAB">
        <w:rPr>
          <w:rFonts w:ascii="Palatino Linotype" w:hAnsi="Palatino Linotype" w:eastAsia="Times New Roman" w:cs="Times New Roman"/>
          <w:kern w:val="0"/>
          <w14:ligatures w14:val="none"/>
        </w:rPr>
        <w:t xml:space="preserve"> </w:t>
      </w:r>
      <w:r w:rsidRPr="00251AAB" w:rsidR="00126C6C">
        <w:rPr>
          <w:rFonts w:ascii="Palatino Linotype" w:hAnsi="Palatino Linotype" w:eastAsia="Times New Roman" w:cs="Times New Roman"/>
          <w:kern w:val="0"/>
          <w14:ligatures w14:val="none"/>
        </w:rPr>
        <w:t>San Diego Gas &amp; Electric</w:t>
      </w:r>
      <w:r w:rsidRPr="00251AAB" w:rsidR="00D242C4">
        <w:rPr>
          <w:rFonts w:ascii="Palatino Linotype" w:hAnsi="Palatino Linotype" w:eastAsia="Times New Roman" w:cs="Times New Roman"/>
          <w:kern w:val="0"/>
          <w14:ligatures w14:val="none"/>
        </w:rPr>
        <w:t>’s</w:t>
      </w:r>
      <w:r w:rsidRPr="00251AAB" w:rsidR="00126C6C">
        <w:rPr>
          <w:rFonts w:ascii="Palatino Linotype" w:hAnsi="Palatino Linotype" w:eastAsia="Times New Roman" w:cs="Times New Roman"/>
          <w:kern w:val="0"/>
          <w14:ligatures w14:val="none"/>
        </w:rPr>
        <w:t xml:space="preserve"> </w:t>
      </w:r>
      <w:r w:rsidRPr="00251AAB" w:rsidR="00B871FE">
        <w:rPr>
          <w:rFonts w:ascii="Palatino Linotype" w:hAnsi="Palatino Linotype" w:eastAsia="Times New Roman" w:cs="Times New Roman"/>
          <w:kern w:val="0"/>
          <w14:ligatures w14:val="none"/>
        </w:rPr>
        <w:t>r</w:t>
      </w:r>
      <w:r w:rsidRPr="00251AAB" w:rsidR="006E18C0">
        <w:rPr>
          <w:rFonts w:ascii="Palatino Linotype" w:hAnsi="Palatino Linotype" w:eastAsia="Times New Roman" w:cs="Times New Roman"/>
          <w:kern w:val="0"/>
          <w14:ligatures w14:val="none"/>
        </w:rPr>
        <w:t xml:space="preserve">atemaking </w:t>
      </w:r>
      <w:r w:rsidRPr="00251AAB" w:rsidR="0090331D">
        <w:rPr>
          <w:rFonts w:ascii="Palatino Linotype" w:hAnsi="Palatino Linotype" w:eastAsia="Times New Roman" w:cs="Times New Roman"/>
          <w:kern w:val="0"/>
          <w14:ligatures w14:val="none"/>
        </w:rPr>
        <w:t>f</w:t>
      </w:r>
      <w:r w:rsidRPr="00251AAB" w:rsidR="006E18C0">
        <w:rPr>
          <w:rFonts w:ascii="Palatino Linotype" w:hAnsi="Palatino Linotype" w:eastAsia="Times New Roman" w:cs="Times New Roman"/>
          <w:kern w:val="0"/>
          <w14:ligatures w14:val="none"/>
        </w:rPr>
        <w:t xml:space="preserve">orecasts for its </w:t>
      </w:r>
      <w:r w:rsidRPr="00251AAB" w:rsidR="006414D3">
        <w:rPr>
          <w:rFonts w:ascii="Palatino Linotype" w:hAnsi="Palatino Linotype" w:eastAsia="Times New Roman" w:cs="Times New Roman"/>
          <w:kern w:val="0"/>
          <w14:ligatures w14:val="none"/>
        </w:rPr>
        <w:t xml:space="preserve">2024 </w:t>
      </w:r>
      <w:r w:rsidRPr="00251AAB" w:rsidR="008253FB">
        <w:rPr>
          <w:rFonts w:ascii="Palatino Linotype" w:hAnsi="Palatino Linotype" w:eastAsia="Times New Roman" w:cs="Times New Roman"/>
          <w:kern w:val="0"/>
          <w14:ligatures w14:val="none"/>
        </w:rPr>
        <w:t xml:space="preserve">Natural Gas Leak Abatement </w:t>
      </w:r>
      <w:r w:rsidRPr="00251AAB" w:rsidR="00D242C4">
        <w:rPr>
          <w:rFonts w:ascii="Palatino Linotype" w:hAnsi="Palatino Linotype" w:eastAsia="Times New Roman" w:cs="Times New Roman"/>
          <w:kern w:val="0"/>
          <w14:ligatures w14:val="none"/>
        </w:rPr>
        <w:t xml:space="preserve">Compliance Plan </w:t>
      </w:r>
      <w:r w:rsidRPr="00251AAB" w:rsidR="006E18C0">
        <w:rPr>
          <w:rFonts w:ascii="Palatino Linotype" w:hAnsi="Palatino Linotype" w:eastAsia="Times New Roman" w:cs="Times New Roman"/>
          <w:kern w:val="0"/>
          <w14:ligatures w14:val="none"/>
        </w:rPr>
        <w:t>and approves</w:t>
      </w:r>
      <w:r w:rsidRPr="00251AAB" w:rsidR="008253FB">
        <w:rPr>
          <w:rFonts w:ascii="Palatino Linotype" w:hAnsi="Palatino Linotype" w:eastAsia="Times New Roman" w:cs="Times New Roman"/>
          <w:kern w:val="0"/>
          <w14:ligatures w14:val="none"/>
        </w:rPr>
        <w:t xml:space="preserve"> </w:t>
      </w:r>
      <w:r w:rsidRPr="00251AAB" w:rsidR="006E18C0">
        <w:rPr>
          <w:rFonts w:ascii="Palatino Linotype" w:hAnsi="Palatino Linotype" w:eastAsia="Times New Roman" w:cs="Times New Roman"/>
          <w:kern w:val="0"/>
          <w14:ligatures w14:val="none"/>
        </w:rPr>
        <w:t>previously under-recovered capital costs</w:t>
      </w:r>
      <w:r w:rsidRPr="00251AAB" w:rsidR="008253FB">
        <w:rPr>
          <w:rFonts w:ascii="Palatino Linotype" w:hAnsi="Palatino Linotype" w:eastAsia="Times New Roman" w:cs="Times New Roman"/>
          <w:kern w:val="0"/>
          <w14:ligatures w14:val="none"/>
        </w:rPr>
        <w:t>.</w:t>
      </w:r>
      <w:r w:rsidRPr="00251AAB" w:rsidR="00D242C4">
        <w:rPr>
          <w:rFonts w:ascii="Palatino Linotype" w:hAnsi="Palatino Linotype" w:eastAsia="Times New Roman" w:cs="Times New Roman"/>
          <w:kern w:val="0"/>
          <w14:ligatures w14:val="none"/>
        </w:rPr>
        <w:t xml:space="preserve"> </w:t>
      </w:r>
    </w:p>
    <w:p w:rsidRPr="00251AAB" w:rsidR="00D242C4" w:rsidP="00A76F4A" w:rsidRDefault="00D242C4" w14:paraId="1DB8F999" w14:textId="77777777">
      <w:pPr>
        <w:spacing w:after="0" w:line="240" w:lineRule="auto"/>
        <w:ind w:left="720" w:right="720"/>
        <w:rPr>
          <w:rFonts w:ascii="Palatino Linotype" w:hAnsi="Palatino Linotype" w:eastAsia="Times New Roman" w:cs="Times New Roman"/>
          <w:kern w:val="0"/>
          <w14:ligatures w14:val="none"/>
        </w:rPr>
      </w:pPr>
    </w:p>
    <w:p w:rsidRPr="00251AAB" w:rsidR="00A76F4A" w:rsidP="00A76F4A" w:rsidRDefault="00A76F4A" w14:paraId="3DE3512A" w14:textId="7777777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PROPOSED OUTCOME: </w:t>
      </w:r>
    </w:p>
    <w:p w:rsidRPr="00251AAB" w:rsidR="006E18C0" w:rsidP="006E18C0" w:rsidRDefault="006E18C0" w14:paraId="07F6A480" w14:textId="14B3A62A">
      <w:pPr>
        <w:numPr>
          <w:ilvl w:val="0"/>
          <w:numId w:val="4"/>
        </w:numPr>
        <w:spacing w:after="0" w:line="240" w:lineRule="auto"/>
        <w:ind w:right="720"/>
        <w:rPr>
          <w:rFonts w:ascii="Palatino Linotype" w:hAnsi="Palatino Linotype" w:eastAsia="Times New Roman" w:cs="Times New Roman"/>
          <w:kern w:val="0"/>
          <w14:ligatures w14:val="none"/>
        </w:rPr>
      </w:pPr>
      <w:r w:rsidRPr="00251AAB">
        <w:rPr>
          <w:rFonts w:ascii="Palatino Linotype" w:hAnsi="Palatino Linotype" w:eastAsia="Palatino Linotype" w:cs="Palatino Linotype"/>
          <w:kern w:val="0"/>
          <w14:ligatures w14:val="none"/>
        </w:rPr>
        <w:t>Denies ratemaking forecasts and cost caps</w:t>
      </w:r>
      <w:r w:rsidRPr="00251AAB" w:rsidR="005B0943">
        <w:rPr>
          <w:rFonts w:ascii="Palatino Linotype" w:hAnsi="Palatino Linotype" w:eastAsia="Palatino Linotype" w:cs="Palatino Linotype"/>
          <w:kern w:val="0"/>
          <w14:ligatures w14:val="none"/>
        </w:rPr>
        <w:t xml:space="preserve"> </w:t>
      </w:r>
      <w:r w:rsidRPr="00251AAB">
        <w:rPr>
          <w:rFonts w:ascii="Palatino Linotype" w:hAnsi="Palatino Linotype" w:eastAsia="Palatino Linotype" w:cs="Palatino Linotype"/>
          <w:kern w:val="0"/>
          <w14:ligatures w14:val="none"/>
        </w:rPr>
        <w:t xml:space="preserve">submitted by </w:t>
      </w:r>
      <w:r w:rsidRPr="00251AAB" w:rsidR="00D650D6">
        <w:rPr>
          <w:rFonts w:ascii="Palatino Linotype" w:hAnsi="Palatino Linotype" w:eastAsia="Palatino Linotype" w:cs="Palatino Linotype"/>
          <w:kern w:val="0"/>
          <w14:ligatures w14:val="none"/>
        </w:rPr>
        <w:t>San Diego Gas &amp; Electric (SDG&amp;E)</w:t>
      </w:r>
      <w:r w:rsidRPr="00251AAB">
        <w:rPr>
          <w:rFonts w:ascii="Palatino Linotype" w:hAnsi="Palatino Linotype" w:eastAsia="Palatino Linotype" w:cs="Palatino Linotype"/>
          <w:kern w:val="0"/>
          <w14:ligatures w14:val="none"/>
        </w:rPr>
        <w:t xml:space="preserve"> for its 2024 Natural Gas Leak Abatement (NGLA) </w:t>
      </w:r>
      <w:r w:rsidRPr="00251AAB" w:rsidR="00BE6DC2">
        <w:rPr>
          <w:rFonts w:ascii="Palatino Linotype" w:hAnsi="Palatino Linotype" w:eastAsia="Palatino Linotype" w:cs="Palatino Linotype"/>
          <w:kern w:val="0"/>
          <w14:ligatures w14:val="none"/>
        </w:rPr>
        <w:t>program</w:t>
      </w:r>
      <w:r w:rsidRPr="00251AAB">
        <w:rPr>
          <w:rFonts w:ascii="Palatino Linotype" w:hAnsi="Palatino Linotype" w:eastAsia="Palatino Linotype" w:cs="Palatino Linotype"/>
          <w:kern w:val="0"/>
          <w14:ligatures w14:val="none"/>
        </w:rPr>
        <w:t xml:space="preserve"> in Advice Letter </w:t>
      </w:r>
      <w:r w:rsidRPr="00251AAB" w:rsidR="00D650D6">
        <w:rPr>
          <w:rFonts w:ascii="Palatino Linotype" w:hAnsi="Palatino Linotype" w:eastAsia="Palatino Linotype" w:cs="Palatino Linotype"/>
          <w:kern w:val="0"/>
          <w14:ligatures w14:val="none"/>
        </w:rPr>
        <w:t>3285</w:t>
      </w:r>
      <w:r w:rsidRPr="00251AAB">
        <w:rPr>
          <w:rFonts w:ascii="Palatino Linotype" w:hAnsi="Palatino Linotype" w:eastAsia="Palatino Linotype" w:cs="Palatino Linotype"/>
          <w:kern w:val="0"/>
          <w14:ligatures w14:val="none"/>
        </w:rPr>
        <w:t>-G-</w:t>
      </w:r>
      <w:r w:rsidRPr="00251AAB" w:rsidR="00D650D6">
        <w:rPr>
          <w:rFonts w:ascii="Palatino Linotype" w:hAnsi="Palatino Linotype" w:eastAsia="Palatino Linotype" w:cs="Palatino Linotype"/>
          <w:kern w:val="0"/>
          <w14:ligatures w14:val="none"/>
        </w:rPr>
        <w:t>A</w:t>
      </w:r>
      <w:r w:rsidRPr="00251AAB">
        <w:rPr>
          <w:rFonts w:ascii="Palatino Linotype" w:hAnsi="Palatino Linotype" w:eastAsia="Palatino Linotype" w:cs="Palatino Linotype"/>
          <w:kern w:val="0"/>
          <w14:ligatures w14:val="none"/>
        </w:rPr>
        <w:t xml:space="preserve"> and </w:t>
      </w:r>
      <w:r w:rsidRPr="00251AAB" w:rsidR="00D650D6">
        <w:rPr>
          <w:rFonts w:ascii="Palatino Linotype" w:hAnsi="Palatino Linotype" w:eastAsia="Palatino Linotype" w:cs="Palatino Linotype"/>
          <w:kern w:val="0"/>
          <w14:ligatures w14:val="none"/>
        </w:rPr>
        <w:t>approves request for rate recovery of previously approved under-recovered capital costs.</w:t>
      </w:r>
    </w:p>
    <w:p w:rsidRPr="00251AAB" w:rsidR="00A76F4A" w:rsidP="00A76F4A" w:rsidRDefault="00A76F4A" w14:paraId="711BBA7A"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SAFETY CONSIDERATIONS:</w:t>
      </w:r>
    </w:p>
    <w:p w:rsidRPr="00251AAB" w:rsidR="00D242C4" w:rsidP="00D242C4" w:rsidRDefault="00D242C4" w14:paraId="0DF60895" w14:textId="77777777">
      <w:pPr>
        <w:numPr>
          <w:ilvl w:val="0"/>
          <w:numId w:val="3"/>
        </w:numPr>
        <w:spacing w:after="0" w:line="240" w:lineRule="auto"/>
        <w:ind w:right="720"/>
        <w:rPr>
          <w:rFonts w:ascii="Palatino Linotype" w:hAnsi="Palatino Linotype" w:eastAsia="Times New Roman" w:cs="Times New Roman"/>
          <w:kern w:val="0"/>
          <w14:ligatures w14:val="none"/>
        </w:rPr>
      </w:pPr>
      <w:r w:rsidRPr="00251AAB">
        <w:rPr>
          <w:rFonts w:ascii="Palatino Linotype" w:hAnsi="Palatino Linotype" w:eastAsia="Palatino Linotype" w:cs="Palatino Linotype"/>
        </w:rPr>
        <w:t>Repairing or replacing pipes and modifying operations and associated infrastructure to reduce methane emissions also results in modest improvements to natural gas pipeline safety.</w:t>
      </w:r>
    </w:p>
    <w:p w:rsidRPr="00251AAB" w:rsidR="00A76F4A" w:rsidP="00A76F4A" w:rsidRDefault="00A76F4A" w14:paraId="64A6B8D1" w14:textId="77777777">
      <w:pPr>
        <w:spacing w:after="0" w:line="240" w:lineRule="auto"/>
        <w:ind w:left="720" w:right="720"/>
        <w:rPr>
          <w:rFonts w:ascii="Palatino Linotype" w:hAnsi="Palatino Linotype" w:eastAsia="Palatino Linotype" w:cs="Times New Roman"/>
          <w:kern w:val="0"/>
          <w14:ligatures w14:val="none"/>
        </w:rPr>
      </w:pPr>
    </w:p>
    <w:p w:rsidRPr="00251AAB" w:rsidR="00A76F4A" w:rsidP="00A76F4A" w:rsidRDefault="00A76F4A" w14:paraId="6B0D0B8E" w14:textId="7777777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ESTIMATED COST:  </w:t>
      </w:r>
    </w:p>
    <w:p w:rsidRPr="00251AAB" w:rsidR="00D242C4" w:rsidP="00D242C4" w:rsidRDefault="004D3A3B" w14:paraId="3DEFCD71" w14:textId="61D45CD6">
      <w:pPr>
        <w:numPr>
          <w:ilvl w:val="0"/>
          <w:numId w:val="3"/>
        </w:numPr>
        <w:spacing w:after="0" w:line="240" w:lineRule="auto"/>
        <w:ind w:right="720"/>
        <w:rPr>
          <w:rFonts w:ascii="Palatino Linotype" w:hAnsi="Palatino Linotype" w:eastAsia="Times New Roman" w:cs="Times New Roman"/>
        </w:rPr>
      </w:pPr>
      <w:r w:rsidRPr="00251AAB">
        <w:rPr>
          <w:rFonts w:ascii="Palatino Linotype" w:hAnsi="Palatino Linotype" w:eastAsia="Palatino Linotype" w:cs="Palatino Linotype"/>
        </w:rPr>
        <w:t>A</w:t>
      </w:r>
      <w:r w:rsidRPr="00251AAB" w:rsidR="00D242C4">
        <w:rPr>
          <w:rFonts w:ascii="Palatino Linotype" w:hAnsi="Palatino Linotype" w:eastAsia="Palatino Linotype" w:cs="Palatino Linotype"/>
        </w:rPr>
        <w:t xml:space="preserve"> Total Revenue Requirement</w:t>
      </w:r>
      <w:r w:rsidRPr="00251AAB" w:rsidR="00B64CD9">
        <w:rPr>
          <w:rFonts w:ascii="Palatino Linotype" w:hAnsi="Palatino Linotype" w:eastAsia="Palatino Linotype" w:cs="Palatino Linotype"/>
        </w:rPr>
        <w:t xml:space="preserve"> </w:t>
      </w:r>
      <w:r w:rsidRPr="00251AAB">
        <w:rPr>
          <w:rFonts w:ascii="Palatino Linotype" w:hAnsi="Palatino Linotype" w:eastAsia="Palatino Linotype" w:cs="Palatino Linotype"/>
        </w:rPr>
        <w:t xml:space="preserve">of </w:t>
      </w:r>
      <w:r w:rsidRPr="00251AAB" w:rsidR="00D92E5E">
        <w:rPr>
          <w:rFonts w:ascii="Palatino Linotype" w:hAnsi="Palatino Linotype" w:eastAsia="Palatino Linotype" w:cs="Palatino Linotype"/>
        </w:rPr>
        <w:t>$222,000</w:t>
      </w:r>
      <w:r w:rsidRPr="00251AAB" w:rsidR="00A310C0">
        <w:rPr>
          <w:rFonts w:ascii="Palatino Linotype" w:hAnsi="Palatino Linotype" w:eastAsia="Palatino Linotype" w:cs="Palatino Linotype"/>
        </w:rPr>
        <w:t xml:space="preserve"> </w:t>
      </w:r>
      <w:r w:rsidRPr="00251AAB">
        <w:rPr>
          <w:rFonts w:ascii="Palatino Linotype" w:hAnsi="Palatino Linotype" w:eastAsia="Palatino Linotype" w:cs="Palatino Linotype"/>
        </w:rPr>
        <w:t xml:space="preserve">is </w:t>
      </w:r>
      <w:r w:rsidRPr="00251AAB" w:rsidR="00B64CD9">
        <w:rPr>
          <w:rFonts w:ascii="Palatino Linotype" w:hAnsi="Palatino Linotype" w:eastAsia="Palatino Linotype" w:cs="Palatino Linotype"/>
        </w:rPr>
        <w:t>approved</w:t>
      </w:r>
      <w:r w:rsidRPr="00251AAB" w:rsidR="00D242C4">
        <w:rPr>
          <w:rFonts w:ascii="Palatino Linotype" w:hAnsi="Palatino Linotype" w:eastAsia="Palatino Linotype" w:cs="Palatino Linotype"/>
        </w:rPr>
        <w:t xml:space="preserve"> </w:t>
      </w:r>
      <w:r w:rsidRPr="00251AAB" w:rsidR="00AA7533">
        <w:rPr>
          <w:rFonts w:ascii="Palatino Linotype" w:hAnsi="Palatino Linotype" w:eastAsia="Palatino Linotype" w:cs="Palatino Linotype"/>
        </w:rPr>
        <w:t xml:space="preserve">for recovery in </w:t>
      </w:r>
      <w:r w:rsidRPr="00251AAB" w:rsidR="00D242C4">
        <w:rPr>
          <w:rFonts w:ascii="Palatino Linotype" w:hAnsi="Palatino Linotype" w:eastAsia="Palatino Linotype" w:cs="Palatino Linotype"/>
        </w:rPr>
        <w:t>2025</w:t>
      </w:r>
      <w:r w:rsidRPr="00251AAB">
        <w:rPr>
          <w:rFonts w:ascii="Palatino Linotype" w:hAnsi="Palatino Linotype" w:eastAsia="Palatino Linotype" w:cs="Palatino Linotype"/>
        </w:rPr>
        <w:t xml:space="preserve"> and </w:t>
      </w:r>
      <w:r w:rsidRPr="00251AAB" w:rsidR="00D242C4">
        <w:rPr>
          <w:rFonts w:ascii="Palatino Linotype" w:hAnsi="Palatino Linotype" w:eastAsia="Palatino Linotype" w:cs="Palatino Linotype"/>
        </w:rPr>
        <w:t>2026</w:t>
      </w:r>
      <w:r w:rsidRPr="00251AAB">
        <w:rPr>
          <w:rFonts w:ascii="Palatino Linotype" w:hAnsi="Palatino Linotype" w:eastAsia="Palatino Linotype" w:cs="Palatino Linotype"/>
        </w:rPr>
        <w:t xml:space="preserve"> </w:t>
      </w:r>
      <w:r w:rsidRPr="00251AAB" w:rsidR="00D242C4">
        <w:rPr>
          <w:rFonts w:ascii="Palatino Linotype" w:hAnsi="Palatino Linotype" w:eastAsia="Palatino Linotype" w:cs="Palatino Linotype"/>
        </w:rPr>
        <w:t xml:space="preserve">of </w:t>
      </w:r>
      <w:r w:rsidRPr="00251AAB">
        <w:rPr>
          <w:rFonts w:ascii="Palatino Linotype" w:hAnsi="Palatino Linotype" w:eastAsia="Palatino Linotype" w:cs="Palatino Linotype"/>
        </w:rPr>
        <w:t xml:space="preserve">SDG&amp;E’s </w:t>
      </w:r>
      <w:r w:rsidRPr="00251AAB" w:rsidR="00D242C4">
        <w:rPr>
          <w:rFonts w:ascii="Palatino Linotype" w:hAnsi="Palatino Linotype" w:eastAsia="Palatino Linotype" w:cs="Palatino Linotype"/>
        </w:rPr>
        <w:t>previously</w:t>
      </w:r>
      <w:r w:rsidRPr="00251AAB">
        <w:rPr>
          <w:rFonts w:ascii="Palatino Linotype" w:hAnsi="Palatino Linotype" w:eastAsia="Palatino Linotype" w:cs="Palatino Linotype"/>
        </w:rPr>
        <w:t xml:space="preserve"> approved</w:t>
      </w:r>
      <w:r w:rsidRPr="00251AAB" w:rsidR="005340C3">
        <w:rPr>
          <w:rFonts w:ascii="Palatino Linotype" w:hAnsi="Palatino Linotype" w:eastAsia="Palatino Linotype" w:cs="Palatino Linotype"/>
        </w:rPr>
        <w:t xml:space="preserve"> but unrecovered</w:t>
      </w:r>
      <w:r w:rsidRPr="00251AAB" w:rsidR="00D242C4">
        <w:rPr>
          <w:rFonts w:ascii="Palatino Linotype" w:hAnsi="Palatino Linotype" w:eastAsia="Palatino Linotype" w:cs="Palatino Linotype"/>
        </w:rPr>
        <w:t xml:space="preserve"> </w:t>
      </w:r>
      <w:r w:rsidRPr="00251AAB">
        <w:rPr>
          <w:rFonts w:ascii="Palatino Linotype" w:hAnsi="Palatino Linotype" w:eastAsia="Palatino Linotype" w:cs="Palatino Linotype"/>
        </w:rPr>
        <w:t xml:space="preserve">Natural Gas Leak Abatement Program </w:t>
      </w:r>
      <w:r w:rsidRPr="00251AAB" w:rsidR="00D242C4">
        <w:rPr>
          <w:rFonts w:ascii="Palatino Linotype" w:hAnsi="Palatino Linotype" w:eastAsia="Palatino Linotype" w:cs="Palatino Linotype"/>
        </w:rPr>
        <w:t xml:space="preserve">capital </w:t>
      </w:r>
      <w:r w:rsidRPr="00251AAB" w:rsidR="00C45FD2">
        <w:rPr>
          <w:rFonts w:ascii="Palatino Linotype" w:hAnsi="Palatino Linotype" w:eastAsia="Palatino Linotype" w:cs="Palatino Linotype"/>
        </w:rPr>
        <w:t>costs</w:t>
      </w:r>
      <w:r w:rsidRPr="00251AAB" w:rsidR="00D242C4">
        <w:rPr>
          <w:rFonts w:ascii="Palatino Linotype" w:hAnsi="Palatino Linotype" w:eastAsia="Palatino Linotype" w:cs="Palatino Linotype"/>
        </w:rPr>
        <w:t>.</w:t>
      </w:r>
    </w:p>
    <w:p w:rsidRPr="00251AAB" w:rsidR="00D242C4" w:rsidP="00A76F4A" w:rsidRDefault="00D242C4" w14:paraId="6AA5C70A" w14:textId="77777777">
      <w:pPr>
        <w:spacing w:after="0" w:line="240" w:lineRule="auto"/>
        <w:ind w:left="720" w:right="720"/>
        <w:rPr>
          <w:rFonts w:ascii="Palatino Linotype" w:hAnsi="Palatino Linotype" w:eastAsia="Palatino Linotype" w:cs="Times New Roman"/>
          <w:kern w:val="0"/>
          <w14:ligatures w14:val="none"/>
        </w:rPr>
      </w:pPr>
    </w:p>
    <w:p w:rsidRPr="00251AAB" w:rsidR="00A76F4A" w:rsidP="00A76F4A" w:rsidRDefault="00A76F4A" w14:paraId="573E1F48" w14:textId="3954A5E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By Advice Letter </w:t>
      </w:r>
      <w:r w:rsidRPr="00251AAB" w:rsidR="00551951">
        <w:rPr>
          <w:rFonts w:ascii="Palatino Linotype" w:hAnsi="Palatino Linotype" w:eastAsia="Palatino Linotype" w:cs="Times New Roman"/>
          <w:kern w:val="0"/>
          <w14:ligatures w14:val="none"/>
        </w:rPr>
        <w:t>3285-G filed March 15, 2024 and Advice Letter 3285-G-A filed November 5, 2024</w:t>
      </w:r>
      <w:r w:rsidRPr="00251AAB">
        <w:rPr>
          <w:rFonts w:ascii="Palatino Linotype" w:hAnsi="Palatino Linotype" w:eastAsia="Palatino Linotype" w:cs="Times New Roman"/>
          <w:kern w:val="0"/>
          <w14:ligatures w14:val="none"/>
        </w:rPr>
        <w:t xml:space="preserve">. </w:t>
      </w:r>
    </w:p>
    <w:p w:rsidRPr="00251AAB"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__________________________________________________________</w:t>
      </w:r>
    </w:p>
    <w:p w:rsidRPr="00251AAB" w:rsidR="00A76F4A" w:rsidP="00A76F4A" w:rsidRDefault="00A76F4A" w14:paraId="7279783F" w14:textId="77777777">
      <w:pPr>
        <w:spacing w:after="0" w:line="240" w:lineRule="auto"/>
        <w:rPr>
          <w:rFonts w:ascii="Palatino Linotype" w:hAnsi="Palatino Linotype" w:eastAsia="Palatino Linotype" w:cs="Times New Roman"/>
          <w:b/>
          <w:kern w:val="0"/>
          <w14:ligatures w14:val="none"/>
        </w:rPr>
      </w:pPr>
    </w:p>
    <w:p w:rsidRPr="00251AAB" w:rsidR="00A76F4A" w:rsidP="00A76F4A" w:rsidRDefault="00A76F4A" w14:paraId="3906F9B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Summary</w:t>
      </w:r>
      <w:bookmarkEnd w:id="0"/>
    </w:p>
    <w:p w:rsidRPr="00251AAB" w:rsidR="00904A8D" w:rsidP="00904A8D" w:rsidRDefault="00904A8D" w14:paraId="7F2D60E2" w14:textId="5C135531">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 xml:space="preserve">This Resolution denies </w:t>
      </w:r>
      <w:r w:rsidRPr="00251AAB" w:rsidR="00D650D6">
        <w:rPr>
          <w:rFonts w:ascii="Palatino Linotype" w:hAnsi="Palatino Linotype" w:eastAsia="Calibri" w:cs="Arial"/>
          <w:kern w:val="0"/>
          <w14:ligatures w14:val="none"/>
        </w:rPr>
        <w:t>SDG&amp;E’s</w:t>
      </w:r>
      <w:r w:rsidRPr="00251AAB">
        <w:rPr>
          <w:rFonts w:ascii="Palatino Linotype" w:hAnsi="Palatino Linotype" w:eastAsia="Calibri" w:cs="Arial"/>
          <w:kern w:val="0"/>
          <w14:ligatures w14:val="none"/>
        </w:rPr>
        <w:t xml:space="preserve"> 2024 Natural Gas Leak Abatement ratemaking forecasts as presented in Advice Letter (AL) 3285-G-A</w:t>
      </w:r>
      <w:r w:rsidRPr="00251AAB" w:rsidR="00407B8F">
        <w:rPr>
          <w:rFonts w:ascii="Palatino Linotype" w:hAnsi="Palatino Linotype" w:eastAsia="Calibri" w:cs="Arial"/>
          <w:kern w:val="0"/>
          <w14:ligatures w14:val="none"/>
        </w:rPr>
        <w:t xml:space="preserve"> for costs for its 2024 Compliance Plan</w:t>
      </w:r>
      <w:r w:rsidRPr="00251AAB">
        <w:rPr>
          <w:rFonts w:ascii="Palatino Linotype" w:hAnsi="Palatino Linotype" w:eastAsia="Calibri" w:cs="Arial"/>
          <w:kern w:val="0"/>
          <w14:ligatures w14:val="none"/>
        </w:rPr>
        <w:t>. The purpose of</w:t>
      </w:r>
      <w:r w:rsidRPr="00251AAB" w:rsidDel="00D572A1">
        <w:rPr>
          <w:rFonts w:ascii="Palatino Linotype" w:hAnsi="Palatino Linotype" w:eastAsia="Calibri" w:cs="Arial"/>
          <w:kern w:val="0"/>
          <w14:ligatures w14:val="none"/>
        </w:rPr>
        <w:t xml:space="preserve"> </w:t>
      </w:r>
      <w:r w:rsidRPr="00251AAB">
        <w:rPr>
          <w:rFonts w:ascii="Palatino Linotype" w:hAnsi="Palatino Linotype" w:eastAsia="Calibri" w:cs="Arial"/>
          <w:kern w:val="0"/>
          <w14:ligatures w14:val="none"/>
        </w:rPr>
        <w:t xml:space="preserve">the 2024 Compliance Plan is to propose how the utility will reduce </w:t>
      </w:r>
      <w:r w:rsidRPr="00251AAB">
        <w:rPr>
          <w:rFonts w:ascii="Palatino Linotype" w:hAnsi="Palatino Linotype" w:eastAsia="Calibri" w:cs="Arial"/>
          <w:kern w:val="0"/>
          <w14:ligatures w14:val="none"/>
        </w:rPr>
        <w:lastRenderedPageBreak/>
        <w:t xml:space="preserve">emissions and implement the 26 Best Practices for natural gas leak abatement adopted in Decision (D.) 17-06-015 and to detail their costs and cost effectiveness. </w:t>
      </w:r>
      <w:r w:rsidRPr="00251AAB" w:rsidR="008A1824">
        <w:rPr>
          <w:rFonts w:ascii="Palatino Linotype" w:hAnsi="Palatino Linotype" w:eastAsia="Calibri" w:cs="Arial"/>
          <w:kern w:val="0"/>
          <w14:ligatures w14:val="none"/>
        </w:rPr>
        <w:t>SDG&amp;E’s</w:t>
      </w:r>
      <w:r w:rsidRPr="00251AAB">
        <w:rPr>
          <w:rFonts w:ascii="Palatino Linotype" w:hAnsi="Palatino Linotype" w:eastAsia="Calibri" w:cs="Arial"/>
          <w:kern w:val="0"/>
          <w14:ligatures w14:val="none"/>
        </w:rPr>
        <w:t xml:space="preserve"> proposed 2024 Compliance Plan includes 14 chapters, with each chapter describing how a subset of the Best Practices would be addressed. </w:t>
      </w:r>
      <w:r w:rsidRPr="00251AAB" w:rsidR="00A310C0">
        <w:rPr>
          <w:rFonts w:ascii="Palatino Linotype" w:hAnsi="Palatino Linotype" w:eastAsia="Calibri" w:cs="Arial"/>
          <w:kern w:val="0"/>
          <w14:ligatures w14:val="none"/>
        </w:rPr>
        <w:t>AL 3285-A requests rate recovery of the costs for the 2024 Compliance Plan.</w:t>
      </w:r>
    </w:p>
    <w:p w:rsidRPr="00251AAB" w:rsidR="00B64CD9" w:rsidP="00904A8D" w:rsidRDefault="00904A8D" w14:paraId="57F0D39B" w14:textId="296223D8">
      <w:pPr>
        <w:spacing w:after="0"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SDG&amp;E forecast</w:t>
      </w:r>
      <w:r w:rsidRPr="00251AAB" w:rsidR="00B64CD9">
        <w:rPr>
          <w:rFonts w:ascii="Palatino Linotype" w:hAnsi="Palatino Linotype" w:eastAsia="Calibri" w:cs="Arial"/>
          <w:kern w:val="0"/>
          <w14:ligatures w14:val="none"/>
        </w:rPr>
        <w:t xml:space="preserve">s a </w:t>
      </w:r>
      <w:r w:rsidRPr="00251AAB">
        <w:rPr>
          <w:rFonts w:ascii="Palatino Linotype" w:hAnsi="Palatino Linotype" w:eastAsia="Calibri" w:cs="Arial"/>
          <w:kern w:val="0"/>
          <w14:ligatures w14:val="none"/>
        </w:rPr>
        <w:t>Total Revenue Requirement</w:t>
      </w:r>
      <w:r w:rsidRPr="00251AAB">
        <w:rPr>
          <w:rFonts w:ascii="Palatino Linotype" w:hAnsi="Palatino Linotype" w:eastAsia="Calibri" w:cs="Arial"/>
          <w:kern w:val="0"/>
          <w:vertAlign w:val="superscript"/>
          <w14:ligatures w14:val="none"/>
        </w:rPr>
        <w:footnoteReference w:id="2"/>
      </w:r>
      <w:r w:rsidRPr="00251AAB">
        <w:rPr>
          <w:rFonts w:ascii="Palatino Linotype" w:hAnsi="Palatino Linotype" w:eastAsia="Calibri" w:cs="Arial"/>
          <w:kern w:val="0"/>
          <w14:ligatures w14:val="none"/>
        </w:rPr>
        <w:t xml:space="preserve"> of $</w:t>
      </w:r>
      <w:r w:rsidRPr="00251AAB" w:rsidR="00482CBD">
        <w:rPr>
          <w:rFonts w:ascii="Palatino Linotype" w:hAnsi="Palatino Linotype" w:eastAsia="Calibri" w:cs="Arial"/>
        </w:rPr>
        <w:t xml:space="preserve">24.859 </w:t>
      </w:r>
      <w:r w:rsidRPr="00251AAB">
        <w:rPr>
          <w:rFonts w:ascii="Palatino Linotype" w:hAnsi="Palatino Linotype" w:eastAsia="Calibri" w:cs="Arial"/>
          <w:kern w:val="0"/>
          <w14:ligatures w14:val="none"/>
        </w:rPr>
        <w:t xml:space="preserve">million in Advice Letter </w:t>
      </w:r>
      <w:r w:rsidRPr="00251AAB" w:rsidR="001150FA">
        <w:rPr>
          <w:rFonts w:ascii="Palatino Linotype" w:hAnsi="Palatino Linotype" w:eastAsia="Calibri" w:cs="Arial"/>
          <w:kern w:val="0"/>
          <w14:ligatures w14:val="none"/>
        </w:rPr>
        <w:t>3285</w:t>
      </w:r>
      <w:r w:rsidRPr="00251AAB">
        <w:rPr>
          <w:rFonts w:ascii="Palatino Linotype" w:hAnsi="Palatino Linotype" w:eastAsia="Calibri" w:cs="Arial"/>
          <w:kern w:val="0"/>
          <w14:ligatures w14:val="none"/>
        </w:rPr>
        <w:t>-G-</w:t>
      </w:r>
      <w:r w:rsidRPr="00251AAB" w:rsidR="001150FA">
        <w:rPr>
          <w:rFonts w:ascii="Palatino Linotype" w:hAnsi="Palatino Linotype" w:eastAsia="Calibri" w:cs="Arial"/>
          <w:kern w:val="0"/>
          <w14:ligatures w14:val="none"/>
        </w:rPr>
        <w:t>A</w:t>
      </w:r>
      <w:r w:rsidRPr="00251AAB">
        <w:rPr>
          <w:rFonts w:ascii="Palatino Linotype" w:hAnsi="Palatino Linotype" w:eastAsia="Calibri" w:cs="Arial"/>
          <w:kern w:val="0"/>
          <w14:ligatures w14:val="none"/>
        </w:rPr>
        <w:t>: $</w:t>
      </w:r>
      <w:r w:rsidRPr="00251AAB" w:rsidR="001150FA">
        <w:rPr>
          <w:rFonts w:ascii="Palatino Linotype" w:hAnsi="Palatino Linotype" w:eastAsia="Calibri" w:cs="Arial"/>
          <w:kern w:val="0"/>
          <w14:ligatures w14:val="none"/>
        </w:rPr>
        <w:t>22.919</w:t>
      </w:r>
      <w:r w:rsidRPr="00251AAB">
        <w:rPr>
          <w:rFonts w:ascii="Palatino Linotype" w:hAnsi="Palatino Linotype" w:eastAsia="Calibri" w:cs="Arial"/>
          <w:kern w:val="0"/>
          <w14:ligatures w14:val="none"/>
        </w:rPr>
        <w:t xml:space="preserve"> million for Best Practices; $</w:t>
      </w:r>
      <w:r w:rsidRPr="00251AAB" w:rsidR="001150FA">
        <w:rPr>
          <w:rFonts w:ascii="Palatino Linotype" w:hAnsi="Palatino Linotype" w:eastAsia="Calibri" w:cs="Arial"/>
          <w:kern w:val="0"/>
          <w14:ligatures w14:val="none"/>
        </w:rPr>
        <w:t>1.29</w:t>
      </w:r>
      <w:r w:rsidRPr="00251AAB">
        <w:rPr>
          <w:rFonts w:ascii="Palatino Linotype" w:hAnsi="Palatino Linotype" w:eastAsia="Calibri" w:cs="Arial"/>
          <w:kern w:val="0"/>
          <w14:ligatures w14:val="none"/>
        </w:rPr>
        <w:t xml:space="preserve"> million for Research, Development, and Demonstration (RD&amp;D) projects; $</w:t>
      </w:r>
      <w:r w:rsidRPr="00251AAB" w:rsidR="001150FA">
        <w:rPr>
          <w:rFonts w:ascii="Palatino Linotype" w:hAnsi="Palatino Linotype" w:eastAsia="Calibri" w:cs="Arial"/>
          <w:kern w:val="0"/>
          <w14:ligatures w14:val="none"/>
        </w:rPr>
        <w:t>0.428</w:t>
      </w:r>
      <w:r w:rsidRPr="00251AAB">
        <w:rPr>
          <w:rFonts w:ascii="Palatino Linotype" w:hAnsi="Palatino Linotype" w:eastAsia="Calibri" w:cs="Arial"/>
          <w:kern w:val="0"/>
          <w14:ligatures w14:val="none"/>
        </w:rPr>
        <w:t xml:space="preserve"> million for Program Administration; and $</w:t>
      </w:r>
      <w:r w:rsidRPr="00251AAB" w:rsidR="002179E0">
        <w:rPr>
          <w:rFonts w:ascii="Palatino Linotype" w:hAnsi="Palatino Linotype" w:eastAsia="Calibri" w:cs="Arial"/>
        </w:rPr>
        <w:t>0.</w:t>
      </w:r>
      <w:r w:rsidRPr="00251AAB" w:rsidR="00F54BF7">
        <w:rPr>
          <w:rFonts w:ascii="Palatino Linotype" w:hAnsi="Palatino Linotype" w:eastAsia="Calibri" w:cs="Arial"/>
        </w:rPr>
        <w:t>222</w:t>
      </w:r>
      <w:r w:rsidRPr="00251AAB" w:rsidR="002179E0">
        <w:rPr>
          <w:rFonts w:ascii="Palatino Linotype" w:hAnsi="Palatino Linotype" w:eastAsia="Calibri" w:cs="Arial"/>
        </w:rPr>
        <w:t xml:space="preserve"> million</w:t>
      </w:r>
      <w:r w:rsidRPr="00251AAB">
        <w:rPr>
          <w:rFonts w:ascii="Palatino Linotype" w:hAnsi="Palatino Linotype" w:eastAsia="Calibri" w:cs="Arial"/>
          <w:kern w:val="0"/>
          <w14:ligatures w14:val="none"/>
        </w:rPr>
        <w:t xml:space="preserve"> for under-recovered ongoing capital revenue requirement. Best Practice</w:t>
      </w:r>
      <w:r w:rsidRPr="00251AAB" w:rsidR="00B705C0">
        <w:rPr>
          <w:rFonts w:ascii="Palatino Linotype" w:hAnsi="Palatino Linotype" w:eastAsia="Calibri" w:cs="Arial"/>
        </w:rPr>
        <w:t xml:space="preserve"> </w:t>
      </w:r>
      <w:r w:rsidRPr="00251AAB" w:rsidR="123C4DA6">
        <w:rPr>
          <w:rFonts w:ascii="Palatino Linotype" w:hAnsi="Palatino Linotype" w:eastAsia="Calibri" w:cs="Arial"/>
        </w:rPr>
        <w:t>proposal</w:t>
      </w:r>
      <w:r w:rsidRPr="00251AAB" w:rsidR="00DB3D46">
        <w:rPr>
          <w:rFonts w:ascii="Palatino Linotype" w:hAnsi="Palatino Linotype" w:eastAsia="Calibri" w:cs="Arial"/>
        </w:rPr>
        <w:t>s</w:t>
      </w:r>
      <w:r w:rsidRPr="00251AAB">
        <w:rPr>
          <w:rFonts w:ascii="Palatino Linotype" w:hAnsi="Palatino Linotype" w:eastAsia="Calibri" w:cs="Arial"/>
          <w:kern w:val="0"/>
          <w14:ligatures w14:val="none"/>
        </w:rPr>
        <w:t xml:space="preserve"> are described in Attachment A, Safety Policy Division’s </w:t>
      </w:r>
      <w:r w:rsidRPr="00251AAB" w:rsidR="00B64CD9">
        <w:rPr>
          <w:rFonts w:ascii="Palatino Linotype" w:hAnsi="Palatino Linotype" w:eastAsia="Calibri" w:cs="Arial"/>
          <w:kern w:val="0"/>
          <w14:ligatures w14:val="none"/>
        </w:rPr>
        <w:t xml:space="preserve">(SPD) </w:t>
      </w:r>
      <w:r w:rsidRPr="00251AAB" w:rsidR="00A310C0">
        <w:rPr>
          <w:rFonts w:ascii="Palatino Linotype" w:hAnsi="Palatino Linotype" w:eastAsia="Calibri" w:cs="Arial"/>
          <w:kern w:val="0"/>
          <w14:ligatures w14:val="none"/>
        </w:rPr>
        <w:t>Review</w:t>
      </w:r>
      <w:r w:rsidRPr="00251AAB">
        <w:rPr>
          <w:rFonts w:ascii="Palatino Linotype" w:hAnsi="Palatino Linotype" w:eastAsia="Calibri" w:cs="Arial"/>
          <w:kern w:val="0"/>
          <w14:ligatures w14:val="none"/>
        </w:rPr>
        <w:t xml:space="preserve"> of </w:t>
      </w:r>
      <w:r w:rsidRPr="00251AAB" w:rsidR="001150FA">
        <w:rPr>
          <w:rFonts w:ascii="Palatino Linotype" w:hAnsi="Palatino Linotype" w:eastAsia="Calibri" w:cs="Arial"/>
          <w:kern w:val="0"/>
          <w14:ligatures w14:val="none"/>
        </w:rPr>
        <w:t>SDG&amp;E</w:t>
      </w:r>
      <w:r w:rsidRPr="00251AAB">
        <w:rPr>
          <w:rFonts w:ascii="Palatino Linotype" w:hAnsi="Palatino Linotype" w:eastAsia="Calibri" w:cs="Arial"/>
          <w:kern w:val="0"/>
          <w14:ligatures w14:val="none"/>
        </w:rPr>
        <w:t>’</w:t>
      </w:r>
      <w:r w:rsidRPr="00251AAB" w:rsidR="001150FA">
        <w:rPr>
          <w:rFonts w:ascii="Palatino Linotype" w:hAnsi="Palatino Linotype" w:eastAsia="Calibri" w:cs="Arial"/>
          <w:kern w:val="0"/>
          <w14:ligatures w14:val="none"/>
        </w:rPr>
        <w:t>s</w:t>
      </w:r>
      <w:r w:rsidRPr="00251AAB">
        <w:rPr>
          <w:rFonts w:ascii="Palatino Linotype" w:hAnsi="Palatino Linotype" w:eastAsia="Calibri" w:cs="Arial"/>
          <w:kern w:val="0"/>
          <w14:ligatures w14:val="none"/>
        </w:rPr>
        <w:t xml:space="preserve"> 2024 NGLA Compliance Plan. </w:t>
      </w:r>
    </w:p>
    <w:p w:rsidRPr="00251AAB" w:rsidR="00B64CD9" w:rsidP="00904A8D" w:rsidRDefault="00B64CD9" w14:paraId="1752EEDC" w14:textId="77777777">
      <w:pPr>
        <w:spacing w:after="0" w:line="259" w:lineRule="auto"/>
        <w:rPr>
          <w:rFonts w:ascii="Palatino Linotype" w:hAnsi="Palatino Linotype" w:eastAsia="Calibri" w:cs="Arial"/>
          <w:kern w:val="0"/>
          <w14:ligatures w14:val="none"/>
        </w:rPr>
      </w:pPr>
    </w:p>
    <w:p w:rsidRPr="00251AAB" w:rsidR="00904A8D" w:rsidP="00904A8D" w:rsidRDefault="00904A8D" w14:paraId="0AEAC6B3" w14:textId="6FE51ABB">
      <w:pPr>
        <w:spacing w:after="0"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 xml:space="preserve">This Resolution approves </w:t>
      </w:r>
      <w:r w:rsidRPr="00251AAB" w:rsidR="001150FA">
        <w:rPr>
          <w:rFonts w:ascii="Palatino Linotype" w:hAnsi="Palatino Linotype" w:eastAsia="Calibri" w:cs="Arial"/>
          <w:kern w:val="0"/>
          <w14:ligatures w14:val="none"/>
        </w:rPr>
        <w:t>no</w:t>
      </w:r>
      <w:r w:rsidRPr="00251AAB">
        <w:rPr>
          <w:rFonts w:ascii="Palatino Linotype" w:hAnsi="Palatino Linotype" w:eastAsia="Calibri" w:cs="Arial"/>
          <w:kern w:val="0"/>
          <w14:ligatures w14:val="none"/>
        </w:rPr>
        <w:t xml:space="preserve"> </w:t>
      </w:r>
      <w:r w:rsidRPr="00251AAB" w:rsidR="00926558">
        <w:rPr>
          <w:rFonts w:ascii="Palatino Linotype" w:hAnsi="Palatino Linotype" w:eastAsia="Calibri" w:cs="Arial"/>
          <w:kern w:val="0"/>
          <w14:ligatures w14:val="none"/>
        </w:rPr>
        <w:t xml:space="preserve">funding for </w:t>
      </w:r>
      <w:r w:rsidRPr="00251AAB">
        <w:rPr>
          <w:rFonts w:ascii="Palatino Linotype" w:hAnsi="Palatino Linotype" w:eastAsia="Calibri" w:cs="Arial"/>
          <w:kern w:val="0"/>
          <w14:ligatures w14:val="none"/>
        </w:rPr>
        <w:t>Best Practice</w:t>
      </w:r>
      <w:r w:rsidRPr="00251AAB" w:rsidR="001150FA">
        <w:rPr>
          <w:rFonts w:ascii="Palatino Linotype" w:hAnsi="Palatino Linotype" w:eastAsia="Calibri" w:cs="Arial"/>
          <w:kern w:val="0"/>
          <w14:ligatures w14:val="none"/>
        </w:rPr>
        <w:t>s because none of the practices are cost-effective.</w:t>
      </w:r>
      <w:r w:rsidRPr="00251AAB">
        <w:rPr>
          <w:rFonts w:ascii="Palatino Linotype" w:hAnsi="Palatino Linotype" w:eastAsia="Calibri" w:cs="Arial"/>
          <w:kern w:val="0"/>
          <w14:ligatures w14:val="none"/>
        </w:rPr>
        <w:t xml:space="preserve"> </w:t>
      </w:r>
      <w:r w:rsidRPr="00251AAB" w:rsidR="001150FA">
        <w:rPr>
          <w:rFonts w:ascii="Palatino Linotype" w:hAnsi="Palatino Linotype" w:eastAsia="Calibri" w:cs="Arial"/>
          <w:kern w:val="0"/>
          <w14:ligatures w14:val="none"/>
        </w:rPr>
        <w:t>Costs for</w:t>
      </w:r>
      <w:r w:rsidRPr="00251AAB">
        <w:rPr>
          <w:rFonts w:ascii="Palatino Linotype" w:hAnsi="Palatino Linotype" w:eastAsia="Calibri" w:cs="Arial"/>
          <w:kern w:val="0"/>
          <w14:ligatures w14:val="none"/>
        </w:rPr>
        <w:t xml:space="preserve"> RD&amp;D are </w:t>
      </w:r>
      <w:r w:rsidRPr="00251AAB" w:rsidR="001150FA">
        <w:rPr>
          <w:rFonts w:ascii="Palatino Linotype" w:hAnsi="Palatino Linotype" w:eastAsia="Calibri" w:cs="Arial"/>
          <w:kern w:val="0"/>
          <w14:ligatures w14:val="none"/>
        </w:rPr>
        <w:t xml:space="preserve">also </w:t>
      </w:r>
      <w:r w:rsidRPr="00251AAB">
        <w:rPr>
          <w:rFonts w:ascii="Palatino Linotype" w:hAnsi="Palatino Linotype" w:eastAsia="Calibri" w:cs="Arial"/>
          <w:kern w:val="0"/>
          <w14:ligatures w14:val="none"/>
        </w:rPr>
        <w:t xml:space="preserve">denied. </w:t>
      </w:r>
      <w:r w:rsidRPr="00251AAB" w:rsidR="0038258A">
        <w:rPr>
          <w:rFonts w:ascii="Palatino Linotype" w:hAnsi="Palatino Linotype" w:eastAsia="Calibri" w:cs="Arial"/>
          <w:kern w:val="0"/>
          <w14:ligatures w14:val="none"/>
        </w:rPr>
        <w:t>SDG&amp;E is authorized to record</w:t>
      </w:r>
      <w:r w:rsidRPr="00251AAB" w:rsidR="00776C15">
        <w:rPr>
          <w:rFonts w:ascii="Palatino Linotype" w:hAnsi="Palatino Linotype" w:eastAsia="Calibri" w:cs="Arial"/>
          <w:kern w:val="0"/>
          <w14:ligatures w14:val="none"/>
        </w:rPr>
        <w:t xml:space="preserve"> up to </w:t>
      </w:r>
      <w:r w:rsidRPr="00251AAB" w:rsidR="001150FA">
        <w:rPr>
          <w:rFonts w:ascii="Palatino Linotype" w:hAnsi="Palatino Linotype" w:eastAsia="Calibri" w:cs="Arial"/>
          <w:kern w:val="0"/>
          <w14:ligatures w14:val="none"/>
        </w:rPr>
        <w:t>$0.428 million</w:t>
      </w:r>
      <w:r w:rsidRPr="00251AAB">
        <w:rPr>
          <w:rFonts w:ascii="Palatino Linotype" w:hAnsi="Palatino Linotype" w:eastAsia="Calibri" w:cs="Arial"/>
          <w:kern w:val="0"/>
          <w14:ligatures w14:val="none"/>
        </w:rPr>
        <w:t xml:space="preserve"> for NGLA Program Administration</w:t>
      </w:r>
      <w:r w:rsidRPr="00251AAB" w:rsidR="00E111DA">
        <w:rPr>
          <w:rFonts w:ascii="Palatino Linotype" w:hAnsi="Palatino Linotype" w:eastAsia="Calibri" w:cs="Arial"/>
          <w:kern w:val="0"/>
          <w14:ligatures w14:val="none"/>
        </w:rPr>
        <w:t xml:space="preserve">, if applicable, </w:t>
      </w:r>
      <w:r w:rsidRPr="00251AAB">
        <w:rPr>
          <w:rFonts w:ascii="Palatino Linotype" w:hAnsi="Palatino Linotype" w:eastAsia="Calibri" w:cs="Arial"/>
          <w:kern w:val="0"/>
          <w14:ligatures w14:val="none"/>
        </w:rPr>
        <w:t>in the Natural Gas Leak Abatement Program Memorandum Account (NGLAPMA) for potential recovery in a future general rate case or other proceeding, where it will be subject to reasonableness review.</w:t>
      </w:r>
      <w:r w:rsidRPr="00251AAB" w:rsidDel="001637E6">
        <w:rPr>
          <w:rFonts w:ascii="Palatino Linotype" w:hAnsi="Palatino Linotype" w:eastAsia="Calibri" w:cs="Arial"/>
          <w:kern w:val="0"/>
          <w14:ligatures w14:val="none"/>
        </w:rPr>
        <w:t xml:space="preserve"> </w:t>
      </w:r>
      <w:r w:rsidRPr="00251AAB">
        <w:rPr>
          <w:rFonts w:ascii="Palatino Linotype" w:hAnsi="Palatino Linotype" w:eastAsia="Calibri" w:cs="Arial"/>
          <w:kern w:val="0"/>
          <w14:ligatures w14:val="none"/>
        </w:rPr>
        <w:t>We approve</w:t>
      </w:r>
      <w:r w:rsidRPr="00251AAB" w:rsidR="00432005">
        <w:rPr>
          <w:rFonts w:ascii="Palatino Linotype" w:hAnsi="Palatino Linotype" w:eastAsia="Calibri" w:cs="Arial"/>
          <w:kern w:val="0"/>
          <w14:ligatures w14:val="none"/>
        </w:rPr>
        <w:t xml:space="preserve"> </w:t>
      </w:r>
      <w:r w:rsidRPr="00251AAB" w:rsidR="05C6C841">
        <w:rPr>
          <w:rFonts w:ascii="Palatino Linotype" w:hAnsi="Palatino Linotype" w:eastAsia="Calibri" w:cs="Arial"/>
          <w:kern w:val="0"/>
          <w14:ligatures w14:val="none"/>
        </w:rPr>
        <w:t>$222,000</w:t>
      </w:r>
      <w:r w:rsidRPr="00251AAB">
        <w:rPr>
          <w:rFonts w:ascii="Palatino Linotype" w:hAnsi="Palatino Linotype" w:eastAsia="Calibri" w:cs="Arial"/>
          <w:kern w:val="0"/>
          <w14:ligatures w14:val="none"/>
        </w:rPr>
        <w:t xml:space="preserve"> for </w:t>
      </w:r>
      <w:r w:rsidRPr="00251AAB" w:rsidR="00D24145">
        <w:rPr>
          <w:rFonts w:ascii="Palatino Linotype" w:hAnsi="Palatino Linotype" w:eastAsia="Calibri" w:cs="Arial"/>
          <w:kern w:val="0"/>
          <w14:ligatures w14:val="none"/>
        </w:rPr>
        <w:t xml:space="preserve">unrecovered </w:t>
      </w:r>
      <w:r w:rsidRPr="00251AAB">
        <w:rPr>
          <w:rFonts w:ascii="Palatino Linotype" w:hAnsi="Palatino Linotype" w:eastAsia="Calibri" w:cs="Arial"/>
          <w:kern w:val="0"/>
          <w14:ligatures w14:val="none"/>
        </w:rPr>
        <w:t xml:space="preserve">ongoing capital </w:t>
      </w:r>
      <w:r w:rsidRPr="00251AAB" w:rsidR="00D24145">
        <w:rPr>
          <w:rFonts w:ascii="Palatino Linotype" w:hAnsi="Palatino Linotype" w:eastAsia="Calibri" w:cs="Arial"/>
          <w:kern w:val="0"/>
          <w14:ligatures w14:val="none"/>
        </w:rPr>
        <w:t xml:space="preserve">costs </w:t>
      </w:r>
      <w:r w:rsidRPr="00251AAB">
        <w:rPr>
          <w:rFonts w:ascii="Palatino Linotype" w:hAnsi="Palatino Linotype" w:eastAsia="Calibri" w:cs="Arial"/>
          <w:kern w:val="0"/>
          <w14:ligatures w14:val="none"/>
        </w:rPr>
        <w:t>from previously approved Compliance Plans.</w:t>
      </w:r>
    </w:p>
    <w:p w:rsidRPr="00251AAB" w:rsidR="00904A8D" w:rsidP="00904A8D" w:rsidRDefault="00904A8D" w14:paraId="6BD57999" w14:textId="77777777">
      <w:pPr>
        <w:spacing w:after="0" w:line="259" w:lineRule="auto"/>
        <w:rPr>
          <w:rFonts w:ascii="Palatino Linotype" w:hAnsi="Palatino Linotype" w:eastAsia="Calibri" w:cs="Arial"/>
          <w:kern w:val="0"/>
          <w14:ligatures w14:val="none"/>
        </w:rPr>
      </w:pPr>
    </w:p>
    <w:p w:rsidRPr="00251AAB" w:rsidR="00A76F4A" w:rsidP="00A76F4A" w:rsidRDefault="00A76F4A" w14:paraId="3CCFFB4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Background</w:t>
      </w:r>
    </w:p>
    <w:p w:rsidRPr="00251AAB" w:rsidR="00551951" w:rsidP="00551951" w:rsidRDefault="00551951" w14:paraId="1A43DA06" w14:textId="73E8A0E5">
      <w:pPr>
        <w:spacing w:line="240" w:lineRule="auto"/>
        <w:rPr>
          <w:rFonts w:ascii="Palatino Linotype" w:hAnsi="Palatino Linotype"/>
        </w:rPr>
      </w:pPr>
      <w:r w:rsidRPr="00251AAB">
        <w:rPr>
          <w:rFonts w:ascii="Palatino Linotype" w:hAnsi="Palatino Linotype"/>
        </w:rPr>
        <w:t>On September 21, 2014, Senate Bill (SB) 1371 (Leno) was signed into law.</w:t>
      </w:r>
      <w:r w:rsidRPr="00251AAB">
        <w:rPr>
          <w:rFonts w:ascii="Palatino Linotype" w:hAnsi="Palatino Linotype"/>
          <w:vertAlign w:val="superscript"/>
        </w:rPr>
        <w:footnoteReference w:id="3"/>
      </w:r>
      <w:r w:rsidRPr="00251AAB">
        <w:rPr>
          <w:rFonts w:ascii="Palatino Linotype" w:hAnsi="Palatino Linotype"/>
        </w:rPr>
        <w:t xml:space="preserve"> SB 1371 </w:t>
      </w:r>
      <w:r w:rsidRPr="00251AAB" w:rsidR="00E449B8">
        <w:rPr>
          <w:rFonts w:ascii="Palatino Linotype" w:hAnsi="Palatino Linotype"/>
        </w:rPr>
        <w:t xml:space="preserve">directs </w:t>
      </w:r>
      <w:r w:rsidRPr="00251AAB">
        <w:rPr>
          <w:rFonts w:ascii="Palatino Linotype" w:hAnsi="Palatino Linotype"/>
        </w:rPr>
        <w:t xml:space="preserve">the California Public Utilities Commission to adopt rules </w:t>
      </w:r>
      <w:r w:rsidRPr="00251AAB">
        <w:rPr>
          <w:rFonts w:ascii="Palatino Linotype" w:hAnsi="Palatino Linotype"/>
        </w:rPr>
        <w:br/>
        <w:t xml:space="preserve">and procedures to provide for the “maximum technologically feasible and cost-effective” reduction of methane emissions from CPUC-regulated gas facilities. </w:t>
      </w:r>
    </w:p>
    <w:p w:rsidRPr="00251AAB" w:rsidR="00551951" w:rsidP="00551951" w:rsidRDefault="00551951" w14:paraId="7411E3AE" w14:textId="6E0572B6">
      <w:pPr>
        <w:spacing w:line="240" w:lineRule="auto"/>
        <w:rPr>
          <w:rFonts w:ascii="Palatino Linotype" w:hAnsi="Palatino Linotype"/>
        </w:rPr>
      </w:pPr>
      <w:r w:rsidRPr="00251AAB">
        <w:rPr>
          <w:rFonts w:ascii="Palatino Linotype" w:hAnsi="Palatino Linotype"/>
        </w:rPr>
        <w:t>On September 19, 2016, SB 1383 (Lara) was signed into law. SB 1383 requires the California Air Resources Board</w:t>
      </w:r>
      <w:r w:rsidRPr="00251AAB" w:rsidR="00385CE2">
        <w:rPr>
          <w:rFonts w:ascii="Palatino Linotype" w:hAnsi="Palatino Linotype"/>
        </w:rPr>
        <w:t xml:space="preserve"> (CARB)</w:t>
      </w:r>
      <w:r w:rsidRPr="00251AAB">
        <w:rPr>
          <w:rFonts w:ascii="Palatino Linotype" w:hAnsi="Palatino Linotype"/>
        </w:rPr>
        <w:t xml:space="preserve"> in</w:t>
      </w:r>
      <w:r w:rsidRPr="00251AAB" w:rsidR="00701E13">
        <w:rPr>
          <w:rFonts w:ascii="Palatino Linotype" w:hAnsi="Palatino Linotype"/>
        </w:rPr>
        <w:t xml:space="preserve"> </w:t>
      </w:r>
      <w:r w:rsidRPr="00251AAB" w:rsidR="00110AC0">
        <w:rPr>
          <w:rFonts w:ascii="Palatino Linotype" w:hAnsi="Palatino Linotype"/>
        </w:rPr>
        <w:t xml:space="preserve">coordination with </w:t>
      </w:r>
      <w:r w:rsidRPr="00251AAB" w:rsidR="007968DA">
        <w:rPr>
          <w:rFonts w:ascii="Palatino Linotype" w:hAnsi="Palatino Linotype"/>
        </w:rPr>
        <w:t xml:space="preserve">other state and local </w:t>
      </w:r>
      <w:r w:rsidRPr="00251AAB" w:rsidR="007968DA">
        <w:rPr>
          <w:rFonts w:ascii="Palatino Linotype" w:hAnsi="Palatino Linotype"/>
        </w:rPr>
        <w:lastRenderedPageBreak/>
        <w:t>agencies and districts</w:t>
      </w:r>
      <w:r w:rsidRPr="00251AAB">
        <w:rPr>
          <w:rFonts w:ascii="Palatino Linotype" w:hAnsi="Palatino Linotype"/>
        </w:rPr>
        <w:t>, to approve and begin implementing a comprehensive strategy</w:t>
      </w:r>
      <w:r w:rsidRPr="00251AAB" w:rsidR="008A1824">
        <w:rPr>
          <w:rFonts w:ascii="Palatino Linotype" w:hAnsi="Palatino Linotype"/>
        </w:rPr>
        <w:t xml:space="preserve"> by January 1, 2018</w:t>
      </w:r>
      <w:r w:rsidRPr="00251AAB">
        <w:rPr>
          <w:rFonts w:ascii="Palatino Linotype" w:hAnsi="Palatino Linotype"/>
        </w:rPr>
        <w:t xml:space="preserve"> to reduce methane emissions by 40 percent by 2030. </w:t>
      </w:r>
    </w:p>
    <w:p w:rsidRPr="00251AAB" w:rsidR="00551951" w:rsidP="00551951" w:rsidRDefault="00551951" w14:paraId="1DB01EE9" w14:textId="433F66E7">
      <w:pPr>
        <w:spacing w:line="240" w:lineRule="auto"/>
        <w:rPr>
          <w:rFonts w:ascii="Palatino Linotype" w:hAnsi="Palatino Linotype"/>
        </w:rPr>
      </w:pPr>
      <w:r w:rsidRPr="00251AAB">
        <w:rPr>
          <w:rFonts w:ascii="Palatino Linotype" w:hAnsi="Palatino Linotype"/>
        </w:rPr>
        <w:t xml:space="preserve">On June 15, 2017, the CPUC issued D.17-06-015 as part of Rulemaking (R.) 15-01-008, which directed SDG&amp;E to submit a Tier 3 Advice Letter (AL) to establish 2018 and 2019 revenue requirement forecasts and caps for the Natural Gas Leak Abatement program. The AL was to include the incremental costs for each of 26 Best Practices as well as costs for pilot projects and RD&amp;D broken down by type of expenditure, justifications for pilot and RD&amp;D projects, and the proposed allocation methodology. Ordering Paragraph (OP) 12 of D.17-06-015 states that the ratemaking forecasts and caps that the CPUC approves in response to the Tier 3 ALs shall apply until the NGLA is incorporated into each </w:t>
      </w:r>
      <w:r w:rsidRPr="00251AAB" w:rsidR="00450857">
        <w:rPr>
          <w:rFonts w:ascii="Palatino Linotype" w:hAnsi="Palatino Linotype"/>
        </w:rPr>
        <w:t>u</w:t>
      </w:r>
      <w:r w:rsidRPr="00251AAB">
        <w:rPr>
          <w:rFonts w:ascii="Palatino Linotype" w:hAnsi="Palatino Linotype"/>
        </w:rPr>
        <w:t>tility’s next General Rate Case (GRC) or other gas ratemaking proceeding.</w:t>
      </w:r>
    </w:p>
    <w:p w:rsidRPr="00251AAB" w:rsidR="00280FAF" w:rsidP="00280FAF" w:rsidRDefault="00280FAF" w14:paraId="02807110" w14:textId="36E4D69D">
      <w:pPr>
        <w:spacing w:line="240" w:lineRule="auto"/>
        <w:rPr>
          <w:rFonts w:ascii="Palatino Linotype" w:hAnsi="Palatino Linotype"/>
        </w:rPr>
      </w:pPr>
      <w:r w:rsidRPr="00251AAB">
        <w:rPr>
          <w:rFonts w:ascii="Palatino Linotype" w:hAnsi="Palatino Linotype"/>
        </w:rPr>
        <w:t xml:space="preserve">Because of the uncertainty and difficulty of forecasting costs for the new program, </w:t>
      </w:r>
      <w:r w:rsidR="00376FAB">
        <w:rPr>
          <w:rFonts w:ascii="Palatino Linotype" w:hAnsi="Palatino Linotype"/>
        </w:rPr>
        <w:br/>
      </w:r>
      <w:r w:rsidRPr="00251AAB">
        <w:rPr>
          <w:rFonts w:ascii="Palatino Linotype" w:hAnsi="Palatino Linotype"/>
        </w:rPr>
        <w:t>D.17-06-015 also established two balancing accounts and one memorandum account in which to record expenses for the NGLA program, as follows:</w:t>
      </w:r>
      <w:r w:rsidRPr="00251AAB">
        <w:rPr>
          <w:rFonts w:ascii="Palatino Linotype" w:hAnsi="Palatino Linotype"/>
          <w:vertAlign w:val="superscript"/>
        </w:rPr>
        <w:footnoteReference w:id="4"/>
      </w:r>
    </w:p>
    <w:p w:rsidRPr="00251AAB" w:rsidR="00280FAF" w:rsidP="00280FAF" w:rsidRDefault="00280FAF" w14:paraId="147E1E93" w14:textId="77777777">
      <w:pPr>
        <w:keepNext/>
        <w:numPr>
          <w:ilvl w:val="0"/>
          <w:numId w:val="7"/>
        </w:numPr>
        <w:adjustRightInd w:val="0"/>
        <w:spacing w:before="120" w:after="0" w:line="240" w:lineRule="auto"/>
        <w:contextualSpacing/>
        <w:rPr>
          <w:rFonts w:ascii="Palatino Linotype" w:hAnsi="Palatino Linotype"/>
        </w:rPr>
      </w:pPr>
      <w:r w:rsidRPr="00251AAB">
        <w:rPr>
          <w:rFonts w:ascii="Palatino Linotype" w:hAnsi="Palatino Linotype"/>
        </w:rPr>
        <w:t>For the Best Practices/Chapters: a two-way balancing account that is a subaccount of the New Environmental Regulation Balancing Account (NERBA). The subaccount’s name is</w:t>
      </w:r>
      <w:r w:rsidRPr="00251AAB" w:rsidDel="003837A7">
        <w:rPr>
          <w:rFonts w:ascii="Palatino Linotype" w:hAnsi="Palatino Linotype"/>
        </w:rPr>
        <w:t xml:space="preserve"> </w:t>
      </w:r>
      <w:r w:rsidRPr="00251AAB">
        <w:rPr>
          <w:rFonts w:ascii="Palatino Linotype" w:hAnsi="Palatino Linotype"/>
        </w:rPr>
        <w:t>NERBA-Natural Gas Leak Abatement Program (NERBA-NGLAP).</w:t>
      </w:r>
    </w:p>
    <w:p w:rsidRPr="00251AAB" w:rsidR="00280FAF" w:rsidP="00280FAF" w:rsidRDefault="00280FAF" w14:paraId="4567A3E1" w14:textId="77777777">
      <w:pPr>
        <w:keepNext/>
        <w:numPr>
          <w:ilvl w:val="0"/>
          <w:numId w:val="7"/>
        </w:numPr>
        <w:adjustRightInd w:val="0"/>
        <w:spacing w:before="120" w:after="0" w:line="240" w:lineRule="auto"/>
        <w:contextualSpacing/>
        <w:rPr>
          <w:rFonts w:ascii="Palatino Linotype" w:hAnsi="Palatino Linotype"/>
        </w:rPr>
      </w:pPr>
      <w:r w:rsidRPr="00251AAB">
        <w:rPr>
          <w:rFonts w:ascii="Palatino Linotype" w:hAnsi="Palatino Linotype"/>
        </w:rPr>
        <w:t>For the program’s RD&amp;D: a one-way balancing account, the Natural Gas Leak Abatement Balancing Account (NGLAPBA);</w:t>
      </w:r>
    </w:p>
    <w:p w:rsidRPr="00251AAB" w:rsidR="00280FAF" w:rsidP="00280FAF" w:rsidRDefault="00280FAF" w14:paraId="3406BB3E" w14:textId="77777777">
      <w:pPr>
        <w:keepNext/>
        <w:numPr>
          <w:ilvl w:val="0"/>
          <w:numId w:val="7"/>
        </w:numPr>
        <w:adjustRightInd w:val="0"/>
        <w:spacing w:before="120" w:after="0" w:line="240" w:lineRule="auto"/>
        <w:contextualSpacing/>
        <w:rPr>
          <w:rFonts w:ascii="Palatino Linotype" w:hAnsi="Palatino Linotype"/>
        </w:rPr>
      </w:pPr>
      <w:r w:rsidRPr="00251AAB">
        <w:rPr>
          <w:rFonts w:ascii="Palatino Linotype" w:hAnsi="Palatino Linotype"/>
        </w:rPr>
        <w:t>For Program Administration: a memo account, the NGLAPMA, to track the incremental expenses related to the program’s reporting and administration, to be subject to reasonableness review in a future GRC for recovery.</w:t>
      </w:r>
    </w:p>
    <w:p w:rsidRPr="00251AAB" w:rsidR="006F364D" w:rsidP="006F364D" w:rsidRDefault="006F364D" w14:paraId="0ABF7F4D" w14:textId="71E9A200">
      <w:pPr>
        <w:keepNext/>
        <w:adjustRightInd w:val="0"/>
        <w:spacing w:before="120" w:after="0"/>
        <w:rPr>
          <w:rFonts w:ascii="Palatino Linotype" w:hAnsi="Palatino Linotype" w:eastAsia="Times New Roman" w:cs="Times New Roman"/>
          <w:kern w:val="0"/>
          <w14:ligatures w14:val="none"/>
        </w:rPr>
      </w:pPr>
      <w:r w:rsidRPr="00251AAB">
        <w:rPr>
          <w:rFonts w:ascii="Palatino Linotype" w:hAnsi="Palatino Linotype" w:cs="Calibri"/>
          <w:color w:val="000000"/>
        </w:rPr>
        <w:t>On October 12, 2018, Resolution 3538 was adopted, approving with modifications the forecast requests for PG&amp;E, SoCalGas, SDG&amp;E</w:t>
      </w:r>
      <w:r w:rsidRPr="00251AAB" w:rsidR="00CA031D">
        <w:rPr>
          <w:rFonts w:ascii="Palatino Linotype" w:hAnsi="Palatino Linotype" w:cs="Calibri"/>
          <w:color w:val="000000"/>
        </w:rPr>
        <w:t>,</w:t>
      </w:r>
      <w:r w:rsidRPr="00251AAB">
        <w:rPr>
          <w:rFonts w:ascii="Palatino Linotype" w:hAnsi="Palatino Linotype" w:cs="Calibri"/>
          <w:color w:val="000000"/>
        </w:rPr>
        <w:t xml:space="preserve"> and Southwest Gas Corporations’ Compliance Plans through 2020. </w:t>
      </w:r>
      <w:r w:rsidRPr="00251AAB" w:rsidR="00926558">
        <w:rPr>
          <w:rFonts w:ascii="Palatino Linotype" w:hAnsi="Palatino Linotype" w:cs="Calibri"/>
          <w:color w:val="000000"/>
        </w:rPr>
        <w:t>SDG&amp;E</w:t>
      </w:r>
      <w:r w:rsidRPr="00251AAB">
        <w:rPr>
          <w:rFonts w:ascii="Palatino Linotype" w:hAnsi="Palatino Linotype" w:cs="Calibri"/>
          <w:color w:val="000000"/>
        </w:rPr>
        <w:t>’</w:t>
      </w:r>
      <w:r w:rsidRPr="00251AAB" w:rsidR="00926558">
        <w:rPr>
          <w:rFonts w:ascii="Palatino Linotype" w:hAnsi="Palatino Linotype" w:cs="Calibri"/>
          <w:color w:val="000000"/>
        </w:rPr>
        <w:t>s</w:t>
      </w:r>
      <w:r w:rsidRPr="00251AAB">
        <w:rPr>
          <w:rFonts w:ascii="Palatino Linotype" w:hAnsi="Palatino Linotype" w:cs="Calibri"/>
          <w:color w:val="000000"/>
        </w:rPr>
        <w:t xml:space="preserve"> forecast of </w:t>
      </w:r>
      <w:r w:rsidRPr="00251AAB" w:rsidR="00926558">
        <w:rPr>
          <w:rFonts w:ascii="Palatino Linotype" w:hAnsi="Palatino Linotype" w:cs="Calibri"/>
          <w:color w:val="000000"/>
        </w:rPr>
        <w:t>$12.3</w:t>
      </w:r>
      <w:r w:rsidRPr="00251AAB">
        <w:rPr>
          <w:rFonts w:ascii="Palatino Linotype" w:hAnsi="Palatino Linotype" w:cs="Calibri"/>
          <w:color w:val="000000"/>
        </w:rPr>
        <w:t xml:space="preserve"> million was approved</w:t>
      </w:r>
      <w:r w:rsidRPr="00251AAB" w:rsidR="00926558">
        <w:rPr>
          <w:rFonts w:ascii="Palatino Linotype" w:hAnsi="Palatino Linotype" w:cs="Calibri"/>
          <w:color w:val="000000"/>
        </w:rPr>
        <w:t xml:space="preserve"> for the two-year program</w:t>
      </w:r>
      <w:r w:rsidRPr="00251AAB">
        <w:rPr>
          <w:rFonts w:ascii="Palatino Linotype" w:hAnsi="Palatino Linotype" w:cs="Calibri"/>
          <w:color w:val="000000"/>
        </w:rPr>
        <w:t xml:space="preserve">. </w:t>
      </w:r>
      <w:r w:rsidRPr="00251AAB" w:rsidR="00CA031D">
        <w:rPr>
          <w:rFonts w:ascii="Palatino Linotype" w:hAnsi="Palatino Linotype" w:cs="Calibri"/>
          <w:color w:val="000000"/>
        </w:rPr>
        <w:t xml:space="preserve">Ordering Paragraph 5 of </w:t>
      </w:r>
      <w:r w:rsidRPr="00251AAB">
        <w:rPr>
          <w:rFonts w:ascii="Palatino Linotype" w:hAnsi="Palatino Linotype" w:cs="Calibri"/>
          <w:color w:val="000000"/>
        </w:rPr>
        <w:t>Resolution 3538 orders the utilities to each:</w:t>
      </w:r>
    </w:p>
    <w:p w:rsidRPr="00251AAB" w:rsidR="006F364D" w:rsidP="006F364D" w:rsidRDefault="006F364D" w14:paraId="6F836098" w14:textId="77777777">
      <w:pPr>
        <w:pStyle w:val="Default"/>
        <w:ind w:left="1500"/>
        <w:rPr>
          <w:rFonts w:ascii="Palatino Linotype" w:hAnsi="Palatino Linotype"/>
        </w:rPr>
      </w:pPr>
      <w:r w:rsidRPr="00251AAB" w:rsidDel="001637E6">
        <w:rPr>
          <w:rFonts w:ascii="Palatino Linotype" w:hAnsi="Palatino Linotype"/>
        </w:rPr>
        <w:t xml:space="preserve"> </w:t>
      </w:r>
      <w:r w:rsidRPr="00251AAB">
        <w:rPr>
          <w:rFonts w:ascii="Palatino Linotype" w:hAnsi="Palatino Linotype"/>
        </w:rPr>
        <w:t xml:space="preserve"> </w:t>
      </w:r>
    </w:p>
    <w:p w:rsidRPr="00251AAB" w:rsidR="006F364D" w:rsidP="006F364D" w:rsidRDefault="006F364D" w14:paraId="1E1DAD31" w14:textId="388ECDEB">
      <w:pPr>
        <w:pStyle w:val="Default"/>
        <w:rPr>
          <w:rFonts w:ascii="Palatino Linotype" w:hAnsi="Palatino Linotype" w:cs="Book Antiqua"/>
        </w:rPr>
      </w:pPr>
      <w:r w:rsidRPr="00251AAB">
        <w:rPr>
          <w:rFonts w:ascii="Palatino Linotype" w:hAnsi="Palatino Linotype"/>
        </w:rPr>
        <w:t xml:space="preserve">     </w:t>
      </w:r>
      <w:r w:rsidRPr="00251AAB">
        <w:rPr>
          <w:rFonts w:ascii="Palatino Linotype" w:hAnsi="Palatino Linotype"/>
        </w:rPr>
        <w:tab/>
        <w:t xml:space="preserve">Submit a </w:t>
      </w:r>
      <w:r w:rsidRPr="00251AAB">
        <w:rPr>
          <w:rFonts w:ascii="Palatino Linotype" w:hAnsi="Palatino Linotype" w:cs="Book Antiqua"/>
        </w:rPr>
        <w:t xml:space="preserve">Tier 1 Advice Letter with revised tariff sheets to recover forecasted </w:t>
      </w:r>
    </w:p>
    <w:p w:rsidRPr="00251AAB" w:rsidR="006F364D" w:rsidP="006F364D" w:rsidRDefault="006F364D" w14:paraId="738A01F2" w14:textId="597E79A6">
      <w:pPr>
        <w:pStyle w:val="Default"/>
        <w:rPr>
          <w:rFonts w:ascii="Palatino Linotype" w:hAnsi="Palatino Linotype" w:cs="Book Antiqua"/>
        </w:rPr>
      </w:pPr>
      <w:r w:rsidRPr="00251AAB">
        <w:rPr>
          <w:rFonts w:ascii="Palatino Linotype" w:hAnsi="Palatino Linotype" w:cs="Book Antiqua"/>
        </w:rPr>
        <w:t xml:space="preserve">    </w:t>
      </w:r>
      <w:r w:rsidRPr="00251AAB">
        <w:rPr>
          <w:rFonts w:ascii="Palatino Linotype" w:hAnsi="Palatino Linotype" w:cs="Book Antiqua"/>
        </w:rPr>
        <w:tab/>
        <w:t xml:space="preserve"> costs in the Natural Gas Leak Abatement Program Balancing Account for </w:t>
      </w:r>
    </w:p>
    <w:p w:rsidRPr="00251AAB" w:rsidR="006F364D" w:rsidP="006F364D" w:rsidRDefault="006F364D" w14:paraId="10799641" w14:textId="64565A5C">
      <w:pPr>
        <w:pStyle w:val="Default"/>
        <w:ind w:firstLine="720"/>
        <w:rPr>
          <w:rFonts w:ascii="Palatino Linotype" w:hAnsi="Palatino Linotype" w:cs="Book Antiqua"/>
        </w:rPr>
      </w:pPr>
      <w:r w:rsidRPr="00251AAB">
        <w:rPr>
          <w:rFonts w:ascii="Palatino Linotype" w:hAnsi="Palatino Linotype" w:cs="Book Antiqua"/>
        </w:rPr>
        <w:t xml:space="preserve">2018. The balance in the two-way balancing account shall be subject to refund </w:t>
      </w:r>
    </w:p>
    <w:p w:rsidRPr="00251AAB" w:rsidR="006F364D" w:rsidP="006F364D" w:rsidRDefault="006F364D" w14:paraId="23860079" w14:textId="164BBBFB">
      <w:pPr>
        <w:pStyle w:val="Default"/>
        <w:ind w:firstLine="720"/>
        <w:rPr>
          <w:rFonts w:ascii="Palatino Linotype" w:hAnsi="Palatino Linotype" w:cs="Book Antiqua"/>
        </w:rPr>
      </w:pPr>
      <w:r w:rsidRPr="00251AAB">
        <w:rPr>
          <w:rFonts w:ascii="Palatino Linotype" w:hAnsi="Palatino Linotype" w:cs="Book Antiqua"/>
        </w:rPr>
        <w:t xml:space="preserve">or recovery from customers in the following year through the Annual Gas </w:t>
      </w:r>
    </w:p>
    <w:p w:rsidRPr="00251AAB" w:rsidR="006F364D" w:rsidP="006F364D" w:rsidRDefault="006F364D" w14:paraId="66CCF906" w14:textId="648FBF87">
      <w:pPr>
        <w:pStyle w:val="Default"/>
        <w:ind w:firstLine="720"/>
        <w:rPr>
          <w:rFonts w:ascii="Palatino Linotype" w:hAnsi="Palatino Linotype" w:cs="Book Antiqua"/>
        </w:rPr>
      </w:pPr>
      <w:r w:rsidRPr="00251AAB">
        <w:rPr>
          <w:rFonts w:ascii="Palatino Linotype" w:hAnsi="Palatino Linotype" w:cs="Book Antiqua"/>
        </w:rPr>
        <w:lastRenderedPageBreak/>
        <w:t>True-Up advice letter filing.</w:t>
      </w:r>
      <w:r w:rsidRPr="00251AAB" w:rsidDel="001637E6">
        <w:rPr>
          <w:rFonts w:ascii="Palatino Linotype" w:hAnsi="Palatino Linotype" w:cs="Book Antiqua"/>
          <w:i/>
          <w:iCs/>
        </w:rPr>
        <w:t xml:space="preserve"> </w:t>
      </w:r>
    </w:p>
    <w:p w:rsidRPr="00251AAB" w:rsidR="006F364D" w:rsidP="006F364D" w:rsidRDefault="006F364D" w14:paraId="607A3791" w14:textId="77777777">
      <w:pPr>
        <w:pStyle w:val="Default"/>
        <w:rPr>
          <w:rFonts w:ascii="Palatino Linotype" w:hAnsi="Palatino Linotype" w:cs="Book Antiqua"/>
        </w:rPr>
      </w:pPr>
    </w:p>
    <w:p w:rsidRPr="00251AAB" w:rsidR="006F364D" w:rsidP="006F364D" w:rsidRDefault="006F364D" w14:paraId="4BB28E17" w14:textId="77777777">
      <w:pPr>
        <w:pStyle w:val="Default"/>
        <w:rPr>
          <w:rFonts w:ascii="Palatino Linotype" w:hAnsi="Palatino Linotype" w:cs="Book Antiqua"/>
        </w:rPr>
      </w:pPr>
      <w:r w:rsidRPr="00251AAB">
        <w:rPr>
          <w:rFonts w:ascii="Palatino Linotype" w:hAnsi="Palatino Linotype" w:cs="Book Antiqua"/>
        </w:rPr>
        <w:t>For 2019, OP 6 adds:</w:t>
      </w:r>
    </w:p>
    <w:p w:rsidRPr="00251AAB" w:rsidR="006F364D" w:rsidP="006F364D" w:rsidRDefault="006F364D" w14:paraId="0B40E1D9" w14:textId="77777777">
      <w:pPr>
        <w:pStyle w:val="Default"/>
        <w:rPr>
          <w:rFonts w:ascii="Palatino Linotype" w:hAnsi="Palatino Linotype" w:cs="Book Antiqua"/>
        </w:rPr>
      </w:pPr>
    </w:p>
    <w:p w:rsidRPr="00251AAB" w:rsidR="006F364D" w:rsidP="006F364D" w:rsidRDefault="006F364D" w14:paraId="458823A3" w14:textId="77777777">
      <w:pPr>
        <w:pStyle w:val="Default"/>
        <w:ind w:left="720"/>
        <w:rPr>
          <w:rFonts w:ascii="Palatino Linotype" w:hAnsi="Palatino Linotype" w:cs="Book Antiqua"/>
        </w:rPr>
      </w:pPr>
      <w:r w:rsidRPr="00251AAB">
        <w:rPr>
          <w:rFonts w:ascii="Palatino Linotype" w:hAnsi="Palatino Linotype" w:cs="Book Antiqua"/>
        </w:rPr>
        <w:t>Each utility will include the authorized cost forecast and cost limit in their gas transportation rates in connection with their consolidated rate update submittal for rates effective January 1, 2019, with balancing account balances subject to true up as in OP 5.</w:t>
      </w:r>
    </w:p>
    <w:p w:rsidRPr="00251AAB" w:rsidR="006F364D" w:rsidP="006F364D" w:rsidRDefault="006F364D" w14:paraId="3CE4EF46" w14:textId="12CC0A0C">
      <w:pPr>
        <w:pStyle w:val="Default"/>
        <w:rPr>
          <w:rFonts w:ascii="Palatino Linotype" w:hAnsi="Palatino Linotype" w:cs="Book Antiqua"/>
        </w:rPr>
      </w:pPr>
      <w:r w:rsidRPr="00251AAB">
        <w:rPr>
          <w:rFonts w:ascii="Palatino Linotype" w:hAnsi="Palatino Linotype" w:cs="Book Antiqua"/>
          <w:i/>
        </w:rPr>
        <w:t xml:space="preserve"> </w:t>
      </w:r>
    </w:p>
    <w:p w:rsidRPr="00251AAB" w:rsidR="006F364D" w:rsidP="006F364D" w:rsidRDefault="006F364D" w14:paraId="33ECD835" w14:textId="77777777">
      <w:pPr>
        <w:pStyle w:val="Default"/>
        <w:rPr>
          <w:rFonts w:ascii="Palatino Linotype" w:hAnsi="Palatino Linotype" w:cs="Book Antiqua"/>
        </w:rPr>
      </w:pPr>
      <w:r w:rsidRPr="00251AAB">
        <w:rPr>
          <w:rFonts w:ascii="Palatino Linotype" w:hAnsi="Palatino Linotype" w:cs="Book Antiqua"/>
        </w:rPr>
        <w:t xml:space="preserve">For 2020, OP 7 addresses potential funding gaps between the two-year Compliance Plan cycle with SoCalGas and SDG&amp;E’s consolidated rate update submittal for rates effective January 1, 2020, stating: </w:t>
      </w:r>
    </w:p>
    <w:p w:rsidRPr="00251AAB" w:rsidR="006F364D" w:rsidP="006F364D" w:rsidRDefault="006F364D" w14:paraId="4B70AE8B" w14:textId="77777777">
      <w:pPr>
        <w:pStyle w:val="Default"/>
        <w:rPr>
          <w:rFonts w:ascii="Palatino Linotype" w:hAnsi="Palatino Linotype" w:cs="Book Antiqua"/>
        </w:rPr>
      </w:pPr>
    </w:p>
    <w:p w:rsidRPr="00251AAB" w:rsidR="006F364D" w:rsidP="006F364D" w:rsidRDefault="006F364D" w14:paraId="10532579" w14:textId="77777777">
      <w:pPr>
        <w:pStyle w:val="Default"/>
        <w:ind w:left="720"/>
        <w:rPr>
          <w:rFonts w:ascii="Palatino Linotype" w:hAnsi="Palatino Linotype" w:cs="Book Antiqua"/>
        </w:rPr>
      </w:pPr>
      <w:r w:rsidRPr="00251AAB">
        <w:rPr>
          <w:rFonts w:ascii="Palatino Linotype" w:hAnsi="Palatino Linotype" w:cs="Book Antiqua"/>
        </w:rPr>
        <w:t>Each utility may include the authorized cost forecast and cost limit to bridge the funding gap of the two year Leak Abatement Compliance Plan with their consolidated rate update submittal for rates effective January 1, 2020.</w:t>
      </w:r>
    </w:p>
    <w:p w:rsidRPr="00251AAB" w:rsidR="006F364D" w:rsidP="006F364D" w:rsidRDefault="006F364D" w14:paraId="4D752708" w14:textId="77777777">
      <w:pPr>
        <w:autoSpaceDE w:val="0"/>
        <w:autoSpaceDN w:val="0"/>
        <w:adjustRightInd w:val="0"/>
        <w:spacing w:after="0" w:line="240" w:lineRule="auto"/>
        <w:rPr>
          <w:rFonts w:ascii="Palatino Linotype" w:hAnsi="Palatino Linotype" w:cs="Book Antiqua"/>
          <w:color w:val="000000"/>
          <w:kern w:val="0"/>
          <w14:ligatures w14:val="none"/>
        </w:rPr>
      </w:pPr>
    </w:p>
    <w:p w:rsidRPr="00251AAB" w:rsidR="006F364D" w:rsidP="006F364D" w:rsidRDefault="006F364D" w14:paraId="7EE50E54" w14:textId="060FB68D">
      <w:pPr>
        <w:autoSpaceDE w:val="0"/>
        <w:autoSpaceDN w:val="0"/>
        <w:adjustRightInd w:val="0"/>
        <w:spacing w:after="0" w:line="240" w:lineRule="auto"/>
        <w:rPr>
          <w:rFonts w:ascii="Palatino Linotype" w:hAnsi="Palatino Linotype" w:cs="Book Antiqua"/>
          <w:color w:val="000000"/>
          <w:kern w:val="0"/>
          <w14:ligatures w14:val="none"/>
        </w:rPr>
      </w:pPr>
      <w:r w:rsidRPr="00251AAB">
        <w:rPr>
          <w:rFonts w:ascii="Palatino Linotype" w:hAnsi="Palatino Linotype" w:cs="Book Antiqua"/>
          <w:color w:val="000000"/>
          <w:kern w:val="0"/>
          <w14:ligatures w14:val="none"/>
        </w:rPr>
        <w:t>OP 7 then repeats the same “subject to refund or recovery” language for balances in the two-way balancing account stated in OP 5 and 6, with balances in the two-way balancing account trued up in the following year through the Annual Gas True-Up advice letter filing. Resolution 35</w:t>
      </w:r>
      <w:r w:rsidRPr="00251AAB" w:rsidR="00A94EA4">
        <w:rPr>
          <w:rFonts w:ascii="Palatino Linotype" w:hAnsi="Palatino Linotype" w:cs="Book Antiqua"/>
          <w:color w:val="000000"/>
          <w:kern w:val="0"/>
          <w14:ligatures w14:val="none"/>
        </w:rPr>
        <w:t>38</w:t>
      </w:r>
      <w:r w:rsidRPr="00251AAB" w:rsidR="00AB691C">
        <w:rPr>
          <w:rFonts w:ascii="Palatino Linotype" w:hAnsi="Palatino Linotype" w:cs="Book Antiqua"/>
          <w:color w:val="000000"/>
          <w:kern w:val="0"/>
          <w14:ligatures w14:val="none"/>
        </w:rPr>
        <w:t xml:space="preserve"> </w:t>
      </w:r>
      <w:r w:rsidRPr="00251AAB">
        <w:rPr>
          <w:rFonts w:ascii="Palatino Linotype" w:hAnsi="Palatino Linotype" w:cs="Book Antiqua"/>
          <w:color w:val="000000"/>
          <w:kern w:val="0"/>
          <w14:ligatures w14:val="none"/>
        </w:rPr>
        <w:t>also notes that balances in all accounts authorized for recovery are subject to audit, verification, and adjustment.</w:t>
      </w:r>
      <w:r w:rsidRPr="00251AAB">
        <w:rPr>
          <w:rFonts w:ascii="Palatino Linotype" w:hAnsi="Palatino Linotype" w:cs="Book Antiqua"/>
          <w:color w:val="000000"/>
          <w:kern w:val="0"/>
          <w:vertAlign w:val="superscript"/>
          <w14:ligatures w14:val="none"/>
        </w:rPr>
        <w:footnoteReference w:id="5"/>
      </w:r>
    </w:p>
    <w:p w:rsidRPr="00251AAB" w:rsidR="006F364D" w:rsidP="006F364D" w:rsidRDefault="006F364D" w14:paraId="3836C558" w14:textId="77777777">
      <w:pPr>
        <w:pStyle w:val="Default"/>
        <w:rPr>
          <w:rFonts w:ascii="Palatino Linotype" w:hAnsi="Palatino Linotype"/>
        </w:rPr>
      </w:pPr>
    </w:p>
    <w:p w:rsidRPr="00251AAB" w:rsidR="006F364D" w:rsidP="006F364D" w:rsidRDefault="006F364D" w14:paraId="02AF1FE0" w14:textId="77777777">
      <w:pPr>
        <w:keepNext/>
        <w:spacing w:after="0" w:line="240" w:lineRule="auto"/>
        <w:rPr>
          <w:rFonts w:ascii="Palatino Linotype" w:hAnsi="Palatino Linotype" w:eastAsia="Palatino Linotype" w:cs="Palatino Linotype"/>
          <w:color w:val="000000" w:themeColor="text1"/>
        </w:rPr>
      </w:pPr>
      <w:r w:rsidRPr="00251AAB">
        <w:rPr>
          <w:rFonts w:ascii="Palatino Linotype" w:hAnsi="Palatino Linotype" w:eastAsia="Palatino Linotype" w:cs="Palatino Linotype"/>
          <w:color w:val="000000" w:themeColor="text1"/>
        </w:rPr>
        <w:t>On August 15, 2019, the CPUC adopted a Second Phase Decision, D.19-08-020, establishing additional policies, including requiring use of the utility-proposed standard cost effectiveness methodology and two additional cost-benefit analyses, the Cap-and-Trade cost benefit test and the Social Cost of Methane.</w:t>
      </w:r>
      <w:r w:rsidRPr="00251AAB">
        <w:rPr>
          <w:rFonts w:ascii="Palatino Linotype" w:hAnsi="Palatino Linotype" w:eastAsia="Palatino Linotype" w:cs="Palatino Linotype"/>
          <w:color w:val="000000" w:themeColor="text1"/>
          <w:vertAlign w:val="superscript"/>
        </w:rPr>
        <w:footnoteReference w:id="6"/>
      </w:r>
      <w:r w:rsidRPr="00251AAB">
        <w:rPr>
          <w:rFonts w:ascii="Palatino Linotype" w:hAnsi="Palatino Linotype"/>
        </w:rPr>
        <w:t xml:space="preserve"> T</w:t>
      </w:r>
      <w:r w:rsidRPr="00251AAB">
        <w:rPr>
          <w:rFonts w:ascii="Palatino Linotype" w:hAnsi="Palatino Linotype" w:eastAsia="Palatino Linotype" w:cs="Palatino Linotype"/>
          <w:color w:val="000000" w:themeColor="text1"/>
        </w:rPr>
        <w:t>he Decision also imposed a restriction on rate recovery for Lost and Unaccounted For (LUAF) gas beginning in 2025 for SoCalGas and Pacific Gas &amp; Electric (PG&amp;E) if their methane emissions are not greater than 20 percent below the 2015 baseline levels.</w:t>
      </w:r>
      <w:r w:rsidRPr="00251AAB">
        <w:rPr>
          <w:rFonts w:ascii="Palatino Linotype" w:hAnsi="Palatino Linotype" w:eastAsia="Palatino Linotype" w:cs="Palatino Linotype"/>
          <w:color w:val="000000" w:themeColor="text1"/>
          <w:vertAlign w:val="superscript"/>
        </w:rPr>
        <w:footnoteReference w:id="7"/>
      </w:r>
      <w:r w:rsidRPr="00251AAB">
        <w:rPr>
          <w:rFonts w:ascii="Palatino Linotype" w:hAnsi="Palatino Linotype" w:eastAsia="Palatino Linotype" w:cs="Palatino Linotype"/>
          <w:color w:val="000000" w:themeColor="text1"/>
        </w:rPr>
        <w:t xml:space="preserve"> This performance objective reflects the CPUC’s intent that SoCalGas and PG&amp;E be at least </w:t>
      </w:r>
      <w:r w:rsidRPr="00251AAB">
        <w:rPr>
          <w:rFonts w:ascii="Palatino Linotype" w:hAnsi="Palatino Linotype" w:eastAsia="Palatino Linotype" w:cs="Palatino Linotype"/>
          <w:color w:val="000000" w:themeColor="text1"/>
        </w:rPr>
        <w:lastRenderedPageBreak/>
        <w:t xml:space="preserve">halfway to achieving their share of the state’s goal of a 40 percent reduction in methane emissions by 2030, consistent with SB 1383, while noting that the 40 percent is a soft </w:t>
      </w:r>
    </w:p>
    <w:p w:rsidRPr="00251AAB" w:rsidR="006F364D" w:rsidP="006F364D" w:rsidRDefault="006F364D" w14:paraId="136689F4" w14:textId="1B0A33EA">
      <w:pPr>
        <w:keepNext/>
        <w:spacing w:after="0" w:line="240" w:lineRule="auto"/>
        <w:rPr>
          <w:rFonts w:ascii="Palatino Linotype" w:hAnsi="Palatino Linotype" w:eastAsia="Palatino Linotype" w:cs="Palatino Linotype"/>
          <w:color w:val="000000" w:themeColor="text1"/>
        </w:rPr>
      </w:pPr>
      <w:r w:rsidRPr="00251AAB">
        <w:rPr>
          <w:rFonts w:ascii="Palatino Linotype" w:hAnsi="Palatino Linotype" w:eastAsia="Palatino Linotype" w:cs="Palatino Linotype"/>
          <w:color w:val="000000" w:themeColor="text1"/>
        </w:rPr>
        <w:t xml:space="preserve">target. </w:t>
      </w:r>
      <w:bookmarkStart w:name="_Hlk199861537" w:id="1"/>
      <w:r w:rsidRPr="00251AAB" w:rsidR="005C603E">
        <w:rPr>
          <w:rFonts w:ascii="Palatino Linotype" w:hAnsi="Palatino Linotype" w:eastAsia="Palatino Linotype" w:cs="Palatino Linotype"/>
          <w:color w:val="000000" w:themeColor="text1"/>
        </w:rPr>
        <w:t xml:space="preserve">SDG&amp;E was not subject to the restriction on rate recovery for not achieving the 20 percent reduction in methane emissions by 2025 because their system is much </w:t>
      </w:r>
      <w:r w:rsidRPr="00251AAB" w:rsidR="00376FAB">
        <w:rPr>
          <w:rFonts w:ascii="Palatino Linotype" w:hAnsi="Palatino Linotype" w:eastAsia="Palatino Linotype" w:cs="Palatino Linotype"/>
          <w:color w:val="000000" w:themeColor="text1"/>
        </w:rPr>
        <w:t>newer and</w:t>
      </w:r>
      <w:r w:rsidRPr="00251AAB" w:rsidR="005C603E">
        <w:rPr>
          <w:rFonts w:ascii="Palatino Linotype" w:hAnsi="Palatino Linotype" w:eastAsia="Palatino Linotype" w:cs="Palatino Linotype"/>
          <w:color w:val="000000" w:themeColor="text1"/>
        </w:rPr>
        <w:t xml:space="preserve"> therefore has fewer emissions to </w:t>
      </w:r>
      <w:r w:rsidRPr="00251AAB" w:rsidR="00926558">
        <w:rPr>
          <w:rFonts w:ascii="Palatino Linotype" w:hAnsi="Palatino Linotype" w:eastAsia="Palatino Linotype" w:cs="Palatino Linotype"/>
          <w:color w:val="000000" w:themeColor="text1"/>
        </w:rPr>
        <w:t>reduce</w:t>
      </w:r>
      <w:r w:rsidRPr="00251AAB" w:rsidR="005C603E">
        <w:rPr>
          <w:rFonts w:ascii="Palatino Linotype" w:hAnsi="Palatino Linotype" w:eastAsia="Palatino Linotype" w:cs="Palatino Linotype"/>
          <w:color w:val="000000" w:themeColor="text1"/>
        </w:rPr>
        <w:t>.</w:t>
      </w:r>
      <w:bookmarkEnd w:id="1"/>
      <w:r w:rsidRPr="00251AAB" w:rsidR="00AF599F">
        <w:rPr>
          <w:rFonts w:ascii="Palatino Linotype" w:hAnsi="Palatino Linotype" w:eastAsia="Palatino Linotype" w:cs="Palatino Linotype"/>
          <w:color w:val="000000" w:themeColor="text1"/>
        </w:rPr>
        <w:t xml:space="preserve"> </w:t>
      </w:r>
    </w:p>
    <w:p w:rsidRPr="00251AAB" w:rsidR="006F364D" w:rsidP="006F364D" w:rsidRDefault="006F364D" w14:paraId="5FC7043F" w14:textId="77777777">
      <w:pPr>
        <w:keepNext/>
        <w:spacing w:after="0" w:line="240" w:lineRule="auto"/>
        <w:rPr>
          <w:rFonts w:ascii="Palatino Linotype" w:hAnsi="Palatino Linotype"/>
        </w:rPr>
      </w:pPr>
      <w:r w:rsidRPr="00251AAB">
        <w:rPr>
          <w:rFonts w:ascii="Palatino Linotype" w:hAnsi="Palatino Linotype" w:eastAsia="Palatino Linotype" w:cs="Palatino Linotype"/>
        </w:rPr>
        <w:t xml:space="preserve"> </w:t>
      </w:r>
    </w:p>
    <w:p w:rsidRPr="00251AAB" w:rsidR="006F364D" w:rsidP="006F364D" w:rsidRDefault="006F364D" w14:paraId="70FAD4FA" w14:textId="725B8634">
      <w:pPr>
        <w:keepNext/>
        <w:spacing w:after="0" w:line="240" w:lineRule="auto"/>
        <w:rPr>
          <w:rFonts w:ascii="Palatino Linotype" w:hAnsi="Palatino Linotype"/>
        </w:rPr>
      </w:pPr>
      <w:r w:rsidRPr="00251AAB">
        <w:rPr>
          <w:rFonts w:ascii="Palatino Linotype" w:hAnsi="Palatino Linotype" w:eastAsia="Palatino Linotype" w:cs="Palatino Linotype"/>
        </w:rPr>
        <w:t>D.19-08-020 also confirmed the CPUC’s Safety Enforcement Division’s (SED) authority to approve NGLA compliance plans and to disapprove any measures it finds not to be in the ratepayers’ interest.</w:t>
      </w:r>
      <w:r w:rsidRPr="00251AAB">
        <w:rPr>
          <w:rFonts w:ascii="Palatino Linotype" w:hAnsi="Palatino Linotype" w:eastAsia="Palatino Linotype" w:cs="Palatino Linotype"/>
          <w:vertAlign w:val="superscript"/>
        </w:rPr>
        <w:footnoteReference w:id="8"/>
      </w:r>
      <w:r w:rsidRPr="00251AAB">
        <w:rPr>
          <w:rFonts w:ascii="Palatino Linotype" w:hAnsi="Palatino Linotype" w:eastAsia="Palatino Linotype" w:cs="Palatino Linotype"/>
        </w:rPr>
        <w:t xml:space="preserve"> The authority was transferred to the Safety Policy Division upon creation of that new division. SPD staff evaluate each biennial compliance plan in consultation with </w:t>
      </w:r>
      <w:r w:rsidRPr="00251AAB" w:rsidR="00385CE2">
        <w:rPr>
          <w:rFonts w:ascii="Palatino Linotype" w:hAnsi="Palatino Linotype" w:eastAsia="Palatino Linotype" w:cs="Palatino Linotype"/>
        </w:rPr>
        <w:t>CARB</w:t>
      </w:r>
      <w:r w:rsidRPr="00251AAB">
        <w:rPr>
          <w:rFonts w:ascii="Palatino Linotype" w:hAnsi="Palatino Linotype" w:eastAsia="Palatino Linotype" w:cs="Palatino Linotype"/>
        </w:rPr>
        <w:t xml:space="preserve"> and Energy Division staff. </w:t>
      </w:r>
    </w:p>
    <w:p w:rsidRPr="00251AAB" w:rsidR="00CF5181" w:rsidP="006F364D" w:rsidRDefault="00CF5181" w14:paraId="4F5BD83F" w14:textId="77777777">
      <w:pPr>
        <w:pStyle w:val="Default"/>
        <w:rPr>
          <w:rFonts w:ascii="Palatino Linotype" w:hAnsi="Palatino Linotype"/>
        </w:rPr>
      </w:pPr>
    </w:p>
    <w:p w:rsidRPr="00251AAB" w:rsidR="00CF5181" w:rsidDel="00166A0C" w:rsidP="00CF5181" w:rsidRDefault="00CF5181" w14:paraId="1183CF64" w14:textId="77777777">
      <w:pPr>
        <w:spacing w:line="240" w:lineRule="auto"/>
        <w:rPr>
          <w:rFonts w:ascii="Palatino Linotype" w:hAnsi="Palatino Linotype"/>
        </w:rPr>
      </w:pPr>
      <w:r w:rsidRPr="00251AAB">
        <w:rPr>
          <w:rFonts w:ascii="Palatino Linotype" w:hAnsi="Palatino Linotype" w:eastAsia="Palatino Linotype" w:cs="Palatino Linotype"/>
        </w:rPr>
        <w:t>D.19-08-020 further ordered the convening of a workshop by the CPUC’s Energy Division and SPD in cooperation with the Technical Working Group</w:t>
      </w:r>
      <w:r w:rsidRPr="00251AAB">
        <w:rPr>
          <w:rFonts w:ascii="Palatino Linotype" w:hAnsi="Palatino Linotype" w:eastAsia="Palatino Linotype" w:cs="Palatino Linotype"/>
          <w:vertAlign w:val="superscript"/>
        </w:rPr>
        <w:footnoteReference w:id="9"/>
      </w:r>
      <w:r w:rsidRPr="00251AAB">
        <w:rPr>
          <w:rFonts w:ascii="Palatino Linotype" w:hAnsi="Palatino Linotype" w:eastAsia="Palatino Linotype" w:cs="Palatino Linotype"/>
        </w:rPr>
        <w:t xml:space="preserve"> established in R.15-01-008 to refine the scope and detail of the compliance plans and Tier 3 Advice Letters pertaining to cost-effectiveness and cost-benefit analysis.</w:t>
      </w:r>
      <w:r w:rsidRPr="00251AAB">
        <w:rPr>
          <w:rFonts w:ascii="Palatino Linotype" w:hAnsi="Palatino Linotype" w:eastAsia="Palatino Linotype" w:cs="Palatino Linotype"/>
          <w:vertAlign w:val="superscript"/>
        </w:rPr>
        <w:footnoteReference w:id="10"/>
      </w:r>
      <w:r w:rsidRPr="00251AAB">
        <w:rPr>
          <w:rFonts w:ascii="Palatino Linotype" w:hAnsi="Palatino Linotype" w:eastAsia="Palatino Linotype" w:cs="Palatino Linotype"/>
        </w:rPr>
        <w:t xml:space="preserve"> It also stated that SPD</w:t>
      </w:r>
      <w:r w:rsidRPr="00251AAB">
        <w:rPr>
          <w:rFonts w:ascii="Palatino Linotype" w:hAnsi="Palatino Linotype"/>
        </w:rPr>
        <w:t xml:space="preserve"> and ED Staff have the authority to convene the Technical Working Group every two years to consider updates to the NGLA compliance plans.</w:t>
      </w:r>
      <w:r w:rsidRPr="00251AAB">
        <w:rPr>
          <w:rFonts w:ascii="Palatino Linotype" w:hAnsi="Palatino Linotype"/>
          <w:vertAlign w:val="superscript"/>
        </w:rPr>
        <w:footnoteReference w:id="11"/>
      </w:r>
    </w:p>
    <w:p w:rsidRPr="00251AAB" w:rsidR="00CF5181" w:rsidP="00CF5181" w:rsidRDefault="00CF5181" w14:paraId="08B7F564" w14:textId="2CB78D17">
      <w:pPr>
        <w:spacing w:line="240" w:lineRule="auto"/>
        <w:rPr>
          <w:rFonts w:ascii="Palatino Linotype" w:hAnsi="Palatino Linotype"/>
        </w:rPr>
      </w:pPr>
      <w:r w:rsidRPr="00251AAB" w:rsidDel="00166A0C">
        <w:rPr>
          <w:rFonts w:ascii="Palatino Linotype" w:hAnsi="Palatino Linotype"/>
        </w:rPr>
        <w:t>On October 21, 2019, the public workshop was held. The guidelines</w:t>
      </w:r>
      <w:r w:rsidRPr="00251AAB">
        <w:rPr>
          <w:rFonts w:ascii="Palatino Linotype" w:hAnsi="Palatino Linotype"/>
          <w:vertAlign w:val="superscript"/>
        </w:rPr>
        <w:footnoteReference w:id="12"/>
      </w:r>
      <w:r w:rsidRPr="00251AAB" w:rsidDel="00166A0C">
        <w:rPr>
          <w:rFonts w:ascii="Palatino Linotype" w:hAnsi="Palatino Linotype"/>
        </w:rPr>
        <w:t xml:space="preserve"> developed</w:t>
      </w:r>
      <w:r w:rsidRPr="00251AAB">
        <w:rPr>
          <w:rFonts w:ascii="Palatino Linotype" w:hAnsi="Palatino Linotype"/>
        </w:rPr>
        <w:t xml:space="preserve"> </w:t>
      </w:r>
      <w:r w:rsidRPr="00251AAB" w:rsidDel="00166A0C">
        <w:rPr>
          <w:rFonts w:ascii="Palatino Linotype" w:hAnsi="Palatino Linotype"/>
        </w:rPr>
        <w:t xml:space="preserve">allow more than one of the 26 Best Practices to be addressed by a combination of actions that may be grouped together in a chapter of the </w:t>
      </w:r>
      <w:r w:rsidRPr="00251AAB">
        <w:rPr>
          <w:rFonts w:ascii="Palatino Linotype" w:hAnsi="Palatino Linotype"/>
        </w:rPr>
        <w:t>c</w:t>
      </w:r>
      <w:r w:rsidRPr="00251AAB" w:rsidDel="00166A0C">
        <w:rPr>
          <w:rFonts w:ascii="Palatino Linotype" w:hAnsi="Palatino Linotype"/>
        </w:rPr>
        <w:t xml:space="preserve">ompliance </w:t>
      </w:r>
      <w:r w:rsidRPr="00251AAB">
        <w:rPr>
          <w:rFonts w:ascii="Palatino Linotype" w:hAnsi="Palatino Linotype"/>
        </w:rPr>
        <w:t>p</w:t>
      </w:r>
      <w:r w:rsidRPr="00251AAB" w:rsidDel="00166A0C">
        <w:rPr>
          <w:rFonts w:ascii="Palatino Linotype" w:hAnsi="Palatino Linotype"/>
        </w:rPr>
        <w:t>lan.</w:t>
      </w:r>
      <w:r w:rsidRPr="00251AAB" w:rsidR="00385CE2">
        <w:rPr>
          <w:rStyle w:val="FootnoteReference"/>
          <w:rFonts w:ascii="Palatino Linotype" w:hAnsi="Palatino Linotype"/>
        </w:rPr>
        <w:footnoteReference w:id="13"/>
      </w:r>
      <w:r w:rsidRPr="00251AAB" w:rsidDel="00166A0C">
        <w:rPr>
          <w:rFonts w:ascii="Palatino Linotype" w:hAnsi="Palatino Linotype"/>
        </w:rPr>
        <w:t xml:space="preserve"> </w:t>
      </w:r>
      <w:r w:rsidRPr="00251AAB">
        <w:rPr>
          <w:rFonts w:ascii="Palatino Linotype" w:hAnsi="Palatino Linotype"/>
        </w:rPr>
        <w:t>Members of the Technical Working Group have since been invited to the annual NGLA workshops held by SPD, CARB, and the utilities.</w:t>
      </w:r>
    </w:p>
    <w:p w:rsidRPr="00251AAB" w:rsidR="00CF5181" w:rsidP="00CF5181" w:rsidRDefault="00CF5181" w14:paraId="3157F262" w14:textId="309BFAB3">
      <w:pPr>
        <w:spacing w:line="240" w:lineRule="auto"/>
        <w:rPr>
          <w:rFonts w:ascii="Palatino Linotype" w:hAnsi="Palatino Linotype"/>
        </w:rPr>
      </w:pPr>
      <w:r w:rsidRPr="00251AAB">
        <w:rPr>
          <w:rFonts w:ascii="Palatino Linotype" w:hAnsi="Palatino Linotype"/>
        </w:rPr>
        <w:lastRenderedPageBreak/>
        <w:t>On January 16, 2020, the CPUC modified the GRC interval periods for each utility, adopting an extension of the GRC cycle for each utility from three years to four years</w:t>
      </w:r>
      <w:r w:rsidRPr="00251AAB" w:rsidR="005C603E">
        <w:rPr>
          <w:rFonts w:ascii="Palatino Linotype" w:hAnsi="Palatino Linotype"/>
        </w:rPr>
        <w:t xml:space="preserve"> and extending SDG&amp;E’s then-current cycle through 2023</w:t>
      </w:r>
      <w:r w:rsidRPr="00251AAB">
        <w:rPr>
          <w:rFonts w:ascii="Palatino Linotype" w:hAnsi="Palatino Linotype"/>
        </w:rPr>
        <w:t>.</w:t>
      </w:r>
      <w:r w:rsidRPr="00251AAB">
        <w:rPr>
          <w:rFonts w:ascii="Palatino Linotype" w:hAnsi="Palatino Linotype"/>
          <w:vertAlign w:val="superscript"/>
        </w:rPr>
        <w:footnoteReference w:id="14"/>
      </w:r>
    </w:p>
    <w:p w:rsidRPr="00251AAB" w:rsidR="005C603E" w:rsidP="00CF5181" w:rsidRDefault="00CF5181" w14:paraId="78586353" w14:textId="77777777">
      <w:pPr>
        <w:spacing w:line="240" w:lineRule="auto"/>
        <w:rPr>
          <w:rFonts w:ascii="Palatino Linotype" w:hAnsi="Palatino Linotype"/>
        </w:rPr>
      </w:pPr>
      <w:r w:rsidRPr="00251AAB">
        <w:rPr>
          <w:rFonts w:ascii="Palatino Linotype" w:hAnsi="Palatino Linotype"/>
        </w:rPr>
        <w:t xml:space="preserve">On March 12, 2020, SDG&amp;E submitted AL </w:t>
      </w:r>
      <w:r w:rsidRPr="00251AAB" w:rsidR="005C603E">
        <w:rPr>
          <w:rFonts w:ascii="Palatino Linotype" w:hAnsi="Palatino Linotype"/>
        </w:rPr>
        <w:t>2852-G</w:t>
      </w:r>
      <w:r w:rsidRPr="00251AAB">
        <w:rPr>
          <w:rFonts w:ascii="Palatino Linotype" w:hAnsi="Palatino Linotype"/>
        </w:rPr>
        <w:t xml:space="preserve"> to provide forecasted costs for its 2020 Compliance Plan, including its forecast of costs and emissions reductions for the years 2021 and 2022 and revenue requirements for the life of the capital projects. SDG&amp;E made various corrections to its initial filing in ALs </w:t>
      </w:r>
      <w:r w:rsidRPr="00251AAB" w:rsidR="005C603E">
        <w:rPr>
          <w:rFonts w:ascii="Palatino Linotype" w:hAnsi="Palatino Linotype"/>
        </w:rPr>
        <w:t>2852-G-A, 2852</w:t>
      </w:r>
      <w:r w:rsidRPr="00251AAB">
        <w:rPr>
          <w:rFonts w:ascii="Palatino Linotype" w:hAnsi="Palatino Linotype"/>
        </w:rPr>
        <w:t xml:space="preserve">-G-B, and </w:t>
      </w:r>
      <w:r w:rsidRPr="00251AAB" w:rsidR="005C603E">
        <w:rPr>
          <w:rFonts w:ascii="Palatino Linotype" w:hAnsi="Palatino Linotype"/>
        </w:rPr>
        <w:t>2852</w:t>
      </w:r>
      <w:r w:rsidRPr="00251AAB">
        <w:rPr>
          <w:rFonts w:ascii="Palatino Linotype" w:hAnsi="Palatino Linotype"/>
        </w:rPr>
        <w:t>-G-C, which were filed on June 12, 2020; June 29, 2020; and October 2, 2020, respectively.</w:t>
      </w:r>
    </w:p>
    <w:p w:rsidRPr="00251AAB" w:rsidR="00CF5181" w:rsidP="00CF5181" w:rsidRDefault="005C603E" w14:paraId="15FA5553" w14:textId="5D52FF43">
      <w:pPr>
        <w:spacing w:line="240" w:lineRule="auto"/>
        <w:rPr>
          <w:rFonts w:ascii="Palatino Linotype" w:hAnsi="Palatino Linotype"/>
        </w:rPr>
      </w:pPr>
      <w:r w:rsidRPr="00251AAB">
        <w:rPr>
          <w:rFonts w:ascii="Palatino Linotype" w:hAnsi="Palatino Linotype"/>
        </w:rPr>
        <w:t>On March 12, 2020, SDG&amp;E filed its 2020 Compliance Plan, which was subsequently amended on June 12</w:t>
      </w:r>
      <w:r w:rsidRPr="00251AAB" w:rsidR="00E7370F">
        <w:rPr>
          <w:rFonts w:ascii="Palatino Linotype" w:hAnsi="Palatino Linotype"/>
        </w:rPr>
        <w:t xml:space="preserve"> and September 4, 2020.</w:t>
      </w:r>
      <w:r w:rsidRPr="00251AAB" w:rsidR="00E7370F">
        <w:rPr>
          <w:rStyle w:val="FootnoteReference"/>
          <w:rFonts w:ascii="Palatino Linotype" w:hAnsi="Palatino Linotype"/>
        </w:rPr>
        <w:footnoteReference w:id="15"/>
      </w:r>
      <w:r w:rsidRPr="00251AAB" w:rsidR="00CF5181">
        <w:rPr>
          <w:rFonts w:ascii="Palatino Linotype" w:hAnsi="Palatino Linotype"/>
        </w:rPr>
        <w:t xml:space="preserve"> </w:t>
      </w:r>
    </w:p>
    <w:p w:rsidRPr="00251AAB" w:rsidR="00CF5181" w:rsidP="00CF5181" w:rsidRDefault="00CF5181" w14:paraId="36F3EF14" w14:textId="3C38745F">
      <w:pPr>
        <w:spacing w:line="240" w:lineRule="auto"/>
        <w:rPr>
          <w:rFonts w:ascii="Palatino Linotype" w:hAnsi="Palatino Linotype"/>
        </w:rPr>
      </w:pPr>
      <w:r w:rsidRPr="00251AAB">
        <w:rPr>
          <w:rFonts w:ascii="Palatino Linotype" w:hAnsi="Palatino Linotype"/>
        </w:rPr>
        <w:t>On December 17, 2020, the CPUC issued Resolution G-35</w:t>
      </w:r>
      <w:r w:rsidRPr="00251AAB" w:rsidR="00E7370F">
        <w:rPr>
          <w:rFonts w:ascii="Palatino Linotype" w:hAnsi="Palatino Linotype"/>
        </w:rPr>
        <w:t>77</w:t>
      </w:r>
      <w:r w:rsidRPr="00251AAB">
        <w:rPr>
          <w:rFonts w:ascii="Palatino Linotype" w:hAnsi="Palatino Linotype"/>
        </w:rPr>
        <w:t xml:space="preserve"> approving AL </w:t>
      </w:r>
      <w:r w:rsidRPr="00251AAB" w:rsidR="00E7370F">
        <w:rPr>
          <w:rFonts w:ascii="Palatino Linotype" w:hAnsi="Palatino Linotype"/>
        </w:rPr>
        <w:t>2852-G-C</w:t>
      </w:r>
      <w:r w:rsidRPr="00251AAB">
        <w:rPr>
          <w:rFonts w:ascii="Palatino Linotype" w:hAnsi="Palatino Linotype"/>
        </w:rPr>
        <w:t xml:space="preserve"> and the </w:t>
      </w:r>
      <w:r w:rsidRPr="00251AAB" w:rsidR="00E7370F">
        <w:rPr>
          <w:rFonts w:ascii="Palatino Linotype" w:hAnsi="Palatino Linotype"/>
        </w:rPr>
        <w:t>SDG&amp;E</w:t>
      </w:r>
      <w:r w:rsidRPr="00251AAB">
        <w:rPr>
          <w:rFonts w:ascii="Palatino Linotype" w:hAnsi="Palatino Linotype"/>
        </w:rPr>
        <w:t xml:space="preserve"> 2020 Compliance Plan for a Total Revenue Requirement of $</w:t>
      </w:r>
      <w:r w:rsidRPr="00251AAB" w:rsidR="00E7370F">
        <w:rPr>
          <w:rFonts w:ascii="Palatino Linotype" w:hAnsi="Palatino Linotype"/>
        </w:rPr>
        <w:t>15.8</w:t>
      </w:r>
      <w:r w:rsidRPr="00251AAB">
        <w:rPr>
          <w:rFonts w:ascii="Palatino Linotype" w:hAnsi="Palatino Linotype"/>
        </w:rPr>
        <w:t xml:space="preserve"> million over the life of the capital projects.</w:t>
      </w:r>
      <w:r w:rsidRPr="00251AAB">
        <w:rPr>
          <w:rFonts w:ascii="Palatino Linotype" w:hAnsi="Palatino Linotype"/>
          <w:vertAlign w:val="superscript"/>
        </w:rPr>
        <w:footnoteReference w:id="16"/>
      </w:r>
      <w:r w:rsidRPr="00251AAB">
        <w:rPr>
          <w:rFonts w:ascii="Palatino Linotype" w:hAnsi="Palatino Linotype"/>
        </w:rPr>
        <w:t xml:space="preserve"> This resulted in an overall rate increase of 0.</w:t>
      </w:r>
      <w:r w:rsidRPr="00251AAB" w:rsidR="00E7370F">
        <w:rPr>
          <w:rFonts w:ascii="Palatino Linotype" w:hAnsi="Palatino Linotype"/>
        </w:rPr>
        <w:t>7</w:t>
      </w:r>
      <w:r w:rsidRPr="00251AAB">
        <w:rPr>
          <w:rFonts w:ascii="Palatino Linotype" w:hAnsi="Palatino Linotype"/>
        </w:rPr>
        <w:t xml:space="preserve"> percent for 2021 and</w:t>
      </w:r>
      <w:r w:rsidRPr="00251AAB" w:rsidR="00E7370F">
        <w:rPr>
          <w:rFonts w:ascii="Palatino Linotype" w:hAnsi="Palatino Linotype"/>
        </w:rPr>
        <w:t xml:space="preserve"> 0.3 percent in</w:t>
      </w:r>
      <w:r w:rsidRPr="00251AAB">
        <w:rPr>
          <w:rFonts w:ascii="Palatino Linotype" w:hAnsi="Palatino Linotype"/>
        </w:rPr>
        <w:t xml:space="preserve"> 2022.</w:t>
      </w:r>
      <w:r w:rsidRPr="00251AAB">
        <w:rPr>
          <w:rFonts w:ascii="Palatino Linotype" w:hAnsi="Palatino Linotype"/>
          <w:vertAlign w:val="superscript"/>
        </w:rPr>
        <w:footnoteReference w:id="17"/>
      </w:r>
      <w:r w:rsidRPr="00251AAB">
        <w:rPr>
          <w:rFonts w:ascii="Palatino Linotype" w:hAnsi="Palatino Linotype"/>
        </w:rPr>
        <w:t xml:space="preserve"> </w:t>
      </w:r>
    </w:p>
    <w:p w:rsidRPr="00251AAB" w:rsidR="00CF5181" w:rsidP="00CF5181" w:rsidRDefault="00CF5181" w14:paraId="4727AA3B" w14:textId="75DAAFB5">
      <w:pPr>
        <w:spacing w:line="240" w:lineRule="auto"/>
        <w:rPr>
          <w:rFonts w:ascii="Palatino Linotype" w:hAnsi="Palatino Linotype"/>
        </w:rPr>
      </w:pPr>
      <w:r w:rsidRPr="00251AAB">
        <w:rPr>
          <w:rFonts w:ascii="Palatino Linotype" w:hAnsi="Palatino Linotype"/>
        </w:rPr>
        <w:t xml:space="preserve">On November 18, 2021, the CPUC’s Executive Director granted </w:t>
      </w:r>
      <w:r w:rsidRPr="00251AAB" w:rsidR="00BF7470">
        <w:rPr>
          <w:rFonts w:ascii="Palatino Linotype" w:hAnsi="Palatino Linotype"/>
        </w:rPr>
        <w:t xml:space="preserve">SoCalGas and </w:t>
      </w:r>
      <w:r w:rsidRPr="00251AAB">
        <w:rPr>
          <w:rFonts w:ascii="Palatino Linotype" w:hAnsi="Palatino Linotype"/>
        </w:rPr>
        <w:t xml:space="preserve">SDG&amp;E an extension of time to comply with Ordering Paragraph 12 of D.17-06-015, delaying the incorporation of the leak abatement programs into its GRC </w:t>
      </w:r>
      <w:r w:rsidRPr="00251AAB" w:rsidR="00E7370F">
        <w:rPr>
          <w:rFonts w:ascii="Palatino Linotype" w:hAnsi="Palatino Linotype"/>
        </w:rPr>
        <w:t>until</w:t>
      </w:r>
      <w:r w:rsidRPr="00251AAB" w:rsidDel="0071438D">
        <w:rPr>
          <w:rFonts w:ascii="Palatino Linotype" w:hAnsi="Palatino Linotype"/>
        </w:rPr>
        <w:t xml:space="preserve"> </w:t>
      </w:r>
      <w:r w:rsidRPr="00251AAB">
        <w:rPr>
          <w:rFonts w:ascii="Palatino Linotype" w:hAnsi="Palatino Linotype"/>
        </w:rPr>
        <w:t>Test Year 2028, which is expected to be filed by May 15, 2026.</w:t>
      </w:r>
    </w:p>
    <w:p w:rsidRPr="00251AAB" w:rsidR="00CF5181" w:rsidP="00CF5181" w:rsidRDefault="00CF5181" w14:paraId="57BA7CB6" w14:textId="30581058">
      <w:pPr>
        <w:spacing w:line="240" w:lineRule="auto"/>
        <w:rPr>
          <w:rFonts w:ascii="Palatino Linotype" w:hAnsi="Palatino Linotype"/>
        </w:rPr>
      </w:pPr>
      <w:r w:rsidRPr="00251AAB">
        <w:rPr>
          <w:rFonts w:ascii="Palatino Linotype" w:hAnsi="Palatino Linotype"/>
        </w:rPr>
        <w:t xml:space="preserve">On March 15, 2022, SDG&amp;E submitted its 2022 NGLA Compliance Plan </w:t>
      </w:r>
      <w:r w:rsidRPr="00251AAB" w:rsidR="00BF7470">
        <w:rPr>
          <w:rFonts w:ascii="Palatino Linotype" w:hAnsi="Palatino Linotype"/>
        </w:rPr>
        <w:t>for 2023 and 2024</w:t>
      </w:r>
      <w:r w:rsidRPr="00251AAB" w:rsidR="00385CE2">
        <w:rPr>
          <w:rFonts w:ascii="Palatino Linotype" w:hAnsi="Palatino Linotype"/>
        </w:rPr>
        <w:t xml:space="preserve"> </w:t>
      </w:r>
      <w:r w:rsidRPr="00251AAB">
        <w:rPr>
          <w:rFonts w:ascii="Palatino Linotype" w:hAnsi="Palatino Linotype"/>
        </w:rPr>
        <w:t xml:space="preserve">and AL </w:t>
      </w:r>
      <w:r w:rsidRPr="00251AAB" w:rsidR="00E7370F">
        <w:rPr>
          <w:rFonts w:ascii="Palatino Linotype" w:hAnsi="Palatino Linotype"/>
        </w:rPr>
        <w:t>3071</w:t>
      </w:r>
      <w:r w:rsidRPr="00251AAB">
        <w:rPr>
          <w:rFonts w:ascii="Palatino Linotype" w:hAnsi="Palatino Linotype"/>
        </w:rPr>
        <w:t>-G, which provided forecasted costs for the</w:t>
      </w:r>
      <w:r w:rsidRPr="00251AAB" w:rsidR="00385CE2">
        <w:rPr>
          <w:rFonts w:ascii="Palatino Linotype" w:hAnsi="Palatino Linotype"/>
        </w:rPr>
        <w:t xml:space="preserve"> two-year</w:t>
      </w:r>
      <w:r w:rsidRPr="00251AAB">
        <w:rPr>
          <w:rFonts w:ascii="Palatino Linotype" w:hAnsi="Palatino Linotype"/>
        </w:rPr>
        <w:t xml:space="preserve"> Plan. </w:t>
      </w:r>
      <w:r w:rsidRPr="00251AAB" w:rsidR="00D650D6">
        <w:rPr>
          <w:rFonts w:ascii="Palatino Linotype" w:hAnsi="Palatino Linotype"/>
        </w:rPr>
        <w:t>SDG&amp;E</w:t>
      </w:r>
      <w:r w:rsidRPr="00251AAB">
        <w:rPr>
          <w:rFonts w:ascii="Palatino Linotype" w:hAnsi="Palatino Linotype"/>
        </w:rPr>
        <w:t xml:space="preserve"> made revisions and corrections in AL </w:t>
      </w:r>
      <w:r w:rsidRPr="00251AAB" w:rsidR="00A07C76">
        <w:rPr>
          <w:rFonts w:ascii="Palatino Linotype" w:hAnsi="Palatino Linotype"/>
        </w:rPr>
        <w:t>3071</w:t>
      </w:r>
      <w:r w:rsidRPr="00251AAB">
        <w:rPr>
          <w:rFonts w:ascii="Palatino Linotype" w:hAnsi="Palatino Linotype"/>
        </w:rPr>
        <w:t xml:space="preserve">-G-A and AL </w:t>
      </w:r>
      <w:r w:rsidRPr="00251AAB" w:rsidR="00A07C76">
        <w:rPr>
          <w:rFonts w:ascii="Palatino Linotype" w:hAnsi="Palatino Linotype"/>
        </w:rPr>
        <w:t>3071</w:t>
      </w:r>
      <w:r w:rsidRPr="00251AAB">
        <w:rPr>
          <w:rFonts w:ascii="Palatino Linotype" w:hAnsi="Palatino Linotype"/>
        </w:rPr>
        <w:t xml:space="preserve">-G-B, which were filed on </w:t>
      </w:r>
      <w:r w:rsidRPr="00251AAB" w:rsidR="00A07C76">
        <w:rPr>
          <w:rFonts w:ascii="Palatino Linotype" w:hAnsi="Palatino Linotype"/>
        </w:rPr>
        <w:t>February 21, 2023</w:t>
      </w:r>
      <w:r w:rsidRPr="00251AAB">
        <w:rPr>
          <w:rFonts w:ascii="Palatino Linotype" w:hAnsi="Palatino Linotype"/>
        </w:rPr>
        <w:t xml:space="preserve"> and </w:t>
      </w:r>
      <w:r w:rsidRPr="00251AAB" w:rsidR="00A07C76">
        <w:rPr>
          <w:rFonts w:ascii="Palatino Linotype" w:hAnsi="Palatino Linotype"/>
        </w:rPr>
        <w:t>April 11</w:t>
      </w:r>
      <w:r w:rsidRPr="00251AAB">
        <w:rPr>
          <w:rFonts w:ascii="Palatino Linotype" w:hAnsi="Palatino Linotype"/>
        </w:rPr>
        <w:t xml:space="preserve">, 2023, respectively. AL </w:t>
      </w:r>
      <w:r w:rsidRPr="00251AAB" w:rsidR="00A07C76">
        <w:rPr>
          <w:rFonts w:ascii="Palatino Linotype" w:hAnsi="Palatino Linotype"/>
        </w:rPr>
        <w:t>3071</w:t>
      </w:r>
      <w:r w:rsidRPr="00251AAB">
        <w:rPr>
          <w:rFonts w:ascii="Palatino Linotype" w:hAnsi="Palatino Linotype"/>
        </w:rPr>
        <w:t>-G-B requested a Total Revenue Requirement of $</w:t>
      </w:r>
      <w:r w:rsidRPr="00251AAB" w:rsidR="00A07C76">
        <w:rPr>
          <w:rFonts w:ascii="Palatino Linotype" w:hAnsi="Palatino Linotype"/>
        </w:rPr>
        <w:t>24.3</w:t>
      </w:r>
      <w:r w:rsidRPr="00251AAB">
        <w:rPr>
          <w:rFonts w:ascii="Palatino Linotype" w:hAnsi="Palatino Linotype"/>
        </w:rPr>
        <w:t xml:space="preserve"> million</w:t>
      </w:r>
      <w:r w:rsidRPr="00251AAB" w:rsidR="00D650D6">
        <w:rPr>
          <w:rFonts w:ascii="Palatino Linotype" w:hAnsi="Palatino Linotype"/>
        </w:rPr>
        <w:t>.</w:t>
      </w:r>
      <w:r w:rsidRPr="00251AAB">
        <w:rPr>
          <w:rFonts w:ascii="Palatino Linotype" w:hAnsi="Palatino Linotype"/>
        </w:rPr>
        <w:t xml:space="preserve"> The annual revenue requirement requested for 2023 and 2024 was $</w:t>
      </w:r>
      <w:r w:rsidRPr="00251AAB" w:rsidR="00A07C76">
        <w:rPr>
          <w:rFonts w:ascii="Palatino Linotype" w:hAnsi="Palatino Linotype"/>
        </w:rPr>
        <w:t>7.2</w:t>
      </w:r>
      <w:r w:rsidRPr="00251AAB">
        <w:rPr>
          <w:rFonts w:ascii="Palatino Linotype" w:hAnsi="Palatino Linotype"/>
        </w:rPr>
        <w:t xml:space="preserve"> million and $</w:t>
      </w:r>
      <w:r w:rsidRPr="00251AAB" w:rsidR="00A07C76">
        <w:rPr>
          <w:rFonts w:ascii="Palatino Linotype" w:hAnsi="Palatino Linotype"/>
        </w:rPr>
        <w:t>7.7</w:t>
      </w:r>
      <w:r w:rsidRPr="00251AAB">
        <w:rPr>
          <w:rFonts w:ascii="Palatino Linotype" w:hAnsi="Palatino Linotype"/>
        </w:rPr>
        <w:t xml:space="preserve"> million respectively, not including Franchise Fees and Uncollectibles.</w:t>
      </w:r>
      <w:r w:rsidRPr="00251AAB">
        <w:rPr>
          <w:rFonts w:ascii="Palatino Linotype" w:hAnsi="Palatino Linotype"/>
          <w:vertAlign w:val="superscript"/>
        </w:rPr>
        <w:footnoteReference w:id="18"/>
      </w:r>
      <w:r w:rsidRPr="00251AAB">
        <w:rPr>
          <w:rFonts w:ascii="Palatino Linotype" w:hAnsi="Palatino Linotype"/>
        </w:rPr>
        <w:t xml:space="preserve"> The resulting overall rate increase requested was 0.3 percent for 2023 and 0.</w:t>
      </w:r>
      <w:r w:rsidRPr="00251AAB" w:rsidR="00A07C76">
        <w:rPr>
          <w:rFonts w:ascii="Palatino Linotype" w:hAnsi="Palatino Linotype"/>
        </w:rPr>
        <w:t>4</w:t>
      </w:r>
      <w:r w:rsidRPr="00251AAB">
        <w:rPr>
          <w:rFonts w:ascii="Palatino Linotype" w:hAnsi="Palatino Linotype"/>
        </w:rPr>
        <w:t xml:space="preserve"> percent for 2024.</w:t>
      </w:r>
    </w:p>
    <w:p w:rsidRPr="00251AAB" w:rsidR="00A07C76" w:rsidP="00CF5181" w:rsidRDefault="00A07C76" w14:paraId="2B83A709" w14:textId="71764D94">
      <w:pPr>
        <w:spacing w:line="240" w:lineRule="auto"/>
        <w:rPr>
          <w:rFonts w:ascii="Palatino Linotype" w:hAnsi="Palatino Linotype"/>
        </w:rPr>
      </w:pPr>
      <w:r w:rsidRPr="00251AAB">
        <w:rPr>
          <w:rFonts w:ascii="Palatino Linotype" w:hAnsi="Palatino Linotype"/>
        </w:rPr>
        <w:lastRenderedPageBreak/>
        <w:t xml:space="preserve">On November 16, 2022, CARB issued its 2022 Scoping Plan, which increases its target for the reduction of fugitive methane emissions from natural gas infrastructure from </w:t>
      </w:r>
      <w:r w:rsidR="00376FAB">
        <w:rPr>
          <w:rFonts w:ascii="Palatino Linotype" w:hAnsi="Palatino Linotype"/>
        </w:rPr>
        <w:br/>
      </w:r>
      <w:r w:rsidRPr="00251AAB">
        <w:rPr>
          <w:rFonts w:ascii="Palatino Linotype" w:hAnsi="Palatino Linotype"/>
        </w:rPr>
        <w:t>40 to 50 percent by 2030.</w:t>
      </w:r>
      <w:r w:rsidRPr="00251AAB">
        <w:rPr>
          <w:rStyle w:val="FootnoteReference"/>
          <w:rFonts w:ascii="Palatino Linotype" w:hAnsi="Palatino Linotype"/>
        </w:rPr>
        <w:footnoteReference w:id="19"/>
      </w:r>
    </w:p>
    <w:p w:rsidRPr="00251AAB" w:rsidR="00CF5181" w:rsidP="00CF5181" w:rsidRDefault="00CF5181" w14:paraId="1D01609B" w14:textId="794E79CE">
      <w:pPr>
        <w:spacing w:line="240" w:lineRule="auto"/>
        <w:rPr>
          <w:rFonts w:ascii="Palatino Linotype" w:hAnsi="Palatino Linotype"/>
        </w:rPr>
      </w:pPr>
      <w:r w:rsidRPr="00251AAB">
        <w:rPr>
          <w:rFonts w:ascii="Palatino Linotype" w:hAnsi="Palatino Linotype"/>
        </w:rPr>
        <w:t xml:space="preserve">On </w:t>
      </w:r>
      <w:r w:rsidRPr="00251AAB" w:rsidR="00B8751B">
        <w:rPr>
          <w:rFonts w:ascii="Palatino Linotype" w:hAnsi="Palatino Linotype"/>
        </w:rPr>
        <w:t>June 29,</w:t>
      </w:r>
      <w:r w:rsidRPr="00251AAB">
        <w:rPr>
          <w:rFonts w:ascii="Palatino Linotype" w:hAnsi="Palatino Linotype"/>
        </w:rPr>
        <w:t xml:space="preserve"> 2023, the CPUC issued Resolution G-359</w:t>
      </w:r>
      <w:r w:rsidRPr="00251AAB" w:rsidR="00B8751B">
        <w:rPr>
          <w:rFonts w:ascii="Palatino Linotype" w:hAnsi="Palatino Linotype"/>
        </w:rPr>
        <w:t>9</w:t>
      </w:r>
      <w:r w:rsidRPr="00251AAB">
        <w:rPr>
          <w:rFonts w:ascii="Palatino Linotype" w:hAnsi="Palatino Linotype"/>
        </w:rPr>
        <w:t xml:space="preserve">, approving in part and denying in part </w:t>
      </w:r>
      <w:r w:rsidRPr="00251AAB" w:rsidR="00B8751B">
        <w:rPr>
          <w:rFonts w:ascii="Palatino Linotype" w:hAnsi="Palatino Linotype"/>
        </w:rPr>
        <w:t>SDG&amp;E</w:t>
      </w:r>
      <w:r w:rsidRPr="00251AAB">
        <w:rPr>
          <w:rFonts w:ascii="Palatino Linotype" w:hAnsi="Palatino Linotype"/>
        </w:rPr>
        <w:t>’</w:t>
      </w:r>
      <w:r w:rsidRPr="00251AAB" w:rsidR="00B8751B">
        <w:rPr>
          <w:rFonts w:ascii="Palatino Linotype" w:hAnsi="Palatino Linotype"/>
        </w:rPr>
        <w:t>s</w:t>
      </w:r>
      <w:r w:rsidRPr="00251AAB">
        <w:rPr>
          <w:rFonts w:ascii="Palatino Linotype" w:hAnsi="Palatino Linotype"/>
        </w:rPr>
        <w:t xml:space="preserve"> 2022 Compliance Plan and AL </w:t>
      </w:r>
      <w:r w:rsidRPr="00251AAB" w:rsidR="00B8751B">
        <w:rPr>
          <w:rFonts w:ascii="Palatino Linotype" w:hAnsi="Palatino Linotype"/>
        </w:rPr>
        <w:t>3071-G-B</w:t>
      </w:r>
      <w:r w:rsidRPr="00251AAB">
        <w:rPr>
          <w:rFonts w:ascii="Palatino Linotype" w:hAnsi="Palatino Linotype"/>
        </w:rPr>
        <w:t>. Resolution G-359</w:t>
      </w:r>
      <w:r w:rsidRPr="00251AAB" w:rsidR="00B8751B">
        <w:rPr>
          <w:rFonts w:ascii="Palatino Linotype" w:hAnsi="Palatino Linotype"/>
        </w:rPr>
        <w:t>9</w:t>
      </w:r>
      <w:r w:rsidRPr="00251AAB">
        <w:rPr>
          <w:rFonts w:ascii="Palatino Linotype" w:hAnsi="Palatino Linotype"/>
        </w:rPr>
        <w:t xml:space="preserve"> approved a total forecasted revenue requirement of $</w:t>
      </w:r>
      <w:r w:rsidRPr="00251AAB" w:rsidR="00B8751B">
        <w:rPr>
          <w:rFonts w:ascii="Palatino Linotype" w:hAnsi="Palatino Linotype"/>
        </w:rPr>
        <w:t>19,265,211</w:t>
      </w:r>
      <w:r w:rsidRPr="00251AAB">
        <w:rPr>
          <w:rFonts w:ascii="Palatino Linotype" w:hAnsi="Palatino Linotype"/>
        </w:rPr>
        <w:t xml:space="preserve"> over the life of the capital projects,</w:t>
      </w:r>
      <w:r w:rsidRPr="00251AAB">
        <w:rPr>
          <w:rFonts w:ascii="Palatino Linotype" w:hAnsi="Palatino Linotype"/>
          <w:vertAlign w:val="superscript"/>
        </w:rPr>
        <w:footnoteReference w:id="20"/>
      </w:r>
      <w:r w:rsidRPr="00251AAB">
        <w:rPr>
          <w:rFonts w:ascii="Palatino Linotype" w:hAnsi="Palatino Linotype"/>
        </w:rPr>
        <w:t xml:space="preserve"> an approximately </w:t>
      </w:r>
      <w:r w:rsidRPr="00251AAB" w:rsidR="00926558">
        <w:rPr>
          <w:rFonts w:ascii="Palatino Linotype" w:hAnsi="Palatino Linotype"/>
        </w:rPr>
        <w:t>21</w:t>
      </w:r>
      <w:r w:rsidRPr="00251AAB">
        <w:rPr>
          <w:rFonts w:ascii="Palatino Linotype" w:hAnsi="Palatino Linotype"/>
        </w:rPr>
        <w:t xml:space="preserve"> percent reduction from </w:t>
      </w:r>
      <w:r w:rsidRPr="00251AAB" w:rsidR="00D650D6">
        <w:rPr>
          <w:rFonts w:ascii="Palatino Linotype" w:hAnsi="Palatino Linotype"/>
        </w:rPr>
        <w:t>SDG&amp;E’s</w:t>
      </w:r>
      <w:r w:rsidRPr="00251AAB">
        <w:rPr>
          <w:rFonts w:ascii="Palatino Linotype" w:hAnsi="Palatino Linotype"/>
        </w:rPr>
        <w:t xml:space="preserve"> request. Funding for several chapters of </w:t>
      </w:r>
      <w:r w:rsidRPr="00251AAB" w:rsidR="00B8751B">
        <w:rPr>
          <w:rFonts w:ascii="Palatino Linotype" w:hAnsi="Palatino Linotype"/>
        </w:rPr>
        <w:t>SDG&amp;E</w:t>
      </w:r>
      <w:r w:rsidRPr="00251AAB">
        <w:rPr>
          <w:rFonts w:ascii="Palatino Linotype" w:hAnsi="Palatino Linotype"/>
        </w:rPr>
        <w:t>’</w:t>
      </w:r>
      <w:r w:rsidRPr="00251AAB" w:rsidR="00B8751B">
        <w:rPr>
          <w:rFonts w:ascii="Palatino Linotype" w:hAnsi="Palatino Linotype"/>
        </w:rPr>
        <w:t>s</w:t>
      </w:r>
      <w:r w:rsidRPr="00251AAB">
        <w:rPr>
          <w:rFonts w:ascii="Palatino Linotype" w:hAnsi="Palatino Linotype"/>
        </w:rPr>
        <w:t xml:space="preserve"> 2022 Compliance Plan was not approved due to their very poor cost-effectiveness. </w:t>
      </w:r>
    </w:p>
    <w:p w:rsidRPr="00251AAB" w:rsidR="00CF5181" w:rsidP="00CF5181" w:rsidRDefault="00CF5181" w14:paraId="58E3EDED" w14:textId="7B8768F8">
      <w:pPr>
        <w:spacing w:line="240" w:lineRule="auto"/>
        <w:rPr>
          <w:rFonts w:ascii="Palatino Linotype" w:hAnsi="Palatino Linotype" w:cs="Arial"/>
        </w:rPr>
      </w:pPr>
      <w:r w:rsidRPr="00251AAB">
        <w:rPr>
          <w:rFonts w:ascii="Palatino Linotype" w:hAnsi="Palatino Linotype" w:cs="Arial"/>
        </w:rPr>
        <w:t xml:space="preserve">OP </w:t>
      </w:r>
      <w:r w:rsidRPr="00251AAB" w:rsidR="00F534B2">
        <w:rPr>
          <w:rFonts w:ascii="Palatino Linotype" w:hAnsi="Palatino Linotype" w:cs="Arial"/>
        </w:rPr>
        <w:t>2</w:t>
      </w:r>
      <w:r w:rsidRPr="00251AAB">
        <w:rPr>
          <w:rFonts w:ascii="Palatino Linotype" w:hAnsi="Palatino Linotype" w:cs="Arial"/>
        </w:rPr>
        <w:t xml:space="preserve"> of Resolution G-359</w:t>
      </w:r>
      <w:r w:rsidRPr="00251AAB" w:rsidR="00F534B2">
        <w:rPr>
          <w:rFonts w:ascii="Palatino Linotype" w:hAnsi="Palatino Linotype" w:cs="Arial"/>
        </w:rPr>
        <w:t>9</w:t>
      </w:r>
      <w:r w:rsidRPr="00251AAB">
        <w:rPr>
          <w:rFonts w:ascii="Palatino Linotype" w:hAnsi="Palatino Linotype" w:cs="Arial"/>
        </w:rPr>
        <w:t xml:space="preserve"> required the Safety Policy Division and the Energy Division, in consultation with CARB, to convene a meeting of the NGLA’s Technical Working Group by September 30, 2023, to receive input and find balance between the dual priorities of the program: maximum methane emissions reductions and cost effectiveness. This meeting was held virtually on September 28, 2023.</w:t>
      </w:r>
    </w:p>
    <w:p w:rsidRPr="00251AAB" w:rsidR="00CF5181" w:rsidP="00CF5181" w:rsidRDefault="00CF5181" w14:paraId="3B2B9236" w14:textId="77777777">
      <w:pPr>
        <w:spacing w:line="240" w:lineRule="auto"/>
        <w:rPr>
          <w:rFonts w:ascii="Palatino Linotype" w:hAnsi="Palatino Linotype" w:cs="Arial"/>
        </w:rPr>
      </w:pPr>
      <w:r w:rsidRPr="00251AAB">
        <w:rPr>
          <w:rFonts w:ascii="Palatino Linotype" w:hAnsi="Palatino Linotype" w:cs="Arial"/>
        </w:rPr>
        <w:t>As a result of the Technical Working Group meeting, SPD issued directions to the utilities to continue to provide values for the three existing cost-effectiveness tests. SPD also</w:t>
      </w:r>
      <w:r w:rsidRPr="00251AAB" w:rsidDel="00C502F8">
        <w:rPr>
          <w:rFonts w:ascii="Palatino Linotype" w:hAnsi="Palatino Linotype" w:cs="Arial"/>
        </w:rPr>
        <w:t xml:space="preserve"> </w:t>
      </w:r>
      <w:r w:rsidRPr="00251AAB">
        <w:rPr>
          <w:rFonts w:ascii="Palatino Linotype" w:hAnsi="Palatino Linotype" w:cs="Arial"/>
        </w:rPr>
        <w:t>allowed the utilities to include additional cost-effectiveness values that include safety benefits, where appropriate. SPD</w:t>
      </w:r>
      <w:r w:rsidRPr="00251AAB" w:rsidDel="00334516">
        <w:rPr>
          <w:rFonts w:ascii="Palatino Linotype" w:hAnsi="Palatino Linotype" w:cs="Arial"/>
        </w:rPr>
        <w:t xml:space="preserve"> </w:t>
      </w:r>
      <w:r w:rsidRPr="00251AAB">
        <w:rPr>
          <w:rFonts w:ascii="Palatino Linotype" w:hAnsi="Palatino Linotype" w:cs="Arial"/>
        </w:rPr>
        <w:t>further directed the utilities to update the values for the social cost of methane as presented in D.19-08-020 for inflation by using the California Consumer Price Index. Additionally, SPD instructed utilities that RD&amp;D programs should prioritize improving cost-effectiveness.</w:t>
      </w:r>
    </w:p>
    <w:p w:rsidRPr="00251AAB" w:rsidR="00CF5181" w:rsidP="00CF5181" w:rsidRDefault="00CF5181" w14:paraId="1194F7CA" w14:textId="7D26499A">
      <w:pPr>
        <w:spacing w:line="240" w:lineRule="auto"/>
        <w:rPr>
          <w:rFonts w:ascii="Palatino Linotype" w:hAnsi="Palatino Linotype"/>
        </w:rPr>
      </w:pPr>
      <w:r w:rsidRPr="00251AAB">
        <w:rPr>
          <w:rFonts w:ascii="Palatino Linotype" w:hAnsi="Palatino Linotype"/>
        </w:rPr>
        <w:t xml:space="preserve">On March 15, 2024, SDG&amp;E submitted its 2024 NGLA Compliance Plan and AL </w:t>
      </w:r>
      <w:r w:rsidRPr="00251AAB" w:rsidR="00F534B2">
        <w:rPr>
          <w:rFonts w:ascii="Palatino Linotype" w:hAnsi="Palatino Linotype"/>
        </w:rPr>
        <w:t>3285</w:t>
      </w:r>
      <w:r w:rsidRPr="00251AAB">
        <w:rPr>
          <w:rFonts w:ascii="Palatino Linotype" w:hAnsi="Palatino Linotype"/>
        </w:rPr>
        <w:t>-G, which provides 2025 and 2026 forecasted costs for the Plan’s Chapters, RD&amp;D, and Program Administration</w:t>
      </w:r>
      <w:r w:rsidRPr="00251AAB" w:rsidR="00BF6291">
        <w:rPr>
          <w:rFonts w:ascii="Palatino Linotype" w:hAnsi="Palatino Linotype"/>
        </w:rPr>
        <w:t xml:space="preserve"> and under-recovered costs from prior approved compliance plans</w:t>
      </w:r>
      <w:r w:rsidRPr="00251AAB">
        <w:rPr>
          <w:rFonts w:ascii="Palatino Linotype" w:hAnsi="Palatino Linotype"/>
        </w:rPr>
        <w:t xml:space="preserve">. </w:t>
      </w:r>
      <w:r w:rsidRPr="00251AAB" w:rsidR="00AF599F">
        <w:rPr>
          <w:rFonts w:ascii="Palatino Linotype" w:hAnsi="Palatino Linotype"/>
        </w:rPr>
        <w:t xml:space="preserve">SDG&amp;E submitted an amended 2024 Compliance Plan on April 4, 2024. </w:t>
      </w:r>
      <w:r w:rsidRPr="00251AAB" w:rsidR="00F534B2">
        <w:rPr>
          <w:rFonts w:ascii="Palatino Linotype" w:hAnsi="Palatino Linotype"/>
        </w:rPr>
        <w:t>A revised AL 3285-G-A was submitted on November 5, 2024 to correct some inadvertent omissions in the previous AL’s Table 4, which presents the revenue requirements to be entered into rates in 2025 and 2026.</w:t>
      </w:r>
      <w:r w:rsidRPr="00251AAB" w:rsidR="00AF599F">
        <w:rPr>
          <w:rFonts w:ascii="Palatino Linotype" w:hAnsi="Palatino Linotype"/>
        </w:rPr>
        <w:t xml:space="preserve"> SDG&amp;E’s</w:t>
      </w:r>
      <w:r w:rsidRPr="00251AAB" w:rsidR="008650BA">
        <w:rPr>
          <w:rFonts w:ascii="Palatino Linotype" w:hAnsi="Palatino Linotype"/>
        </w:rPr>
        <w:t xml:space="preserve"> forecast for its 2025-2026 NGLA program does not meet the 40 percent greenhouse gas reduction goal, although</w:t>
      </w:r>
      <w:r w:rsidRPr="00251AAB" w:rsidR="000D5983">
        <w:rPr>
          <w:rFonts w:ascii="Palatino Linotype" w:hAnsi="Palatino Linotype"/>
        </w:rPr>
        <w:t xml:space="preserve"> </w:t>
      </w:r>
      <w:r w:rsidRPr="00251AAB" w:rsidR="008650BA">
        <w:rPr>
          <w:rFonts w:ascii="Palatino Linotype" w:hAnsi="Palatino Linotype"/>
        </w:rPr>
        <w:t>its implementation of the mandatory Best Practices</w:t>
      </w:r>
      <w:r w:rsidRPr="00251AAB" w:rsidR="002E2F17">
        <w:rPr>
          <w:rFonts w:ascii="Palatino Linotype" w:hAnsi="Palatino Linotype"/>
        </w:rPr>
        <w:t xml:space="preserve"> ordered in D.17-06-015</w:t>
      </w:r>
      <w:r w:rsidRPr="00251AAB" w:rsidR="008650BA">
        <w:rPr>
          <w:rFonts w:ascii="Palatino Linotype" w:hAnsi="Palatino Linotype"/>
        </w:rPr>
        <w:t xml:space="preserve"> will achieve a</w:t>
      </w:r>
      <w:r w:rsidRPr="00251AAB" w:rsidR="002E2F17">
        <w:rPr>
          <w:rFonts w:ascii="Palatino Linotype" w:hAnsi="Palatino Linotype"/>
        </w:rPr>
        <w:t xml:space="preserve">n </w:t>
      </w:r>
      <w:r w:rsidRPr="00251AAB" w:rsidR="002E2F17">
        <w:rPr>
          <w:rFonts w:ascii="Palatino Linotype" w:hAnsi="Palatino Linotype"/>
        </w:rPr>
        <w:lastRenderedPageBreak/>
        <w:t>estimated</w:t>
      </w:r>
      <w:r w:rsidRPr="00251AAB" w:rsidR="008650BA">
        <w:rPr>
          <w:rFonts w:ascii="Palatino Linotype" w:hAnsi="Palatino Linotype"/>
        </w:rPr>
        <w:t xml:space="preserve"> </w:t>
      </w:r>
      <w:r w:rsidRPr="00251AAB" w:rsidR="00C16DEB">
        <w:rPr>
          <w:rFonts w:ascii="Palatino Linotype" w:hAnsi="Palatino Linotype"/>
        </w:rPr>
        <w:t xml:space="preserve">8 </w:t>
      </w:r>
      <w:r w:rsidRPr="00251AAB" w:rsidR="008650BA">
        <w:rPr>
          <w:rFonts w:ascii="Palatino Linotype" w:hAnsi="Palatino Linotype"/>
        </w:rPr>
        <w:t xml:space="preserve">percent reduction from the most recent </w:t>
      </w:r>
      <w:r w:rsidRPr="00251AAB" w:rsidR="002E2F17">
        <w:rPr>
          <w:rFonts w:ascii="Palatino Linotype" w:hAnsi="Palatino Linotype"/>
        </w:rPr>
        <w:t xml:space="preserve">adjusted </w:t>
      </w:r>
      <w:r w:rsidRPr="00251AAB" w:rsidR="008650BA">
        <w:rPr>
          <w:rFonts w:ascii="Palatino Linotype" w:hAnsi="Palatino Linotype"/>
        </w:rPr>
        <w:t>baseline, according to SPD’s evaluation of its 2024 Compliance Plan.</w:t>
      </w:r>
      <w:r w:rsidRPr="00251AAB" w:rsidR="008650BA">
        <w:rPr>
          <w:rStyle w:val="FootnoteReference"/>
          <w:rFonts w:ascii="Palatino Linotype" w:hAnsi="Palatino Linotype"/>
        </w:rPr>
        <w:footnoteReference w:id="21"/>
      </w:r>
    </w:p>
    <w:p w:rsidRPr="00251AAB" w:rsidR="00A76F4A" w:rsidP="00A76F4A" w:rsidRDefault="00A76F4A" w14:paraId="030741A5"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Notice</w:t>
      </w:r>
    </w:p>
    <w:p w:rsidRPr="00251AAB" w:rsidR="00A76F4A" w:rsidP="00A76F4A" w:rsidRDefault="00A76F4A" w14:paraId="5E7465D3" w14:textId="628B2219">
      <w:pPr>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Notice</w:t>
      </w:r>
      <w:r w:rsidRPr="00251AAB" w:rsidR="005411E1">
        <w:rPr>
          <w:rFonts w:ascii="Palatino Linotype" w:hAnsi="Palatino Linotype" w:eastAsia="Palatino Linotype" w:cs="Times New Roman"/>
          <w:kern w:val="0"/>
          <w14:ligatures w14:val="none"/>
        </w:rPr>
        <w:t>s</w:t>
      </w:r>
      <w:r w:rsidRPr="00251AAB">
        <w:rPr>
          <w:rFonts w:ascii="Palatino Linotype" w:hAnsi="Palatino Linotype" w:eastAsia="Palatino Linotype" w:cs="Times New Roman"/>
          <w:kern w:val="0"/>
          <w14:ligatures w14:val="none"/>
        </w:rPr>
        <w:t xml:space="preserve"> of AL </w:t>
      </w:r>
      <w:r w:rsidRPr="00251AAB" w:rsidR="005411E1">
        <w:rPr>
          <w:rFonts w:ascii="Palatino Linotype" w:hAnsi="Palatino Linotype" w:eastAsia="Palatino Linotype" w:cs="Times New Roman"/>
          <w:kern w:val="0"/>
          <w14:ligatures w14:val="none"/>
        </w:rPr>
        <w:t>3285-G and 3285-G-A</w:t>
      </w:r>
      <w:r w:rsidRPr="00251AAB">
        <w:rPr>
          <w:rFonts w:ascii="Palatino Linotype" w:hAnsi="Palatino Linotype" w:eastAsia="Palatino Linotype" w:cs="Times New Roman"/>
          <w:kern w:val="0"/>
          <w14:ligatures w14:val="none"/>
        </w:rPr>
        <w:t xml:space="preserve"> </w:t>
      </w:r>
      <w:r w:rsidRPr="00251AAB" w:rsidR="005411E1">
        <w:rPr>
          <w:rFonts w:ascii="Palatino Linotype" w:hAnsi="Palatino Linotype" w:eastAsia="Palatino Linotype" w:cs="Times New Roman"/>
          <w:kern w:val="0"/>
          <w14:ligatures w14:val="none"/>
        </w:rPr>
        <w:t>were</w:t>
      </w:r>
      <w:r w:rsidRPr="00251AAB">
        <w:rPr>
          <w:rFonts w:ascii="Palatino Linotype" w:hAnsi="Palatino Linotype" w:eastAsia="Palatino Linotype" w:cs="Times New Roman"/>
          <w:kern w:val="0"/>
          <w14:ligatures w14:val="none"/>
        </w:rPr>
        <w:t xml:space="preserve"> made by publication in the </w:t>
      </w:r>
      <w:r w:rsidR="00376FAB">
        <w:rPr>
          <w:rFonts w:ascii="Palatino Linotype" w:hAnsi="Palatino Linotype" w:eastAsia="Palatino Linotype" w:cs="Times New Roman"/>
          <w:kern w:val="0"/>
          <w14:ligatures w14:val="none"/>
        </w:rPr>
        <w:br/>
      </w:r>
      <w:r w:rsidRPr="00251AAB">
        <w:rPr>
          <w:rFonts w:ascii="Palatino Linotype" w:hAnsi="Palatino Linotype" w:eastAsia="Palatino Linotype" w:cs="Times New Roman"/>
          <w:kern w:val="0"/>
          <w14:ligatures w14:val="none"/>
        </w:rPr>
        <w:t xml:space="preserve">Commission’s Daily Calendar. </w:t>
      </w:r>
      <w:r w:rsidRPr="00251AAB" w:rsidR="005411E1">
        <w:rPr>
          <w:rFonts w:ascii="Palatino Linotype" w:hAnsi="Palatino Linotype" w:eastAsia="Palatino Linotype" w:cs="Times New Roman"/>
          <w:kern w:val="0"/>
          <w14:ligatures w14:val="none"/>
        </w:rPr>
        <w:t>SDG&amp;E</w:t>
      </w:r>
      <w:r w:rsidRPr="00251AAB">
        <w:rPr>
          <w:rFonts w:ascii="Palatino Linotype" w:hAnsi="Palatino Linotype" w:eastAsia="Palatino Linotype" w:cs="Times New Roman"/>
          <w:kern w:val="0"/>
          <w14:ligatures w14:val="none"/>
        </w:rPr>
        <w:t xml:space="preserve"> states that a copy of the Advice Letter was mailed and distributed in accordance with Section 4 of General Order 96-B. </w:t>
      </w:r>
    </w:p>
    <w:p w:rsidRPr="00251AAB" w:rsidR="00A76F4A" w:rsidP="00A76F4A" w:rsidRDefault="00A76F4A" w14:paraId="327345AA"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3DC7474D"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Protests</w:t>
      </w:r>
    </w:p>
    <w:p w:rsidRPr="00251AAB" w:rsidR="005411E1" w:rsidP="005411E1" w:rsidRDefault="005411E1" w14:paraId="04787C7A" w14:textId="663366B1">
      <w:pPr>
        <w:spacing w:after="0" w:line="240" w:lineRule="auto"/>
        <w:rPr>
          <w:rFonts w:ascii="Palatino Linotype" w:hAnsi="Palatino Linotype"/>
        </w:rPr>
      </w:pPr>
      <w:r w:rsidRPr="00251AAB">
        <w:rPr>
          <w:rFonts w:ascii="Palatino Linotype" w:hAnsi="Palatino Linotype"/>
        </w:rPr>
        <w:t xml:space="preserve">ALs 3285-G and 3285-G-A were not protested. Consistent with General Order 96-B, General Rule 7.5.1 the original protest and comment period designated in AL </w:t>
      </w:r>
      <w:r w:rsidRPr="00251AAB" w:rsidR="00075A5E">
        <w:rPr>
          <w:rFonts w:ascii="Palatino Linotype" w:hAnsi="Palatino Linotype"/>
        </w:rPr>
        <w:t>3285</w:t>
      </w:r>
      <w:r w:rsidRPr="00251AAB">
        <w:rPr>
          <w:rFonts w:ascii="Palatino Linotype" w:hAnsi="Palatino Linotype"/>
        </w:rPr>
        <w:t xml:space="preserve">-G was not reopened. </w:t>
      </w:r>
    </w:p>
    <w:p w:rsidRPr="00251AAB" w:rsidR="00A76F4A" w:rsidP="00A76F4A" w:rsidRDefault="00A76F4A" w14:paraId="7EEC86B5"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52F8DB71"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Discussion</w:t>
      </w:r>
    </w:p>
    <w:p w:rsidRPr="00251AAB" w:rsidR="005411E1" w:rsidP="005411E1" w:rsidRDefault="005411E1" w14:paraId="489E5D95" w14:textId="4A9AD75E">
      <w:pPr>
        <w:spacing w:line="240" w:lineRule="auto"/>
        <w:rPr>
          <w:rFonts w:ascii="Palatino Linotype" w:hAnsi="Palatino Linotype"/>
        </w:rPr>
      </w:pPr>
      <w:r w:rsidRPr="00251AAB">
        <w:rPr>
          <w:rFonts w:ascii="Palatino Linotype" w:hAnsi="Palatino Linotype"/>
        </w:rPr>
        <w:t>The CPUC considered SDG&amp;E AL 3285-G-A and SPD’s Evaluation of SDG&amp;E’</w:t>
      </w:r>
      <w:r w:rsidRPr="00251AAB" w:rsidR="004C1477">
        <w:rPr>
          <w:rFonts w:ascii="Palatino Linotype" w:hAnsi="Palatino Linotype"/>
        </w:rPr>
        <w:t>s</w:t>
      </w:r>
      <w:r w:rsidRPr="00251AAB">
        <w:rPr>
          <w:rFonts w:ascii="Palatino Linotype" w:hAnsi="Palatino Linotype"/>
        </w:rPr>
        <w:t xml:space="preserve"> 2024 NGLA Compliance Plan (the “SPD Evaluation Report,” attached as Attachment A) in reaching a determination that balances the goals of cost-effectiveness and emissions reductions.</w:t>
      </w:r>
    </w:p>
    <w:p w:rsidRPr="00251AAB" w:rsidR="004C1477" w:rsidP="004C1477" w:rsidRDefault="004C1477" w14:paraId="648E5FAB" w14:textId="77777777">
      <w:pPr>
        <w:keepNext/>
        <w:keepLines/>
        <w:spacing w:before="160" w:after="80" w:line="240" w:lineRule="auto"/>
        <w:outlineLvl w:val="1"/>
        <w:rPr>
          <w:rFonts w:ascii="Palatino Linotype" w:hAnsi="Palatino Linotype" w:eastAsiaTheme="majorEastAsia" w:cstheme="majorBidi"/>
          <w:b/>
        </w:rPr>
      </w:pPr>
      <w:r w:rsidRPr="00251AAB">
        <w:rPr>
          <w:rFonts w:ascii="Palatino Linotype" w:hAnsi="Palatino Linotype" w:eastAsiaTheme="majorEastAsia" w:cstheme="majorBidi"/>
          <w:b/>
        </w:rPr>
        <w:t>Cost-Effectiveness</w:t>
      </w:r>
    </w:p>
    <w:p w:rsidRPr="00251AAB" w:rsidR="004C1477" w:rsidP="004C1477" w:rsidRDefault="004C1477" w14:paraId="44F91AB5" w14:textId="77777777">
      <w:pPr>
        <w:spacing w:line="240" w:lineRule="auto"/>
        <w:rPr>
          <w:rFonts w:ascii="Palatino Linotype" w:hAnsi="Palatino Linotype"/>
        </w:rPr>
      </w:pPr>
      <w:r w:rsidRPr="00251AAB">
        <w:rPr>
          <w:rFonts w:ascii="Palatino Linotype" w:hAnsi="Palatino Linotype"/>
        </w:rPr>
        <w:t>The SPD Evaluation Report considers the cost-effectiveness methodologies established in D.19-08-020. Three types of cost-effectiveness methods are to be considered for comparison purposes. These include the standard cost-effective measurement, the avoided Cap-and-Trade cost, and the avoided Social Cost of Methane as comparison measures. D.19-08-020 does not establish a threshold cost-effectiveness value or limit for the NGLA program.</w:t>
      </w:r>
    </w:p>
    <w:p w:rsidRPr="00251AAB" w:rsidR="004C1477" w:rsidP="004C1477" w:rsidRDefault="004C1477" w14:paraId="238267B3" w14:textId="144CBDC0">
      <w:pPr>
        <w:spacing w:line="240" w:lineRule="auto"/>
        <w:rPr>
          <w:rFonts w:ascii="Palatino Linotype" w:hAnsi="Palatino Linotype"/>
        </w:rPr>
      </w:pPr>
      <w:r w:rsidRPr="00251AAB">
        <w:rPr>
          <w:rFonts w:ascii="Palatino Linotype" w:hAnsi="Palatino Linotype"/>
        </w:rPr>
        <w:t>The standard cost-effectiveness measure is based on the Average Annual Revenue Requirement (AARR),</w:t>
      </w:r>
      <w:r w:rsidRPr="00251AAB">
        <w:rPr>
          <w:rFonts w:ascii="Palatino Linotype" w:hAnsi="Palatino Linotype"/>
          <w:vertAlign w:val="superscript"/>
        </w:rPr>
        <w:footnoteReference w:id="22"/>
      </w:r>
      <w:r w:rsidRPr="00251AAB">
        <w:rPr>
          <w:rFonts w:ascii="Palatino Linotype" w:hAnsi="Palatino Linotype"/>
        </w:rPr>
        <w:t xml:space="preserve"> from which the cost of the gas saved is deducted,</w:t>
      </w:r>
      <w:r w:rsidRPr="00251AAB" w:rsidDel="00665ED4">
        <w:rPr>
          <w:rFonts w:ascii="Palatino Linotype" w:hAnsi="Palatino Linotype"/>
        </w:rPr>
        <w:t xml:space="preserve"> </w:t>
      </w:r>
      <w:r w:rsidRPr="00251AAB">
        <w:rPr>
          <w:rFonts w:ascii="Palatino Linotype" w:hAnsi="Palatino Linotype"/>
        </w:rPr>
        <w:t xml:space="preserve">divided by the annual emissions reduction for the program. This standard cost-effectiveness is then expressed in dollars per thousand standard cubic feet of natural gas emissions avoided </w:t>
      </w:r>
      <w:r w:rsidRPr="00251AAB">
        <w:rPr>
          <w:rFonts w:ascii="Palatino Linotype" w:hAnsi="Palatino Linotype"/>
        </w:rPr>
        <w:lastRenderedPageBreak/>
        <w:t>or $/MCF.</w:t>
      </w:r>
      <w:r w:rsidRPr="00251AAB">
        <w:rPr>
          <w:rFonts w:ascii="Palatino Linotype" w:hAnsi="Palatino Linotype"/>
          <w:vertAlign w:val="superscript"/>
        </w:rPr>
        <w:footnoteReference w:id="23"/>
      </w:r>
      <w:r w:rsidRPr="00251AAB">
        <w:rPr>
          <w:rFonts w:ascii="Palatino Linotype" w:hAnsi="Palatino Linotype"/>
        </w:rPr>
        <w:t xml:space="preserve"> Given this method, a lower numerical value denotes a better cost-effectiveness.</w:t>
      </w:r>
    </w:p>
    <w:p w:rsidRPr="00251AAB" w:rsidR="004C1477" w:rsidP="004C1477" w:rsidRDefault="004C1477" w14:paraId="5CD0FE9D" w14:textId="77777777">
      <w:pPr>
        <w:keepNext/>
        <w:spacing w:line="240" w:lineRule="auto"/>
        <w:rPr>
          <w:rFonts w:ascii="Palatino Linotype" w:hAnsi="Palatino Linotype"/>
        </w:rPr>
      </w:pPr>
      <w:r w:rsidRPr="00251AAB">
        <w:rPr>
          <w:rFonts w:ascii="Palatino Linotype" w:hAnsi="Palatino Linotype"/>
          <w:spacing w:val="-4"/>
        </w:rPr>
        <w:t xml:space="preserve">As required by D.19-08-020, the 2024 Compliance Plan continues the use of the avoided Cap and Trade compliance costs and the avoided Social Cost of Methane. </w:t>
      </w:r>
      <w:r w:rsidRPr="00251AAB">
        <w:rPr>
          <w:rFonts w:ascii="Palatino Linotype" w:hAnsi="Palatino Linotype"/>
        </w:rPr>
        <w:t>The</w:t>
      </w:r>
      <w:r w:rsidRPr="00251AAB">
        <w:rPr>
          <w:rFonts w:ascii="Palatino Linotype" w:hAnsi="Palatino Linotype"/>
          <w:spacing w:val="-12"/>
        </w:rPr>
        <w:t xml:space="preserve"> </w:t>
      </w:r>
      <w:r w:rsidRPr="00251AAB">
        <w:rPr>
          <w:rFonts w:ascii="Palatino Linotype" w:hAnsi="Palatino Linotype"/>
        </w:rPr>
        <w:t>avoided</w:t>
      </w:r>
      <w:r w:rsidRPr="00251AAB">
        <w:rPr>
          <w:rFonts w:ascii="Palatino Linotype" w:hAnsi="Palatino Linotype"/>
          <w:spacing w:val="-11"/>
        </w:rPr>
        <w:t xml:space="preserve"> </w:t>
      </w:r>
      <w:r w:rsidRPr="00251AAB">
        <w:rPr>
          <w:rFonts w:ascii="Palatino Linotype" w:hAnsi="Palatino Linotype"/>
        </w:rPr>
        <w:t>Cap</w:t>
      </w:r>
      <w:r w:rsidRPr="00251AAB">
        <w:rPr>
          <w:rFonts w:ascii="Palatino Linotype" w:hAnsi="Palatino Linotype"/>
          <w:spacing w:val="-12"/>
        </w:rPr>
        <w:t>-</w:t>
      </w:r>
      <w:r w:rsidRPr="00251AAB">
        <w:rPr>
          <w:rFonts w:ascii="Palatino Linotype" w:hAnsi="Palatino Linotype"/>
        </w:rPr>
        <w:t>and</w:t>
      </w:r>
      <w:r w:rsidRPr="00251AAB">
        <w:rPr>
          <w:rFonts w:ascii="Palatino Linotype" w:hAnsi="Palatino Linotype"/>
          <w:spacing w:val="-12"/>
        </w:rPr>
        <w:t>-</w:t>
      </w:r>
      <w:r w:rsidRPr="00251AAB">
        <w:rPr>
          <w:rFonts w:ascii="Palatino Linotype" w:hAnsi="Palatino Linotype"/>
        </w:rPr>
        <w:t>Trade</w:t>
      </w:r>
      <w:r w:rsidRPr="00251AAB">
        <w:rPr>
          <w:rFonts w:ascii="Palatino Linotype" w:hAnsi="Palatino Linotype"/>
          <w:spacing w:val="-12"/>
        </w:rPr>
        <w:t xml:space="preserve"> </w:t>
      </w:r>
      <w:r w:rsidRPr="00251AAB">
        <w:rPr>
          <w:rFonts w:ascii="Palatino Linotype" w:hAnsi="Palatino Linotype"/>
        </w:rPr>
        <w:t>cost</w:t>
      </w:r>
      <w:r w:rsidRPr="00251AAB">
        <w:rPr>
          <w:rFonts w:ascii="Palatino Linotype" w:hAnsi="Palatino Linotype"/>
          <w:spacing w:val="-12"/>
        </w:rPr>
        <w:t xml:space="preserve"> </w:t>
      </w:r>
      <w:r w:rsidRPr="00251AAB">
        <w:rPr>
          <w:rFonts w:ascii="Palatino Linotype" w:hAnsi="Palatino Linotype"/>
        </w:rPr>
        <w:t>is</w:t>
      </w:r>
      <w:r w:rsidRPr="00251AAB">
        <w:rPr>
          <w:rFonts w:ascii="Palatino Linotype" w:hAnsi="Palatino Linotype"/>
          <w:spacing w:val="-11"/>
        </w:rPr>
        <w:t xml:space="preserve"> </w:t>
      </w:r>
      <w:r w:rsidRPr="00251AAB">
        <w:rPr>
          <w:rFonts w:ascii="Palatino Linotype" w:hAnsi="Palatino Linotype"/>
        </w:rPr>
        <w:t>based on</w:t>
      </w:r>
      <w:r w:rsidRPr="00251AAB">
        <w:rPr>
          <w:rFonts w:ascii="Palatino Linotype" w:hAnsi="Palatino Linotype"/>
          <w:spacing w:val="-11"/>
        </w:rPr>
        <w:t xml:space="preserve"> </w:t>
      </w:r>
      <w:r w:rsidRPr="00251AAB">
        <w:rPr>
          <w:rFonts w:ascii="Palatino Linotype" w:hAnsi="Palatino Linotype"/>
        </w:rPr>
        <w:t>the</w:t>
      </w:r>
      <w:r w:rsidRPr="00251AAB">
        <w:rPr>
          <w:rFonts w:ascii="Palatino Linotype" w:hAnsi="Palatino Linotype"/>
          <w:spacing w:val="-12"/>
        </w:rPr>
        <w:t xml:space="preserve"> </w:t>
      </w:r>
      <w:r w:rsidRPr="00251AAB">
        <w:rPr>
          <w:rFonts w:ascii="Palatino Linotype" w:hAnsi="Palatino Linotype"/>
        </w:rPr>
        <w:t>reduction</w:t>
      </w:r>
      <w:r w:rsidRPr="00251AAB">
        <w:rPr>
          <w:rFonts w:ascii="Palatino Linotype" w:hAnsi="Palatino Linotype"/>
          <w:spacing w:val="-11"/>
        </w:rPr>
        <w:t xml:space="preserve"> </w:t>
      </w:r>
      <w:r w:rsidRPr="00251AAB">
        <w:rPr>
          <w:rFonts w:ascii="Palatino Linotype" w:hAnsi="Palatino Linotype"/>
        </w:rPr>
        <w:t xml:space="preserve">in </w:t>
      </w:r>
      <w:r w:rsidRPr="00251AAB">
        <w:rPr>
          <w:rFonts w:ascii="Palatino Linotype" w:hAnsi="Palatino Linotype"/>
          <w:spacing w:val="-2"/>
        </w:rPr>
        <w:t>gas</w:t>
      </w:r>
      <w:r w:rsidRPr="00251AAB">
        <w:rPr>
          <w:rFonts w:ascii="Palatino Linotype" w:hAnsi="Palatino Linotype"/>
          <w:spacing w:val="-15"/>
        </w:rPr>
        <w:t xml:space="preserve"> </w:t>
      </w:r>
      <w:r w:rsidRPr="00251AAB">
        <w:rPr>
          <w:rFonts w:ascii="Palatino Linotype" w:hAnsi="Palatino Linotype"/>
          <w:spacing w:val="-2"/>
        </w:rPr>
        <w:t>throughput</w:t>
      </w:r>
      <w:r w:rsidRPr="00251AAB">
        <w:rPr>
          <w:rFonts w:ascii="Palatino Linotype" w:hAnsi="Palatino Linotype"/>
          <w:spacing w:val="-14"/>
        </w:rPr>
        <w:t xml:space="preserve"> </w:t>
      </w:r>
      <w:r w:rsidRPr="00251AAB">
        <w:rPr>
          <w:rFonts w:ascii="Palatino Linotype" w:hAnsi="Palatino Linotype"/>
          <w:spacing w:val="-2"/>
        </w:rPr>
        <w:t>caused by</w:t>
      </w:r>
      <w:r w:rsidRPr="00251AAB">
        <w:rPr>
          <w:rFonts w:ascii="Palatino Linotype" w:hAnsi="Palatino Linotype"/>
          <w:spacing w:val="-14"/>
        </w:rPr>
        <w:t xml:space="preserve"> </w:t>
      </w:r>
      <w:r w:rsidRPr="00251AAB">
        <w:rPr>
          <w:rFonts w:ascii="Palatino Linotype" w:hAnsi="Palatino Linotype"/>
          <w:spacing w:val="-2"/>
        </w:rPr>
        <w:t>abating</w:t>
      </w:r>
      <w:r w:rsidRPr="00251AAB">
        <w:rPr>
          <w:rFonts w:ascii="Palatino Linotype" w:hAnsi="Palatino Linotype"/>
          <w:spacing w:val="-15"/>
        </w:rPr>
        <w:t xml:space="preserve"> </w:t>
      </w:r>
      <w:r w:rsidRPr="00251AAB">
        <w:rPr>
          <w:rFonts w:ascii="Palatino Linotype" w:hAnsi="Palatino Linotype"/>
          <w:spacing w:val="-2"/>
        </w:rPr>
        <w:t>leaks</w:t>
      </w:r>
      <w:r w:rsidRPr="00251AAB">
        <w:rPr>
          <w:rFonts w:ascii="Palatino Linotype" w:hAnsi="Palatino Linotype"/>
          <w:spacing w:val="-14"/>
        </w:rPr>
        <w:t xml:space="preserve"> </w:t>
      </w:r>
      <w:r w:rsidRPr="00251AAB">
        <w:rPr>
          <w:rFonts w:ascii="Palatino Linotype" w:hAnsi="Palatino Linotype"/>
          <w:spacing w:val="-2"/>
        </w:rPr>
        <w:t>and</w:t>
      </w:r>
      <w:r w:rsidRPr="00251AAB">
        <w:rPr>
          <w:rFonts w:ascii="Palatino Linotype" w:hAnsi="Palatino Linotype"/>
          <w:spacing w:val="-14"/>
        </w:rPr>
        <w:t xml:space="preserve"> </w:t>
      </w:r>
      <w:r w:rsidRPr="00251AAB">
        <w:rPr>
          <w:rFonts w:ascii="Palatino Linotype" w:hAnsi="Palatino Linotype"/>
          <w:spacing w:val="-2"/>
        </w:rPr>
        <w:t>quantifies the greenhouse gas (GHG) impact by assuming that</w:t>
      </w:r>
      <w:r w:rsidRPr="00251AAB">
        <w:rPr>
          <w:rFonts w:ascii="Palatino Linotype" w:hAnsi="Palatino Linotype"/>
          <w:spacing w:val="-15"/>
        </w:rPr>
        <w:t xml:space="preserve"> </w:t>
      </w:r>
      <w:r w:rsidRPr="00251AAB">
        <w:rPr>
          <w:rFonts w:ascii="Palatino Linotype" w:hAnsi="Palatino Linotype"/>
          <w:spacing w:val="-2"/>
        </w:rPr>
        <w:t>all</w:t>
      </w:r>
      <w:r w:rsidRPr="00251AAB">
        <w:rPr>
          <w:rFonts w:ascii="Palatino Linotype" w:hAnsi="Palatino Linotype"/>
          <w:spacing w:val="-14"/>
        </w:rPr>
        <w:t xml:space="preserve"> </w:t>
      </w:r>
      <w:r w:rsidRPr="00251AAB">
        <w:rPr>
          <w:rFonts w:ascii="Palatino Linotype" w:hAnsi="Palatino Linotype"/>
          <w:spacing w:val="-2"/>
        </w:rPr>
        <w:t>gas</w:t>
      </w:r>
      <w:r w:rsidRPr="00251AAB">
        <w:rPr>
          <w:rFonts w:ascii="Palatino Linotype" w:hAnsi="Palatino Linotype"/>
          <w:spacing w:val="-14"/>
        </w:rPr>
        <w:t xml:space="preserve"> </w:t>
      </w:r>
      <w:r w:rsidRPr="00251AAB">
        <w:rPr>
          <w:rFonts w:ascii="Palatino Linotype" w:hAnsi="Palatino Linotype"/>
          <w:spacing w:val="-2"/>
        </w:rPr>
        <w:t>throughput</w:t>
      </w:r>
      <w:r w:rsidRPr="00251AAB">
        <w:rPr>
          <w:rFonts w:ascii="Palatino Linotype" w:hAnsi="Palatino Linotype"/>
          <w:spacing w:val="-14"/>
        </w:rPr>
        <w:t xml:space="preserve"> </w:t>
      </w:r>
      <w:r w:rsidRPr="00251AAB">
        <w:rPr>
          <w:rFonts w:ascii="Palatino Linotype" w:hAnsi="Palatino Linotype"/>
          <w:spacing w:val="-2"/>
        </w:rPr>
        <w:t xml:space="preserve">is </w:t>
      </w:r>
      <w:r w:rsidRPr="00251AAB">
        <w:rPr>
          <w:rFonts w:ascii="Palatino Linotype" w:hAnsi="Palatino Linotype"/>
        </w:rPr>
        <w:t>combusted</w:t>
      </w:r>
      <w:r w:rsidRPr="00251AAB">
        <w:rPr>
          <w:rFonts w:ascii="Palatino Linotype" w:hAnsi="Palatino Linotype"/>
          <w:spacing w:val="-11"/>
        </w:rPr>
        <w:t xml:space="preserve"> </w:t>
      </w:r>
      <w:r w:rsidRPr="00251AAB">
        <w:rPr>
          <w:rFonts w:ascii="Palatino Linotype" w:hAnsi="Palatino Linotype"/>
        </w:rPr>
        <w:t>to</w:t>
      </w:r>
      <w:r w:rsidRPr="00251AAB">
        <w:rPr>
          <w:rFonts w:ascii="Palatino Linotype" w:hAnsi="Palatino Linotype"/>
          <w:spacing w:val="-11"/>
        </w:rPr>
        <w:t xml:space="preserve"> </w:t>
      </w:r>
      <w:r w:rsidRPr="00251AAB">
        <w:rPr>
          <w:rFonts w:ascii="Palatino Linotype" w:hAnsi="Palatino Linotype"/>
        </w:rPr>
        <w:t>carbon</w:t>
      </w:r>
      <w:r w:rsidRPr="00251AAB">
        <w:rPr>
          <w:rFonts w:ascii="Palatino Linotype" w:hAnsi="Palatino Linotype"/>
          <w:spacing w:val="-11"/>
        </w:rPr>
        <w:t xml:space="preserve"> </w:t>
      </w:r>
      <w:r w:rsidRPr="00251AAB">
        <w:rPr>
          <w:rFonts w:ascii="Palatino Linotype" w:hAnsi="Palatino Linotype"/>
        </w:rPr>
        <w:t>dioxide</w:t>
      </w:r>
      <w:r w:rsidRPr="00251AAB">
        <w:rPr>
          <w:rFonts w:ascii="Palatino Linotype" w:hAnsi="Palatino Linotype"/>
          <w:spacing w:val="-11"/>
        </w:rPr>
        <w:t xml:space="preserve"> </w:t>
      </w:r>
      <w:r w:rsidRPr="00251AAB">
        <w:rPr>
          <w:rFonts w:ascii="Palatino Linotype" w:hAnsi="Palatino Linotype"/>
        </w:rPr>
        <w:t>(CO2)</w:t>
      </w:r>
      <w:r w:rsidRPr="00251AAB">
        <w:rPr>
          <w:rFonts w:ascii="Palatino Linotype" w:hAnsi="Palatino Linotype"/>
          <w:spacing w:val="40"/>
        </w:rPr>
        <w:t xml:space="preserve"> </w:t>
      </w:r>
      <w:r w:rsidRPr="00251AAB">
        <w:rPr>
          <w:rFonts w:ascii="Palatino Linotype" w:hAnsi="Palatino Linotype"/>
        </w:rPr>
        <w:t>and</w:t>
      </w:r>
      <w:r w:rsidRPr="00251AAB">
        <w:rPr>
          <w:rFonts w:ascii="Palatino Linotype" w:hAnsi="Palatino Linotype"/>
          <w:spacing w:val="-11"/>
        </w:rPr>
        <w:t xml:space="preserve"> </w:t>
      </w:r>
      <w:r w:rsidRPr="00251AAB">
        <w:rPr>
          <w:rFonts w:ascii="Palatino Linotype" w:hAnsi="Palatino Linotype"/>
        </w:rPr>
        <w:t>emitted</w:t>
      </w:r>
      <w:r w:rsidRPr="00251AAB">
        <w:rPr>
          <w:rFonts w:ascii="Palatino Linotype" w:hAnsi="Palatino Linotype"/>
          <w:spacing w:val="-11"/>
        </w:rPr>
        <w:t xml:space="preserve"> </w:t>
      </w:r>
      <w:r w:rsidRPr="00251AAB">
        <w:rPr>
          <w:rFonts w:ascii="Palatino Linotype" w:hAnsi="Palatino Linotype"/>
        </w:rPr>
        <w:t>to</w:t>
      </w:r>
      <w:r w:rsidRPr="00251AAB">
        <w:rPr>
          <w:rFonts w:ascii="Palatino Linotype" w:hAnsi="Palatino Linotype"/>
          <w:spacing w:val="-11"/>
        </w:rPr>
        <w:t xml:space="preserve"> </w:t>
      </w:r>
      <w:r w:rsidRPr="00251AAB">
        <w:rPr>
          <w:rFonts w:ascii="Palatino Linotype" w:hAnsi="Palatino Linotype"/>
        </w:rPr>
        <w:t>the</w:t>
      </w:r>
      <w:r w:rsidRPr="00251AAB">
        <w:rPr>
          <w:rFonts w:ascii="Palatino Linotype" w:hAnsi="Palatino Linotype"/>
          <w:spacing w:val="-11"/>
        </w:rPr>
        <w:t xml:space="preserve"> </w:t>
      </w:r>
      <w:r w:rsidRPr="00251AAB">
        <w:rPr>
          <w:rFonts w:ascii="Palatino Linotype" w:hAnsi="Palatino Linotype"/>
        </w:rPr>
        <w:t>atmosphere.</w:t>
      </w:r>
      <w:r w:rsidRPr="00251AAB">
        <w:rPr>
          <w:rFonts w:ascii="Palatino Linotype" w:hAnsi="Palatino Linotype"/>
          <w:spacing w:val="-4"/>
        </w:rPr>
        <w:t xml:space="preserve"> </w:t>
      </w:r>
    </w:p>
    <w:p w:rsidRPr="00251AAB" w:rsidR="004C1477" w:rsidP="004C1477" w:rsidRDefault="004C1477" w14:paraId="58C4BCE7" w14:textId="346C1B79">
      <w:pPr>
        <w:keepNext/>
        <w:spacing w:line="240" w:lineRule="auto"/>
        <w:rPr>
          <w:rFonts w:ascii="Palatino Linotype" w:hAnsi="Palatino Linotype"/>
        </w:rPr>
      </w:pPr>
      <w:r w:rsidRPr="00251AAB">
        <w:rPr>
          <w:rFonts w:ascii="Palatino Linotype" w:hAnsi="Palatino Linotype"/>
        </w:rPr>
        <w:t>For SDG&amp;E, an annual Advice Letter forecasts the rate impact of Cap-and-Trade costs. If approved, these costs are added to rates. To</w:t>
      </w:r>
      <w:r w:rsidRPr="00251AAB">
        <w:rPr>
          <w:rFonts w:ascii="Palatino Linotype" w:hAnsi="Palatino Linotype"/>
          <w:spacing w:val="-11"/>
        </w:rPr>
        <w:t xml:space="preserve"> </w:t>
      </w:r>
      <w:r w:rsidRPr="00251AAB">
        <w:rPr>
          <w:rFonts w:ascii="Palatino Linotype" w:hAnsi="Palatino Linotype"/>
        </w:rPr>
        <w:t>estimate</w:t>
      </w:r>
      <w:r w:rsidRPr="00251AAB">
        <w:rPr>
          <w:rFonts w:ascii="Palatino Linotype" w:hAnsi="Palatino Linotype"/>
          <w:spacing w:val="-11"/>
        </w:rPr>
        <w:t xml:space="preserve"> </w:t>
      </w:r>
      <w:r w:rsidRPr="00251AAB">
        <w:rPr>
          <w:rFonts w:ascii="Palatino Linotype" w:hAnsi="Palatino Linotype"/>
        </w:rPr>
        <w:t>the</w:t>
      </w:r>
      <w:r w:rsidRPr="00251AAB">
        <w:rPr>
          <w:rFonts w:ascii="Palatino Linotype" w:hAnsi="Palatino Linotype"/>
          <w:spacing w:val="-11"/>
        </w:rPr>
        <w:t xml:space="preserve"> </w:t>
      </w:r>
      <w:r w:rsidRPr="00251AAB">
        <w:rPr>
          <w:rFonts w:ascii="Palatino Linotype" w:hAnsi="Palatino Linotype"/>
        </w:rPr>
        <w:t>value of</w:t>
      </w:r>
      <w:r w:rsidRPr="00251AAB">
        <w:rPr>
          <w:rFonts w:ascii="Palatino Linotype" w:hAnsi="Palatino Linotype"/>
          <w:spacing w:val="-17"/>
        </w:rPr>
        <w:t xml:space="preserve"> </w:t>
      </w:r>
      <w:r w:rsidRPr="00251AAB">
        <w:rPr>
          <w:rFonts w:ascii="Palatino Linotype" w:hAnsi="Palatino Linotype"/>
        </w:rPr>
        <w:t>reduced</w:t>
      </w:r>
      <w:r w:rsidRPr="00251AAB">
        <w:rPr>
          <w:rFonts w:ascii="Palatino Linotype" w:hAnsi="Palatino Linotype"/>
          <w:position w:val="8"/>
        </w:rPr>
        <w:t xml:space="preserve"> </w:t>
      </w:r>
      <w:r w:rsidRPr="00251AAB">
        <w:rPr>
          <w:rFonts w:ascii="Palatino Linotype" w:hAnsi="Palatino Linotype"/>
        </w:rPr>
        <w:t>Cap</w:t>
      </w:r>
      <w:r w:rsidRPr="00251AAB">
        <w:rPr>
          <w:rFonts w:ascii="Palatino Linotype" w:hAnsi="Palatino Linotype"/>
          <w:spacing w:val="-16"/>
        </w:rPr>
        <w:t xml:space="preserve"> </w:t>
      </w:r>
      <w:r w:rsidRPr="00251AAB">
        <w:rPr>
          <w:rFonts w:ascii="Palatino Linotype" w:hAnsi="Palatino Linotype"/>
        </w:rPr>
        <w:t>and</w:t>
      </w:r>
      <w:r w:rsidRPr="00251AAB">
        <w:rPr>
          <w:rFonts w:ascii="Palatino Linotype" w:hAnsi="Palatino Linotype"/>
          <w:spacing w:val="-17"/>
        </w:rPr>
        <w:t xml:space="preserve"> </w:t>
      </w:r>
      <w:r w:rsidRPr="00251AAB">
        <w:rPr>
          <w:rFonts w:ascii="Palatino Linotype" w:hAnsi="Palatino Linotype"/>
        </w:rPr>
        <w:t>Trade</w:t>
      </w:r>
      <w:r w:rsidRPr="00251AAB">
        <w:rPr>
          <w:rFonts w:ascii="Palatino Linotype" w:hAnsi="Palatino Linotype"/>
          <w:spacing w:val="-16"/>
        </w:rPr>
        <w:t xml:space="preserve"> </w:t>
      </w:r>
      <w:r w:rsidRPr="00251AAB">
        <w:rPr>
          <w:rFonts w:ascii="Palatino Linotype" w:hAnsi="Palatino Linotype"/>
        </w:rPr>
        <w:t>compliance</w:t>
      </w:r>
      <w:r w:rsidRPr="00251AAB">
        <w:rPr>
          <w:rFonts w:ascii="Palatino Linotype" w:hAnsi="Palatino Linotype"/>
          <w:spacing w:val="-16"/>
        </w:rPr>
        <w:t xml:space="preserve"> </w:t>
      </w:r>
      <w:r w:rsidRPr="00251AAB">
        <w:rPr>
          <w:rFonts w:ascii="Palatino Linotype" w:hAnsi="Palatino Linotype"/>
        </w:rPr>
        <w:t>costs,</w:t>
      </w:r>
      <w:r w:rsidRPr="00251AAB">
        <w:rPr>
          <w:rFonts w:ascii="Palatino Linotype" w:hAnsi="Palatino Linotype"/>
          <w:spacing w:val="-16"/>
        </w:rPr>
        <w:t xml:space="preserve"> </w:t>
      </w:r>
      <w:r w:rsidRPr="00251AAB">
        <w:rPr>
          <w:rFonts w:ascii="Palatino Linotype" w:hAnsi="Palatino Linotype"/>
        </w:rPr>
        <w:t>SDG&amp;E</w:t>
      </w:r>
      <w:r w:rsidRPr="00251AAB">
        <w:rPr>
          <w:rFonts w:ascii="Palatino Linotype" w:hAnsi="Palatino Linotype"/>
          <w:spacing w:val="-16"/>
        </w:rPr>
        <w:t xml:space="preserve"> </w:t>
      </w:r>
      <w:r w:rsidRPr="00251AAB">
        <w:rPr>
          <w:rFonts w:ascii="Palatino Linotype" w:hAnsi="Palatino Linotype"/>
        </w:rPr>
        <w:t>assumed</w:t>
      </w:r>
      <w:r w:rsidRPr="00251AAB">
        <w:rPr>
          <w:rFonts w:ascii="Palatino Linotype" w:hAnsi="Palatino Linotype"/>
          <w:spacing w:val="-16"/>
        </w:rPr>
        <w:t xml:space="preserve"> </w:t>
      </w:r>
      <w:r w:rsidRPr="00251AAB">
        <w:rPr>
          <w:rFonts w:ascii="Palatino Linotype" w:hAnsi="Palatino Linotype"/>
        </w:rPr>
        <w:t>a</w:t>
      </w:r>
      <w:r w:rsidRPr="00251AAB">
        <w:rPr>
          <w:rFonts w:ascii="Palatino Linotype" w:hAnsi="Palatino Linotype"/>
          <w:spacing w:val="-15"/>
        </w:rPr>
        <w:t xml:space="preserve"> </w:t>
      </w:r>
      <w:r w:rsidRPr="00251AAB">
        <w:rPr>
          <w:rFonts w:ascii="Palatino Linotype" w:hAnsi="Palatino Linotype"/>
        </w:rPr>
        <w:t>December</w:t>
      </w:r>
      <w:r w:rsidRPr="00251AAB">
        <w:rPr>
          <w:rFonts w:ascii="Palatino Linotype" w:hAnsi="Palatino Linotype"/>
          <w:spacing w:val="-17"/>
        </w:rPr>
        <w:t xml:space="preserve"> </w:t>
      </w:r>
      <w:r w:rsidRPr="00251AAB">
        <w:rPr>
          <w:rFonts w:ascii="Palatino Linotype" w:hAnsi="Palatino Linotype"/>
        </w:rPr>
        <w:t>2025</w:t>
      </w:r>
      <w:r w:rsidRPr="00251AAB">
        <w:rPr>
          <w:rFonts w:ascii="Palatino Linotype" w:hAnsi="Palatino Linotype"/>
          <w:spacing w:val="-15"/>
        </w:rPr>
        <w:t xml:space="preserve"> </w:t>
      </w:r>
      <w:r w:rsidRPr="00251AAB">
        <w:rPr>
          <w:rFonts w:ascii="Palatino Linotype" w:hAnsi="Palatino Linotype"/>
        </w:rPr>
        <w:t xml:space="preserve">vintage </w:t>
      </w:r>
      <w:r w:rsidRPr="00251AAB">
        <w:rPr>
          <w:rFonts w:ascii="Palatino Linotype" w:hAnsi="Palatino Linotype"/>
          <w:spacing w:val="-2"/>
        </w:rPr>
        <w:t>futures</w:t>
      </w:r>
      <w:r w:rsidRPr="00251AAB">
        <w:rPr>
          <w:rFonts w:ascii="Palatino Linotype" w:hAnsi="Palatino Linotype"/>
          <w:spacing w:val="-10"/>
        </w:rPr>
        <w:t xml:space="preserve"> </w:t>
      </w:r>
      <w:r w:rsidRPr="00251AAB">
        <w:rPr>
          <w:rFonts w:ascii="Palatino Linotype" w:hAnsi="Palatino Linotype"/>
          <w:spacing w:val="-2"/>
        </w:rPr>
        <w:t>value</w:t>
      </w:r>
      <w:r w:rsidRPr="00251AAB">
        <w:rPr>
          <w:rFonts w:ascii="Palatino Linotype" w:hAnsi="Palatino Linotype"/>
          <w:spacing w:val="-10"/>
        </w:rPr>
        <w:t xml:space="preserve"> </w:t>
      </w:r>
      <w:r w:rsidRPr="00251AAB">
        <w:rPr>
          <w:rFonts w:ascii="Palatino Linotype" w:hAnsi="Palatino Linotype"/>
          <w:spacing w:val="-2"/>
        </w:rPr>
        <w:t>based</w:t>
      </w:r>
      <w:r w:rsidRPr="00251AAB">
        <w:rPr>
          <w:rFonts w:ascii="Palatino Linotype" w:hAnsi="Palatino Linotype"/>
          <w:spacing w:val="-10"/>
        </w:rPr>
        <w:t xml:space="preserve"> </w:t>
      </w:r>
      <w:r w:rsidRPr="00251AAB">
        <w:rPr>
          <w:rFonts w:ascii="Palatino Linotype" w:hAnsi="Palatino Linotype"/>
          <w:spacing w:val="-2"/>
        </w:rPr>
        <w:t>on</w:t>
      </w:r>
      <w:r w:rsidRPr="00251AAB">
        <w:rPr>
          <w:rFonts w:ascii="Palatino Linotype" w:hAnsi="Palatino Linotype"/>
          <w:spacing w:val="-9"/>
        </w:rPr>
        <w:t xml:space="preserve"> </w:t>
      </w:r>
      <w:r w:rsidRPr="00251AAB">
        <w:rPr>
          <w:rFonts w:ascii="Palatino Linotype" w:hAnsi="Palatino Linotype"/>
          <w:spacing w:val="-2"/>
        </w:rPr>
        <w:t>the</w:t>
      </w:r>
      <w:r w:rsidRPr="00251AAB">
        <w:rPr>
          <w:rFonts w:ascii="Palatino Linotype" w:hAnsi="Palatino Linotype"/>
          <w:spacing w:val="-10"/>
        </w:rPr>
        <w:t xml:space="preserve"> </w:t>
      </w:r>
      <w:r w:rsidRPr="00251AAB">
        <w:rPr>
          <w:rFonts w:ascii="Palatino Linotype" w:hAnsi="Palatino Linotype"/>
          <w:spacing w:val="-2"/>
        </w:rPr>
        <w:t>five-day</w:t>
      </w:r>
      <w:r w:rsidRPr="00251AAB">
        <w:rPr>
          <w:rFonts w:ascii="Palatino Linotype" w:hAnsi="Palatino Linotype"/>
          <w:spacing w:val="-10"/>
        </w:rPr>
        <w:t xml:space="preserve"> </w:t>
      </w:r>
      <w:r w:rsidRPr="00251AAB">
        <w:rPr>
          <w:rFonts w:ascii="Palatino Linotype" w:hAnsi="Palatino Linotype"/>
          <w:spacing w:val="-2"/>
        </w:rPr>
        <w:t>average</w:t>
      </w:r>
      <w:r w:rsidRPr="00251AAB">
        <w:rPr>
          <w:rFonts w:ascii="Palatino Linotype" w:hAnsi="Palatino Linotype"/>
          <w:spacing w:val="-9"/>
        </w:rPr>
        <w:t xml:space="preserve"> </w:t>
      </w:r>
      <w:r w:rsidRPr="00251AAB">
        <w:rPr>
          <w:rFonts w:ascii="Palatino Linotype" w:hAnsi="Palatino Linotype"/>
          <w:spacing w:val="-2"/>
        </w:rPr>
        <w:t>of</w:t>
      </w:r>
      <w:r w:rsidRPr="00251AAB">
        <w:rPr>
          <w:rFonts w:ascii="Palatino Linotype" w:hAnsi="Palatino Linotype"/>
          <w:spacing w:val="-9"/>
        </w:rPr>
        <w:t xml:space="preserve"> the first </w:t>
      </w:r>
      <w:r w:rsidRPr="00251AAB">
        <w:rPr>
          <w:rFonts w:ascii="Palatino Linotype" w:hAnsi="Palatino Linotype"/>
          <w:spacing w:val="-2"/>
        </w:rPr>
        <w:t>trading</w:t>
      </w:r>
      <w:r w:rsidRPr="00251AAB">
        <w:rPr>
          <w:rFonts w:ascii="Palatino Linotype" w:hAnsi="Palatino Linotype"/>
          <w:spacing w:val="-11"/>
        </w:rPr>
        <w:t xml:space="preserve"> </w:t>
      </w:r>
      <w:r w:rsidRPr="00251AAB">
        <w:rPr>
          <w:rFonts w:ascii="Palatino Linotype" w:hAnsi="Palatino Linotype"/>
          <w:spacing w:val="-2"/>
        </w:rPr>
        <w:t>day</w:t>
      </w:r>
      <w:r w:rsidRPr="00251AAB">
        <w:rPr>
          <w:rFonts w:ascii="Palatino Linotype" w:hAnsi="Palatino Linotype"/>
        </w:rPr>
        <w:t>s</w:t>
      </w:r>
      <w:r w:rsidRPr="00251AAB" w:rsidDel="00D115E3">
        <w:rPr>
          <w:rFonts w:ascii="Palatino Linotype" w:hAnsi="Palatino Linotype"/>
        </w:rPr>
        <w:t xml:space="preserve"> </w:t>
      </w:r>
      <w:r w:rsidRPr="00251AAB">
        <w:rPr>
          <w:rFonts w:ascii="Palatino Linotype" w:hAnsi="Palatino Linotype"/>
        </w:rPr>
        <w:t xml:space="preserve">of the year, </w:t>
      </w:r>
      <w:r w:rsidRPr="00251AAB">
        <w:rPr>
          <w:rFonts w:ascii="Palatino Linotype" w:hAnsi="Palatino Linotype"/>
          <w:spacing w:val="-2"/>
        </w:rPr>
        <w:t>January 2-8, 2024,</w:t>
      </w:r>
      <w:r w:rsidRPr="00251AAB">
        <w:rPr>
          <w:rFonts w:ascii="Palatino Linotype" w:hAnsi="Palatino Linotype"/>
          <w:spacing w:val="-9"/>
        </w:rPr>
        <w:t xml:space="preserve"> </w:t>
      </w:r>
      <w:r w:rsidRPr="00251AAB">
        <w:rPr>
          <w:rFonts w:ascii="Palatino Linotype" w:hAnsi="Palatino Linotype"/>
          <w:spacing w:val="-2"/>
        </w:rPr>
        <w:t>from</w:t>
      </w:r>
      <w:r w:rsidRPr="00251AAB">
        <w:rPr>
          <w:rFonts w:ascii="Palatino Linotype" w:hAnsi="Palatino Linotype"/>
          <w:spacing w:val="-10"/>
        </w:rPr>
        <w:t xml:space="preserve"> </w:t>
      </w:r>
      <w:r w:rsidRPr="00251AAB">
        <w:rPr>
          <w:rFonts w:ascii="Palatino Linotype" w:hAnsi="Palatino Linotype"/>
          <w:spacing w:val="-2"/>
        </w:rPr>
        <w:t xml:space="preserve">the </w:t>
      </w:r>
      <w:r w:rsidRPr="00251AAB">
        <w:rPr>
          <w:rFonts w:ascii="Palatino Linotype" w:hAnsi="Palatino Linotype"/>
        </w:rPr>
        <w:t>International</w:t>
      </w:r>
      <w:r w:rsidRPr="00251AAB">
        <w:rPr>
          <w:rFonts w:ascii="Palatino Linotype" w:hAnsi="Palatino Linotype"/>
          <w:spacing w:val="-11"/>
        </w:rPr>
        <w:t xml:space="preserve"> </w:t>
      </w:r>
      <w:r w:rsidRPr="00251AAB">
        <w:rPr>
          <w:rFonts w:ascii="Palatino Linotype" w:hAnsi="Palatino Linotype"/>
        </w:rPr>
        <w:t>Exchange: $45.12 per metric ton of CO2 equivalent (MTCO2e).</w:t>
      </w:r>
      <w:r w:rsidRPr="00251AAB">
        <w:rPr>
          <w:rFonts w:ascii="Palatino Linotype" w:hAnsi="Palatino Linotype"/>
          <w:spacing w:val="-11"/>
        </w:rPr>
        <w:t xml:space="preserve"> Compliance with the CPUC’s instructions produced a Cap-and-Trade benefit value of $2.46/MCF</w:t>
      </w:r>
      <w:r w:rsidRPr="00251AAB">
        <w:rPr>
          <w:rFonts w:ascii="Palatino Linotype" w:hAnsi="Palatino Linotype"/>
        </w:rPr>
        <w:t>,</w:t>
      </w:r>
      <w:r w:rsidRPr="00251AAB">
        <w:rPr>
          <w:rFonts w:ascii="Palatino Linotype" w:hAnsi="Palatino Linotype"/>
          <w:spacing w:val="-11"/>
        </w:rPr>
        <w:t xml:space="preserve"> which was used for the 2024 Compliance Plan.</w:t>
      </w:r>
      <w:r w:rsidRPr="00251AAB">
        <w:rPr>
          <w:rFonts w:ascii="Palatino Linotype" w:hAnsi="Palatino Linotype"/>
          <w:spacing w:val="-11"/>
          <w:vertAlign w:val="superscript"/>
        </w:rPr>
        <w:footnoteReference w:id="24"/>
      </w:r>
      <w:r w:rsidRPr="00251AAB">
        <w:rPr>
          <w:rFonts w:ascii="Palatino Linotype" w:hAnsi="Palatino Linotype"/>
          <w:spacing w:val="-11"/>
        </w:rPr>
        <w:t xml:space="preserve"> </w:t>
      </w:r>
    </w:p>
    <w:p w:rsidRPr="00251AAB" w:rsidR="004C1477" w:rsidP="004C1477" w:rsidRDefault="004C1477" w14:paraId="0E8FCB07" w14:textId="5020F97D">
      <w:pPr>
        <w:spacing w:line="240" w:lineRule="auto"/>
        <w:rPr>
          <w:rFonts w:ascii="Palatino Linotype" w:hAnsi="Palatino Linotype"/>
        </w:rPr>
      </w:pPr>
      <w:r w:rsidRPr="00251AAB">
        <w:rPr>
          <w:rFonts w:ascii="Palatino Linotype" w:hAnsi="Palatino Linotype"/>
        </w:rPr>
        <w:t xml:space="preserve">The benefit of the avoided Social Cost of Methane is the reduction in the future cost to society from the environmental impact of leaked methane that has not been combusted, which has a higher global warming potential in the short term than CO2. D.19-08-020 provides a Table of Estimates for the Social Cost of Methane for use in the utilities’ compliance plans. Following the 2023 Technical Working Group meeting, SPD staff provided written guidance to update those values using the California Consumer Price Index (CPI). In the 2024 Compliance Plan, </w:t>
      </w:r>
      <w:r w:rsidRPr="00251AAB" w:rsidR="00D650D6">
        <w:rPr>
          <w:rFonts w:ascii="Palatino Linotype" w:hAnsi="Palatino Linotype"/>
        </w:rPr>
        <w:t xml:space="preserve">SDG&amp;E </w:t>
      </w:r>
      <w:r w:rsidRPr="00251AAB">
        <w:rPr>
          <w:rFonts w:ascii="Palatino Linotype" w:hAnsi="Palatino Linotype"/>
        </w:rPr>
        <w:t xml:space="preserve">updated the Phase II Decision estimate for 2020 by applying the California CPI, which resulted in a social cost of methane of $24.42/MCF. </w:t>
      </w:r>
    </w:p>
    <w:p w:rsidRPr="00251AAB" w:rsidR="004C1477" w:rsidP="004C1477" w:rsidRDefault="004C1477" w14:paraId="3D6C8E9B" w14:textId="102AF153">
      <w:pPr>
        <w:spacing w:line="240" w:lineRule="auto"/>
        <w:rPr>
          <w:rFonts w:ascii="Palatino Linotype" w:hAnsi="Palatino Linotype"/>
        </w:rPr>
      </w:pPr>
      <w:r w:rsidRPr="00251AAB">
        <w:rPr>
          <w:rFonts w:ascii="Palatino Linotype" w:hAnsi="Palatino Linotype"/>
        </w:rPr>
        <w:t>These two additional cost-effectiveness tests are to be used for “information and comparison purposes.”</w:t>
      </w:r>
      <w:r w:rsidRPr="00251AAB">
        <w:rPr>
          <w:rFonts w:ascii="Palatino Linotype" w:hAnsi="Palatino Linotype"/>
          <w:vertAlign w:val="superscript"/>
        </w:rPr>
        <w:footnoteReference w:id="25"/>
      </w:r>
      <w:r w:rsidRPr="00251AAB">
        <w:rPr>
          <w:rFonts w:ascii="Palatino Linotype" w:hAnsi="Palatino Linotype"/>
        </w:rPr>
        <w:t xml:space="preserve"> Including the combined values for the Cap-and-Trade cost benefit and the Social Cost of Methane, a measure is said to achieve a “break-even” net cost-effectiveness of $0/MCF when it has a standard cost-effectiveness of approximately </w:t>
      </w:r>
      <w:r w:rsidRPr="00251AAB">
        <w:rPr>
          <w:rFonts w:ascii="Palatino Linotype" w:hAnsi="Palatino Linotype"/>
        </w:rPr>
        <w:lastRenderedPageBreak/>
        <w:t>$26.88/MCF.</w:t>
      </w:r>
      <w:r w:rsidRPr="00251AAB">
        <w:rPr>
          <w:rFonts w:ascii="Palatino Linotype" w:hAnsi="Palatino Linotype"/>
          <w:vertAlign w:val="superscript"/>
        </w:rPr>
        <w:footnoteReference w:id="26"/>
      </w:r>
      <w:r w:rsidRPr="00251AAB">
        <w:rPr>
          <w:rFonts w:ascii="Palatino Linotype" w:hAnsi="Palatino Linotype"/>
        </w:rPr>
        <w:t xml:space="preserve"> This is $4.88 higher than the break</w:t>
      </w:r>
      <w:r w:rsidRPr="00251AAB" w:rsidR="00C90F5C">
        <w:rPr>
          <w:rFonts w:ascii="Palatino Linotype" w:hAnsi="Palatino Linotype"/>
        </w:rPr>
        <w:t>-</w:t>
      </w:r>
      <w:r w:rsidRPr="00251AAB">
        <w:rPr>
          <w:rFonts w:ascii="Palatino Linotype" w:hAnsi="Palatino Linotype"/>
        </w:rPr>
        <w:t xml:space="preserve">even value of $22/MCF in the 2022 Compliance Plan period of 2023-2024. </w:t>
      </w:r>
    </w:p>
    <w:p w:rsidRPr="00251AAB" w:rsidR="004C1477" w:rsidP="004C1477" w:rsidRDefault="004C1477" w14:paraId="20BC020F" w14:textId="77777777">
      <w:pPr>
        <w:spacing w:line="259" w:lineRule="auto"/>
        <w:rPr>
          <w:rFonts w:ascii="Palatino Linotype" w:hAnsi="Palatino Linotype"/>
          <w:spacing w:val="-4"/>
        </w:rPr>
      </w:pPr>
      <w:r w:rsidRPr="00251AAB">
        <w:rPr>
          <w:rFonts w:ascii="Palatino Linotype" w:hAnsi="Palatino Linotype"/>
          <w:spacing w:val="-4"/>
        </w:rPr>
        <w:t>In addition to the cost-effectiveness of a measure, SPD considers other factors, as follows:</w:t>
      </w:r>
    </w:p>
    <w:p w:rsidRPr="00251AAB" w:rsidR="004C1477" w:rsidP="004C1477" w:rsidRDefault="004C1477" w14:paraId="67A7C8DF"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 required for compliance with the Best Practices specified in D.19-08-020?</w:t>
      </w:r>
    </w:p>
    <w:p w:rsidRPr="00251AAB" w:rsidR="004C1477" w:rsidP="004C1477" w:rsidRDefault="004C1477" w14:paraId="2AD20188"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 technically feasible?</w:t>
      </w:r>
    </w:p>
    <w:p w:rsidRPr="00251AAB" w:rsidR="004C1477" w:rsidP="004C1477" w:rsidRDefault="004C1477" w14:paraId="5591952C"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its cost-effectiveness improving over time?</w:t>
      </w:r>
    </w:p>
    <w:p w:rsidRPr="00251AAB" w:rsidR="004C1477" w:rsidP="004C1477" w:rsidRDefault="004C1477" w14:paraId="4D149FDC"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What is its contribution to achieving the program’s emission reduction goals?</w:t>
      </w:r>
    </w:p>
    <w:p w:rsidRPr="00251AAB" w:rsidR="004C1477" w:rsidP="004C1477" w:rsidRDefault="004C1477" w14:paraId="2B45A3D3"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 foundational for the functioning of the program (i.e., training, tracking and performing measurements of emissions)?</w:t>
      </w:r>
    </w:p>
    <w:p w:rsidRPr="00251AAB" w:rsidR="004C1477" w:rsidP="004C1477" w:rsidRDefault="004C1477" w14:paraId="29AA9485"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Does it provide the “biggest bang for the buck” (FOF, D.19-08-020)?</w:t>
      </w:r>
    </w:p>
    <w:p w:rsidRPr="00251AAB" w:rsidR="004C1477" w:rsidP="004C1477" w:rsidRDefault="004C1477" w14:paraId="10107501" w14:textId="77777777">
      <w:pPr>
        <w:spacing w:after="0" w:line="259" w:lineRule="auto"/>
        <w:ind w:left="720"/>
        <w:contextualSpacing/>
        <w:rPr>
          <w:rFonts w:ascii="Palatino Linotype" w:hAnsi="Palatino Linotype"/>
          <w:spacing w:val="-4"/>
        </w:rPr>
      </w:pPr>
    </w:p>
    <w:p w:rsidRPr="00251AAB" w:rsidR="004C1477" w:rsidP="004C1477" w:rsidRDefault="004C1477" w14:paraId="6265742A" w14:textId="09ECB2EB">
      <w:pPr>
        <w:keepNext/>
        <w:spacing w:line="240" w:lineRule="auto"/>
        <w:rPr>
          <w:rFonts w:ascii="Palatino Linotype" w:hAnsi="Palatino Linotype"/>
        </w:rPr>
      </w:pPr>
      <w:bookmarkStart w:name="_Hlk201659163" w:id="2"/>
      <w:r w:rsidRPr="00251AAB">
        <w:rPr>
          <w:rFonts w:ascii="Palatino Linotype" w:hAnsi="Palatino Linotype"/>
          <w:spacing w:val="-4"/>
        </w:rPr>
        <w:t>As a result of this broader</w:t>
      </w:r>
      <w:r w:rsidRPr="00251AAB" w:rsidDel="009D408F">
        <w:rPr>
          <w:rFonts w:ascii="Palatino Linotype" w:hAnsi="Palatino Linotype"/>
          <w:spacing w:val="-4"/>
        </w:rPr>
        <w:t xml:space="preserve"> </w:t>
      </w:r>
      <w:r w:rsidRPr="00251AAB">
        <w:rPr>
          <w:rFonts w:ascii="Palatino Linotype" w:hAnsi="Palatino Linotype"/>
          <w:spacing w:val="-4"/>
        </w:rPr>
        <w:t>consideration of each measure in the utility’s compliance plans, SPD’s evaluation may approve measures that are not cost-effective</w:t>
      </w:r>
      <w:r w:rsidRPr="00251AAB" w:rsidR="00554F5B">
        <w:rPr>
          <w:rFonts w:ascii="Palatino Linotype" w:hAnsi="Palatino Linotype"/>
          <w:spacing w:val="-4"/>
        </w:rPr>
        <w:t xml:space="preserve">. This is explicitly stated in </w:t>
      </w:r>
      <w:r w:rsidRPr="00251AAB">
        <w:rPr>
          <w:rFonts w:ascii="Palatino Linotype" w:hAnsi="Palatino Linotype"/>
          <w:spacing w:val="-4"/>
        </w:rPr>
        <w:t xml:space="preserve">D.19-08-020, which recognized that the cost of “maximum technologically feasible” measures might be expensive: “…we </w:t>
      </w:r>
      <w:r w:rsidRPr="00251AAB">
        <w:rPr>
          <w:rFonts w:ascii="Palatino Linotype" w:hAnsi="Palatino Linotype"/>
        </w:rPr>
        <w:t>do not adopt a requirement that all measures, or the Compliance Plans in their entirety, must show a positive benefit to cost ratio under either methodology. The CPUC retains full discretion to evaluate measures proposed in the Compliance Plans considering cost-effectiveness along with other qualitative factors and policy goals.”</w:t>
      </w:r>
      <w:r w:rsidRPr="00251AAB">
        <w:rPr>
          <w:rFonts w:ascii="Palatino Linotype" w:hAnsi="Palatino Linotype"/>
          <w:vertAlign w:val="superscript"/>
        </w:rPr>
        <w:footnoteReference w:id="27"/>
      </w:r>
    </w:p>
    <w:p w:rsidRPr="00251AAB" w:rsidR="00725F17" w:rsidP="00725F17" w:rsidRDefault="004C1477" w14:paraId="772827E7" w14:textId="0EA7F253">
      <w:pPr>
        <w:spacing w:after="0" w:line="240" w:lineRule="auto"/>
        <w:rPr>
          <w:rFonts w:ascii="Palatino Linotype" w:hAnsi="Palatino Linotype"/>
        </w:rPr>
      </w:pPr>
      <w:bookmarkStart w:name="_Hlk201655084" w:id="3"/>
      <w:r w:rsidRPr="00251AAB">
        <w:rPr>
          <w:rFonts w:ascii="Palatino Linotype" w:hAnsi="Palatino Linotype"/>
        </w:rPr>
        <w:t>SPD</w:t>
      </w:r>
      <w:r w:rsidRPr="00251AAB" w:rsidR="00F66931">
        <w:rPr>
          <w:rFonts w:ascii="Palatino Linotype" w:hAnsi="Palatino Linotype"/>
        </w:rPr>
        <w:t>’s review of the SDG&amp;E 2024 Compliance Plan</w:t>
      </w:r>
      <w:r w:rsidRPr="00251AAB">
        <w:rPr>
          <w:rFonts w:ascii="Palatino Linotype" w:hAnsi="Palatino Linotype"/>
        </w:rPr>
        <w:t xml:space="preserve"> evaluates the impact of the updated baseline on the amount of emissions reduction </w:t>
      </w:r>
      <w:r w:rsidRPr="00251AAB" w:rsidR="00251281">
        <w:rPr>
          <w:rFonts w:ascii="Palatino Linotype" w:hAnsi="Palatino Linotype"/>
        </w:rPr>
        <w:t>required</w:t>
      </w:r>
      <w:r w:rsidRPr="00251AAB">
        <w:rPr>
          <w:rFonts w:ascii="Palatino Linotype" w:hAnsi="Palatino Linotype"/>
        </w:rPr>
        <w:t xml:space="preserve"> by 2030</w:t>
      </w:r>
      <w:r w:rsidRPr="00251AAB" w:rsidR="007815E6">
        <w:rPr>
          <w:rFonts w:ascii="Palatino Linotype" w:hAnsi="Palatino Linotype"/>
        </w:rPr>
        <w:t xml:space="preserve">. </w:t>
      </w:r>
      <w:r w:rsidRPr="00251AAB" w:rsidR="00725F17">
        <w:rPr>
          <w:rFonts w:ascii="Palatino Linotype" w:hAnsi="Palatino Linotype"/>
        </w:rPr>
        <w:t>SPD’s review states that SDG&amp;E’s 2024</w:t>
      </w:r>
      <w:r w:rsidRPr="00251AAB" w:rsidR="00CD086B">
        <w:rPr>
          <w:rFonts w:ascii="Palatino Linotype" w:hAnsi="Palatino Linotype"/>
        </w:rPr>
        <w:t xml:space="preserve"> Compliance</w:t>
      </w:r>
      <w:r w:rsidRPr="00251AAB" w:rsidR="00725F17">
        <w:rPr>
          <w:rFonts w:ascii="Palatino Linotype" w:hAnsi="Palatino Linotype"/>
        </w:rPr>
        <w:t xml:space="preserve"> Plan forecasts an emissions reduction of 8 percent by 2025 (relative to the 2015 baseline).  However, unlike SoCalGas, SDG&amp;E is not mandated to reduce emissions by the target of 20 percent by </w:t>
      </w:r>
      <w:r w:rsidRPr="00251AAB" w:rsidR="00FD45C3">
        <w:rPr>
          <w:rFonts w:ascii="Palatino Linotype" w:hAnsi="Palatino Linotype"/>
        </w:rPr>
        <w:t>2025,</w:t>
      </w:r>
      <w:r w:rsidRPr="00251AAB" w:rsidR="00725F17">
        <w:rPr>
          <w:rFonts w:ascii="Palatino Linotype" w:hAnsi="Palatino Linotype"/>
        </w:rPr>
        <w:t xml:space="preserve"> established in </w:t>
      </w:r>
      <w:r w:rsidR="00376FAB">
        <w:rPr>
          <w:rFonts w:ascii="Palatino Linotype" w:hAnsi="Palatino Linotype"/>
        </w:rPr>
        <w:br/>
      </w:r>
      <w:r w:rsidRPr="00251AAB" w:rsidR="00725F17">
        <w:rPr>
          <w:rFonts w:ascii="Palatino Linotype" w:hAnsi="Palatino Linotype"/>
        </w:rPr>
        <w:t xml:space="preserve">D.19-08-020 for SoCalGas and Pacific Gas and Electric Company. </w:t>
      </w:r>
      <w:r w:rsidRPr="00251AAB" w:rsidR="001D281A">
        <w:rPr>
          <w:rFonts w:ascii="Palatino Linotype" w:hAnsi="Palatino Linotype"/>
        </w:rPr>
        <w:t xml:space="preserve">SPD also reports that SDG&amp;E’s 2024 </w:t>
      </w:r>
      <w:r w:rsidRPr="00251AAB" w:rsidR="006D4914">
        <w:rPr>
          <w:rFonts w:ascii="Palatino Linotype" w:hAnsi="Palatino Linotype"/>
        </w:rPr>
        <w:t xml:space="preserve">Compliance </w:t>
      </w:r>
      <w:r w:rsidRPr="00251AAB" w:rsidR="001D281A">
        <w:rPr>
          <w:rFonts w:ascii="Palatino Linotype" w:hAnsi="Palatino Linotype"/>
        </w:rPr>
        <w:t xml:space="preserve">Plan </w:t>
      </w:r>
      <w:r w:rsidRPr="00251AAB" w:rsidR="00725F17">
        <w:rPr>
          <w:rFonts w:ascii="Palatino Linotype" w:hAnsi="Palatino Linotype"/>
        </w:rPr>
        <w:t>forecast does not meet the statewide greenhouse gas (GHG) reduction goal of 40 percent by 2030.</w:t>
      </w:r>
    </w:p>
    <w:p w:rsidRPr="00251AAB" w:rsidR="00725F17" w:rsidP="00A85E50" w:rsidRDefault="00725F17" w14:paraId="7F057DA3" w14:textId="77777777">
      <w:pPr>
        <w:spacing w:after="0" w:line="240" w:lineRule="auto"/>
        <w:rPr>
          <w:rFonts w:ascii="Palatino Linotype" w:hAnsi="Palatino Linotype"/>
        </w:rPr>
      </w:pPr>
    </w:p>
    <w:p w:rsidRPr="00251AAB" w:rsidR="00796E02" w:rsidP="00A1101E" w:rsidRDefault="00F66931" w14:paraId="24DA7758" w14:textId="5C081A70">
      <w:pPr>
        <w:spacing w:after="0" w:line="240" w:lineRule="auto"/>
        <w:rPr>
          <w:rFonts w:ascii="Palatino Linotype" w:hAnsi="Palatino Linotype" w:eastAsia="Calibri" w:cs="Arial"/>
        </w:rPr>
      </w:pPr>
      <w:r w:rsidRPr="00251AAB">
        <w:rPr>
          <w:rFonts w:ascii="Palatino Linotype" w:hAnsi="Palatino Linotype"/>
        </w:rPr>
        <w:t xml:space="preserve">Because of the other factors </w:t>
      </w:r>
      <w:r w:rsidRPr="00251AAB" w:rsidR="00251281">
        <w:rPr>
          <w:rFonts w:ascii="Palatino Linotype" w:hAnsi="Palatino Linotype"/>
        </w:rPr>
        <w:t>SPD</w:t>
      </w:r>
      <w:r w:rsidRPr="00251AAB">
        <w:rPr>
          <w:rFonts w:ascii="Palatino Linotype" w:hAnsi="Palatino Linotype"/>
        </w:rPr>
        <w:t xml:space="preserve"> </w:t>
      </w:r>
      <w:r w:rsidRPr="00251AAB" w:rsidR="001F013D">
        <w:rPr>
          <w:rFonts w:ascii="Palatino Linotype" w:hAnsi="Palatino Linotype"/>
        </w:rPr>
        <w:t>includes</w:t>
      </w:r>
      <w:r w:rsidRPr="00251AAB">
        <w:rPr>
          <w:rFonts w:ascii="Palatino Linotype" w:hAnsi="Palatino Linotype"/>
        </w:rPr>
        <w:t xml:space="preserve"> in its evaluation as described above, </w:t>
      </w:r>
      <w:r w:rsidRPr="00251AAB" w:rsidDel="00BD2DC0">
        <w:rPr>
          <w:rFonts w:ascii="Palatino Linotype" w:hAnsi="Palatino Linotype"/>
        </w:rPr>
        <w:t xml:space="preserve">SPD </w:t>
      </w:r>
      <w:r w:rsidRPr="00251AAB" w:rsidR="00BD2DC0">
        <w:rPr>
          <w:rFonts w:ascii="Palatino Linotype" w:hAnsi="Palatino Linotype"/>
        </w:rPr>
        <w:t>recommends</w:t>
      </w:r>
      <w:r w:rsidRPr="00251AAB" w:rsidR="00251281">
        <w:rPr>
          <w:rFonts w:ascii="Palatino Linotype" w:hAnsi="Palatino Linotype"/>
        </w:rPr>
        <w:t xml:space="preserve"> approval of the </w:t>
      </w:r>
      <w:r w:rsidRPr="00251AAB" w:rsidR="003D2327">
        <w:rPr>
          <w:rFonts w:ascii="Palatino Linotype" w:hAnsi="Palatino Linotype"/>
        </w:rPr>
        <w:t xml:space="preserve">entire </w:t>
      </w:r>
      <w:r w:rsidRPr="00251AAB" w:rsidR="00251281">
        <w:rPr>
          <w:rFonts w:ascii="Palatino Linotype" w:hAnsi="Palatino Linotype"/>
        </w:rPr>
        <w:t>SDG&amp;E Compliance Plan</w:t>
      </w:r>
      <w:r w:rsidRPr="00251AAB" w:rsidR="7891932A">
        <w:rPr>
          <w:rFonts w:ascii="Palatino Linotype" w:hAnsi="Palatino Linotype"/>
        </w:rPr>
        <w:t xml:space="preserve"> except </w:t>
      </w:r>
      <w:r w:rsidRPr="00251AAB" w:rsidR="6873531C">
        <w:rPr>
          <w:rFonts w:ascii="Palatino Linotype" w:hAnsi="Palatino Linotype"/>
        </w:rPr>
        <w:t xml:space="preserve">for </w:t>
      </w:r>
      <w:r w:rsidRPr="00251AAB" w:rsidR="005F7DB9">
        <w:rPr>
          <w:rFonts w:ascii="Palatino Linotype" w:hAnsi="Palatino Linotype"/>
        </w:rPr>
        <w:t xml:space="preserve">the </w:t>
      </w:r>
      <w:r w:rsidRPr="00251AAB" w:rsidR="6873531C">
        <w:rPr>
          <w:rFonts w:ascii="Palatino Linotype" w:hAnsi="Palatino Linotype"/>
        </w:rPr>
        <w:t>Increased Leak Survey</w:t>
      </w:r>
      <w:r w:rsidRPr="00251AAB" w:rsidR="00644CAD">
        <w:rPr>
          <w:rFonts w:ascii="Palatino Linotype" w:hAnsi="Palatino Linotype"/>
        </w:rPr>
        <w:t xml:space="preserve"> measure</w:t>
      </w:r>
      <w:r w:rsidRPr="00251AAB" w:rsidR="6873531C">
        <w:rPr>
          <w:rFonts w:ascii="Palatino Linotype" w:hAnsi="Palatino Linotype"/>
        </w:rPr>
        <w:t xml:space="preserve">, </w:t>
      </w:r>
      <w:r w:rsidRPr="00251AAB" w:rsidR="07232B00">
        <w:rPr>
          <w:rFonts w:ascii="Palatino Linotype" w:hAnsi="Palatino Linotype"/>
        </w:rPr>
        <w:t xml:space="preserve">Chapter 1. This </w:t>
      </w:r>
      <w:r w:rsidRPr="00251AAB" w:rsidR="00354FBB">
        <w:rPr>
          <w:rFonts w:ascii="Palatino Linotype" w:hAnsi="Palatino Linotype"/>
        </w:rPr>
        <w:t xml:space="preserve">chapter </w:t>
      </w:r>
      <w:r w:rsidRPr="00251AAB" w:rsidR="07232B00">
        <w:rPr>
          <w:rFonts w:ascii="Palatino Linotype" w:hAnsi="Palatino Linotype"/>
        </w:rPr>
        <w:t xml:space="preserve">is the least cost effective of all </w:t>
      </w:r>
      <w:r w:rsidR="00376FAB">
        <w:rPr>
          <w:rFonts w:ascii="Palatino Linotype" w:hAnsi="Palatino Linotype"/>
        </w:rPr>
        <w:br/>
      </w:r>
      <w:r w:rsidRPr="00251AAB" w:rsidR="07232B00">
        <w:rPr>
          <w:rFonts w:ascii="Palatino Linotype" w:hAnsi="Palatino Linotype"/>
        </w:rPr>
        <w:t xml:space="preserve">SDG&amp;E’s </w:t>
      </w:r>
      <w:r w:rsidRPr="00251AAB" w:rsidR="004C68C3">
        <w:rPr>
          <w:rFonts w:ascii="Palatino Linotype" w:hAnsi="Palatino Linotype"/>
        </w:rPr>
        <w:t>proposals</w:t>
      </w:r>
      <w:r w:rsidRPr="00251AAB" w:rsidR="07232B00">
        <w:rPr>
          <w:rFonts w:ascii="Palatino Linotype" w:hAnsi="Palatino Linotype"/>
        </w:rPr>
        <w:t xml:space="preserve">, and </w:t>
      </w:r>
      <w:r w:rsidRPr="00251AAB" w:rsidR="00BA28A8">
        <w:rPr>
          <w:rFonts w:ascii="Palatino Linotype" w:hAnsi="Palatino Linotype"/>
        </w:rPr>
        <w:t xml:space="preserve">the Best Practices it addresses can be </w:t>
      </w:r>
      <w:r w:rsidRPr="00251AAB" w:rsidR="00CF0849">
        <w:rPr>
          <w:rFonts w:ascii="Palatino Linotype" w:hAnsi="Palatino Linotype"/>
        </w:rPr>
        <w:t>satisfied</w:t>
      </w:r>
      <w:r w:rsidRPr="00251AAB" w:rsidR="00BA28A8">
        <w:rPr>
          <w:rFonts w:ascii="Palatino Linotype" w:hAnsi="Palatino Linotype"/>
        </w:rPr>
        <w:t xml:space="preserve"> by</w:t>
      </w:r>
      <w:r w:rsidRPr="00251AAB" w:rsidR="07232B00">
        <w:rPr>
          <w:rFonts w:ascii="Palatino Linotype" w:hAnsi="Palatino Linotype"/>
        </w:rPr>
        <w:t xml:space="preserve"> </w:t>
      </w:r>
      <w:r w:rsidRPr="00251AAB" w:rsidR="00873411">
        <w:rPr>
          <w:rFonts w:ascii="Palatino Linotype" w:hAnsi="Palatino Linotype"/>
        </w:rPr>
        <w:t>the more</w:t>
      </w:r>
      <w:r w:rsidRPr="00251AAB" w:rsidR="6873531C">
        <w:rPr>
          <w:rFonts w:ascii="Palatino Linotype" w:hAnsi="Palatino Linotype"/>
        </w:rPr>
        <w:t xml:space="preserve"> cost-effective Aerial Mapping and M</w:t>
      </w:r>
      <w:r w:rsidRPr="00251AAB" w:rsidR="502C306E">
        <w:rPr>
          <w:rFonts w:ascii="Palatino Linotype" w:hAnsi="Palatino Linotype"/>
        </w:rPr>
        <w:t>onitoring (AMM)</w:t>
      </w:r>
      <w:r w:rsidRPr="00251AAB" w:rsidR="005B7950">
        <w:rPr>
          <w:rFonts w:ascii="Palatino Linotype" w:hAnsi="Palatino Linotype"/>
        </w:rPr>
        <w:t xml:space="preserve"> measure</w:t>
      </w:r>
      <w:r w:rsidRPr="00251AAB" w:rsidR="4D17697B">
        <w:rPr>
          <w:rFonts w:ascii="Palatino Linotype" w:hAnsi="Palatino Linotype"/>
        </w:rPr>
        <w:t xml:space="preserve">, which </w:t>
      </w:r>
      <w:r w:rsidRPr="00251AAB" w:rsidR="6E92FDEC">
        <w:rPr>
          <w:rFonts w:ascii="Palatino Linotype" w:hAnsi="Palatino Linotype"/>
        </w:rPr>
        <w:t>SPD</w:t>
      </w:r>
      <w:r w:rsidRPr="00251AAB" w:rsidR="79203650">
        <w:rPr>
          <w:rFonts w:ascii="Palatino Linotype" w:hAnsi="Palatino Linotype"/>
        </w:rPr>
        <w:t xml:space="preserve"> </w:t>
      </w:r>
      <w:r w:rsidRPr="00251AAB">
        <w:rPr>
          <w:rFonts w:ascii="Palatino Linotype" w:hAnsi="Palatino Linotype"/>
        </w:rPr>
        <w:t>notes the</w:t>
      </w:r>
      <w:r w:rsidRPr="00251AAB" w:rsidR="00933859">
        <w:rPr>
          <w:rFonts w:ascii="Palatino Linotype" w:hAnsi="Palatino Linotype"/>
        </w:rPr>
        <w:t xml:space="preserve"> latest </w:t>
      </w:r>
      <w:r w:rsidRPr="00251AAB" w:rsidR="00FE1096">
        <w:rPr>
          <w:rFonts w:ascii="Palatino Linotype" w:hAnsi="Palatino Linotype"/>
        </w:rPr>
        <w:t xml:space="preserve">research </w:t>
      </w:r>
      <w:r w:rsidRPr="00251AAB" w:rsidR="00933859">
        <w:rPr>
          <w:rFonts w:ascii="Palatino Linotype" w:hAnsi="Palatino Linotype"/>
        </w:rPr>
        <w:t xml:space="preserve">results </w:t>
      </w:r>
      <w:r w:rsidRPr="00251AAB" w:rsidR="00AD6C87">
        <w:rPr>
          <w:rFonts w:ascii="Palatino Linotype" w:hAnsi="Palatino Linotype"/>
        </w:rPr>
        <w:t xml:space="preserve">for </w:t>
      </w:r>
      <w:r w:rsidRPr="00251AAB" w:rsidR="43DDAB00">
        <w:rPr>
          <w:rFonts w:ascii="Palatino Linotype" w:hAnsi="Palatino Linotype"/>
        </w:rPr>
        <w:t>SDG&amp;E</w:t>
      </w:r>
      <w:r w:rsidRPr="00251AAB" w:rsidR="00AD6C87">
        <w:rPr>
          <w:rFonts w:ascii="Palatino Linotype" w:hAnsi="Palatino Linotype"/>
        </w:rPr>
        <w:t>’</w:t>
      </w:r>
      <w:r w:rsidRPr="00251AAB" w:rsidR="43DDAB00">
        <w:rPr>
          <w:rFonts w:ascii="Palatino Linotype" w:hAnsi="Palatino Linotype"/>
        </w:rPr>
        <w:t>s</w:t>
      </w:r>
      <w:r w:rsidRPr="00251AAB" w:rsidR="00933859">
        <w:rPr>
          <w:rFonts w:ascii="Palatino Linotype" w:hAnsi="Palatino Linotype"/>
        </w:rPr>
        <w:t xml:space="preserve"> </w:t>
      </w:r>
      <w:r w:rsidRPr="00251AAB" w:rsidR="003D2327">
        <w:rPr>
          <w:rFonts w:ascii="Palatino Linotype" w:hAnsi="Palatino Linotype"/>
        </w:rPr>
        <w:t>A</w:t>
      </w:r>
      <w:r w:rsidRPr="00251AAB" w:rsidR="688E7C7B">
        <w:rPr>
          <w:rFonts w:ascii="Palatino Linotype" w:hAnsi="Palatino Linotype"/>
        </w:rPr>
        <w:t>MM</w:t>
      </w:r>
      <w:r w:rsidRPr="00251AAB">
        <w:rPr>
          <w:rFonts w:ascii="Palatino Linotype" w:hAnsi="Palatino Linotype"/>
        </w:rPr>
        <w:t xml:space="preserve"> program</w:t>
      </w:r>
      <w:r w:rsidRPr="00251AAB" w:rsidR="003D2327">
        <w:rPr>
          <w:rFonts w:ascii="Palatino Linotype" w:hAnsi="Palatino Linotype"/>
        </w:rPr>
        <w:t xml:space="preserve"> </w:t>
      </w:r>
      <w:r w:rsidRPr="00251AAB" w:rsidR="00933859">
        <w:rPr>
          <w:rFonts w:ascii="Palatino Linotype" w:hAnsi="Palatino Linotype"/>
        </w:rPr>
        <w:t>found</w:t>
      </w:r>
      <w:r w:rsidRPr="00251AAB" w:rsidR="00FE1096">
        <w:rPr>
          <w:rFonts w:ascii="Palatino Linotype" w:hAnsi="Palatino Linotype"/>
        </w:rPr>
        <w:t xml:space="preserve"> </w:t>
      </w:r>
      <w:r w:rsidRPr="00251AAB" w:rsidR="00933859">
        <w:rPr>
          <w:rFonts w:ascii="Palatino Linotype" w:hAnsi="Palatino Linotype"/>
        </w:rPr>
        <w:t xml:space="preserve">to be </w:t>
      </w:r>
      <w:r w:rsidRPr="00251AAB" w:rsidR="003D2327">
        <w:rPr>
          <w:rFonts w:ascii="Palatino Linotype" w:hAnsi="Palatino Linotype"/>
        </w:rPr>
        <w:t xml:space="preserve">the most cost-effective of </w:t>
      </w:r>
      <w:r w:rsidRPr="00251AAB">
        <w:rPr>
          <w:rFonts w:ascii="Palatino Linotype" w:hAnsi="Palatino Linotype"/>
        </w:rPr>
        <w:t>their</w:t>
      </w:r>
      <w:r w:rsidRPr="00251AAB" w:rsidR="003D2327">
        <w:rPr>
          <w:rFonts w:ascii="Palatino Linotype" w:hAnsi="Palatino Linotype"/>
        </w:rPr>
        <w:t xml:space="preserve"> programs</w:t>
      </w:r>
      <w:r w:rsidRPr="00251AAB" w:rsidR="48DCA27D">
        <w:rPr>
          <w:rFonts w:ascii="Palatino Linotype" w:hAnsi="Palatino Linotype"/>
        </w:rPr>
        <w:t xml:space="preserve">. </w:t>
      </w:r>
      <w:r w:rsidRPr="00251AAB" w:rsidR="00A85E50">
        <w:rPr>
          <w:rFonts w:ascii="Palatino Linotype" w:hAnsi="Palatino Linotype" w:eastAsia="Calibri" w:cs="Arial"/>
          <w:kern w:val="0"/>
          <w14:ligatures w14:val="none"/>
        </w:rPr>
        <w:t>However,</w:t>
      </w:r>
      <w:r w:rsidRPr="00251AAB" w:rsidR="4C5B722A">
        <w:rPr>
          <w:rFonts w:ascii="Palatino Linotype" w:hAnsi="Palatino Linotype" w:eastAsia="Calibri" w:cs="Arial"/>
        </w:rPr>
        <w:t xml:space="preserve"> AMM is not cost-effective</w:t>
      </w:r>
      <w:r w:rsidRPr="00251AAB" w:rsidR="00A85E50">
        <w:rPr>
          <w:rFonts w:ascii="Palatino Linotype" w:hAnsi="Palatino Linotype" w:eastAsia="Calibri" w:cs="Arial"/>
          <w:kern w:val="0"/>
          <w14:ligatures w14:val="none"/>
        </w:rPr>
        <w:t xml:space="preserve"> </w:t>
      </w:r>
      <w:r w:rsidRPr="00251AAB" w:rsidR="005D72FF">
        <w:rPr>
          <w:rFonts w:ascii="Palatino Linotype" w:hAnsi="Palatino Linotype" w:eastAsia="Calibri" w:cs="Arial"/>
        </w:rPr>
        <w:t xml:space="preserve">when considering only the </w:t>
      </w:r>
      <w:r w:rsidRPr="00251AAB" w:rsidR="009A7C67">
        <w:rPr>
          <w:rFonts w:ascii="Palatino Linotype" w:hAnsi="Palatino Linotype" w:eastAsia="Calibri" w:cs="Arial"/>
        </w:rPr>
        <w:lastRenderedPageBreak/>
        <w:t xml:space="preserve">emission reductions </w:t>
      </w:r>
      <w:r w:rsidRPr="00251AAB" w:rsidR="00C51E1F">
        <w:rPr>
          <w:rFonts w:ascii="Palatino Linotype" w:hAnsi="Palatino Linotype" w:eastAsia="Calibri" w:cs="Arial"/>
        </w:rPr>
        <w:t>on the utility’s side of the system</w:t>
      </w:r>
      <w:r w:rsidRPr="00251AAB" w:rsidR="00F8624A">
        <w:rPr>
          <w:rFonts w:ascii="Palatino Linotype" w:hAnsi="Palatino Linotype" w:eastAsia="Calibri" w:cs="Arial"/>
        </w:rPr>
        <w:t xml:space="preserve">, </w:t>
      </w:r>
      <w:r w:rsidRPr="00251AAB" w:rsidR="00B47CE9">
        <w:rPr>
          <w:rFonts w:ascii="Palatino Linotype" w:hAnsi="Palatino Linotype" w:eastAsia="Calibri" w:cs="Arial"/>
        </w:rPr>
        <w:t xml:space="preserve">as </w:t>
      </w:r>
      <w:r w:rsidRPr="00251AAB" w:rsidR="00A85E50">
        <w:rPr>
          <w:rFonts w:ascii="Palatino Linotype" w:hAnsi="Palatino Linotype" w:eastAsia="Calibri" w:cs="Arial"/>
          <w:kern w:val="0"/>
          <w14:ligatures w14:val="none"/>
        </w:rPr>
        <w:t>specified in Public Utilities Code section 975</w:t>
      </w:r>
      <w:r w:rsidRPr="00251AAB" w:rsidR="6BD05A67">
        <w:rPr>
          <w:rFonts w:ascii="Palatino Linotype" w:hAnsi="Palatino Linotype" w:eastAsia="Calibri" w:cs="Arial"/>
        </w:rPr>
        <w:t>.</w:t>
      </w:r>
      <w:r w:rsidRPr="00251AAB" w:rsidR="00A85E50">
        <w:rPr>
          <w:rFonts w:ascii="Palatino Linotype" w:hAnsi="Palatino Linotype" w:eastAsia="Calibri" w:cs="Arial"/>
          <w:kern w:val="0"/>
          <w:vertAlign w:val="superscript"/>
          <w14:ligatures w14:val="none"/>
        </w:rPr>
        <w:footnoteReference w:id="28"/>
      </w:r>
      <w:r w:rsidRPr="00251AAB" w:rsidR="00A85E50">
        <w:rPr>
          <w:rFonts w:ascii="Palatino Linotype" w:hAnsi="Palatino Linotype" w:eastAsia="Calibri" w:cs="Arial"/>
          <w:kern w:val="0"/>
          <w14:ligatures w14:val="none"/>
        </w:rPr>
        <w:t xml:space="preserve"> </w:t>
      </w:r>
      <w:r w:rsidRPr="00251AAB" w:rsidR="7157DA86">
        <w:rPr>
          <w:rFonts w:ascii="Palatino Linotype" w:hAnsi="Palatino Linotype" w:eastAsia="Calibri" w:cs="Arial"/>
        </w:rPr>
        <w:t>T</w:t>
      </w:r>
      <w:r w:rsidRPr="00251AAB" w:rsidR="00B47CE9">
        <w:rPr>
          <w:rFonts w:ascii="Palatino Linotype" w:hAnsi="Palatino Linotype" w:eastAsia="Calibri" w:cs="Arial"/>
        </w:rPr>
        <w:t xml:space="preserve">he </w:t>
      </w:r>
      <w:r w:rsidRPr="00251AAB" w:rsidR="009A29ED">
        <w:rPr>
          <w:rFonts w:ascii="Palatino Linotype" w:hAnsi="Palatino Linotype" w:eastAsia="Calibri" w:cs="Arial"/>
        </w:rPr>
        <w:t>s</w:t>
      </w:r>
      <w:r w:rsidRPr="00251AAB" w:rsidR="00AC180F">
        <w:rPr>
          <w:rFonts w:ascii="Palatino Linotype" w:hAnsi="Palatino Linotype" w:eastAsia="Calibri" w:cs="Arial"/>
        </w:rPr>
        <w:t>tandard cost-effectiveness of AMM</w:t>
      </w:r>
      <w:r w:rsidRPr="00251AAB" w:rsidR="006E221B">
        <w:rPr>
          <w:rFonts w:ascii="Palatino Linotype" w:hAnsi="Palatino Linotype" w:eastAsia="Calibri" w:cs="Arial"/>
        </w:rPr>
        <w:t xml:space="preserve"> is $3</w:t>
      </w:r>
      <w:r w:rsidRPr="00251AAB" w:rsidR="00C10A63">
        <w:rPr>
          <w:rFonts w:ascii="Palatino Linotype" w:hAnsi="Palatino Linotype" w:eastAsia="Calibri" w:cs="Arial"/>
        </w:rPr>
        <w:t>39</w:t>
      </w:r>
      <w:r w:rsidRPr="00251AAB" w:rsidR="00ED3681">
        <w:rPr>
          <w:rFonts w:ascii="Palatino Linotype" w:hAnsi="Palatino Linotype" w:eastAsia="Calibri" w:cs="Arial"/>
        </w:rPr>
        <w:t>/MCF</w:t>
      </w:r>
      <w:r w:rsidRPr="00251AAB" w:rsidR="00671985">
        <w:rPr>
          <w:rFonts w:ascii="Palatino Linotype" w:hAnsi="Palatino Linotype" w:eastAsia="Calibri" w:cs="Arial"/>
        </w:rPr>
        <w:t>,</w:t>
      </w:r>
      <w:r w:rsidRPr="00251AAB" w:rsidR="00F6142B">
        <w:rPr>
          <w:rFonts w:ascii="Palatino Linotype" w:hAnsi="Palatino Linotype" w:eastAsia="Calibri" w:cs="Arial"/>
        </w:rPr>
        <w:t xml:space="preserve"> which far exceeds the </w:t>
      </w:r>
      <w:r w:rsidRPr="00251AAB" w:rsidR="44B46185">
        <w:rPr>
          <w:rFonts w:ascii="Palatino Linotype" w:hAnsi="Palatino Linotype" w:eastAsia="Calibri" w:cs="Arial"/>
        </w:rPr>
        <w:t>break</w:t>
      </w:r>
      <w:r w:rsidRPr="00251AAB" w:rsidR="00CB15CF">
        <w:rPr>
          <w:rFonts w:ascii="Palatino Linotype" w:hAnsi="Palatino Linotype" w:eastAsia="Calibri" w:cs="Arial"/>
        </w:rPr>
        <w:t>-</w:t>
      </w:r>
      <w:r w:rsidRPr="00251AAB" w:rsidR="44B46185">
        <w:rPr>
          <w:rFonts w:ascii="Palatino Linotype" w:hAnsi="Palatino Linotype" w:eastAsia="Calibri" w:cs="Arial"/>
        </w:rPr>
        <w:t>even</w:t>
      </w:r>
      <w:r w:rsidRPr="00251AAB" w:rsidR="007102BA">
        <w:rPr>
          <w:rFonts w:ascii="Palatino Linotype" w:hAnsi="Palatino Linotype" w:eastAsia="Calibri" w:cs="Arial"/>
        </w:rPr>
        <w:t xml:space="preserve"> </w:t>
      </w:r>
      <w:r w:rsidRPr="00251AAB" w:rsidR="00C90F5C">
        <w:rPr>
          <w:rFonts w:ascii="Palatino Linotype" w:hAnsi="Palatino Linotype" w:eastAsia="Calibri" w:cs="Arial"/>
        </w:rPr>
        <w:t>value</w:t>
      </w:r>
      <w:r w:rsidRPr="00251AAB" w:rsidR="004C505C">
        <w:rPr>
          <w:rFonts w:ascii="Palatino Linotype" w:hAnsi="Palatino Linotype" w:eastAsia="Calibri" w:cs="Arial"/>
        </w:rPr>
        <w:t xml:space="preserve"> </w:t>
      </w:r>
      <w:r w:rsidRPr="00251AAB" w:rsidR="007102BA">
        <w:rPr>
          <w:rFonts w:ascii="Palatino Linotype" w:hAnsi="Palatino Linotype" w:eastAsia="Calibri" w:cs="Arial"/>
        </w:rPr>
        <w:t>of $</w:t>
      </w:r>
      <w:r w:rsidRPr="00251AAB" w:rsidR="004C505C">
        <w:rPr>
          <w:rFonts w:ascii="Palatino Linotype" w:hAnsi="Palatino Linotype" w:eastAsia="Calibri" w:cs="Arial"/>
        </w:rPr>
        <w:t>26.88/MCF</w:t>
      </w:r>
      <w:r w:rsidRPr="00251AAB" w:rsidR="007971E9">
        <w:rPr>
          <w:rFonts w:ascii="Palatino Linotype" w:hAnsi="Palatino Linotype" w:eastAsia="Calibri" w:cs="Arial"/>
        </w:rPr>
        <w:t>.</w:t>
      </w:r>
      <w:r w:rsidRPr="00251AAB" w:rsidDel="003558A8" w:rsidR="00A85E50">
        <w:rPr>
          <w:rFonts w:ascii="Palatino Linotype" w:hAnsi="Palatino Linotype" w:eastAsia="Calibri" w:cs="Arial"/>
        </w:rPr>
        <w:t xml:space="preserve"> </w:t>
      </w:r>
    </w:p>
    <w:p w:rsidRPr="00251AAB" w:rsidR="00796E02" w:rsidP="00A1101E" w:rsidRDefault="00796E02" w14:paraId="4664C8F3" w14:textId="77777777">
      <w:pPr>
        <w:spacing w:after="0" w:line="240" w:lineRule="auto"/>
        <w:rPr>
          <w:rFonts w:ascii="Palatino Linotype" w:hAnsi="Palatino Linotype" w:eastAsia="Calibri" w:cs="Arial"/>
        </w:rPr>
      </w:pPr>
    </w:p>
    <w:p w:rsidRPr="00251AAB" w:rsidR="002B007D" w:rsidP="00A1101E" w:rsidRDefault="00A85E50" w14:paraId="064A6AA3" w14:textId="081B5B40">
      <w:pPr>
        <w:spacing w:after="0" w:line="240" w:lineRule="auto"/>
        <w:rPr>
          <w:rFonts w:ascii="Palatino Linotype" w:hAnsi="Palatino Linotype"/>
        </w:rPr>
      </w:pPr>
      <w:r w:rsidRPr="00251AAB">
        <w:rPr>
          <w:rFonts w:ascii="Palatino Linotype" w:hAnsi="Palatino Linotype" w:eastAsia="Calibri" w:cs="Arial"/>
          <w:kern w:val="0"/>
          <w14:ligatures w14:val="none"/>
        </w:rPr>
        <w:t>We acknowledge that the cost effectiveness increases substantially if leaks found on the customer side are counted</w:t>
      </w:r>
      <w:r w:rsidRPr="00251AAB" w:rsidR="001B0E3E">
        <w:rPr>
          <w:rFonts w:ascii="Palatino Linotype" w:hAnsi="Palatino Linotype" w:eastAsia="Calibri" w:cs="Arial"/>
        </w:rPr>
        <w:t xml:space="preserve">. </w:t>
      </w:r>
      <w:r w:rsidRPr="00251AAB" w:rsidR="00E31AA6">
        <w:rPr>
          <w:rFonts w:ascii="Palatino Linotype" w:hAnsi="Palatino Linotype" w:eastAsia="Calibri" w:cs="Arial"/>
        </w:rPr>
        <w:t>Based on the</w:t>
      </w:r>
      <w:r w:rsidRPr="00251AAB" w:rsidR="00612017">
        <w:rPr>
          <w:rFonts w:ascii="Palatino Linotype" w:hAnsi="Palatino Linotype" w:eastAsia="Calibri" w:cs="Arial"/>
        </w:rPr>
        <w:t xml:space="preserve"> SDG&amp;E study</w:t>
      </w:r>
      <w:r w:rsidRPr="00251AAB">
        <w:rPr>
          <w:rFonts w:ascii="Palatino Linotype" w:hAnsi="Palatino Linotype" w:eastAsia="Calibri" w:cs="Arial"/>
          <w:kern w:val="0"/>
          <w14:ligatures w14:val="none"/>
        </w:rPr>
        <w:t xml:space="preserve"> approximately </w:t>
      </w:r>
      <w:r w:rsidRPr="00251AAB" w:rsidR="008B2016">
        <w:rPr>
          <w:rFonts w:ascii="Palatino Linotype" w:hAnsi="Palatino Linotype" w:eastAsia="Calibri" w:cs="Arial"/>
          <w:kern w:val="0"/>
          <w14:ligatures w14:val="none"/>
        </w:rPr>
        <w:t xml:space="preserve">90 </w:t>
      </w:r>
      <w:r w:rsidRPr="00251AAB">
        <w:rPr>
          <w:rFonts w:ascii="Palatino Linotype" w:hAnsi="Palatino Linotype" w:eastAsia="Calibri" w:cs="Arial"/>
          <w:kern w:val="0"/>
          <w14:ligatures w14:val="none"/>
        </w:rPr>
        <w:t xml:space="preserve">percent of the emissions found through </w:t>
      </w:r>
      <w:r w:rsidRPr="00251AAB" w:rsidR="00066920">
        <w:rPr>
          <w:rFonts w:ascii="Palatino Linotype" w:hAnsi="Palatino Linotype" w:eastAsia="Calibri" w:cs="Arial"/>
        </w:rPr>
        <w:t>AMM</w:t>
      </w:r>
      <w:r w:rsidRPr="00251AAB">
        <w:rPr>
          <w:rFonts w:ascii="Palatino Linotype" w:hAnsi="Palatino Linotype" w:eastAsia="Calibri" w:cs="Arial"/>
          <w:kern w:val="0"/>
          <w14:ligatures w14:val="none"/>
        </w:rPr>
        <w:t xml:space="preserve"> are on the customers’ side, including in disadvantaged communities.</w:t>
      </w:r>
      <w:r w:rsidRPr="00251AAB">
        <w:rPr>
          <w:rFonts w:ascii="Palatino Linotype" w:hAnsi="Palatino Linotype" w:eastAsia="Calibri" w:cs="Arial"/>
        </w:rPr>
        <w:t xml:space="preserve"> </w:t>
      </w:r>
      <w:r w:rsidRPr="00251AAB" w:rsidR="68202783">
        <w:rPr>
          <w:rFonts w:ascii="Palatino Linotype" w:hAnsi="Palatino Linotype" w:eastAsia="Calibri" w:cs="Arial"/>
        </w:rPr>
        <w:t xml:space="preserve">If </w:t>
      </w:r>
      <w:r w:rsidRPr="00251AAB" w:rsidR="000E49F2">
        <w:rPr>
          <w:rFonts w:ascii="Palatino Linotype" w:hAnsi="Palatino Linotype" w:eastAsia="Calibri" w:cs="Arial"/>
        </w:rPr>
        <w:t>all emissions were permissibly counted in evaluating</w:t>
      </w:r>
      <w:r w:rsidRPr="00251AAB" w:rsidR="3D1049C1">
        <w:rPr>
          <w:rFonts w:ascii="Palatino Linotype" w:hAnsi="Palatino Linotype"/>
        </w:rPr>
        <w:t xml:space="preserve"> cost-effectiveness</w:t>
      </w:r>
      <w:r w:rsidRPr="00251AAB" w:rsidR="00E66639">
        <w:rPr>
          <w:rFonts w:ascii="Palatino Linotype" w:hAnsi="Palatino Linotype"/>
        </w:rPr>
        <w:t>,</w:t>
      </w:r>
      <w:r w:rsidRPr="00251AAB" w:rsidR="00F66931">
        <w:rPr>
          <w:rStyle w:val="FootnoteReference"/>
          <w:rFonts w:ascii="Palatino Linotype" w:hAnsi="Palatino Linotype"/>
        </w:rPr>
        <w:footnoteReference w:id="29"/>
      </w:r>
      <w:r w:rsidRPr="00251AAB" w:rsidR="3D1049C1">
        <w:rPr>
          <w:rFonts w:ascii="Palatino Linotype" w:hAnsi="Palatino Linotype"/>
        </w:rPr>
        <w:t xml:space="preserve"> </w:t>
      </w:r>
      <w:r w:rsidRPr="00251AAB" w:rsidR="009C69F9">
        <w:rPr>
          <w:rFonts w:ascii="Palatino Linotype" w:hAnsi="Palatino Linotype"/>
        </w:rPr>
        <w:t>AMM</w:t>
      </w:r>
      <w:r w:rsidRPr="00251AAB" w:rsidR="0081635D">
        <w:rPr>
          <w:rFonts w:ascii="Palatino Linotype" w:hAnsi="Palatino Linotype"/>
        </w:rPr>
        <w:t xml:space="preserve"> would achieve a </w:t>
      </w:r>
      <w:r w:rsidRPr="00251AAB" w:rsidR="00757A19">
        <w:rPr>
          <w:rFonts w:ascii="Palatino Linotype" w:hAnsi="Palatino Linotype"/>
        </w:rPr>
        <w:t>net cost-effectiveness</w:t>
      </w:r>
      <w:r w:rsidRPr="00251AAB" w:rsidR="00E2302E">
        <w:rPr>
          <w:rFonts w:ascii="Palatino Linotype" w:hAnsi="Palatino Linotype"/>
        </w:rPr>
        <w:t xml:space="preserve"> </w:t>
      </w:r>
      <w:r w:rsidRPr="00251AAB" w:rsidR="3D1049C1">
        <w:rPr>
          <w:rFonts w:ascii="Palatino Linotype" w:hAnsi="Palatino Linotype"/>
        </w:rPr>
        <w:t>of $5/MCF (which is close to the $0/MCF break-even point for net cost-effectiveness).</w:t>
      </w:r>
      <w:r w:rsidRPr="00251AAB" w:rsidR="00F66931">
        <w:rPr>
          <w:rStyle w:val="FootnoteReference"/>
          <w:rFonts w:ascii="Palatino Linotype" w:hAnsi="Palatino Linotype"/>
        </w:rPr>
        <w:footnoteReference w:id="30"/>
      </w:r>
      <w:r w:rsidRPr="00251AAB" w:rsidR="3D1049C1">
        <w:rPr>
          <w:rFonts w:ascii="Palatino Linotype" w:hAnsi="Palatino Linotype" w:eastAsia="Calibri" w:cs="Arial"/>
        </w:rPr>
        <w:t xml:space="preserve"> </w:t>
      </w:r>
      <w:r w:rsidRPr="00251AAB" w:rsidR="3D1049C1">
        <w:rPr>
          <w:rFonts w:ascii="Palatino Linotype" w:hAnsi="Palatino Linotype" w:eastAsia="Calibri" w:cs="Arial"/>
          <w:kern w:val="0"/>
          <w14:ligatures w14:val="none"/>
        </w:rPr>
        <w:t xml:space="preserve"> </w:t>
      </w:r>
      <w:bookmarkEnd w:id="2"/>
      <w:bookmarkEnd w:id="3"/>
    </w:p>
    <w:p w:rsidRPr="00251AAB" w:rsidR="004271A3" w:rsidP="00841C19" w:rsidRDefault="004271A3" w14:paraId="6FE183A2" w14:textId="77777777">
      <w:pPr>
        <w:spacing w:line="240" w:lineRule="auto"/>
        <w:rPr>
          <w:rFonts w:ascii="Palatino Linotype" w:hAnsi="Palatino Linotype"/>
        </w:rPr>
      </w:pPr>
    </w:p>
    <w:p w:rsidRPr="00251AAB" w:rsidR="003D2327" w:rsidP="003D2327" w:rsidRDefault="004C1477" w14:paraId="1E5319DB" w14:textId="3DEB350C">
      <w:pPr>
        <w:spacing w:line="240" w:lineRule="auto"/>
        <w:rPr>
          <w:rFonts w:ascii="Palatino Linotype" w:hAnsi="Palatino Linotype"/>
        </w:rPr>
      </w:pPr>
      <w:r w:rsidRPr="00251AAB">
        <w:rPr>
          <w:rFonts w:ascii="Palatino Linotype" w:hAnsi="Palatino Linotype"/>
        </w:rPr>
        <w:t>As shown and further described in Attachment A,</w:t>
      </w:r>
      <w:r w:rsidRPr="00251AAB" w:rsidR="008C0393">
        <w:rPr>
          <w:rFonts w:ascii="Palatino Linotype" w:hAnsi="Palatino Linotype"/>
        </w:rPr>
        <w:t xml:space="preserve"> </w:t>
      </w:r>
      <w:r w:rsidRPr="00251AAB" w:rsidR="00450331">
        <w:rPr>
          <w:rFonts w:ascii="Palatino Linotype" w:hAnsi="Palatino Linotype"/>
        </w:rPr>
        <w:t xml:space="preserve">SPD </w:t>
      </w:r>
      <w:r w:rsidRPr="00251AAB" w:rsidR="00855281">
        <w:rPr>
          <w:rFonts w:ascii="Palatino Linotype" w:hAnsi="Palatino Linotype"/>
        </w:rPr>
        <w:t xml:space="preserve">approves all chapters, except for Chapter 1 assuming that Chapter 14 is implemented. If Chapter 14 is not operational, SPD approves continuation of Chapter 1. </w:t>
      </w:r>
      <w:r w:rsidRPr="00251AAB" w:rsidR="003D2327">
        <w:rPr>
          <w:rFonts w:ascii="Palatino Linotype" w:hAnsi="Palatino Linotype"/>
        </w:rPr>
        <w:t xml:space="preserve">SPD also </w:t>
      </w:r>
      <w:r w:rsidRPr="00251AAB" w:rsidR="00D05B9B">
        <w:rPr>
          <w:rFonts w:ascii="Palatino Linotype" w:hAnsi="Palatino Linotype"/>
        </w:rPr>
        <w:t xml:space="preserve">recommends approval of </w:t>
      </w:r>
      <w:r w:rsidR="00376FAB">
        <w:rPr>
          <w:rFonts w:ascii="Palatino Linotype" w:hAnsi="Palatino Linotype"/>
        </w:rPr>
        <w:br/>
      </w:r>
      <w:r w:rsidRPr="00251AAB" w:rsidR="003D2327">
        <w:rPr>
          <w:rFonts w:ascii="Palatino Linotype" w:hAnsi="Palatino Linotype"/>
        </w:rPr>
        <w:t xml:space="preserve">SDG&amp;E’s </w:t>
      </w:r>
      <w:r w:rsidRPr="00251AAB" w:rsidR="007254A6">
        <w:rPr>
          <w:rFonts w:ascii="Palatino Linotype" w:hAnsi="Palatino Linotype"/>
        </w:rPr>
        <w:t xml:space="preserve">six </w:t>
      </w:r>
      <w:r w:rsidRPr="00251AAB" w:rsidR="003D2327">
        <w:rPr>
          <w:rFonts w:ascii="Palatino Linotype" w:hAnsi="Palatino Linotype"/>
        </w:rPr>
        <w:t>RD&amp;D projects.</w:t>
      </w:r>
    </w:p>
    <w:p w:rsidRPr="00251AAB" w:rsidR="009B037F" w:rsidP="009B037F" w:rsidRDefault="009B037F" w14:paraId="3EF9DE63" w14:textId="3032C13B">
      <w:pPr>
        <w:keepNext/>
        <w:keepLines/>
        <w:spacing w:before="40" w:after="0" w:line="259" w:lineRule="auto"/>
        <w:outlineLvl w:val="1"/>
        <w:rPr>
          <w:rFonts w:ascii="Palatino Linotype" w:hAnsi="Palatino Linotype" w:eastAsia="Yu Gothic Light" w:cs="Times New Roman"/>
          <w:color w:val="2F5496"/>
          <w:kern w:val="0"/>
          <w14:ligatures w14:val="none"/>
        </w:rPr>
      </w:pPr>
      <w:r w:rsidRPr="00251AAB">
        <w:rPr>
          <w:rFonts w:ascii="Palatino Linotype" w:hAnsi="Palatino Linotype" w:eastAsia="Yu Gothic Light" w:cs="Times New Roman"/>
          <w:color w:val="2F5496"/>
          <w:kern w:val="0"/>
          <w14:ligatures w14:val="none"/>
        </w:rPr>
        <w:t>Ratepayer Impacts</w:t>
      </w:r>
    </w:p>
    <w:p w:rsidRPr="00251AAB" w:rsidR="009B037F" w:rsidP="009B037F" w:rsidRDefault="00A8505C" w14:paraId="12D55150" w14:textId="68A7DA6A">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SPD</w:t>
      </w:r>
      <w:r w:rsidRPr="00251AAB" w:rsidR="009141A2">
        <w:rPr>
          <w:rFonts w:ascii="Palatino Linotype" w:hAnsi="Palatino Linotype" w:eastAsia="Calibri" w:cs="Arial"/>
          <w:kern w:val="0"/>
          <w14:ligatures w14:val="none"/>
        </w:rPr>
        <w:t xml:space="preserve">’s review of the SDG&amp;E’s 2024 Compliance Plan </w:t>
      </w:r>
      <w:r w:rsidRPr="00251AAB" w:rsidR="00A36C2D">
        <w:rPr>
          <w:rFonts w:ascii="Palatino Linotype" w:hAnsi="Palatino Linotype" w:eastAsia="Calibri" w:cs="Arial"/>
          <w:kern w:val="0"/>
          <w14:ligatures w14:val="none"/>
        </w:rPr>
        <w:t>indicates</w:t>
      </w:r>
      <w:r w:rsidRPr="00251AAB" w:rsidR="009B037F">
        <w:rPr>
          <w:rFonts w:ascii="Palatino Linotype" w:hAnsi="Palatino Linotype" w:eastAsia="Calibri" w:cs="Arial"/>
          <w:kern w:val="0"/>
          <w14:ligatures w14:val="none"/>
        </w:rPr>
        <w:t xml:space="preserve"> that </w:t>
      </w:r>
      <w:r w:rsidRPr="00251AAB" w:rsidR="00A36C2D">
        <w:rPr>
          <w:rFonts w:ascii="Palatino Linotype" w:hAnsi="Palatino Linotype" w:eastAsia="Calibri" w:cs="Arial"/>
          <w:kern w:val="0"/>
          <w14:ligatures w14:val="none"/>
        </w:rPr>
        <w:t xml:space="preserve">none </w:t>
      </w:r>
      <w:r w:rsidRPr="00251AAB" w:rsidR="009B037F">
        <w:rPr>
          <w:rFonts w:ascii="Palatino Linotype" w:hAnsi="Palatino Linotype" w:eastAsia="Calibri" w:cs="Arial"/>
          <w:kern w:val="0"/>
          <w14:ligatures w14:val="none"/>
        </w:rPr>
        <w:t xml:space="preserve">of </w:t>
      </w:r>
      <w:r w:rsidR="00376FAB">
        <w:rPr>
          <w:rFonts w:ascii="Palatino Linotype" w:hAnsi="Palatino Linotype" w:eastAsia="Calibri" w:cs="Arial"/>
          <w:kern w:val="0"/>
          <w14:ligatures w14:val="none"/>
        </w:rPr>
        <w:br/>
      </w:r>
      <w:r w:rsidRPr="00251AAB" w:rsidR="009B037F">
        <w:rPr>
          <w:rFonts w:ascii="Palatino Linotype" w:hAnsi="Palatino Linotype" w:eastAsia="Calibri" w:cs="Arial"/>
          <w:kern w:val="0"/>
          <w14:ligatures w14:val="none"/>
        </w:rPr>
        <w:t xml:space="preserve">SDG&amp;E’s Best Practices are cost-effective. SB 1371 states that the Commission should prioritize affordability considerations and instructs the Commission to approve </w:t>
      </w:r>
      <w:r w:rsidR="00376FAB">
        <w:rPr>
          <w:rFonts w:ascii="Palatino Linotype" w:hAnsi="Palatino Linotype" w:eastAsia="Calibri" w:cs="Arial"/>
          <w:kern w:val="0"/>
          <w14:ligatures w14:val="none"/>
        </w:rPr>
        <w:br/>
      </w:r>
      <w:r w:rsidRPr="00251AAB" w:rsidR="009B037F">
        <w:rPr>
          <w:rFonts w:ascii="Palatino Linotype" w:hAnsi="Palatino Linotype" w:eastAsia="Calibri" w:cs="Arial"/>
          <w:kern w:val="0"/>
          <w14:ligatures w14:val="none"/>
        </w:rPr>
        <w:t>cost-effective emissions reduction measures.</w:t>
      </w:r>
      <w:r w:rsidRPr="00251AAB" w:rsidR="009B037F">
        <w:rPr>
          <w:rFonts w:ascii="Palatino Linotype" w:hAnsi="Palatino Linotype" w:eastAsia="Calibri" w:cs="Arial"/>
          <w:kern w:val="0"/>
          <w:vertAlign w:val="superscript"/>
          <w14:ligatures w14:val="none"/>
        </w:rPr>
        <w:footnoteReference w:id="31"/>
      </w:r>
      <w:r w:rsidRPr="00251AAB" w:rsidR="009B037F">
        <w:rPr>
          <w:rFonts w:ascii="Palatino Linotype" w:hAnsi="Palatino Linotype" w:eastAsia="Calibri" w:cs="Arial"/>
          <w:kern w:val="0"/>
          <w14:ligatures w14:val="none"/>
        </w:rPr>
        <w:t xml:space="preserve"> As noted inD.19-08-020 and the enabling statute, “Affordability must also be at the forefront and a priority as required by SB 1371.”</w:t>
      </w:r>
      <w:r w:rsidRPr="00251AAB" w:rsidR="009B037F">
        <w:rPr>
          <w:rFonts w:ascii="Palatino Linotype" w:hAnsi="Palatino Linotype" w:eastAsia="Calibri" w:cs="Arial"/>
          <w:kern w:val="0"/>
          <w:vertAlign w:val="superscript"/>
          <w14:ligatures w14:val="none"/>
        </w:rPr>
        <w:footnoteReference w:id="32"/>
      </w:r>
      <w:r w:rsidRPr="00251AAB" w:rsidR="009B037F">
        <w:rPr>
          <w:rFonts w:ascii="Palatino Linotype" w:hAnsi="Palatino Linotype" w:eastAsia="Calibri" w:cs="Arial"/>
          <w:kern w:val="0"/>
          <w14:ligatures w14:val="none"/>
        </w:rPr>
        <w:t xml:space="preserve"> Indeed, the Commission must scrutinize every program we authorize for cost-effectiveness. </w:t>
      </w:r>
    </w:p>
    <w:p w:rsidRPr="00251AAB" w:rsidR="009B037F" w:rsidP="009B037F" w:rsidRDefault="009B037F" w14:paraId="1C9D1945" w14:textId="6AD71F25">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 xml:space="preserve">Therefore, we do not approve any of the </w:t>
      </w:r>
      <w:r w:rsidRPr="00251AAB" w:rsidR="00290F86">
        <w:rPr>
          <w:rFonts w:ascii="Palatino Linotype" w:hAnsi="Palatino Linotype" w:eastAsia="Calibri" w:cs="Arial"/>
          <w:kern w:val="0"/>
          <w14:ligatures w14:val="none"/>
        </w:rPr>
        <w:t>ratemaking forecasts for SDG&amp;E’s 2025 and 2026 NGLA Compliance Plan found in Advice Letter 3285-G-A.</w:t>
      </w:r>
      <w:r w:rsidRPr="00251AAB">
        <w:rPr>
          <w:rFonts w:ascii="Palatino Linotype" w:hAnsi="Palatino Linotype" w:eastAsia="Calibri" w:cs="Arial"/>
          <w:kern w:val="0"/>
          <w14:ligatures w14:val="none"/>
        </w:rPr>
        <w:t xml:space="preserve"> </w:t>
      </w:r>
    </w:p>
    <w:p w:rsidRPr="00251AAB" w:rsidR="009B037F" w:rsidP="009B037F" w:rsidRDefault="00290F86" w14:paraId="7A480C74" w14:textId="74DEE593">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SDG&amp;E</w:t>
      </w:r>
      <w:r w:rsidRPr="00251AAB" w:rsidR="009B037F">
        <w:rPr>
          <w:rFonts w:ascii="Palatino Linotype" w:hAnsi="Palatino Linotype" w:eastAsia="Calibri" w:cs="Arial"/>
          <w:kern w:val="0"/>
          <w14:ligatures w14:val="none"/>
        </w:rPr>
        <w:t xml:space="preserve"> may present proposals for measures it wishes to continue in its 2026 GRC filing for Test Year 2028.</w:t>
      </w:r>
    </w:p>
    <w:p w:rsidRPr="00251AAB" w:rsidR="00290F86" w:rsidP="00290F86" w:rsidRDefault="00290F86" w14:paraId="1B332CA2" w14:textId="77777777">
      <w:pPr>
        <w:pStyle w:val="Heading2"/>
        <w:rPr>
          <w:rFonts w:ascii="Palatino Linotype" w:hAnsi="Palatino Linotype"/>
          <w:sz w:val="24"/>
          <w:szCs w:val="24"/>
        </w:rPr>
      </w:pPr>
      <w:r w:rsidRPr="00251AAB">
        <w:rPr>
          <w:rFonts w:ascii="Palatino Linotype" w:hAnsi="Palatino Linotype"/>
          <w:sz w:val="24"/>
          <w:szCs w:val="24"/>
        </w:rPr>
        <w:lastRenderedPageBreak/>
        <w:t>Review of NGLA RD&amp;D Projects</w:t>
      </w:r>
    </w:p>
    <w:p w:rsidRPr="00251AAB" w:rsidR="00290F86" w:rsidP="00290F86" w:rsidRDefault="00290F86" w14:paraId="15440E9B" w14:textId="0A73123E">
      <w:pPr>
        <w:rPr>
          <w:rFonts w:ascii="Palatino Linotype" w:hAnsi="Palatino Linotype"/>
        </w:rPr>
      </w:pPr>
      <w:r w:rsidRPr="00251AAB">
        <w:rPr>
          <w:rFonts w:ascii="Palatino Linotype" w:hAnsi="Palatino Linotype"/>
        </w:rPr>
        <w:t>Due to concerns about</w:t>
      </w:r>
      <w:r w:rsidRPr="00251AAB" w:rsidR="002A22E1">
        <w:rPr>
          <w:rFonts w:ascii="Palatino Linotype" w:hAnsi="Palatino Linotype"/>
        </w:rPr>
        <w:t xml:space="preserve"> ratepayer</w:t>
      </w:r>
      <w:r w:rsidRPr="00251AAB">
        <w:rPr>
          <w:rFonts w:ascii="Palatino Linotype" w:hAnsi="Palatino Linotype"/>
        </w:rPr>
        <w:t xml:space="preserve"> impacts and the fact that other gas RD&amp;D programs already exist, we do not approve continuation of the RD&amp;D projects requested in </w:t>
      </w:r>
      <w:r w:rsidR="00376FAB">
        <w:rPr>
          <w:rFonts w:ascii="Palatino Linotype" w:hAnsi="Palatino Linotype"/>
        </w:rPr>
        <w:br/>
      </w:r>
      <w:r w:rsidRPr="00251AAB">
        <w:rPr>
          <w:rFonts w:ascii="Palatino Linotype" w:hAnsi="Palatino Linotype"/>
        </w:rPr>
        <w:t>AL 3285-G-A, which are forecasted to cost $1.290 million. SDG&amp;E may move the leak abatement RD&amp;D projects it wishes to continue into its broader RD&amp;D program pursuant to PUC 740.1, starting with its filing of the Test Year 2028 GRC.</w:t>
      </w:r>
    </w:p>
    <w:p w:rsidRPr="00251AAB" w:rsidR="00290F86" w:rsidP="00290F86" w:rsidRDefault="00290F86" w14:paraId="6EF11C49" w14:textId="6D931252">
      <w:pPr>
        <w:pStyle w:val="Heading2"/>
        <w:rPr>
          <w:rStyle w:val="Heading2Char"/>
          <w:rFonts w:ascii="Palatino Linotype" w:hAnsi="Palatino Linotype"/>
          <w:sz w:val="24"/>
          <w:szCs w:val="24"/>
        </w:rPr>
      </w:pPr>
      <w:r w:rsidRPr="00251AAB">
        <w:rPr>
          <w:rFonts w:ascii="Palatino Linotype" w:hAnsi="Palatino Linotype"/>
          <w:bCs/>
          <w:sz w:val="24"/>
          <w:szCs w:val="24"/>
        </w:rPr>
        <w:t xml:space="preserve">Review of </w:t>
      </w:r>
      <w:r w:rsidRPr="00251AAB" w:rsidR="00D650D6">
        <w:rPr>
          <w:rFonts w:ascii="Palatino Linotype" w:hAnsi="Palatino Linotype"/>
          <w:bCs/>
          <w:sz w:val="24"/>
          <w:szCs w:val="24"/>
        </w:rPr>
        <w:t>SDG&amp;E’s</w:t>
      </w:r>
      <w:r w:rsidRPr="00251AAB">
        <w:rPr>
          <w:rFonts w:ascii="Palatino Linotype" w:hAnsi="Palatino Linotype"/>
          <w:bCs/>
          <w:sz w:val="24"/>
          <w:szCs w:val="24"/>
        </w:rPr>
        <w:t xml:space="preserve"> Program Administration Forecast for 2025-2026</w:t>
      </w:r>
    </w:p>
    <w:p w:rsidRPr="00251AAB" w:rsidR="00290F86" w:rsidP="00290F86" w:rsidRDefault="00290F86" w14:paraId="32D6FD67" w14:textId="1AE55918">
      <w:pPr>
        <w:rPr>
          <w:rFonts w:ascii="Palatino Linotype" w:hAnsi="Palatino Linotype"/>
        </w:rPr>
      </w:pPr>
      <w:r w:rsidRPr="00251AAB">
        <w:rPr>
          <w:rFonts w:ascii="Palatino Linotype" w:hAnsi="Palatino Linotype"/>
        </w:rPr>
        <w:t xml:space="preserve">Program Administration costs for the </w:t>
      </w:r>
      <w:r w:rsidRPr="00251AAB" w:rsidDel="0023295D">
        <w:rPr>
          <w:rFonts w:ascii="Palatino Linotype" w:hAnsi="Palatino Linotype"/>
        </w:rPr>
        <w:t xml:space="preserve">NGLA program </w:t>
      </w:r>
      <w:r w:rsidRPr="00251AAB">
        <w:rPr>
          <w:rFonts w:ascii="Palatino Linotype" w:hAnsi="Palatino Linotype"/>
        </w:rPr>
        <w:t>include costs for</w:t>
      </w:r>
      <w:r w:rsidRPr="00251AAB" w:rsidDel="0023295D">
        <w:rPr>
          <w:rFonts w:ascii="Palatino Linotype" w:hAnsi="Palatino Linotype"/>
        </w:rPr>
        <w:t xml:space="preserve"> reporting </w:t>
      </w:r>
      <w:r w:rsidRPr="00251AAB">
        <w:rPr>
          <w:rFonts w:ascii="Palatino Linotype" w:hAnsi="Palatino Linotype"/>
        </w:rPr>
        <w:t>the various emission factors</w:t>
      </w:r>
      <w:r w:rsidRPr="00251AAB" w:rsidDel="0023295D">
        <w:rPr>
          <w:rFonts w:ascii="Palatino Linotype" w:hAnsi="Palatino Linotype"/>
        </w:rPr>
        <w:t xml:space="preserve"> and </w:t>
      </w:r>
      <w:r w:rsidRPr="00251AAB">
        <w:rPr>
          <w:rFonts w:ascii="Palatino Linotype" w:hAnsi="Palatino Linotype"/>
        </w:rPr>
        <w:t>their updates for each</w:t>
      </w:r>
      <w:r w:rsidRPr="00251AAB" w:rsidDel="0023295D">
        <w:rPr>
          <w:rFonts w:ascii="Palatino Linotype" w:hAnsi="Palatino Linotype"/>
        </w:rPr>
        <w:t xml:space="preserve"> of the Best Practices </w:t>
      </w:r>
      <w:r w:rsidRPr="00251AAB">
        <w:rPr>
          <w:rFonts w:ascii="Palatino Linotype" w:hAnsi="Palatino Linotype"/>
        </w:rPr>
        <w:t>and RD&amp;D projects.</w:t>
      </w:r>
      <w:r w:rsidRPr="00251AAB" w:rsidDel="0023295D">
        <w:rPr>
          <w:rFonts w:ascii="Palatino Linotype" w:hAnsi="Palatino Linotype"/>
        </w:rPr>
        <w:t xml:space="preserve"> </w:t>
      </w:r>
      <w:r w:rsidRPr="00251AAB">
        <w:rPr>
          <w:rFonts w:ascii="Palatino Linotype" w:hAnsi="Palatino Linotype"/>
        </w:rPr>
        <w:t xml:space="preserve">The total Program Administration forecast for SDG&amp;E’s 2024 Compliance Plan is $428,000. Consistent with D.17-06-015, SDG&amp;E is </w:t>
      </w:r>
      <w:bookmarkStart w:name="_Hlk200193661" w:id="4"/>
      <w:r w:rsidRPr="00251AAB">
        <w:rPr>
          <w:rFonts w:ascii="Palatino Linotype" w:hAnsi="Palatino Linotype"/>
        </w:rPr>
        <w:t xml:space="preserve">authorized to book </w:t>
      </w:r>
      <w:bookmarkEnd w:id="4"/>
      <w:r w:rsidRPr="00251AAB">
        <w:rPr>
          <w:rFonts w:ascii="Palatino Linotype" w:hAnsi="Palatino Linotype"/>
        </w:rPr>
        <w:t>administrative expenses in a memorandum account to be reviewed in a future General Rate Case or other proceeding. These costs are thus not approved for recovery from ratepayers in this Resolution.</w:t>
      </w:r>
    </w:p>
    <w:p w:rsidRPr="00251AAB" w:rsidR="004B030F" w:rsidP="004B030F" w:rsidRDefault="004B030F" w14:paraId="69BB7FD8" w14:textId="77777777">
      <w:pPr>
        <w:pStyle w:val="Heading2"/>
        <w:rPr>
          <w:rFonts w:ascii="Palatino Linotype" w:hAnsi="Palatino Linotype"/>
          <w:sz w:val="24"/>
          <w:szCs w:val="24"/>
        </w:rPr>
      </w:pPr>
      <w:bookmarkStart w:name="_Hlk201662567" w:id="5"/>
      <w:r w:rsidRPr="00251AAB">
        <w:rPr>
          <w:rFonts w:ascii="Palatino Linotype" w:hAnsi="Palatino Linotype"/>
          <w:sz w:val="24"/>
          <w:szCs w:val="24"/>
        </w:rPr>
        <w:t xml:space="preserve">Requested Increase to Capital Revenue Requirement from Prior Compliance Periods </w:t>
      </w:r>
    </w:p>
    <w:p w:rsidRPr="00251AAB" w:rsidR="004B030F" w:rsidP="004B030F" w:rsidRDefault="004B030F" w14:paraId="59247349" w14:textId="1E92A1C6">
      <w:pPr>
        <w:rPr>
          <w:rFonts w:ascii="Palatino Linotype" w:hAnsi="Palatino Linotype"/>
        </w:rPr>
      </w:pPr>
      <w:r w:rsidRPr="00251AAB">
        <w:rPr>
          <w:rFonts w:ascii="Palatino Linotype" w:hAnsi="Palatino Linotype"/>
        </w:rPr>
        <w:t>SDG&amp;E also requests recovery in rates of</w:t>
      </w:r>
      <w:r w:rsidRPr="00251AAB" w:rsidDel="00DC01F3">
        <w:rPr>
          <w:rFonts w:ascii="Palatino Linotype" w:hAnsi="Palatino Linotype"/>
        </w:rPr>
        <w:t xml:space="preserve"> </w:t>
      </w:r>
      <w:r w:rsidRPr="00251AAB">
        <w:rPr>
          <w:rFonts w:ascii="Palatino Linotype" w:hAnsi="Palatino Linotype"/>
        </w:rPr>
        <w:t xml:space="preserve">unrecovered ongoing capital revenue requirement from </w:t>
      </w:r>
      <w:r w:rsidRPr="00251AAB" w:rsidR="006D356A">
        <w:rPr>
          <w:rFonts w:ascii="Palatino Linotype" w:hAnsi="Palatino Linotype"/>
        </w:rPr>
        <w:t xml:space="preserve">their </w:t>
      </w:r>
      <w:r w:rsidRPr="00251AAB">
        <w:rPr>
          <w:rFonts w:ascii="Palatino Linotype" w:hAnsi="Palatino Linotype"/>
        </w:rPr>
        <w:t>prior compliance plan</w:t>
      </w:r>
      <w:r w:rsidRPr="00251AAB" w:rsidR="007D03F3">
        <w:rPr>
          <w:rFonts w:ascii="Palatino Linotype" w:hAnsi="Palatino Linotype"/>
        </w:rPr>
        <w:t>s</w:t>
      </w:r>
      <w:r w:rsidRPr="00251AAB">
        <w:rPr>
          <w:rFonts w:ascii="Palatino Linotype" w:hAnsi="Palatino Linotype"/>
        </w:rPr>
        <w:t xml:space="preserve"> dating back to its initial advice </w:t>
      </w:r>
      <w:r w:rsidRPr="00251AAB" w:rsidR="00B34F7D">
        <w:rPr>
          <w:rFonts w:ascii="Palatino Linotype" w:hAnsi="Palatino Linotype"/>
        </w:rPr>
        <w:t xml:space="preserve">letter </w:t>
      </w:r>
      <w:r w:rsidRPr="00251AAB">
        <w:rPr>
          <w:rFonts w:ascii="Palatino Linotype" w:hAnsi="Palatino Linotype"/>
        </w:rPr>
        <w:t>filed in 2017. S</w:t>
      </w:r>
      <w:r w:rsidRPr="00251AAB" w:rsidR="0021713F">
        <w:rPr>
          <w:rFonts w:ascii="Palatino Linotype" w:hAnsi="Palatino Linotype"/>
        </w:rPr>
        <w:t>DG&amp;E</w:t>
      </w:r>
      <w:r w:rsidRPr="00251AAB">
        <w:rPr>
          <w:rFonts w:ascii="Palatino Linotype" w:hAnsi="Palatino Linotype"/>
        </w:rPr>
        <w:t xml:space="preserve"> explains that this lack of recovery is the result of undercollection of and/or shortfalls to continuing capital revenue requirements associated with completed capital projects approved through prior NGLA compliance plans that were not fully accounted for in rates.</w:t>
      </w:r>
      <w:r w:rsidRPr="00251AAB">
        <w:rPr>
          <w:rStyle w:val="FootnoteReference"/>
          <w:rFonts w:ascii="Palatino Linotype" w:hAnsi="Palatino Linotype"/>
        </w:rPr>
        <w:footnoteReference w:id="33"/>
      </w:r>
      <w:r w:rsidRPr="00251AAB">
        <w:rPr>
          <w:rFonts w:ascii="Palatino Linotype" w:hAnsi="Palatino Linotype"/>
        </w:rPr>
        <w:t xml:space="preserve"> These costs are in addition to the revenue requirement requested for 2025</w:t>
      </w:r>
      <w:r w:rsidRPr="00251AAB" w:rsidR="00FD3C78">
        <w:rPr>
          <w:rFonts w:ascii="Palatino Linotype" w:hAnsi="Palatino Linotype"/>
        </w:rPr>
        <w:t xml:space="preserve"> and </w:t>
      </w:r>
      <w:r w:rsidRPr="00251AAB">
        <w:rPr>
          <w:rFonts w:ascii="Palatino Linotype" w:hAnsi="Palatino Linotype"/>
        </w:rPr>
        <w:t xml:space="preserve">2026 in the 2024 Compliance Plan. </w:t>
      </w:r>
    </w:p>
    <w:p w:rsidRPr="00251AAB" w:rsidR="00712F38" w:rsidP="00712F38" w:rsidRDefault="0021713F" w14:paraId="7F3BA1E9" w14:textId="4B2E166C">
      <w:pPr>
        <w:rPr>
          <w:rFonts w:ascii="Palatino Linotype" w:hAnsi="Palatino Linotype"/>
        </w:rPr>
      </w:pPr>
      <w:r w:rsidRPr="00251AAB">
        <w:rPr>
          <w:rFonts w:ascii="Palatino Linotype" w:hAnsi="Palatino Linotype"/>
        </w:rPr>
        <w:t>SDG&amp;E</w:t>
      </w:r>
      <w:r w:rsidRPr="00251AAB" w:rsidR="004B030F">
        <w:rPr>
          <w:rFonts w:ascii="Palatino Linotype" w:hAnsi="Palatino Linotype"/>
        </w:rPr>
        <w:t xml:space="preserve"> states that </w:t>
      </w:r>
      <w:r w:rsidRPr="00251AAB" w:rsidR="001A6D31">
        <w:rPr>
          <w:rFonts w:ascii="Palatino Linotype" w:hAnsi="Palatino Linotype"/>
        </w:rPr>
        <w:t xml:space="preserve">its </w:t>
      </w:r>
      <w:r w:rsidRPr="00251AAB" w:rsidR="00C07CE3">
        <w:rPr>
          <w:rFonts w:ascii="Palatino Linotype" w:hAnsi="Palatino Linotype"/>
        </w:rPr>
        <w:t>A</w:t>
      </w:r>
      <w:r w:rsidRPr="00251AAB" w:rsidR="001A6D31">
        <w:rPr>
          <w:rFonts w:ascii="Palatino Linotype" w:hAnsi="Palatino Linotype"/>
        </w:rPr>
        <w:t>dvice Letters</w:t>
      </w:r>
      <w:r w:rsidRPr="00251AAB" w:rsidR="00C07CE3">
        <w:rPr>
          <w:rFonts w:ascii="Palatino Linotype" w:hAnsi="Palatino Linotype"/>
        </w:rPr>
        <w:t xml:space="preserve"> 2852-G-C and </w:t>
      </w:r>
      <w:r w:rsidRPr="00251AAB" w:rsidR="00D4732F">
        <w:rPr>
          <w:rFonts w:ascii="Palatino Linotype" w:hAnsi="Palatino Linotype"/>
        </w:rPr>
        <w:t>3071</w:t>
      </w:r>
      <w:r w:rsidRPr="00251AAB" w:rsidR="001A6D31">
        <w:rPr>
          <w:rFonts w:ascii="Palatino Linotype" w:hAnsi="Palatino Linotype"/>
        </w:rPr>
        <w:t>-G-B</w:t>
      </w:r>
      <w:r w:rsidRPr="00251AAB" w:rsidR="00D4732F">
        <w:rPr>
          <w:rFonts w:ascii="Palatino Linotype" w:hAnsi="Palatino Linotype"/>
        </w:rPr>
        <w:t xml:space="preserve">, </w:t>
      </w:r>
      <w:r w:rsidRPr="00251AAB" w:rsidR="00051BFE">
        <w:rPr>
          <w:rFonts w:ascii="Palatino Linotype" w:hAnsi="Palatino Linotype"/>
        </w:rPr>
        <w:t>which sought funding associated with its</w:t>
      </w:r>
      <w:r w:rsidRPr="00251AAB" w:rsidR="00D4732F">
        <w:rPr>
          <w:rFonts w:ascii="Palatino Linotype" w:hAnsi="Palatino Linotype"/>
        </w:rPr>
        <w:t xml:space="preserve"> </w:t>
      </w:r>
      <w:r w:rsidRPr="00251AAB" w:rsidR="003B5982">
        <w:rPr>
          <w:rFonts w:ascii="Palatino Linotype" w:hAnsi="Palatino Linotype"/>
        </w:rPr>
        <w:t>20</w:t>
      </w:r>
      <w:r w:rsidRPr="00251AAB" w:rsidR="00CD43E4">
        <w:rPr>
          <w:rFonts w:ascii="Palatino Linotype" w:hAnsi="Palatino Linotype"/>
        </w:rPr>
        <w:t>20</w:t>
      </w:r>
      <w:r w:rsidRPr="00251AAB" w:rsidR="00B36165">
        <w:rPr>
          <w:rFonts w:ascii="Palatino Linotype" w:hAnsi="Palatino Linotype"/>
        </w:rPr>
        <w:t xml:space="preserve"> and 2022 </w:t>
      </w:r>
      <w:r w:rsidRPr="00251AAB" w:rsidR="004B030F">
        <w:rPr>
          <w:rFonts w:ascii="Palatino Linotype" w:hAnsi="Palatino Linotype"/>
        </w:rPr>
        <w:t xml:space="preserve">NGLA </w:t>
      </w:r>
      <w:r w:rsidRPr="00251AAB" w:rsidR="001A6D31">
        <w:rPr>
          <w:rFonts w:ascii="Palatino Linotype" w:hAnsi="Palatino Linotype"/>
        </w:rPr>
        <w:t>Compliance</w:t>
      </w:r>
      <w:r w:rsidRPr="00251AAB" w:rsidR="004B030F">
        <w:rPr>
          <w:rFonts w:ascii="Palatino Linotype" w:hAnsi="Palatino Linotype"/>
        </w:rPr>
        <w:t xml:space="preserve"> </w:t>
      </w:r>
      <w:r w:rsidRPr="00251AAB" w:rsidR="00051BFE">
        <w:rPr>
          <w:rFonts w:ascii="Palatino Linotype" w:hAnsi="Palatino Linotype"/>
        </w:rPr>
        <w:t>plans,</w:t>
      </w:r>
      <w:r w:rsidRPr="00251AAB" w:rsidR="004B030F">
        <w:rPr>
          <w:rFonts w:ascii="Palatino Linotype" w:hAnsi="Palatino Linotype"/>
        </w:rPr>
        <w:t xml:space="preserve"> included rate impacts only for the two-year compliance periods of their associated compliance plans, not the ongoing capital requirements associated with previously approved projects. </w:t>
      </w:r>
      <w:r w:rsidRPr="00251AAB">
        <w:rPr>
          <w:rFonts w:ascii="Palatino Linotype" w:hAnsi="Palatino Linotype"/>
        </w:rPr>
        <w:t xml:space="preserve">SDG&amp;E </w:t>
      </w:r>
      <w:r w:rsidRPr="00251AAB" w:rsidR="004B030F">
        <w:rPr>
          <w:rFonts w:ascii="Palatino Linotype" w:hAnsi="Palatino Linotype"/>
        </w:rPr>
        <w:t xml:space="preserve">proposes to include a total of </w:t>
      </w:r>
      <w:r w:rsidRPr="00251AAB" w:rsidR="00491510">
        <w:rPr>
          <w:rFonts w:ascii="Palatino Linotype" w:hAnsi="Palatino Linotype"/>
        </w:rPr>
        <w:t xml:space="preserve">$222,000 </w:t>
      </w:r>
      <w:r w:rsidRPr="00251AAB" w:rsidR="004B030F">
        <w:rPr>
          <w:rFonts w:ascii="Palatino Linotype" w:hAnsi="Palatino Linotype"/>
        </w:rPr>
        <w:t>for capital undercollections and shortfalls</w:t>
      </w:r>
      <w:r w:rsidRPr="00251AAB" w:rsidR="002435FB">
        <w:rPr>
          <w:rFonts w:ascii="Palatino Linotype" w:hAnsi="Palatino Linotype"/>
        </w:rPr>
        <w:t xml:space="preserve"> </w:t>
      </w:r>
      <w:r w:rsidRPr="00251AAB" w:rsidR="001B2303">
        <w:rPr>
          <w:rFonts w:ascii="Palatino Linotype" w:hAnsi="Palatino Linotype"/>
        </w:rPr>
        <w:t>in</w:t>
      </w:r>
      <w:r w:rsidRPr="00251AAB" w:rsidR="00DC65DD">
        <w:rPr>
          <w:rFonts w:ascii="Palatino Linotype" w:hAnsi="Palatino Linotype"/>
        </w:rPr>
        <w:t xml:space="preserve"> its</w:t>
      </w:r>
      <w:r w:rsidRPr="00251AAB" w:rsidR="00B61765">
        <w:rPr>
          <w:rFonts w:ascii="Palatino Linotype" w:hAnsi="Palatino Linotype"/>
        </w:rPr>
        <w:t xml:space="preserve"> </w:t>
      </w:r>
      <w:r w:rsidRPr="00251AAB" w:rsidR="00361B3A">
        <w:rPr>
          <w:rFonts w:ascii="Palatino Linotype" w:hAnsi="Palatino Linotype"/>
        </w:rPr>
        <w:t>2025 and 2026</w:t>
      </w:r>
      <w:r w:rsidRPr="00251AAB" w:rsidR="007361A1">
        <w:rPr>
          <w:rFonts w:ascii="Palatino Linotype" w:hAnsi="Palatino Linotype"/>
        </w:rPr>
        <w:t xml:space="preserve"> </w:t>
      </w:r>
      <w:r w:rsidRPr="00251AAB" w:rsidR="00473E78">
        <w:rPr>
          <w:rFonts w:ascii="Palatino Linotype" w:hAnsi="Palatino Linotype"/>
        </w:rPr>
        <w:t>rate</w:t>
      </w:r>
      <w:r w:rsidRPr="00251AAB" w:rsidR="000C019B">
        <w:rPr>
          <w:rFonts w:ascii="Palatino Linotype" w:hAnsi="Palatino Linotype"/>
        </w:rPr>
        <w:t xml:space="preserve"> recovery</w:t>
      </w:r>
      <w:r w:rsidRPr="00251AAB" w:rsidR="00AE19A2">
        <w:rPr>
          <w:rFonts w:ascii="Palatino Linotype" w:hAnsi="Palatino Linotype"/>
        </w:rPr>
        <w:t>.</w:t>
      </w:r>
      <w:r w:rsidRPr="00251AAB" w:rsidR="00361B3A">
        <w:rPr>
          <w:rFonts w:ascii="Palatino Linotype" w:hAnsi="Palatino Linotype"/>
        </w:rPr>
        <w:t xml:space="preserve"> </w:t>
      </w:r>
    </w:p>
    <w:p w:rsidRPr="00251AAB" w:rsidR="00876CB5" w:rsidP="00876CB5" w:rsidRDefault="004B030F" w14:paraId="2B741740" w14:textId="2F368D1D">
      <w:pPr>
        <w:rPr>
          <w:rFonts w:ascii="Palatino Linotype" w:hAnsi="Palatino Linotype"/>
        </w:rPr>
      </w:pPr>
      <w:r w:rsidRPr="00251AAB">
        <w:rPr>
          <w:rFonts w:ascii="Palatino Linotype" w:hAnsi="Palatino Linotype"/>
        </w:rPr>
        <w:t xml:space="preserve">These under-recoveries occurred in part because </w:t>
      </w:r>
      <w:r w:rsidRPr="00251AAB" w:rsidR="00876CB5">
        <w:rPr>
          <w:rFonts w:ascii="Palatino Linotype" w:hAnsi="Palatino Linotype"/>
        </w:rPr>
        <w:t>SDG&amp;E</w:t>
      </w:r>
      <w:r w:rsidRPr="00251AAB">
        <w:rPr>
          <w:rFonts w:ascii="Palatino Linotype" w:hAnsi="Palatino Linotype"/>
        </w:rPr>
        <w:t xml:space="preserve"> used its original NGLA Advice Letter</w:t>
      </w:r>
      <w:r w:rsidRPr="00251AAB" w:rsidR="00896382">
        <w:rPr>
          <w:rFonts w:ascii="Palatino Linotype" w:hAnsi="Palatino Linotype"/>
        </w:rPr>
        <w:t xml:space="preserve">, which was approved via </w:t>
      </w:r>
      <w:r w:rsidRPr="00251AAB">
        <w:rPr>
          <w:rFonts w:ascii="Palatino Linotype" w:hAnsi="Palatino Linotype"/>
        </w:rPr>
        <w:t xml:space="preserve">Resolution G-3538 </w:t>
      </w:r>
      <w:r w:rsidRPr="00251AAB" w:rsidR="007E579E">
        <w:rPr>
          <w:rFonts w:ascii="Palatino Linotype" w:hAnsi="Palatino Linotype"/>
        </w:rPr>
        <w:t xml:space="preserve">(October </w:t>
      </w:r>
      <w:r w:rsidRPr="00251AAB" w:rsidR="000E6EBE">
        <w:rPr>
          <w:rFonts w:ascii="Palatino Linotype" w:hAnsi="Palatino Linotype"/>
        </w:rPr>
        <w:t>11, 2018)</w:t>
      </w:r>
      <w:r w:rsidRPr="00251AAB" w:rsidR="00896382">
        <w:rPr>
          <w:rFonts w:ascii="Palatino Linotype" w:hAnsi="Palatino Linotype"/>
        </w:rPr>
        <w:t>,</w:t>
      </w:r>
      <w:r w:rsidRPr="00251AAB" w:rsidR="000E6EBE">
        <w:rPr>
          <w:rFonts w:ascii="Palatino Linotype" w:hAnsi="Palatino Linotype"/>
        </w:rPr>
        <w:t xml:space="preserve"> </w:t>
      </w:r>
      <w:r w:rsidRPr="00251AAB">
        <w:rPr>
          <w:rFonts w:ascii="Palatino Linotype" w:hAnsi="Palatino Linotype"/>
        </w:rPr>
        <w:t xml:space="preserve">as the </w:t>
      </w:r>
      <w:r w:rsidRPr="00251AAB">
        <w:rPr>
          <w:rFonts w:ascii="Palatino Linotype" w:hAnsi="Palatino Linotype"/>
        </w:rPr>
        <w:lastRenderedPageBreak/>
        <w:t>model for subsequent Advice Letters</w:t>
      </w:r>
      <w:r w:rsidRPr="00251AAB" w:rsidR="00896382">
        <w:rPr>
          <w:rFonts w:ascii="Palatino Linotype" w:hAnsi="Palatino Linotype"/>
        </w:rPr>
        <w:t xml:space="preserve">. The original NGLA advice letter included only </w:t>
      </w:r>
      <w:r w:rsidRPr="00251AAB">
        <w:rPr>
          <w:rFonts w:ascii="Palatino Linotype" w:hAnsi="Palatino Linotype"/>
        </w:rPr>
        <w:t>the two years included in the forecast of capital costs for the Compliance Plan period.</w:t>
      </w:r>
      <w:r w:rsidRPr="00251AAB" w:rsidDel="001637E6">
        <w:rPr>
          <w:rFonts w:ascii="Palatino Linotype" w:hAnsi="Palatino Linotype"/>
        </w:rPr>
        <w:t xml:space="preserve"> </w:t>
      </w:r>
      <w:r w:rsidRPr="00251AAB">
        <w:rPr>
          <w:rFonts w:ascii="Palatino Linotype" w:hAnsi="Palatino Linotype"/>
        </w:rPr>
        <w:t xml:space="preserve">That advice letter did not have any previously approved ongoing capital requirements to include, however, since it was the first one to be submitted for approval. Using this initial submittal as a model, the subsequent 2020 and 2022 two-year biennial Compliance Plans </w:t>
      </w:r>
      <w:r w:rsidRPr="00251AAB" w:rsidR="003D7AE5">
        <w:rPr>
          <w:rFonts w:ascii="Palatino Linotype" w:hAnsi="Palatino Linotype"/>
        </w:rPr>
        <w:t xml:space="preserve">and </w:t>
      </w:r>
      <w:r w:rsidRPr="00251AAB" w:rsidR="009C7016">
        <w:rPr>
          <w:rFonts w:ascii="Palatino Linotype" w:hAnsi="Palatino Linotype"/>
        </w:rPr>
        <w:t>A</w:t>
      </w:r>
      <w:r w:rsidRPr="00251AAB" w:rsidR="0070753A">
        <w:rPr>
          <w:rFonts w:ascii="Palatino Linotype" w:hAnsi="Palatino Linotype"/>
        </w:rPr>
        <w:t xml:space="preserve">dvice Letters </w:t>
      </w:r>
      <w:r w:rsidRPr="00251AAB">
        <w:rPr>
          <w:rFonts w:ascii="Palatino Linotype" w:hAnsi="Palatino Linotype"/>
        </w:rPr>
        <w:t>repeated this approach.</w:t>
      </w:r>
      <w:r w:rsidRPr="00251AAB" w:rsidDel="001637E6">
        <w:rPr>
          <w:rFonts w:ascii="Palatino Linotype" w:hAnsi="Palatino Linotype"/>
        </w:rPr>
        <w:t xml:space="preserve"> </w:t>
      </w:r>
    </w:p>
    <w:bookmarkEnd w:id="5"/>
    <w:p w:rsidRPr="00251AAB" w:rsidR="004B030F" w:rsidP="004B030F" w:rsidRDefault="00755638" w14:paraId="25D4F6CC" w14:textId="7B8F800E">
      <w:pPr>
        <w:rPr>
          <w:rFonts w:ascii="Palatino Linotype" w:hAnsi="Palatino Linotype"/>
        </w:rPr>
      </w:pPr>
      <w:r w:rsidRPr="00251AAB">
        <w:rPr>
          <w:rFonts w:ascii="Palatino Linotype" w:hAnsi="Palatino Linotype"/>
        </w:rPr>
        <w:t xml:space="preserve">We </w:t>
      </w:r>
      <w:r w:rsidRPr="00251AAB" w:rsidR="00ED413C">
        <w:rPr>
          <w:rFonts w:ascii="Palatino Linotype" w:hAnsi="Palatino Linotype"/>
        </w:rPr>
        <w:t>recognize</w:t>
      </w:r>
      <w:r w:rsidRPr="00251AAB" w:rsidR="004B030F">
        <w:rPr>
          <w:rFonts w:ascii="Palatino Linotype" w:hAnsi="Palatino Linotype"/>
        </w:rPr>
        <w:t xml:space="preserve"> that these costs are tied to projects and work that has been previously approved in prior NGLA resolutions and that the</w:t>
      </w:r>
      <w:r w:rsidRPr="00251AAB" w:rsidR="00A76E5E">
        <w:rPr>
          <w:rFonts w:ascii="Palatino Linotype" w:hAnsi="Palatino Linotype"/>
        </w:rPr>
        <w:t xml:space="preserve">y have not been </w:t>
      </w:r>
      <w:r w:rsidRPr="00251AAB" w:rsidR="007900EA">
        <w:rPr>
          <w:rFonts w:ascii="Palatino Linotype" w:hAnsi="Palatino Linotype"/>
        </w:rPr>
        <w:t xml:space="preserve">recovered </w:t>
      </w:r>
      <w:r w:rsidRPr="00251AAB" w:rsidR="004B030F">
        <w:rPr>
          <w:rFonts w:ascii="Palatino Linotype" w:hAnsi="Palatino Linotype"/>
        </w:rPr>
        <w:t xml:space="preserve">in rates. We treat the capital costs for this program the same as the revenue requirement associated with any other capital assets approved to be put into rates. This program was developed in compliance with SB 1371 and SB 1383 and has been implemented by decisions D.17-06-015 and D.19-08-020. Therefore, we approve </w:t>
      </w:r>
      <w:r w:rsidRPr="00251AAB" w:rsidR="00ED413C">
        <w:rPr>
          <w:rFonts w:ascii="Palatino Linotype" w:hAnsi="Palatino Linotype"/>
        </w:rPr>
        <w:t>SDG&amp;E’s</w:t>
      </w:r>
      <w:r w:rsidRPr="00251AAB" w:rsidR="004B030F">
        <w:rPr>
          <w:rFonts w:ascii="Palatino Linotype" w:hAnsi="Palatino Linotype"/>
        </w:rPr>
        <w:t xml:space="preserve"> revenue recovery of on-going capital requirements in the amount of </w:t>
      </w:r>
      <w:r w:rsidRPr="00251AAB" w:rsidR="002C0A83">
        <w:rPr>
          <w:rFonts w:ascii="Palatino Linotype" w:hAnsi="Palatino Linotype"/>
        </w:rPr>
        <w:t>$222,000</w:t>
      </w:r>
      <w:r w:rsidRPr="00251AAB" w:rsidR="004B030F">
        <w:rPr>
          <w:rFonts w:ascii="Palatino Linotype" w:hAnsi="Palatino Linotype"/>
        </w:rPr>
        <w:t xml:space="preserve"> to align with what has been approved and under-recovered in Resolutions G-3538 (October 11, 2018), </w:t>
      </w:r>
      <w:r w:rsidR="00376FAB">
        <w:rPr>
          <w:rFonts w:ascii="Palatino Linotype" w:hAnsi="Palatino Linotype"/>
        </w:rPr>
        <w:br/>
      </w:r>
      <w:r w:rsidRPr="00251AAB" w:rsidR="004B030F">
        <w:rPr>
          <w:rFonts w:ascii="Palatino Linotype" w:hAnsi="Palatino Linotype"/>
        </w:rPr>
        <w:t xml:space="preserve">G-3576, (December 17, 2020), and Resolution G-3595 (July 3, 2023). However, as noted in Resolution G-3538, balances in all accounts authorized for recovery are subject to audit verification and adjustment. </w:t>
      </w:r>
    </w:p>
    <w:p w:rsidRPr="00251AAB" w:rsidR="002755F3" w:rsidP="002755F3" w:rsidRDefault="002755F3" w14:paraId="0BDA52A2" w14:textId="77777777">
      <w:pPr>
        <w:pStyle w:val="Heading2"/>
        <w:rPr>
          <w:rStyle w:val="Heading2Char"/>
          <w:rFonts w:ascii="Palatino Linotype" w:hAnsi="Palatino Linotype"/>
          <w:sz w:val="24"/>
          <w:szCs w:val="24"/>
        </w:rPr>
      </w:pPr>
      <w:r w:rsidRPr="00251AAB">
        <w:rPr>
          <w:rFonts w:ascii="Palatino Linotype" w:hAnsi="Palatino Linotype"/>
          <w:sz w:val="24"/>
          <w:szCs w:val="24"/>
        </w:rPr>
        <w:t>Summary of Costs Approved</w:t>
      </w:r>
    </w:p>
    <w:p w:rsidRPr="00251AAB" w:rsidR="002755F3" w:rsidP="002755F3" w:rsidRDefault="002755F3" w14:paraId="51A0D2DD" w14:textId="0C61FB14">
      <w:pPr>
        <w:rPr>
          <w:rFonts w:ascii="Palatino Linotype" w:hAnsi="Palatino Linotype"/>
        </w:rPr>
      </w:pPr>
      <w:r w:rsidRPr="00251AAB">
        <w:rPr>
          <w:rFonts w:ascii="Palatino Linotype" w:hAnsi="Palatino Linotype"/>
        </w:rPr>
        <w:t xml:space="preserve">The following table shows the Total Approved and Average Annual Revenue Requirement for the SDG&amp;E 2024 Compliance Plan. </w:t>
      </w:r>
    </w:p>
    <w:p w:rsidRPr="00251AAB" w:rsidR="002755F3" w:rsidP="002755F3" w:rsidRDefault="002755F3" w14:paraId="21C6431A" w14:textId="77777777">
      <w:pPr>
        <w:keepNext/>
        <w:jc w:val="center"/>
        <w:rPr>
          <w:rFonts w:ascii="Palatino Linotype" w:hAnsi="Palatino Linotype"/>
          <w:b/>
          <w:bCs/>
        </w:rPr>
      </w:pPr>
      <w:r w:rsidRPr="00251AAB">
        <w:rPr>
          <w:rFonts w:ascii="Palatino Linotype" w:hAnsi="Palatino Linotype"/>
          <w:b/>
          <w:bCs/>
        </w:rPr>
        <w:t>Approved Cost Recovery</w:t>
      </w:r>
    </w:p>
    <w:tbl>
      <w:tblPr>
        <w:tblStyle w:val="TableGrid"/>
        <w:tblW w:w="0" w:type="auto"/>
        <w:tblLook w:val="04A0" w:firstRow="1" w:lastRow="0" w:firstColumn="1" w:lastColumn="0" w:noHBand="0" w:noVBand="1"/>
      </w:tblPr>
      <w:tblGrid>
        <w:gridCol w:w="2337"/>
        <w:gridCol w:w="2337"/>
        <w:gridCol w:w="2338"/>
        <w:gridCol w:w="2338"/>
      </w:tblGrid>
      <w:tr w:rsidRPr="00251AAB" w:rsidR="002755F3" w:rsidTr="004718A3" w14:paraId="0D62C5AA" w14:textId="77777777">
        <w:tc>
          <w:tcPr>
            <w:tcW w:w="2337" w:type="dxa"/>
          </w:tcPr>
          <w:p w:rsidRPr="00251AAB" w:rsidR="002755F3" w:rsidP="004718A3" w:rsidRDefault="002755F3" w14:paraId="4E08F59D" w14:textId="77777777">
            <w:pPr>
              <w:keepNext/>
              <w:rPr>
                <w:rFonts w:ascii="Palatino Linotype" w:hAnsi="Palatino Linotype"/>
                <w:sz w:val="24"/>
                <w:szCs w:val="24"/>
              </w:rPr>
            </w:pPr>
          </w:p>
        </w:tc>
        <w:tc>
          <w:tcPr>
            <w:tcW w:w="2337" w:type="dxa"/>
          </w:tcPr>
          <w:p w:rsidRPr="00251AAB" w:rsidR="002755F3" w:rsidP="004718A3" w:rsidRDefault="002755F3" w14:paraId="48C37894" w14:textId="77777777">
            <w:pPr>
              <w:keepNext/>
              <w:rPr>
                <w:rFonts w:ascii="Palatino Linotype" w:hAnsi="Palatino Linotype"/>
                <w:sz w:val="24"/>
                <w:szCs w:val="24"/>
              </w:rPr>
            </w:pPr>
            <w:r w:rsidRPr="00251AAB">
              <w:rPr>
                <w:rFonts w:ascii="Palatino Linotype" w:hAnsi="Palatino Linotype"/>
                <w:sz w:val="24"/>
                <w:szCs w:val="24"/>
              </w:rPr>
              <w:t xml:space="preserve">Total Revenue Requirement Approved </w:t>
            </w:r>
          </w:p>
          <w:p w:rsidRPr="00251AAB" w:rsidR="002755F3" w:rsidP="004718A3" w:rsidRDefault="002755F3" w14:paraId="0DF598DD" w14:textId="14441B92">
            <w:pPr>
              <w:keepNext/>
              <w:rPr>
                <w:rFonts w:ascii="Palatino Linotype" w:hAnsi="Palatino Linotype"/>
                <w:sz w:val="24"/>
                <w:szCs w:val="24"/>
              </w:rPr>
            </w:pPr>
          </w:p>
        </w:tc>
        <w:tc>
          <w:tcPr>
            <w:tcW w:w="2338" w:type="dxa"/>
          </w:tcPr>
          <w:p w:rsidRPr="00251AAB" w:rsidR="002755F3" w:rsidP="004718A3" w:rsidRDefault="002755F3" w14:paraId="21F61A9F" w14:textId="77777777">
            <w:pPr>
              <w:keepNext/>
              <w:rPr>
                <w:rFonts w:ascii="Palatino Linotype" w:hAnsi="Palatino Linotype"/>
                <w:sz w:val="24"/>
                <w:szCs w:val="24"/>
              </w:rPr>
            </w:pPr>
            <w:r w:rsidRPr="00251AAB">
              <w:rPr>
                <w:rFonts w:ascii="Palatino Linotype" w:hAnsi="Palatino Linotype"/>
                <w:sz w:val="24"/>
                <w:szCs w:val="24"/>
              </w:rPr>
              <w:t>Revenue Requirement for 2025</w:t>
            </w:r>
          </w:p>
          <w:p w:rsidRPr="00251AAB" w:rsidR="002755F3" w:rsidP="004718A3" w:rsidRDefault="002755F3" w14:paraId="79681269" w14:textId="13E27BCB">
            <w:pPr>
              <w:keepNext/>
              <w:rPr>
                <w:rFonts w:ascii="Palatino Linotype" w:hAnsi="Palatino Linotype"/>
                <w:sz w:val="24"/>
                <w:szCs w:val="24"/>
              </w:rPr>
            </w:pPr>
          </w:p>
        </w:tc>
        <w:tc>
          <w:tcPr>
            <w:tcW w:w="2338" w:type="dxa"/>
          </w:tcPr>
          <w:p w:rsidRPr="00251AAB" w:rsidR="002755F3" w:rsidP="004718A3" w:rsidRDefault="002755F3" w14:paraId="28973F61" w14:textId="77777777">
            <w:pPr>
              <w:keepNext/>
              <w:rPr>
                <w:rFonts w:ascii="Palatino Linotype" w:hAnsi="Palatino Linotype"/>
                <w:sz w:val="24"/>
                <w:szCs w:val="24"/>
              </w:rPr>
            </w:pPr>
            <w:r w:rsidRPr="00251AAB">
              <w:rPr>
                <w:rFonts w:ascii="Palatino Linotype" w:hAnsi="Palatino Linotype"/>
                <w:sz w:val="24"/>
                <w:szCs w:val="24"/>
              </w:rPr>
              <w:t>Revenue Requirement for 2026</w:t>
            </w:r>
          </w:p>
          <w:p w:rsidRPr="00251AAB" w:rsidR="002755F3" w:rsidP="004718A3" w:rsidRDefault="002755F3" w14:paraId="4D67422E" w14:textId="72B3E6B8">
            <w:pPr>
              <w:keepNext/>
              <w:rPr>
                <w:rFonts w:ascii="Palatino Linotype" w:hAnsi="Palatino Linotype"/>
                <w:sz w:val="24"/>
                <w:szCs w:val="24"/>
              </w:rPr>
            </w:pPr>
          </w:p>
        </w:tc>
      </w:tr>
      <w:tr w:rsidRPr="00251AAB" w:rsidR="002755F3" w:rsidTr="004718A3" w14:paraId="7C06182A" w14:textId="77777777">
        <w:tc>
          <w:tcPr>
            <w:tcW w:w="2337" w:type="dxa"/>
          </w:tcPr>
          <w:p w:rsidRPr="00251AAB" w:rsidR="002755F3" w:rsidP="004718A3" w:rsidRDefault="002755F3" w14:paraId="2145D444" w14:textId="77777777">
            <w:pPr>
              <w:keepNext/>
              <w:rPr>
                <w:rFonts w:ascii="Palatino Linotype" w:hAnsi="Palatino Linotype"/>
                <w:sz w:val="24"/>
                <w:szCs w:val="24"/>
              </w:rPr>
            </w:pPr>
            <w:r w:rsidRPr="00251AAB">
              <w:rPr>
                <w:rFonts w:ascii="Palatino Linotype" w:hAnsi="Palatino Linotype"/>
                <w:sz w:val="24"/>
                <w:szCs w:val="24"/>
              </w:rPr>
              <w:t>Best Practices</w:t>
            </w:r>
          </w:p>
        </w:tc>
        <w:tc>
          <w:tcPr>
            <w:tcW w:w="2337" w:type="dxa"/>
          </w:tcPr>
          <w:p w:rsidRPr="00251AAB" w:rsidR="002755F3" w:rsidP="004718A3" w:rsidRDefault="002755F3" w14:paraId="0EECEF73" w14:textId="770E6F13">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32AAD1D7" w14:textId="1227C79B">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5E40EE62" w14:textId="07C39EC1">
            <w:pPr>
              <w:keepNext/>
              <w:jc w:val="right"/>
              <w:rPr>
                <w:rFonts w:ascii="Palatino Linotype" w:hAnsi="Palatino Linotype"/>
                <w:sz w:val="24"/>
                <w:szCs w:val="24"/>
              </w:rPr>
            </w:pPr>
            <w:r w:rsidRPr="00251AAB">
              <w:rPr>
                <w:rFonts w:ascii="Palatino Linotype" w:hAnsi="Palatino Linotype"/>
                <w:sz w:val="24"/>
                <w:szCs w:val="24"/>
              </w:rPr>
              <w:t>$0.0</w:t>
            </w:r>
          </w:p>
        </w:tc>
      </w:tr>
      <w:tr w:rsidRPr="00251AAB" w:rsidR="002755F3" w:rsidTr="004718A3" w14:paraId="3A20ABBE" w14:textId="77777777">
        <w:tc>
          <w:tcPr>
            <w:tcW w:w="2337" w:type="dxa"/>
          </w:tcPr>
          <w:p w:rsidRPr="00251AAB" w:rsidR="002755F3" w:rsidP="004718A3" w:rsidRDefault="002755F3" w14:paraId="10D9F90C" w14:textId="77777777">
            <w:pPr>
              <w:keepNext/>
              <w:rPr>
                <w:rFonts w:ascii="Palatino Linotype" w:hAnsi="Palatino Linotype"/>
                <w:sz w:val="24"/>
                <w:szCs w:val="24"/>
              </w:rPr>
            </w:pPr>
            <w:r w:rsidRPr="00251AAB">
              <w:rPr>
                <w:rFonts w:ascii="Palatino Linotype" w:hAnsi="Palatino Linotype"/>
                <w:sz w:val="24"/>
                <w:szCs w:val="24"/>
              </w:rPr>
              <w:t>RD&amp;D</w:t>
            </w:r>
          </w:p>
        </w:tc>
        <w:tc>
          <w:tcPr>
            <w:tcW w:w="2337" w:type="dxa"/>
          </w:tcPr>
          <w:p w:rsidRPr="00251AAB" w:rsidR="002755F3" w:rsidP="004718A3" w:rsidRDefault="002755F3" w14:paraId="15340985" w14:textId="6AB40389">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085DE3B9" w14:textId="56ECB6AF">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14F5F0B9" w14:textId="15251578">
            <w:pPr>
              <w:keepNext/>
              <w:jc w:val="right"/>
              <w:rPr>
                <w:rFonts w:ascii="Palatino Linotype" w:hAnsi="Palatino Linotype"/>
                <w:sz w:val="24"/>
                <w:szCs w:val="24"/>
              </w:rPr>
            </w:pPr>
            <w:r w:rsidRPr="00251AAB">
              <w:rPr>
                <w:rFonts w:ascii="Palatino Linotype" w:hAnsi="Palatino Linotype"/>
                <w:sz w:val="24"/>
                <w:szCs w:val="24"/>
              </w:rPr>
              <w:t>$0.0</w:t>
            </w:r>
          </w:p>
        </w:tc>
      </w:tr>
      <w:tr w:rsidRPr="00251AAB" w:rsidR="002755F3" w:rsidTr="004718A3" w14:paraId="66DCEF14" w14:textId="77777777">
        <w:tc>
          <w:tcPr>
            <w:tcW w:w="2337" w:type="dxa"/>
          </w:tcPr>
          <w:p w:rsidRPr="00251AAB" w:rsidR="002755F3" w:rsidP="004718A3" w:rsidRDefault="002755F3" w14:paraId="12697D41" w14:textId="77777777">
            <w:pPr>
              <w:keepNext/>
              <w:rPr>
                <w:rFonts w:ascii="Palatino Linotype" w:hAnsi="Palatino Linotype"/>
                <w:sz w:val="24"/>
                <w:szCs w:val="24"/>
              </w:rPr>
            </w:pPr>
            <w:r w:rsidRPr="00251AAB">
              <w:rPr>
                <w:rFonts w:ascii="Palatino Linotype" w:hAnsi="Palatino Linotype"/>
                <w:sz w:val="24"/>
                <w:szCs w:val="24"/>
              </w:rPr>
              <w:t xml:space="preserve">Under-recoveries </w:t>
            </w:r>
          </w:p>
        </w:tc>
        <w:tc>
          <w:tcPr>
            <w:tcW w:w="2337" w:type="dxa"/>
          </w:tcPr>
          <w:p w:rsidRPr="00251AAB" w:rsidR="002755F3" w:rsidP="004718A3" w:rsidRDefault="003234DB" w14:paraId="73F6E94C" w14:textId="79B9CEF2">
            <w:pPr>
              <w:keepNext/>
              <w:jc w:val="right"/>
              <w:rPr>
                <w:rFonts w:ascii="Palatino Linotype" w:hAnsi="Palatino Linotype"/>
                <w:sz w:val="24"/>
                <w:szCs w:val="24"/>
              </w:rPr>
            </w:pPr>
            <w:r w:rsidRPr="00251AAB">
              <w:rPr>
                <w:rFonts w:ascii="Palatino Linotype" w:hAnsi="Palatino Linotype"/>
                <w:sz w:val="24"/>
                <w:szCs w:val="24"/>
              </w:rPr>
              <w:t>$222,000</w:t>
            </w:r>
          </w:p>
        </w:tc>
        <w:tc>
          <w:tcPr>
            <w:tcW w:w="2338" w:type="dxa"/>
          </w:tcPr>
          <w:p w:rsidRPr="00251AAB" w:rsidR="002755F3" w:rsidP="004718A3" w:rsidRDefault="00F854A4" w14:paraId="6260FBC6" w14:textId="3E74FDBB">
            <w:pPr>
              <w:keepNext/>
              <w:jc w:val="right"/>
              <w:rPr>
                <w:rFonts w:ascii="Palatino Linotype" w:hAnsi="Palatino Linotype"/>
                <w:sz w:val="24"/>
                <w:szCs w:val="24"/>
              </w:rPr>
            </w:pPr>
            <w:r w:rsidRPr="00251AAB">
              <w:rPr>
                <w:rFonts w:ascii="Palatino Linotype" w:hAnsi="Palatino Linotype"/>
                <w:sz w:val="24"/>
                <w:szCs w:val="24"/>
              </w:rPr>
              <w:t>$113,000</w:t>
            </w:r>
          </w:p>
        </w:tc>
        <w:tc>
          <w:tcPr>
            <w:tcW w:w="2338" w:type="dxa"/>
          </w:tcPr>
          <w:p w:rsidRPr="00251AAB" w:rsidR="002755F3" w:rsidP="004718A3" w:rsidRDefault="00F854A4" w14:paraId="3DA7BBD0" w14:textId="36427FC8">
            <w:pPr>
              <w:keepNext/>
              <w:jc w:val="right"/>
              <w:rPr>
                <w:rFonts w:ascii="Palatino Linotype" w:hAnsi="Palatino Linotype"/>
                <w:sz w:val="24"/>
                <w:szCs w:val="24"/>
              </w:rPr>
            </w:pPr>
            <w:r w:rsidRPr="00251AAB">
              <w:rPr>
                <w:rFonts w:ascii="Palatino Linotype" w:hAnsi="Palatino Linotype"/>
                <w:sz w:val="24"/>
                <w:szCs w:val="24"/>
              </w:rPr>
              <w:t>$</w:t>
            </w:r>
            <w:r w:rsidRPr="00251AAB" w:rsidR="00841E6D">
              <w:rPr>
                <w:rFonts w:ascii="Palatino Linotype" w:hAnsi="Palatino Linotype"/>
                <w:sz w:val="24"/>
                <w:szCs w:val="24"/>
              </w:rPr>
              <w:t>109,000</w:t>
            </w:r>
          </w:p>
        </w:tc>
      </w:tr>
      <w:tr w:rsidRPr="00251AAB" w:rsidR="002755F3" w:rsidTr="004718A3" w14:paraId="0C0B5BA5" w14:textId="77777777">
        <w:tc>
          <w:tcPr>
            <w:tcW w:w="2337" w:type="dxa"/>
          </w:tcPr>
          <w:p w:rsidRPr="00251AAB" w:rsidR="002755F3" w:rsidP="004718A3" w:rsidRDefault="002755F3" w14:paraId="44CCCE46" w14:textId="77777777">
            <w:pPr>
              <w:keepNext/>
              <w:rPr>
                <w:rFonts w:ascii="Palatino Linotype" w:hAnsi="Palatino Linotype"/>
                <w:sz w:val="24"/>
                <w:szCs w:val="24"/>
              </w:rPr>
            </w:pPr>
            <w:r w:rsidRPr="00251AAB">
              <w:rPr>
                <w:rFonts w:ascii="Palatino Linotype" w:hAnsi="Palatino Linotype"/>
                <w:sz w:val="24"/>
                <w:szCs w:val="24"/>
              </w:rPr>
              <w:t>Total</w:t>
            </w:r>
          </w:p>
        </w:tc>
        <w:tc>
          <w:tcPr>
            <w:tcW w:w="2337" w:type="dxa"/>
          </w:tcPr>
          <w:p w:rsidRPr="00251AAB" w:rsidR="002755F3" w:rsidP="004718A3" w:rsidRDefault="00841E6D" w14:paraId="00121E83" w14:textId="48B5F097">
            <w:pPr>
              <w:keepNext/>
              <w:jc w:val="right"/>
              <w:rPr>
                <w:rFonts w:ascii="Palatino Linotype" w:hAnsi="Palatino Linotype"/>
                <w:sz w:val="24"/>
                <w:szCs w:val="24"/>
              </w:rPr>
            </w:pPr>
            <w:r w:rsidRPr="00251AAB">
              <w:rPr>
                <w:rFonts w:ascii="Palatino Linotype" w:hAnsi="Palatino Linotype"/>
                <w:sz w:val="24"/>
                <w:szCs w:val="24"/>
              </w:rPr>
              <w:t>$</w:t>
            </w:r>
            <w:r w:rsidRPr="00251AAB" w:rsidR="00625EFA">
              <w:rPr>
                <w:rFonts w:ascii="Palatino Linotype" w:hAnsi="Palatino Linotype"/>
                <w:sz w:val="24"/>
                <w:szCs w:val="24"/>
              </w:rPr>
              <w:t>222,000</w:t>
            </w:r>
          </w:p>
        </w:tc>
        <w:tc>
          <w:tcPr>
            <w:tcW w:w="2338" w:type="dxa"/>
          </w:tcPr>
          <w:p w:rsidRPr="00251AAB" w:rsidR="002755F3" w:rsidP="004718A3" w:rsidRDefault="00625EFA" w14:paraId="52293B37" w14:textId="3712FF1A">
            <w:pPr>
              <w:keepNext/>
              <w:jc w:val="right"/>
              <w:rPr>
                <w:rFonts w:ascii="Palatino Linotype" w:hAnsi="Palatino Linotype"/>
                <w:sz w:val="24"/>
                <w:szCs w:val="24"/>
              </w:rPr>
            </w:pPr>
            <w:r w:rsidRPr="00251AAB">
              <w:rPr>
                <w:rFonts w:ascii="Palatino Linotype" w:hAnsi="Palatino Linotype"/>
                <w:sz w:val="24"/>
                <w:szCs w:val="24"/>
              </w:rPr>
              <w:t>$113,000</w:t>
            </w:r>
          </w:p>
        </w:tc>
        <w:tc>
          <w:tcPr>
            <w:tcW w:w="2338" w:type="dxa"/>
          </w:tcPr>
          <w:p w:rsidRPr="00251AAB" w:rsidR="002755F3" w:rsidP="004718A3" w:rsidRDefault="00625EFA" w14:paraId="12D18C98" w14:textId="6E25252F">
            <w:pPr>
              <w:keepNext/>
              <w:jc w:val="right"/>
              <w:rPr>
                <w:rFonts w:ascii="Palatino Linotype" w:hAnsi="Palatino Linotype"/>
                <w:sz w:val="24"/>
                <w:szCs w:val="24"/>
              </w:rPr>
            </w:pPr>
            <w:r w:rsidRPr="00251AAB">
              <w:rPr>
                <w:rFonts w:ascii="Palatino Linotype" w:hAnsi="Palatino Linotype"/>
                <w:sz w:val="24"/>
                <w:szCs w:val="24"/>
              </w:rPr>
              <w:t>$</w:t>
            </w:r>
            <w:r w:rsidRPr="00251AAB" w:rsidR="00B223EF">
              <w:rPr>
                <w:rFonts w:ascii="Palatino Linotype" w:hAnsi="Palatino Linotype"/>
                <w:sz w:val="24"/>
                <w:szCs w:val="24"/>
              </w:rPr>
              <w:t>109,000</w:t>
            </w:r>
          </w:p>
        </w:tc>
      </w:tr>
    </w:tbl>
    <w:p w:rsidRPr="00251AAB" w:rsidR="002755F3" w:rsidP="002755F3" w:rsidRDefault="002755F3" w14:paraId="40B2556A" w14:textId="77777777">
      <w:pPr>
        <w:pStyle w:val="Heading2"/>
        <w:rPr>
          <w:rFonts w:ascii="Palatino Linotype" w:hAnsi="Palatino Linotype" w:eastAsia="Palatino Linotype"/>
          <w:sz w:val="24"/>
          <w:szCs w:val="24"/>
        </w:rPr>
      </w:pPr>
      <w:r w:rsidRPr="00251AAB">
        <w:rPr>
          <w:rFonts w:ascii="Palatino Linotype" w:hAnsi="Palatino Linotype"/>
          <w:iCs/>
          <w:sz w:val="24"/>
          <w:szCs w:val="24"/>
        </w:rPr>
        <w:t xml:space="preserve">Future Costs for the NGLA Program </w:t>
      </w:r>
    </w:p>
    <w:p w:rsidRPr="00251AAB" w:rsidR="002755F3" w:rsidP="002755F3" w:rsidRDefault="002755F3" w14:paraId="1483AA76" w14:textId="67ACB447">
      <w:pPr>
        <w:spacing w:after="100"/>
        <w:rPr>
          <w:rFonts w:ascii="Palatino Linotype" w:hAnsi="Palatino Linotype"/>
        </w:rPr>
      </w:pPr>
      <w:r w:rsidRPr="00251AAB">
        <w:rPr>
          <w:rFonts w:ascii="Palatino Linotype" w:hAnsi="Palatino Linotype"/>
        </w:rPr>
        <w:t xml:space="preserve">As noted above, the Commission requires funding for the NGLA program to be transitioned into the regular GRC process for each utility participating in the program. </w:t>
      </w:r>
      <w:r w:rsidRPr="00251AAB">
        <w:rPr>
          <w:rFonts w:ascii="Palatino Linotype" w:hAnsi="Palatino Linotype"/>
        </w:rPr>
        <w:lastRenderedPageBreak/>
        <w:t xml:space="preserve">D.17-06-015 originally anticipated </w:t>
      </w:r>
      <w:r w:rsidRPr="00251AAB" w:rsidR="00DD3DEC">
        <w:rPr>
          <w:rFonts w:ascii="Palatino Linotype" w:hAnsi="Palatino Linotype"/>
        </w:rPr>
        <w:t xml:space="preserve">that </w:t>
      </w:r>
      <w:r w:rsidRPr="00251AAB">
        <w:rPr>
          <w:rFonts w:ascii="Palatino Linotype" w:hAnsi="Palatino Linotype"/>
        </w:rPr>
        <w:t>each utility complying with the NGLA program would incorporate NGLA program expenses in its next general rate case,</w:t>
      </w:r>
      <w:r w:rsidRPr="00251AAB">
        <w:rPr>
          <w:rStyle w:val="FootnoteReference"/>
          <w:rFonts w:ascii="Palatino Linotype" w:hAnsi="Palatino Linotype"/>
        </w:rPr>
        <w:footnoteReference w:id="34"/>
      </w:r>
      <w:r w:rsidRPr="00251AAB">
        <w:rPr>
          <w:rFonts w:ascii="Palatino Linotype" w:hAnsi="Palatino Linotype"/>
        </w:rPr>
        <w:t xml:space="preserve"> but the CPUC’s Executive Director granted SoCalGas</w:t>
      </w:r>
      <w:r w:rsidRPr="00251AAB" w:rsidR="00BC43B2">
        <w:rPr>
          <w:rFonts w:ascii="Palatino Linotype" w:hAnsi="Palatino Linotype"/>
        </w:rPr>
        <w:t xml:space="preserve"> </w:t>
      </w:r>
      <w:r w:rsidRPr="00251AAB" w:rsidR="00383458">
        <w:rPr>
          <w:rFonts w:ascii="Palatino Linotype" w:hAnsi="Palatino Linotype"/>
        </w:rPr>
        <w:t xml:space="preserve">and </w:t>
      </w:r>
      <w:r w:rsidRPr="00251AAB" w:rsidR="00BC43B2">
        <w:rPr>
          <w:rFonts w:ascii="Palatino Linotype" w:hAnsi="Palatino Linotype"/>
        </w:rPr>
        <w:t>SDG&amp;E</w:t>
      </w:r>
      <w:r w:rsidRPr="00251AAB">
        <w:rPr>
          <w:rFonts w:ascii="Palatino Linotype" w:hAnsi="Palatino Linotype"/>
        </w:rPr>
        <w:t xml:space="preserve"> an extension until </w:t>
      </w:r>
      <w:r w:rsidRPr="00251AAB" w:rsidR="00BC43B2">
        <w:rPr>
          <w:rFonts w:ascii="Palatino Linotype" w:hAnsi="Palatino Linotype"/>
        </w:rPr>
        <w:t>their</w:t>
      </w:r>
      <w:r w:rsidRPr="00251AAB">
        <w:rPr>
          <w:rFonts w:ascii="Palatino Linotype" w:hAnsi="Palatino Linotype"/>
        </w:rPr>
        <w:t xml:space="preserve"> GRC Test Year 2028 to incorporate NGLA program expenses, which is expected to be filed by May 15, 2026. SDG&amp;E acknowledges this in AL 3285-G-A.</w:t>
      </w:r>
      <w:r w:rsidRPr="00251AAB">
        <w:rPr>
          <w:rStyle w:val="FootnoteReference"/>
          <w:rFonts w:ascii="Palatino Linotype" w:hAnsi="Palatino Linotype"/>
        </w:rPr>
        <w:footnoteReference w:id="35"/>
      </w:r>
    </w:p>
    <w:p w:rsidRPr="00251AAB" w:rsidR="002755F3" w:rsidP="002755F3" w:rsidRDefault="002755F3" w14:paraId="1A2F3A60" w14:textId="6DBBBEB1">
      <w:pPr>
        <w:spacing w:after="100"/>
        <w:rPr>
          <w:rFonts w:ascii="Palatino Linotype" w:hAnsi="Palatino Linotype"/>
        </w:rPr>
      </w:pPr>
      <w:r w:rsidRPr="00251AAB">
        <w:rPr>
          <w:rFonts w:ascii="Palatino Linotype" w:hAnsi="Palatino Linotype"/>
        </w:rPr>
        <w:t xml:space="preserve">SDG&amp;E is therefore directed to incorporate the NGLA program’s costs in its next GRC proceeding and to incorporate NGLA expenses into its GRC applications or other application proceeding going forward. </w:t>
      </w:r>
      <w:r w:rsidRPr="00251AAB" w:rsidR="00750D94">
        <w:rPr>
          <w:rFonts w:ascii="Palatino Linotype" w:hAnsi="Palatino Linotype"/>
        </w:rPr>
        <w:t>SDG&amp;E</w:t>
      </w:r>
      <w:r w:rsidRPr="00251AAB">
        <w:rPr>
          <w:rFonts w:ascii="Palatino Linotype" w:hAnsi="Palatino Linotype"/>
        </w:rPr>
        <w:t xml:space="preserve"> shall submit its approved biennial NGLA compliance plans and SPD’s evaluation thereof into the record of any GRC or other application proceeding in which recovery for costs associated with that compliance plan is sought. </w:t>
      </w:r>
    </w:p>
    <w:p w:rsidRPr="00251AAB" w:rsidR="007254A6" w:rsidP="00CC634C" w:rsidRDefault="009B037F" w14:paraId="72C86F2E" w14:textId="6060D114">
      <w:pPr>
        <w:spacing w:after="0" w:line="240" w:lineRule="auto"/>
        <w:rPr>
          <w:rFonts w:ascii="Palatino Linotype" w:hAnsi="Palatino Linotype"/>
        </w:rPr>
      </w:pPr>
      <w:r w:rsidRPr="00251AAB">
        <w:rPr>
          <w:rFonts w:ascii="Palatino Linotype" w:hAnsi="Palatino Linotype" w:eastAsia="Calibri" w:cs="Arial"/>
          <w:kern w:val="0"/>
          <w14:ligatures w14:val="none"/>
        </w:rPr>
        <w:t xml:space="preserve"> </w:t>
      </w:r>
    </w:p>
    <w:p w:rsidRPr="00251AAB" w:rsidR="00A76F4A" w:rsidP="00A76F4A" w:rsidRDefault="00A76F4A" w14:paraId="5B774C1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Comments</w:t>
      </w:r>
    </w:p>
    <w:p w:rsidRPr="00251AAB" w:rsidR="00A76F4A" w:rsidP="00A76F4A" w:rsidRDefault="00A76F4A" w14:paraId="5856CC6E" w14:textId="77777777">
      <w:pPr>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251AAB" w:rsidR="00A76F4A" w:rsidP="00A76F4A" w:rsidRDefault="00A76F4A" w14:paraId="14ED6F68"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73D79B48" w14:textId="77777777">
      <w:pPr>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Pr="00251AAB" w:rsidR="00A76F4A" w:rsidP="00A76F4A" w:rsidRDefault="00A76F4A" w14:paraId="316D0355"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46563B5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Findings AND CONCLUSIONS</w:t>
      </w:r>
    </w:p>
    <w:p w:rsidRPr="00251AAB" w:rsidR="00750D94" w:rsidP="00750D94" w:rsidRDefault="00750D94" w14:paraId="2B716B9A"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September 1, 2014, Senate Bill (SB) 1371 (Leno), codified in Pub. Util Code section 975 et seq, was signed into law, authorizing the California Public </w:t>
      </w:r>
      <w:r w:rsidRPr="00251AAB">
        <w:rPr>
          <w:rFonts w:ascii="Palatino Linotype" w:hAnsi="Palatino Linotype"/>
        </w:rPr>
        <w:lastRenderedPageBreak/>
        <w:t>Utilities Commission (CPUC) to adopt rules and procedures to reduce emissions of natural gas from CPUC-regulated gas facilities to the maximum extent feasible while giving due consideration to costs.</w:t>
      </w:r>
    </w:p>
    <w:p w:rsidRPr="00251AAB" w:rsidR="00750D94" w:rsidP="00750D94" w:rsidRDefault="00750D94" w14:paraId="3939B22F"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SB 1371 requires that affordability be a priority of the emissions reduction program.</w:t>
      </w:r>
    </w:p>
    <w:p w:rsidRPr="00251AAB" w:rsidR="00750D94" w:rsidP="00750D94" w:rsidRDefault="00750D94" w14:paraId="75759A99"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Public Utilities Code section 975(e)(1) requires approval of emissions reduction measures that are both cost-effective and technologically feasible. </w:t>
      </w:r>
    </w:p>
    <w:p w:rsidRPr="00251AAB" w:rsidR="00750D94" w:rsidP="00750D94" w:rsidRDefault="00750D94" w14:paraId="3BB8E481" w14:textId="77777777">
      <w:pPr>
        <w:pStyle w:val="ListParagraph"/>
        <w:keepNext/>
        <w:numPr>
          <w:ilvl w:val="0"/>
          <w:numId w:val="13"/>
        </w:numPr>
        <w:adjustRightInd w:val="0"/>
        <w:spacing w:before="120" w:after="0" w:line="240" w:lineRule="auto"/>
        <w:rPr>
          <w:rStyle w:val="BookTitle"/>
          <w:rFonts w:ascii="Palatino Linotype" w:hAnsi="Palatino Linotype"/>
          <w:b w:val="0"/>
          <w:bCs w:val="0"/>
          <w:i w:val="0"/>
          <w:iCs w:val="0"/>
        </w:rPr>
      </w:pPr>
      <w:r w:rsidRPr="00251AAB">
        <w:rPr>
          <w:rStyle w:val="BookTitle"/>
          <w:rFonts w:ascii="Palatino Linotype" w:hAnsi="Palatino Linotype"/>
          <w:b w:val="0"/>
          <w:bCs w:val="0"/>
          <w:i w:val="0"/>
          <w:iCs w:val="0"/>
        </w:rPr>
        <w:t>On September 19, 2016, SB 1383 (Lara) was signed into law, requiring the California Air Resources Board, in coordination with other state and local agencies, to approve and begin implementing a comprehensive strategy by January 1, 2018, to reduce methane emissions by 40 percent by 2030.</w:t>
      </w:r>
    </w:p>
    <w:p w:rsidRPr="00251AAB" w:rsidR="00750D94" w:rsidP="00750D94" w:rsidRDefault="00750D94" w14:paraId="3F230BB2"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Decisions (D.) 17-06-015 and D.19-08-020 ordered ratemaking forecasts for the Natural Gas Leak Abatement Program (NGLA) to be submitted in Tier 3 Advice Letters, which require approval via CPUC resolutions.</w:t>
      </w:r>
    </w:p>
    <w:p w:rsidRPr="00251AAB" w:rsidR="00750D94" w:rsidDel="005A5C81" w:rsidP="00750D94" w:rsidRDefault="00750D94" w14:paraId="3E84758B" w14:textId="067E3461">
      <w:pPr>
        <w:pStyle w:val="ListParagraph"/>
        <w:keepNext/>
        <w:numPr>
          <w:ilvl w:val="0"/>
          <w:numId w:val="13"/>
        </w:numPr>
        <w:adjustRightInd w:val="0"/>
        <w:spacing w:before="120" w:after="0" w:line="240" w:lineRule="auto"/>
        <w:rPr>
          <w:rFonts w:ascii="Palatino Linotype" w:hAnsi="Palatino Linotype"/>
        </w:rPr>
      </w:pPr>
      <w:r w:rsidRPr="00251AAB" w:rsidDel="005A5C81">
        <w:rPr>
          <w:rFonts w:ascii="Palatino Linotype" w:hAnsi="Palatino Linotype"/>
        </w:rPr>
        <w:t xml:space="preserve">D.17-06-015 required </w:t>
      </w:r>
      <w:r w:rsidRPr="00251AAB">
        <w:rPr>
          <w:rFonts w:ascii="Palatino Linotype" w:hAnsi="Palatino Linotype"/>
        </w:rPr>
        <w:t>SDG&amp;E</w:t>
      </w:r>
      <w:r w:rsidRPr="00251AAB" w:rsidDel="005A5C81">
        <w:rPr>
          <w:rFonts w:ascii="Palatino Linotype" w:hAnsi="Palatino Linotype"/>
        </w:rPr>
        <w:t xml:space="preserve"> to establish a two-way balancing account for incremental NGLA program expenditures related to Best Practices in the form of a subaccount to its New Environmental Regulatory Balancing Account (NERBA), and to create a one-way balancing account for the costs of the NGLA program’s Research, Development and Demonstration (RD&amp;D) activities. </w:t>
      </w:r>
    </w:p>
    <w:p w:rsidRPr="00251AAB" w:rsidR="00750D94" w:rsidDel="005A5C81" w:rsidP="00750D94" w:rsidRDefault="00750D94" w14:paraId="7A9E3314" w14:textId="38F16572">
      <w:pPr>
        <w:pStyle w:val="ListParagraph"/>
        <w:keepNext/>
        <w:numPr>
          <w:ilvl w:val="0"/>
          <w:numId w:val="13"/>
        </w:numPr>
        <w:adjustRightInd w:val="0"/>
        <w:spacing w:before="120" w:after="0" w:line="240" w:lineRule="auto"/>
        <w:rPr>
          <w:rFonts w:ascii="Palatino Linotype" w:hAnsi="Palatino Linotype"/>
        </w:rPr>
      </w:pPr>
      <w:r w:rsidRPr="00251AAB" w:rsidDel="005A5C81">
        <w:rPr>
          <w:rFonts w:ascii="Palatino Linotype" w:hAnsi="Palatino Linotype"/>
        </w:rPr>
        <w:t xml:space="preserve">D.17-06-015 required </w:t>
      </w:r>
      <w:r w:rsidRPr="00251AAB">
        <w:rPr>
          <w:rFonts w:ascii="Palatino Linotype" w:hAnsi="Palatino Linotype"/>
        </w:rPr>
        <w:t>SDG&amp;E</w:t>
      </w:r>
      <w:r w:rsidRPr="00251AAB" w:rsidDel="005A5C81">
        <w:rPr>
          <w:rFonts w:ascii="Palatino Linotype" w:hAnsi="Palatino Linotype"/>
        </w:rPr>
        <w:t xml:space="preserve"> to create a Memorandum Account for incremental administrative costs associated with the Natural Gas Leak Abatement Program expenditures.</w:t>
      </w:r>
    </w:p>
    <w:p w:rsidRPr="00251AAB" w:rsidR="00750D94" w:rsidP="00750D94" w:rsidRDefault="00750D94" w14:paraId="221A8173" w14:textId="6EC17E18">
      <w:pPr>
        <w:pStyle w:val="ListParagraph"/>
        <w:keepNext/>
        <w:numPr>
          <w:ilvl w:val="0"/>
          <w:numId w:val="13"/>
        </w:numPr>
        <w:adjustRightInd w:val="0"/>
        <w:spacing w:before="120" w:after="0" w:line="240" w:lineRule="auto"/>
        <w:rPr>
          <w:rFonts w:ascii="Palatino Linotype" w:hAnsi="Palatino Linotype"/>
        </w:rPr>
      </w:pPr>
      <w:bookmarkStart w:name="_Hlk172731776" w:id="6"/>
      <w:r w:rsidRPr="00251AAB">
        <w:rPr>
          <w:rFonts w:ascii="Palatino Linotype" w:hAnsi="Palatino Linotype"/>
        </w:rPr>
        <w:t xml:space="preserve">Ordering Paragraph 12 of D.17-06-015 provides that the ratemaking forecasts and caps that the CPUC approves in response to the Tier 3 ALs shall apply until the NGLA is incorporated into each </w:t>
      </w:r>
      <w:r w:rsidRPr="00251AAB" w:rsidR="008A257A">
        <w:rPr>
          <w:rFonts w:ascii="Palatino Linotype" w:hAnsi="Palatino Linotype"/>
        </w:rPr>
        <w:t>u</w:t>
      </w:r>
      <w:r w:rsidRPr="00251AAB">
        <w:rPr>
          <w:rFonts w:ascii="Palatino Linotype" w:hAnsi="Palatino Linotype"/>
        </w:rPr>
        <w:t>tility’s next General Rate Case or other gas ratemaking proceeding.</w:t>
      </w:r>
    </w:p>
    <w:p w:rsidRPr="00251AAB" w:rsidR="00750D94" w:rsidP="00750D94" w:rsidRDefault="00750D94" w14:paraId="6DE4E3EE" w14:textId="4912C470">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On November 18, 2021, the CPUC’s Executive Director granted SoCalGas</w:t>
      </w:r>
      <w:r w:rsidRPr="00251AAB" w:rsidR="00BC43B2">
        <w:rPr>
          <w:rFonts w:ascii="Palatino Linotype" w:hAnsi="Palatino Linotype"/>
        </w:rPr>
        <w:t xml:space="preserve"> </w:t>
      </w:r>
      <w:r w:rsidRPr="00251AAB" w:rsidR="00D52B8A">
        <w:rPr>
          <w:rFonts w:ascii="Palatino Linotype" w:hAnsi="Palatino Linotype"/>
        </w:rPr>
        <w:t>and</w:t>
      </w:r>
      <w:r w:rsidRPr="00251AAB" w:rsidR="00BC43B2">
        <w:rPr>
          <w:rFonts w:ascii="Palatino Linotype" w:hAnsi="Palatino Linotype"/>
        </w:rPr>
        <w:t xml:space="preserve"> SDG&amp;E</w:t>
      </w:r>
      <w:r w:rsidRPr="00251AAB">
        <w:rPr>
          <w:rFonts w:ascii="Palatino Linotype" w:hAnsi="Palatino Linotype"/>
        </w:rPr>
        <w:t xml:space="preserve"> an extension of time to comply with OP 12 of D.17-06-015, delaying the incorporation of SDG&amp;E’ leak abatement programs into their GRC until their next General Rate Case, which is expected to be filed by May 15, 2026.</w:t>
      </w:r>
    </w:p>
    <w:bookmarkEnd w:id="6"/>
    <w:p w:rsidRPr="00251AAB" w:rsidR="00750D94" w:rsidP="00750D94" w:rsidRDefault="00750D94" w14:paraId="0109026C"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D.19-08-020 required the use of a standard cost effectiveness methodology and two additional cost-benefit analyses that calculate the benefit of avoided </w:t>
      </w:r>
      <w:r w:rsidRPr="00251AAB">
        <w:rPr>
          <w:rFonts w:ascii="Palatino Linotype" w:hAnsi="Palatino Linotype"/>
        </w:rPr>
        <w:lastRenderedPageBreak/>
        <w:t xml:space="preserve">Cap and Trade compliance costs and the benefit of the avoided Social Cost of Methane. </w:t>
      </w:r>
    </w:p>
    <w:p w:rsidRPr="00251AAB" w:rsidR="00750D94" w:rsidP="00750D94" w:rsidRDefault="00750D94" w14:paraId="51AE9E82"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The avoided Cap and Trade costs and the avoided Social Cost of Methane tests are to be used for information and comparison purposes.</w:t>
      </w:r>
    </w:p>
    <w:p w:rsidRPr="00251AAB" w:rsidR="00750D94" w:rsidP="00750D94" w:rsidRDefault="00750D94" w14:paraId="3203EE9D"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D.07-06-015 and D.19-08-020 authorize SPD to approve biennial compliance plans and disapprove any project it deems not in ratepayers’ interest.</w:t>
      </w:r>
    </w:p>
    <w:p w:rsidRPr="00251AAB" w:rsidR="00750D94" w:rsidDel="00E73E99" w:rsidP="00750D94" w:rsidRDefault="00750D94" w14:paraId="5BE5CC3C" w14:textId="784269A5">
      <w:pPr>
        <w:pStyle w:val="ListParagraph"/>
        <w:keepNext/>
        <w:numPr>
          <w:ilvl w:val="0"/>
          <w:numId w:val="13"/>
        </w:numPr>
        <w:adjustRightInd w:val="0"/>
        <w:spacing w:before="120" w:after="0" w:line="240" w:lineRule="auto"/>
        <w:rPr>
          <w:rFonts w:ascii="Palatino Linotype" w:hAnsi="Palatino Linotype"/>
        </w:rPr>
      </w:pPr>
      <w:r w:rsidRPr="00251AAB" w:rsidDel="00E73E99">
        <w:rPr>
          <w:rFonts w:ascii="Palatino Linotype" w:hAnsi="Palatino Linotype"/>
        </w:rPr>
        <w:t xml:space="preserve">On </w:t>
      </w:r>
      <w:r w:rsidRPr="00251AAB" w:rsidR="0030246C">
        <w:rPr>
          <w:rFonts w:ascii="Palatino Linotype" w:hAnsi="Palatino Linotype"/>
        </w:rPr>
        <w:t>July 31, 2018</w:t>
      </w:r>
      <w:r w:rsidRPr="00251AAB" w:rsidR="00E128B4">
        <w:rPr>
          <w:rFonts w:ascii="Palatino Linotype" w:hAnsi="Palatino Linotype"/>
        </w:rPr>
        <w:t>, SDG&amp;E</w:t>
      </w:r>
      <w:r w:rsidRPr="00251AAB" w:rsidDel="00E73E99">
        <w:rPr>
          <w:rFonts w:ascii="Palatino Linotype" w:hAnsi="Palatino Linotype"/>
        </w:rPr>
        <w:t xml:space="preserve"> filed AL </w:t>
      </w:r>
      <w:r w:rsidRPr="00251AAB" w:rsidR="00E128B4">
        <w:rPr>
          <w:rFonts w:ascii="Palatino Linotype" w:hAnsi="Palatino Linotype"/>
        </w:rPr>
        <w:t>2621</w:t>
      </w:r>
      <w:r w:rsidRPr="00251AAB" w:rsidDel="00E73E99">
        <w:rPr>
          <w:rFonts w:ascii="Palatino Linotype" w:hAnsi="Palatino Linotype"/>
        </w:rPr>
        <w:t>-G</w:t>
      </w:r>
      <w:r w:rsidRPr="00251AAB" w:rsidR="0030246C">
        <w:rPr>
          <w:rFonts w:ascii="Palatino Linotype" w:hAnsi="Palatino Linotype"/>
        </w:rPr>
        <w:t>-B</w:t>
      </w:r>
      <w:r w:rsidRPr="00251AAB" w:rsidDel="00E73E99">
        <w:rPr>
          <w:rFonts w:ascii="Palatino Linotype" w:hAnsi="Palatino Linotype"/>
        </w:rPr>
        <w:t xml:space="preserve">, which was approved with modifications in Resolution </w:t>
      </w:r>
      <w:r w:rsidRPr="00251AAB" w:rsidR="00466E6E">
        <w:rPr>
          <w:rFonts w:ascii="Palatino Linotype" w:hAnsi="Palatino Linotype"/>
        </w:rPr>
        <w:t>G-</w:t>
      </w:r>
      <w:r w:rsidRPr="00251AAB" w:rsidDel="00E73E99">
        <w:rPr>
          <w:rFonts w:ascii="Palatino Linotype" w:hAnsi="Palatino Linotype"/>
        </w:rPr>
        <w:t>3538 on October 1</w:t>
      </w:r>
      <w:r w:rsidRPr="00251AAB" w:rsidR="00175228">
        <w:rPr>
          <w:rFonts w:ascii="Palatino Linotype" w:hAnsi="Palatino Linotype"/>
        </w:rPr>
        <w:t>1</w:t>
      </w:r>
      <w:r w:rsidRPr="00251AAB" w:rsidDel="00E73E99">
        <w:rPr>
          <w:rFonts w:ascii="Palatino Linotype" w:hAnsi="Palatino Linotype"/>
        </w:rPr>
        <w:t xml:space="preserve">, 2018. </w:t>
      </w:r>
    </w:p>
    <w:p w:rsidRPr="00251AAB" w:rsidR="00750D94" w:rsidP="00750D94" w:rsidRDefault="00750D94" w14:paraId="19D8F36A" w14:textId="519858B8">
      <w:pPr>
        <w:pStyle w:val="ListParagraph"/>
        <w:keepNext/>
        <w:numPr>
          <w:ilvl w:val="0"/>
          <w:numId w:val="13"/>
        </w:numPr>
        <w:adjustRightInd w:val="0"/>
        <w:spacing w:before="120" w:after="0" w:line="240" w:lineRule="auto"/>
        <w:rPr>
          <w:rFonts w:ascii="Palatino Linotype" w:hAnsi="Palatino Linotype"/>
        </w:rPr>
      </w:pPr>
      <w:r w:rsidRPr="00251AAB" w:rsidDel="00E73E99">
        <w:rPr>
          <w:rFonts w:ascii="Palatino Linotype" w:hAnsi="Palatino Linotype"/>
        </w:rPr>
        <w:t>On December 17, 2020, the CPUC issued Resolution (R.) G-357</w:t>
      </w:r>
      <w:r w:rsidRPr="00251AAB" w:rsidR="0030246C">
        <w:rPr>
          <w:rFonts w:ascii="Palatino Linotype" w:hAnsi="Palatino Linotype"/>
        </w:rPr>
        <w:t>7</w:t>
      </w:r>
      <w:r w:rsidRPr="00251AAB" w:rsidDel="00E73E99">
        <w:rPr>
          <w:rFonts w:ascii="Palatino Linotype" w:hAnsi="Palatino Linotype"/>
        </w:rPr>
        <w:t xml:space="preserve"> approving AL </w:t>
      </w:r>
      <w:r w:rsidRPr="00251AAB" w:rsidR="0030246C">
        <w:rPr>
          <w:rFonts w:ascii="Palatino Linotype" w:hAnsi="Palatino Linotype"/>
        </w:rPr>
        <w:t>2852-G cost forecasts for</w:t>
      </w:r>
      <w:r w:rsidRPr="00251AAB" w:rsidDel="00E73E99">
        <w:rPr>
          <w:rFonts w:ascii="Palatino Linotype" w:hAnsi="Palatino Linotype"/>
        </w:rPr>
        <w:t xml:space="preserve"> the </w:t>
      </w:r>
      <w:r w:rsidRPr="00251AAB" w:rsidR="00BC43B2">
        <w:rPr>
          <w:rFonts w:ascii="Palatino Linotype" w:hAnsi="Palatino Linotype"/>
        </w:rPr>
        <w:t>SDG&amp;E</w:t>
      </w:r>
      <w:r w:rsidRPr="00251AAB" w:rsidDel="00E73E99">
        <w:rPr>
          <w:rFonts w:ascii="Palatino Linotype" w:hAnsi="Palatino Linotype"/>
        </w:rPr>
        <w:t xml:space="preserve"> 2020 Compliance Plan for a Total Revenue Requirement of $</w:t>
      </w:r>
      <w:r w:rsidRPr="00251AAB" w:rsidR="009A5BD1">
        <w:rPr>
          <w:rFonts w:ascii="Palatino Linotype" w:hAnsi="Palatino Linotype"/>
        </w:rPr>
        <w:t>15.8</w:t>
      </w:r>
      <w:r w:rsidRPr="00251AAB" w:rsidDel="00E73E99">
        <w:rPr>
          <w:rFonts w:ascii="Palatino Linotype" w:hAnsi="Palatino Linotype"/>
        </w:rPr>
        <w:t xml:space="preserve"> million over the life of the capital projects. This resulted in an overall rate increase of 0.</w:t>
      </w:r>
      <w:r w:rsidRPr="00251AAB" w:rsidR="009A5BD1">
        <w:rPr>
          <w:rFonts w:ascii="Palatino Linotype" w:hAnsi="Palatino Linotype"/>
        </w:rPr>
        <w:t>7</w:t>
      </w:r>
      <w:r w:rsidRPr="00251AAB" w:rsidDel="00E73E99">
        <w:rPr>
          <w:rFonts w:ascii="Palatino Linotype" w:hAnsi="Palatino Linotype"/>
        </w:rPr>
        <w:t xml:space="preserve"> percent for 2021 and</w:t>
      </w:r>
      <w:r w:rsidRPr="00251AAB" w:rsidR="009A5BD1">
        <w:rPr>
          <w:rFonts w:ascii="Palatino Linotype" w:hAnsi="Palatino Linotype"/>
        </w:rPr>
        <w:t xml:space="preserve"> 0.3 percent in</w:t>
      </w:r>
      <w:r w:rsidRPr="00251AAB" w:rsidDel="00E73E99">
        <w:rPr>
          <w:rFonts w:ascii="Palatino Linotype" w:hAnsi="Palatino Linotype"/>
        </w:rPr>
        <w:t xml:space="preserve"> 2022</w:t>
      </w:r>
      <w:r w:rsidRPr="00251AAB">
        <w:rPr>
          <w:rFonts w:ascii="Palatino Linotype" w:hAnsi="Palatino Linotype"/>
        </w:rPr>
        <w:t>.</w:t>
      </w:r>
    </w:p>
    <w:p w:rsidRPr="00251AAB" w:rsidR="009A5BD1" w:rsidP="00750D94" w:rsidRDefault="009A5BD1" w14:paraId="098DC53D" w14:textId="3473D182">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On November 18, 2021, the CPUC's Executive Director granted SDG&amp;E an extension of time to comply with OP 12 of D.17-06-015, delaying the inclusion of SDG&amp;E’s leak abatement programs in the GRC until Test Year 2028, which is expected to be filed by May 15, 2026.</w:t>
      </w:r>
    </w:p>
    <w:p w:rsidRPr="00251AAB" w:rsidR="009A5BD1" w:rsidP="00750D94" w:rsidRDefault="009A5BD1" w14:paraId="6BEC6304" w14:textId="55FFE660">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March 15, </w:t>
      </w:r>
      <w:r w:rsidRPr="00251AAB" w:rsidR="003966B5">
        <w:rPr>
          <w:rFonts w:ascii="Palatino Linotype" w:hAnsi="Palatino Linotype"/>
        </w:rPr>
        <w:t xml:space="preserve">2022, </w:t>
      </w:r>
      <w:r w:rsidRPr="00251AAB">
        <w:rPr>
          <w:rFonts w:ascii="Palatino Linotype" w:hAnsi="Palatino Linotype"/>
        </w:rPr>
        <w:t xml:space="preserve">SDG&amp;E submitted its 2023 NGLA Compliance Plan and AL 3071-G, requesting </w:t>
      </w:r>
      <w:r w:rsidRPr="00251AAB" w:rsidR="003966B5">
        <w:rPr>
          <w:rFonts w:ascii="Palatino Linotype" w:hAnsi="Palatino Linotype"/>
        </w:rPr>
        <w:t>approval</w:t>
      </w:r>
      <w:r w:rsidRPr="00251AAB">
        <w:rPr>
          <w:rFonts w:ascii="Palatino Linotype" w:hAnsi="Palatino Linotype"/>
        </w:rPr>
        <w:t xml:space="preserve"> for the </w:t>
      </w:r>
      <w:r w:rsidRPr="00251AAB" w:rsidR="003966B5">
        <w:rPr>
          <w:rFonts w:ascii="Palatino Linotype" w:hAnsi="Palatino Linotype"/>
        </w:rPr>
        <w:t xml:space="preserve">forecasted </w:t>
      </w:r>
      <w:r w:rsidRPr="00251AAB">
        <w:rPr>
          <w:rFonts w:ascii="Palatino Linotype" w:hAnsi="Palatino Linotype"/>
        </w:rPr>
        <w:t>costs of the plan, which w</w:t>
      </w:r>
      <w:r w:rsidRPr="00251AAB" w:rsidR="003966B5">
        <w:rPr>
          <w:rFonts w:ascii="Palatino Linotype" w:hAnsi="Palatino Linotype"/>
        </w:rPr>
        <w:t>ere</w:t>
      </w:r>
      <w:r w:rsidRPr="00251AAB">
        <w:rPr>
          <w:rFonts w:ascii="Palatino Linotype" w:hAnsi="Palatino Linotype"/>
        </w:rPr>
        <w:t xml:space="preserve"> subsequently revised and corrected in AL 3071-G-A and AL 3071-G-B.</w:t>
      </w:r>
    </w:p>
    <w:p w:rsidRPr="00251AAB" w:rsidR="00750D94" w:rsidDel="00E73E99" w:rsidP="00750D94" w:rsidRDefault="00750D94" w14:paraId="32FEE647" w14:textId="75A88400">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w:t>
      </w:r>
      <w:r w:rsidRPr="00251AAB" w:rsidR="003966B5">
        <w:rPr>
          <w:rFonts w:ascii="Palatino Linotype" w:hAnsi="Palatino Linotype"/>
        </w:rPr>
        <w:t>June 29</w:t>
      </w:r>
      <w:r w:rsidRPr="00251AAB">
        <w:rPr>
          <w:rFonts w:ascii="Palatino Linotype" w:hAnsi="Palatino Linotype"/>
        </w:rPr>
        <w:t>, 2023, the CPUC issued</w:t>
      </w:r>
      <w:r w:rsidRPr="00251AAB" w:rsidDel="00E73E99">
        <w:rPr>
          <w:rFonts w:ascii="Palatino Linotype" w:hAnsi="Palatino Linotype"/>
        </w:rPr>
        <w:t xml:space="preserve"> Resolution G-359</w:t>
      </w:r>
      <w:r w:rsidRPr="00251AAB" w:rsidR="003966B5">
        <w:rPr>
          <w:rFonts w:ascii="Palatino Linotype" w:hAnsi="Palatino Linotype"/>
        </w:rPr>
        <w:t>9</w:t>
      </w:r>
      <w:r w:rsidRPr="00251AAB" w:rsidDel="00E73E99">
        <w:rPr>
          <w:rFonts w:ascii="Palatino Linotype" w:hAnsi="Palatino Linotype"/>
        </w:rPr>
        <w:t xml:space="preserve">, partially </w:t>
      </w:r>
      <w:r w:rsidRPr="00251AAB">
        <w:rPr>
          <w:rFonts w:ascii="Palatino Linotype" w:hAnsi="Palatino Linotype"/>
        </w:rPr>
        <w:t>approving</w:t>
      </w:r>
      <w:r w:rsidRPr="00251AAB" w:rsidDel="00E73E99">
        <w:rPr>
          <w:rFonts w:ascii="Palatino Linotype" w:hAnsi="Palatino Linotype"/>
        </w:rPr>
        <w:t xml:space="preserve"> </w:t>
      </w:r>
      <w:r w:rsidRPr="00251AAB">
        <w:rPr>
          <w:rFonts w:ascii="Palatino Linotype" w:hAnsi="Palatino Linotype"/>
        </w:rPr>
        <w:br/>
      </w:r>
      <w:r w:rsidRPr="00251AAB" w:rsidDel="00E73E99">
        <w:rPr>
          <w:rFonts w:ascii="Palatino Linotype" w:hAnsi="Palatino Linotype"/>
        </w:rPr>
        <w:t xml:space="preserve">AL </w:t>
      </w:r>
      <w:r w:rsidRPr="00251AAB" w:rsidR="005C2654">
        <w:rPr>
          <w:rFonts w:ascii="Palatino Linotype" w:hAnsi="Palatino Linotype"/>
        </w:rPr>
        <w:t>3071</w:t>
      </w:r>
      <w:r w:rsidRPr="00251AAB" w:rsidDel="00E73E99">
        <w:rPr>
          <w:rFonts w:ascii="Palatino Linotype" w:hAnsi="Palatino Linotype"/>
        </w:rPr>
        <w:t xml:space="preserve">-G-B, authorizing funding of </w:t>
      </w:r>
      <w:r w:rsidRPr="00251AAB" w:rsidR="005E48FC">
        <w:rPr>
          <w:rFonts w:ascii="Palatino Linotype" w:hAnsi="Palatino Linotype"/>
        </w:rPr>
        <w:t>$19,265,211</w:t>
      </w:r>
      <w:r w:rsidRPr="00251AAB" w:rsidDel="00E73E99">
        <w:rPr>
          <w:rFonts w:ascii="Palatino Linotype" w:hAnsi="Palatino Linotype"/>
        </w:rPr>
        <w:t xml:space="preserve">, representing a reduction of approximately </w:t>
      </w:r>
      <w:r w:rsidRPr="00251AAB" w:rsidR="003966B5">
        <w:rPr>
          <w:rFonts w:ascii="Palatino Linotype" w:hAnsi="Palatino Linotype"/>
        </w:rPr>
        <w:t>21</w:t>
      </w:r>
      <w:r w:rsidRPr="00251AAB" w:rsidDel="00E73E99">
        <w:rPr>
          <w:rFonts w:ascii="Palatino Linotype" w:hAnsi="Palatino Linotype"/>
        </w:rPr>
        <w:t xml:space="preserve"> percent from </w:t>
      </w:r>
      <w:r w:rsidRPr="00251AAB" w:rsidR="003966B5">
        <w:rPr>
          <w:rFonts w:ascii="Palatino Linotype" w:hAnsi="Palatino Linotype"/>
        </w:rPr>
        <w:t>SDG&amp;E’s</w:t>
      </w:r>
      <w:r w:rsidRPr="00251AAB" w:rsidDel="00E73E99">
        <w:rPr>
          <w:rFonts w:ascii="Palatino Linotype" w:hAnsi="Palatino Linotype"/>
        </w:rPr>
        <w:t xml:space="preserve"> funding request.</w:t>
      </w:r>
    </w:p>
    <w:p w:rsidRPr="00251AAB" w:rsidR="00750D94" w:rsidP="00750D94" w:rsidRDefault="00750D94" w14:paraId="77D4F12E" w14:textId="63A0338A">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March 15, 2024, </w:t>
      </w:r>
      <w:r w:rsidRPr="00251AAB" w:rsidR="003966B5">
        <w:rPr>
          <w:rFonts w:ascii="Palatino Linotype" w:hAnsi="Palatino Linotype"/>
        </w:rPr>
        <w:t>SDG&amp;E</w:t>
      </w:r>
      <w:r w:rsidRPr="00251AAB">
        <w:rPr>
          <w:rFonts w:ascii="Palatino Linotype" w:hAnsi="Palatino Linotype"/>
        </w:rPr>
        <w:t xml:space="preserve"> submitted its 2024 NGLA Compliance Plan along with </w:t>
      </w:r>
      <w:r w:rsidRPr="00251AAB" w:rsidR="003966B5">
        <w:rPr>
          <w:rFonts w:ascii="Palatino Linotype" w:hAnsi="Palatino Linotype"/>
        </w:rPr>
        <w:t>AL 3285-G</w:t>
      </w:r>
      <w:r w:rsidRPr="00251AAB">
        <w:rPr>
          <w:rFonts w:ascii="Palatino Linotype" w:hAnsi="Palatino Linotype"/>
        </w:rPr>
        <w:t xml:space="preserve"> </w:t>
      </w:r>
      <w:bookmarkStart w:name="_Hlk201595989" w:id="7"/>
      <w:r w:rsidRPr="00251AAB">
        <w:rPr>
          <w:rFonts w:ascii="Palatino Linotype" w:hAnsi="Palatino Linotype"/>
        </w:rPr>
        <w:t>requesting recovery of its forecasted costs for the Plan</w:t>
      </w:r>
      <w:bookmarkEnd w:id="7"/>
      <w:r w:rsidRPr="00251AAB">
        <w:rPr>
          <w:rFonts w:ascii="Palatino Linotype" w:hAnsi="Palatino Linotype"/>
        </w:rPr>
        <w:t xml:space="preserve">. </w:t>
      </w:r>
    </w:p>
    <w:p w:rsidRPr="00251AAB" w:rsidR="00676B7C" w:rsidP="00676B7C" w:rsidRDefault="00676B7C" w14:paraId="791A1BD7" w14:textId="77777777">
      <w:pPr>
        <w:pStyle w:val="ListParagraph"/>
        <w:numPr>
          <w:ilvl w:val="0"/>
          <w:numId w:val="13"/>
        </w:numPr>
        <w:spacing w:line="240" w:lineRule="auto"/>
        <w:rPr>
          <w:rFonts w:ascii="Palatino Linotype" w:hAnsi="Palatino Linotype"/>
          <w14:ligatures w14:val="none"/>
        </w:rPr>
      </w:pPr>
      <w:r w:rsidRPr="00251AAB">
        <w:rPr>
          <w:rFonts w:ascii="Palatino Linotype" w:hAnsi="Palatino Linotype"/>
          <w14:ligatures w14:val="none"/>
        </w:rPr>
        <w:t>On October 22, 2024, Safety Policy Division issued a letter to SDG&amp;E: “Approval of Adjusted 2015 Baseline Emissions for San Diego Gas &amp; Electric Company,” which adjusted the 2015 emissions baseline from 284,762 MCF to 285,355 MCF.</w:t>
      </w:r>
    </w:p>
    <w:p w:rsidRPr="00251AAB" w:rsidR="00F62BCE" w:rsidP="004A6CEE" w:rsidRDefault="00750D94" w14:paraId="017F616B" w14:textId="67DA6654">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cs="Calibri"/>
        </w:rPr>
        <w:t xml:space="preserve">With the adoption of the adjusted baseline, SPD observes that </w:t>
      </w:r>
      <w:r w:rsidRPr="00251AAB" w:rsidR="003966B5">
        <w:rPr>
          <w:rFonts w:ascii="Palatino Linotype" w:hAnsi="Palatino Linotype" w:cs="Calibri"/>
        </w:rPr>
        <w:t>SDG&amp;E</w:t>
      </w:r>
      <w:r w:rsidRPr="00251AAB">
        <w:rPr>
          <w:rFonts w:ascii="Palatino Linotype" w:hAnsi="Palatino Linotype" w:cs="Calibri"/>
        </w:rPr>
        <w:t xml:space="preserve"> </w:t>
      </w:r>
      <w:r w:rsidRPr="00251AAB" w:rsidR="0021528E">
        <w:rPr>
          <w:rFonts w:ascii="Palatino Linotype" w:hAnsi="Palatino Linotype" w:cs="Calibri"/>
        </w:rPr>
        <w:t xml:space="preserve">has </w:t>
      </w:r>
      <w:r w:rsidRPr="00251AAB" w:rsidR="007320A3">
        <w:rPr>
          <w:rFonts w:ascii="Palatino Linotype" w:hAnsi="Palatino Linotype" w:cs="Calibri"/>
        </w:rPr>
        <w:t>reported</w:t>
      </w:r>
      <w:r w:rsidRPr="00251AAB" w:rsidR="0021528E">
        <w:rPr>
          <w:rFonts w:ascii="Palatino Linotype" w:hAnsi="Palatino Linotype" w:cs="Calibri"/>
        </w:rPr>
        <w:t xml:space="preserve"> an estimated </w:t>
      </w:r>
      <w:r w:rsidRPr="00251AAB" w:rsidR="008242C4">
        <w:rPr>
          <w:rFonts w:ascii="Palatino Linotype" w:hAnsi="Palatino Linotype" w:cs="Calibri"/>
        </w:rPr>
        <w:t xml:space="preserve">8 </w:t>
      </w:r>
      <w:r w:rsidRPr="00251AAB">
        <w:rPr>
          <w:rFonts w:ascii="Palatino Linotype" w:hAnsi="Palatino Linotype" w:cs="Calibri"/>
        </w:rPr>
        <w:t>percent reduction in emissions by the end of 2023</w:t>
      </w:r>
      <w:r w:rsidRPr="00251AAB" w:rsidR="00841880">
        <w:rPr>
          <w:rFonts w:ascii="Palatino Linotype" w:hAnsi="Palatino Linotype" w:cs="Calibri"/>
        </w:rPr>
        <w:t>.</w:t>
      </w:r>
      <w:r w:rsidRPr="00251AAB">
        <w:rPr>
          <w:rFonts w:ascii="Palatino Linotype" w:hAnsi="Palatino Linotype" w:cs="Calibri"/>
        </w:rPr>
        <w:t xml:space="preserve"> </w:t>
      </w:r>
    </w:p>
    <w:p w:rsidRPr="00251AAB" w:rsidR="00750D94" w:rsidP="00750D94" w:rsidRDefault="00750D94" w14:paraId="40BB4E0F" w14:textId="26DBD541">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w:t>
      </w:r>
      <w:r w:rsidRPr="00251AAB" w:rsidR="00BC43B2">
        <w:rPr>
          <w:rFonts w:ascii="Palatino Linotype" w:hAnsi="Palatino Linotype"/>
        </w:rPr>
        <w:t>November 5</w:t>
      </w:r>
      <w:r w:rsidRPr="00251AAB">
        <w:rPr>
          <w:rFonts w:ascii="Palatino Linotype" w:hAnsi="Palatino Linotype"/>
        </w:rPr>
        <w:t xml:space="preserve">, 2024, </w:t>
      </w:r>
      <w:r w:rsidRPr="00251AAB" w:rsidR="00BC43B2">
        <w:rPr>
          <w:rFonts w:ascii="Palatino Linotype" w:hAnsi="Palatino Linotype"/>
        </w:rPr>
        <w:t xml:space="preserve">SDG&amp;E </w:t>
      </w:r>
      <w:r w:rsidRPr="00251AAB">
        <w:rPr>
          <w:rFonts w:ascii="Palatino Linotype" w:hAnsi="Palatino Linotype"/>
        </w:rPr>
        <w:t xml:space="preserve">submitted AL </w:t>
      </w:r>
      <w:r w:rsidRPr="00251AAB" w:rsidR="00BC43B2">
        <w:rPr>
          <w:rFonts w:ascii="Palatino Linotype" w:hAnsi="Palatino Linotype"/>
        </w:rPr>
        <w:t>3285-G-A</w:t>
      </w:r>
      <w:r w:rsidRPr="00251AAB">
        <w:rPr>
          <w:rFonts w:ascii="Palatino Linotype" w:hAnsi="Palatino Linotype"/>
        </w:rPr>
        <w:t xml:space="preserve"> to correct inadvertent errors and a typo.</w:t>
      </w:r>
    </w:p>
    <w:p w:rsidRPr="00251AAB" w:rsidR="00750D94" w:rsidP="00750D94" w:rsidRDefault="00750D94" w14:paraId="6CAE6C97" w14:textId="166C013D">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In accordance with D.19-08-020, SPD approval of </w:t>
      </w:r>
      <w:r w:rsidRPr="00251AAB" w:rsidR="00841880">
        <w:rPr>
          <w:rFonts w:ascii="Palatino Linotype" w:hAnsi="Palatino Linotype"/>
        </w:rPr>
        <w:t xml:space="preserve">utility </w:t>
      </w:r>
      <w:r w:rsidRPr="00251AAB">
        <w:rPr>
          <w:rFonts w:ascii="Palatino Linotype" w:hAnsi="Palatino Linotype"/>
        </w:rPr>
        <w:t>Compliance Plan</w:t>
      </w:r>
      <w:r w:rsidRPr="00251AAB" w:rsidR="00841880">
        <w:rPr>
          <w:rFonts w:ascii="Palatino Linotype" w:hAnsi="Palatino Linotype"/>
        </w:rPr>
        <w:t>s</w:t>
      </w:r>
      <w:r w:rsidRPr="00251AAB">
        <w:rPr>
          <w:rFonts w:ascii="Palatino Linotype" w:hAnsi="Palatino Linotype"/>
        </w:rPr>
        <w:t xml:space="preserve"> is based on consideration of mandatory Best Practices, forecasted emission reductions, and cost-effectiveness. D.19-08-020 does not establish </w:t>
      </w:r>
      <w:r w:rsidRPr="00251AAB">
        <w:rPr>
          <w:rFonts w:ascii="Palatino Linotype" w:hAnsi="Palatino Linotype"/>
        </w:rPr>
        <w:br/>
      </w:r>
      <w:r w:rsidRPr="00251AAB">
        <w:rPr>
          <w:rFonts w:ascii="Palatino Linotype" w:hAnsi="Palatino Linotype"/>
        </w:rPr>
        <w:lastRenderedPageBreak/>
        <w:t xml:space="preserve">cost-effectiveness as the sole consideration, nor does it establish a </w:t>
      </w:r>
      <w:r w:rsidRPr="00251AAB">
        <w:rPr>
          <w:rFonts w:ascii="Palatino Linotype" w:hAnsi="Palatino Linotype"/>
        </w:rPr>
        <w:br/>
        <w:t xml:space="preserve">cost-effectiveness threshold. </w:t>
      </w:r>
    </w:p>
    <w:p w:rsidRPr="00251AAB" w:rsidR="00750D94" w:rsidP="00750D94" w:rsidRDefault="00750D94" w14:paraId="7A88C035" w14:textId="5A90F142">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Safety Policy Division </w:t>
      </w:r>
      <w:r w:rsidRPr="00251AAB" w:rsidR="007320A3">
        <w:rPr>
          <w:rFonts w:ascii="Palatino Linotype" w:hAnsi="Palatino Linotype"/>
        </w:rPr>
        <w:t>has evaluated</w:t>
      </w:r>
      <w:r w:rsidRPr="00251AAB">
        <w:rPr>
          <w:rFonts w:ascii="Palatino Linotype" w:hAnsi="Palatino Linotype"/>
        </w:rPr>
        <w:t xml:space="preserve"> </w:t>
      </w:r>
      <w:r w:rsidRPr="00251AAB" w:rsidR="00841880">
        <w:rPr>
          <w:rFonts w:ascii="Palatino Linotype" w:hAnsi="Palatino Linotype"/>
        </w:rPr>
        <w:t>SDG&amp;E’s 2024 Compliance Plan</w:t>
      </w:r>
      <w:r w:rsidRPr="00251AAB" w:rsidR="007320A3">
        <w:rPr>
          <w:rFonts w:ascii="Palatino Linotype" w:hAnsi="Palatino Linotype"/>
        </w:rPr>
        <w:t>’s</w:t>
      </w:r>
      <w:r w:rsidRPr="00251AAB" w:rsidR="00BC43B2">
        <w:rPr>
          <w:rFonts w:ascii="Palatino Linotype" w:hAnsi="Palatino Linotype"/>
        </w:rPr>
        <w:t xml:space="preserve"> Best Practices and Research</w:t>
      </w:r>
      <w:r w:rsidRPr="00251AAB" w:rsidR="002F1A90">
        <w:rPr>
          <w:rFonts w:ascii="Palatino Linotype" w:hAnsi="Palatino Linotype"/>
        </w:rPr>
        <w:t>, Development &amp; Demonstration projects</w:t>
      </w:r>
      <w:r w:rsidRPr="00251AAB" w:rsidR="007320A3">
        <w:rPr>
          <w:rFonts w:ascii="Palatino Linotype" w:hAnsi="Palatino Linotype"/>
        </w:rPr>
        <w:t xml:space="preserve"> and approves </w:t>
      </w:r>
      <w:r w:rsidRPr="00251AAB" w:rsidR="0086339C">
        <w:rPr>
          <w:rFonts w:ascii="Palatino Linotype" w:hAnsi="Palatino Linotype"/>
        </w:rPr>
        <w:t xml:space="preserve">all </w:t>
      </w:r>
      <w:r w:rsidRPr="00251AAB" w:rsidR="007320A3">
        <w:rPr>
          <w:rFonts w:ascii="Palatino Linotype" w:hAnsi="Palatino Linotype"/>
        </w:rPr>
        <w:t xml:space="preserve">chapters </w:t>
      </w:r>
      <w:r w:rsidRPr="00251AAB" w:rsidR="0086339C">
        <w:rPr>
          <w:rFonts w:ascii="Palatino Linotype" w:hAnsi="Palatino Linotype"/>
        </w:rPr>
        <w:t xml:space="preserve">but one </w:t>
      </w:r>
      <w:r w:rsidRPr="00251AAB" w:rsidR="007320A3">
        <w:rPr>
          <w:rFonts w:ascii="Palatino Linotype" w:hAnsi="Palatino Linotype"/>
        </w:rPr>
        <w:t>and RD&amp;D as being in compliance with D.17-06-015 and D.19-08-020</w:t>
      </w:r>
      <w:r w:rsidRPr="00251AAB" w:rsidR="00841880">
        <w:rPr>
          <w:rFonts w:ascii="Palatino Linotype" w:hAnsi="Palatino Linotype"/>
        </w:rPr>
        <w:t>.</w:t>
      </w:r>
    </w:p>
    <w:p w:rsidRPr="00251AAB" w:rsidR="00750D94" w:rsidP="00750D94" w:rsidRDefault="00750D94" w14:paraId="6B42AC0F" w14:textId="7FA4271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This Resolution </w:t>
      </w:r>
      <w:r w:rsidRPr="00251AAB" w:rsidR="00841880">
        <w:rPr>
          <w:rFonts w:ascii="Palatino Linotype" w:hAnsi="Palatino Linotype"/>
        </w:rPr>
        <w:t>does not approve the cost</w:t>
      </w:r>
      <w:r w:rsidRPr="00251AAB" w:rsidR="0093714D">
        <w:rPr>
          <w:rFonts w:ascii="Palatino Linotype" w:hAnsi="Palatino Linotype"/>
        </w:rPr>
        <w:t xml:space="preserve"> forecast</w:t>
      </w:r>
      <w:r w:rsidRPr="00251AAB" w:rsidR="00841880">
        <w:rPr>
          <w:rFonts w:ascii="Palatino Linotype" w:hAnsi="Palatino Linotype"/>
        </w:rPr>
        <w:t xml:space="preserve"> for any of SDG&amp;E’s Best Practices as described in its Compliance Plan and AL 3285-G-A because none of them are cost-effective. </w:t>
      </w:r>
    </w:p>
    <w:p w:rsidRPr="00251AAB" w:rsidR="00750D94" w:rsidP="00750D94" w:rsidRDefault="00750D94" w14:paraId="75B55A8D" w14:textId="2254875A">
      <w:pPr>
        <w:pStyle w:val="ListParagraph"/>
        <w:keepNext/>
        <w:numPr>
          <w:ilvl w:val="0"/>
          <w:numId w:val="13"/>
        </w:numPr>
        <w:adjustRightInd w:val="0"/>
        <w:spacing w:before="120" w:after="0" w:line="240" w:lineRule="auto"/>
        <w:rPr>
          <w:rFonts w:ascii="Palatino Linotype" w:hAnsi="Palatino Linotype"/>
        </w:rPr>
      </w:pPr>
      <w:r w:rsidRPr="00251AAB" w:rsidDel="00184D5F">
        <w:rPr>
          <w:rFonts w:ascii="Palatino Linotype" w:hAnsi="Palatino Linotype"/>
        </w:rPr>
        <w:t xml:space="preserve">This </w:t>
      </w:r>
      <w:r w:rsidRPr="00251AAB">
        <w:rPr>
          <w:rFonts w:ascii="Palatino Linotype" w:hAnsi="Palatino Linotype"/>
        </w:rPr>
        <w:t xml:space="preserve">Resolution does not approve funding for NGLA Research, Development, and Demonstration projects described in </w:t>
      </w:r>
      <w:r w:rsidRPr="00251AAB" w:rsidR="004901A1">
        <w:rPr>
          <w:rFonts w:ascii="Palatino Linotype" w:hAnsi="Palatino Linotype"/>
        </w:rPr>
        <w:t xml:space="preserve">SDG&amp;E’s </w:t>
      </w:r>
      <w:r w:rsidRPr="00251AAB">
        <w:rPr>
          <w:rFonts w:ascii="Palatino Linotype" w:hAnsi="Palatino Linotype"/>
        </w:rPr>
        <w:t xml:space="preserve">2024 Compliance Plan. </w:t>
      </w:r>
    </w:p>
    <w:p w:rsidRPr="00251AAB" w:rsidR="00750D94" w:rsidP="00750D94" w:rsidRDefault="004901A1" w14:paraId="495FD61F" w14:textId="071913B3">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SDG&amp;E</w:t>
      </w:r>
      <w:r w:rsidRPr="00251AAB" w:rsidR="00750D94">
        <w:rPr>
          <w:rFonts w:ascii="Palatino Linotype" w:hAnsi="Palatino Linotype"/>
        </w:rPr>
        <w:t xml:space="preserve"> is required to incorporate the NGLA into its GRC for</w:t>
      </w:r>
      <w:r w:rsidRPr="00251AAB" w:rsidDel="0071438D" w:rsidR="00750D94">
        <w:rPr>
          <w:rFonts w:ascii="Palatino Linotype" w:hAnsi="Palatino Linotype"/>
        </w:rPr>
        <w:t xml:space="preserve"> </w:t>
      </w:r>
      <w:r w:rsidRPr="00251AAB" w:rsidR="00750D94">
        <w:rPr>
          <w:rFonts w:ascii="Palatino Linotype" w:hAnsi="Palatino Linotype"/>
        </w:rPr>
        <w:t>Test Year 2028 by Ordering Paragraph 12 of D.17-06-015, and the letter from the CPUC’s executive director dated November 18, 2021.</w:t>
      </w:r>
    </w:p>
    <w:p w:rsidRPr="00251AAB" w:rsidR="00750D94" w:rsidP="00750D94" w:rsidRDefault="004901A1" w14:paraId="7CA649AF" w14:textId="41398E73">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SDG&amp;E</w:t>
      </w:r>
      <w:r w:rsidRPr="00251AAB" w:rsidDel="002F4238" w:rsidR="00750D94">
        <w:rPr>
          <w:rFonts w:ascii="Palatino Linotype" w:hAnsi="Palatino Linotype"/>
        </w:rPr>
        <w:t xml:space="preserve"> </w:t>
      </w:r>
      <w:r w:rsidRPr="00251AAB" w:rsidR="00750D94">
        <w:rPr>
          <w:rFonts w:ascii="Palatino Linotype" w:hAnsi="Palatino Linotype"/>
        </w:rPr>
        <w:t xml:space="preserve">may move its NGLA Research, </w:t>
      </w:r>
      <w:r w:rsidRPr="00251AAB" w:rsidR="00705BBB">
        <w:rPr>
          <w:rFonts w:ascii="Palatino Linotype" w:hAnsi="Palatino Linotype"/>
        </w:rPr>
        <w:t xml:space="preserve">Development and </w:t>
      </w:r>
      <w:r w:rsidRPr="00251AAB" w:rsidR="00750D94">
        <w:rPr>
          <w:rFonts w:ascii="Palatino Linotype" w:hAnsi="Palatino Linotype"/>
        </w:rPr>
        <w:t>Demonstration projects as appropriate to its broader Research and Development program in its next GRC pursuant to Public Utilities Section 740.1 or other process as may be specified by the Commission.</w:t>
      </w:r>
    </w:p>
    <w:p w:rsidRPr="00251AAB" w:rsidR="00750D94" w:rsidP="00750D94" w:rsidRDefault="00750D94" w14:paraId="1265CA65" w14:textId="02DC9306">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In accordance with D.17-06-015, the program administration costs recorded in the Natural Gas Leak Abatement Program Memo Account are subject to reasonableness review in </w:t>
      </w:r>
      <w:r w:rsidRPr="00251AAB" w:rsidR="004901A1">
        <w:rPr>
          <w:rFonts w:ascii="Palatino Linotype" w:hAnsi="Palatino Linotype"/>
        </w:rPr>
        <w:t>SDG&amp;E</w:t>
      </w:r>
      <w:r w:rsidRPr="00251AAB">
        <w:rPr>
          <w:rFonts w:ascii="Palatino Linotype" w:hAnsi="Palatino Linotype"/>
        </w:rPr>
        <w:t>’</w:t>
      </w:r>
      <w:r w:rsidRPr="00251AAB" w:rsidR="004901A1">
        <w:rPr>
          <w:rFonts w:ascii="Palatino Linotype" w:hAnsi="Palatino Linotype"/>
        </w:rPr>
        <w:t>s</w:t>
      </w:r>
      <w:r w:rsidRPr="00251AAB">
        <w:rPr>
          <w:rFonts w:ascii="Palatino Linotype" w:hAnsi="Palatino Linotype"/>
        </w:rPr>
        <w:t xml:space="preserve"> next GRC or other application. They are thus not approved for recovery in this Resolution.</w:t>
      </w:r>
    </w:p>
    <w:p w:rsidRPr="00251AAB" w:rsidR="00750D94" w:rsidP="00750D94" w:rsidRDefault="004901A1" w14:paraId="66123611" w14:textId="0CD9E7AF">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SDG&amp;E</w:t>
      </w:r>
      <w:r w:rsidRPr="00251AAB" w:rsidR="00750D94">
        <w:rPr>
          <w:rFonts w:ascii="Palatino Linotype" w:hAnsi="Palatino Linotype"/>
        </w:rPr>
        <w:t xml:space="preserve"> requests modifications to on-going capital revenue requirements for years 2025 and 2026 that are in addition to its requested recovery for its 2024 Compliance Plan. These include a shortfall in the 2024 Natural Gas Leak Abatement Program (NGLAP) revenue requirement of </w:t>
      </w:r>
      <w:r w:rsidRPr="00251AAB" w:rsidR="00D97ECC">
        <w:rPr>
          <w:rFonts w:ascii="Palatino Linotype" w:hAnsi="Palatino Linotype"/>
        </w:rPr>
        <w:t>$222,000</w:t>
      </w:r>
      <w:r w:rsidRPr="00251AAB" w:rsidR="00377F94">
        <w:rPr>
          <w:rFonts w:ascii="Palatino Linotype" w:hAnsi="Palatino Linotype"/>
        </w:rPr>
        <w:t>.</w:t>
      </w:r>
      <w:r w:rsidRPr="00251AAB" w:rsidR="00D841D3">
        <w:rPr>
          <w:rFonts w:ascii="Palatino Linotype" w:hAnsi="Palatino Linotype"/>
        </w:rPr>
        <w:t xml:space="preserve"> </w:t>
      </w:r>
    </w:p>
    <w:p w:rsidRPr="00251AAB" w:rsidR="00750D94" w:rsidP="00750D94" w:rsidRDefault="00750D94" w14:paraId="63B11EEA" w14:textId="5B4025EB">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It is reasonable for </w:t>
      </w:r>
      <w:r w:rsidRPr="00251AAB" w:rsidR="00E915C5">
        <w:rPr>
          <w:rFonts w:ascii="Palatino Linotype" w:hAnsi="Palatino Linotype"/>
        </w:rPr>
        <w:t>SDG&amp;E</w:t>
      </w:r>
      <w:r w:rsidRPr="00251AAB">
        <w:rPr>
          <w:rFonts w:ascii="Palatino Linotype" w:hAnsi="Palatino Linotype"/>
        </w:rPr>
        <w:t xml:space="preserve"> to recover the ongoing capital costs associated with measures approved in prior compliance plans.</w:t>
      </w:r>
      <w:r w:rsidRPr="00251AAB" w:rsidDel="001637E6">
        <w:rPr>
          <w:rFonts w:ascii="Palatino Linotype" w:hAnsi="Palatino Linotype"/>
        </w:rPr>
        <w:t xml:space="preserve"> </w:t>
      </w:r>
    </w:p>
    <w:p w:rsidRPr="00251AAB" w:rsidR="00750D94" w:rsidP="00750D94" w:rsidRDefault="00750D94" w14:paraId="1CFBD0B3" w14:textId="7822FA7E">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It is reasonable for </w:t>
      </w:r>
      <w:r w:rsidRPr="00251AAB" w:rsidR="00E915C5">
        <w:rPr>
          <w:rFonts w:ascii="Palatino Linotype" w:hAnsi="Palatino Linotype"/>
        </w:rPr>
        <w:t>SDG&amp;E</w:t>
      </w:r>
      <w:r w:rsidRPr="00251AAB">
        <w:rPr>
          <w:rFonts w:ascii="Palatino Linotype" w:hAnsi="Palatino Linotype"/>
        </w:rPr>
        <w:t xml:space="preserve"> to modify its rates to collect the revenue requirement approved in this resolution.</w:t>
      </w:r>
    </w:p>
    <w:p w:rsidRPr="00251AAB" w:rsidR="00750D94" w:rsidP="00750D94" w:rsidRDefault="00750D94" w14:paraId="038226C4" w14:textId="77777777">
      <w:pPr>
        <w:spacing w:after="0"/>
        <w:rPr>
          <w:rFonts w:ascii="Palatino Linotype" w:hAnsi="Palatino Linotype" w:eastAsia="Palatino Linotype" w:cs="Times New Roman"/>
          <w:b/>
        </w:rPr>
      </w:pPr>
    </w:p>
    <w:p w:rsidRPr="00251AAB" w:rsidR="00750D94" w:rsidP="00750D94" w:rsidRDefault="00750D94" w14:paraId="3315E879" w14:textId="77777777">
      <w:pPr>
        <w:keepNext/>
        <w:spacing w:before="120" w:after="240"/>
        <w:outlineLvl w:val="0"/>
        <w:rPr>
          <w:rFonts w:ascii="Palatino Linotype" w:hAnsi="Palatino Linotype" w:eastAsia="Palatino Linotype" w:cs="Times New Roman"/>
          <w:b/>
          <w:caps/>
          <w:kern w:val="28"/>
          <w:u w:val="single"/>
        </w:rPr>
      </w:pPr>
      <w:r w:rsidRPr="00251AAB">
        <w:rPr>
          <w:rFonts w:ascii="Palatino Linotype" w:hAnsi="Palatino Linotype" w:eastAsia="Palatino Linotype" w:cs="Times New Roman"/>
          <w:b/>
          <w:caps/>
          <w:kern w:val="28"/>
          <w:u w:val="single"/>
        </w:rPr>
        <w:t>Therefore it is ordered that:</w:t>
      </w:r>
    </w:p>
    <w:p w:rsidRPr="00251AAB" w:rsidR="00750D94" w:rsidP="004718A3" w:rsidRDefault="005B0943" w14:paraId="1B8D2417" w14:textId="741312B0">
      <w:pPr>
        <w:keepNext/>
        <w:numPr>
          <w:ilvl w:val="0"/>
          <w:numId w:val="2"/>
        </w:numPr>
        <w:adjustRightInd w:val="0"/>
        <w:spacing w:before="120" w:after="0" w:line="240" w:lineRule="auto"/>
        <w:ind w:right="720"/>
        <w:rPr>
          <w:rFonts w:ascii="Palatino Linotype" w:hAnsi="Palatino Linotype" w:eastAsia="Palatino Linotype"/>
          <w:caps/>
          <w:kern w:val="28"/>
          <w:u w:val="single"/>
        </w:rPr>
      </w:pPr>
      <w:r w:rsidRPr="00251AAB">
        <w:rPr>
          <w:rFonts w:ascii="Palatino Linotype" w:hAnsi="Palatino Linotype"/>
          <w:snapToGrid w:val="0"/>
        </w:rPr>
        <w:t>Forecasted c</w:t>
      </w:r>
      <w:r w:rsidRPr="00251AAB" w:rsidR="00E915C5">
        <w:rPr>
          <w:rFonts w:ascii="Palatino Linotype" w:hAnsi="Palatino Linotype"/>
          <w:snapToGrid w:val="0"/>
        </w:rPr>
        <w:t xml:space="preserve">osts </w:t>
      </w:r>
      <w:r w:rsidRPr="00251AAB" w:rsidR="0026687D">
        <w:rPr>
          <w:rFonts w:ascii="Palatino Linotype" w:hAnsi="Palatino Linotype"/>
          <w:snapToGrid w:val="0"/>
        </w:rPr>
        <w:t xml:space="preserve">for Best Practices </w:t>
      </w:r>
      <w:r w:rsidRPr="00251AAB" w:rsidR="00750D94">
        <w:rPr>
          <w:rFonts w:ascii="Palatino Linotype" w:hAnsi="Palatino Linotype"/>
          <w:snapToGrid w:val="0"/>
        </w:rPr>
        <w:t xml:space="preserve">as filed in Advice Letter </w:t>
      </w:r>
      <w:r w:rsidRPr="00251AAB" w:rsidR="004F7ADE">
        <w:rPr>
          <w:rFonts w:ascii="Palatino Linotype" w:hAnsi="Palatino Linotype"/>
        </w:rPr>
        <w:t>3285</w:t>
      </w:r>
      <w:r w:rsidRPr="00251AAB" w:rsidR="00750D94">
        <w:rPr>
          <w:rFonts w:ascii="Palatino Linotype" w:hAnsi="Palatino Linotype"/>
          <w:snapToGrid w:val="0"/>
        </w:rPr>
        <w:t>-G-</w:t>
      </w:r>
      <w:r w:rsidRPr="00251AAB" w:rsidR="004F7ADE">
        <w:rPr>
          <w:rFonts w:ascii="Palatino Linotype" w:hAnsi="Palatino Linotype"/>
          <w:snapToGrid w:val="0"/>
        </w:rPr>
        <w:t xml:space="preserve">A </w:t>
      </w:r>
      <w:r w:rsidRPr="00251AAB" w:rsidR="0093714D">
        <w:rPr>
          <w:rFonts w:ascii="Palatino Linotype" w:hAnsi="Palatino Linotype"/>
          <w:snapToGrid w:val="0"/>
        </w:rPr>
        <w:t>for San Diego Gas &amp; Electric Company’s (SDG&amp;E) 2024 Natural Gas Leak Abatement Program</w:t>
      </w:r>
      <w:r w:rsidRPr="00251AAB" w:rsidR="0093714D">
        <w:rPr>
          <w:rFonts w:ascii="Palatino Linotype" w:hAnsi="Palatino Linotype"/>
        </w:rPr>
        <w:t xml:space="preserve"> (NGLA)</w:t>
      </w:r>
      <w:r w:rsidRPr="00251AAB" w:rsidR="0093714D">
        <w:rPr>
          <w:rFonts w:ascii="Palatino Linotype" w:hAnsi="Palatino Linotype"/>
          <w:snapToGrid w:val="0"/>
        </w:rPr>
        <w:t xml:space="preserve"> for 2025 and 2026 are denied.</w:t>
      </w:r>
    </w:p>
    <w:p w:rsidRPr="00251AAB" w:rsidR="005B0943" w:rsidP="005B0943" w:rsidRDefault="005B0943" w14:paraId="329BFD72" w14:textId="657AA18E">
      <w:pPr>
        <w:numPr>
          <w:ilvl w:val="0"/>
          <w:numId w:val="2"/>
        </w:numPr>
        <w:tabs>
          <w:tab w:val="clear" w:pos="360"/>
        </w:tabs>
        <w:spacing w:after="0" w:line="240" w:lineRule="auto"/>
        <w:ind w:right="720"/>
        <w:rPr>
          <w:rFonts w:ascii="Palatino Linotype" w:hAnsi="Palatino Linotype" w:eastAsia="Times New Roman" w:cs="Times New Roman"/>
          <w:kern w:val="0"/>
          <w14:ligatures w14:val="none"/>
        </w:rPr>
      </w:pPr>
      <w:r w:rsidRPr="00251AAB">
        <w:rPr>
          <w:rFonts w:ascii="Palatino Linotype" w:hAnsi="Palatino Linotype"/>
        </w:rPr>
        <w:t xml:space="preserve">Recovery of </w:t>
      </w:r>
      <w:r w:rsidRPr="00251AAB" w:rsidR="00377F94">
        <w:rPr>
          <w:rFonts w:ascii="Palatino Linotype" w:hAnsi="Palatino Linotype"/>
        </w:rPr>
        <w:t>$222,000</w:t>
      </w:r>
      <w:r w:rsidRPr="00251AAB">
        <w:rPr>
          <w:rFonts w:ascii="Palatino Linotype" w:hAnsi="Palatino Linotype"/>
        </w:rPr>
        <w:t xml:space="preserve"> in</w:t>
      </w:r>
      <w:r w:rsidRPr="00251AAB" w:rsidR="00946D7C">
        <w:rPr>
          <w:rFonts w:ascii="Palatino Linotype" w:hAnsi="Palatino Linotype"/>
        </w:rPr>
        <w:t xml:space="preserve"> </w:t>
      </w:r>
      <w:r w:rsidRPr="00251AAB">
        <w:rPr>
          <w:rFonts w:ascii="Palatino Linotype" w:hAnsi="Palatino Linotype"/>
        </w:rPr>
        <w:t xml:space="preserve">on-going capital requirements from previously approved Advice Letters is approved. </w:t>
      </w:r>
    </w:p>
    <w:p w:rsidRPr="00251AAB" w:rsidR="00750D94" w:rsidP="00E915C5" w:rsidRDefault="00E94B7D" w14:paraId="10AE3D22" w14:textId="557E95C5">
      <w:pPr>
        <w:pStyle w:val="ListParagraph"/>
        <w:keepNext/>
        <w:numPr>
          <w:ilvl w:val="0"/>
          <w:numId w:val="2"/>
        </w:numPr>
        <w:adjustRightInd w:val="0"/>
        <w:spacing w:before="120" w:after="0" w:line="240" w:lineRule="auto"/>
        <w:contextualSpacing w:val="0"/>
        <w:rPr>
          <w:rFonts w:ascii="Palatino Linotype" w:hAnsi="Palatino Linotype" w:eastAsia="Palatino Linotype"/>
          <w:caps/>
          <w:kern w:val="28"/>
          <w:u w:val="single"/>
        </w:rPr>
      </w:pPr>
      <w:r w:rsidRPr="00251AAB">
        <w:rPr>
          <w:rStyle w:val="normaltextrun"/>
          <w:rFonts w:ascii="Palatino Linotype" w:hAnsi="Palatino Linotype" w:cs="Segoe UI" w:eastAsiaTheme="majorEastAsia"/>
        </w:rPr>
        <w:lastRenderedPageBreak/>
        <w:t>C</w:t>
      </w:r>
      <w:r w:rsidRPr="00251AAB" w:rsidR="00750D94">
        <w:rPr>
          <w:rStyle w:val="normaltextrun"/>
          <w:rFonts w:ascii="Palatino Linotype" w:hAnsi="Palatino Linotype" w:cs="Segoe UI" w:eastAsiaTheme="majorEastAsia"/>
        </w:rPr>
        <w:t>ost</w:t>
      </w:r>
      <w:r w:rsidRPr="00251AAB" w:rsidR="00E915C5">
        <w:rPr>
          <w:rStyle w:val="normaltextrun"/>
          <w:rFonts w:ascii="Palatino Linotype" w:hAnsi="Palatino Linotype" w:cs="Segoe UI" w:eastAsiaTheme="majorEastAsia"/>
        </w:rPr>
        <w:t xml:space="preserve"> forecast</w:t>
      </w:r>
      <w:r w:rsidRPr="00251AAB" w:rsidR="00750D94">
        <w:rPr>
          <w:rStyle w:val="normaltextrun"/>
          <w:rFonts w:ascii="Palatino Linotype" w:hAnsi="Palatino Linotype" w:cs="Segoe UI" w:eastAsiaTheme="majorEastAsia"/>
        </w:rPr>
        <w:t xml:space="preserve">s for </w:t>
      </w:r>
      <w:r w:rsidRPr="00251AAB" w:rsidR="00E915C5">
        <w:rPr>
          <w:rStyle w:val="normaltextrun"/>
          <w:rFonts w:ascii="Palatino Linotype" w:hAnsi="Palatino Linotype" w:cs="Segoe UI" w:eastAsiaTheme="majorEastAsia"/>
        </w:rPr>
        <w:t xml:space="preserve">NGLA </w:t>
      </w:r>
      <w:r w:rsidRPr="00251AAB" w:rsidR="00750D94">
        <w:rPr>
          <w:rStyle w:val="normaltextrun"/>
          <w:rFonts w:ascii="Palatino Linotype" w:hAnsi="Palatino Linotype" w:cs="Segoe UI" w:eastAsiaTheme="majorEastAsia"/>
        </w:rPr>
        <w:t>Research</w:t>
      </w:r>
      <w:r w:rsidRPr="00251AAB" w:rsidR="001F5C99">
        <w:rPr>
          <w:rStyle w:val="normaltextrun"/>
          <w:rFonts w:ascii="Palatino Linotype" w:hAnsi="Palatino Linotype" w:cs="Segoe UI" w:eastAsiaTheme="majorEastAsia"/>
        </w:rPr>
        <w:t>,</w:t>
      </w:r>
      <w:r w:rsidRPr="00251AAB" w:rsidR="00750D94">
        <w:rPr>
          <w:rStyle w:val="normaltextrun"/>
          <w:rFonts w:ascii="Palatino Linotype" w:hAnsi="Palatino Linotype" w:cs="Segoe UI" w:eastAsiaTheme="majorEastAsia"/>
        </w:rPr>
        <w:t xml:space="preserve"> Development</w:t>
      </w:r>
      <w:r w:rsidRPr="00251AAB" w:rsidR="0021269E">
        <w:rPr>
          <w:rStyle w:val="normaltextrun"/>
          <w:rFonts w:ascii="Palatino Linotype" w:hAnsi="Palatino Linotype" w:cs="Segoe UI" w:eastAsiaTheme="majorEastAsia"/>
        </w:rPr>
        <w:t>, and</w:t>
      </w:r>
      <w:r w:rsidRPr="00251AAB" w:rsidR="00750D94">
        <w:rPr>
          <w:rStyle w:val="normaltextrun"/>
          <w:rFonts w:ascii="Palatino Linotype" w:hAnsi="Palatino Linotype" w:cs="Segoe UI" w:eastAsiaTheme="majorEastAsia"/>
        </w:rPr>
        <w:t xml:space="preserve"> Demonstration</w:t>
      </w:r>
      <w:r w:rsidRPr="00251AAB" w:rsidR="00E915C5">
        <w:rPr>
          <w:rStyle w:val="normaltextrun"/>
          <w:rFonts w:ascii="Palatino Linotype" w:hAnsi="Palatino Linotype" w:cs="Segoe UI" w:eastAsiaTheme="majorEastAsia"/>
        </w:rPr>
        <w:t xml:space="preserve"> </w:t>
      </w:r>
      <w:r w:rsidRPr="00251AAB" w:rsidR="00296B9E">
        <w:rPr>
          <w:rStyle w:val="normaltextrun"/>
          <w:rFonts w:ascii="Palatino Linotype" w:hAnsi="Palatino Linotype" w:cs="Segoe UI" w:eastAsiaTheme="majorEastAsia"/>
        </w:rPr>
        <w:t xml:space="preserve">projects </w:t>
      </w:r>
      <w:r w:rsidRPr="00251AAB" w:rsidR="00E915C5">
        <w:rPr>
          <w:rStyle w:val="normaltextrun"/>
          <w:rFonts w:ascii="Palatino Linotype" w:hAnsi="Palatino Linotype" w:cs="Segoe UI" w:eastAsiaTheme="majorEastAsia"/>
        </w:rPr>
        <w:t>in Advice Letter 3285-G-</w:t>
      </w:r>
      <w:r w:rsidRPr="00251AAB" w:rsidR="00A1057E">
        <w:rPr>
          <w:rStyle w:val="normaltextrun"/>
          <w:rFonts w:ascii="Palatino Linotype" w:hAnsi="Palatino Linotype" w:cs="Segoe UI" w:eastAsiaTheme="majorEastAsia"/>
        </w:rPr>
        <w:t xml:space="preserve">A </w:t>
      </w:r>
      <w:r w:rsidRPr="00251AAB" w:rsidR="00750D94">
        <w:rPr>
          <w:rStyle w:val="normaltextrun"/>
          <w:rFonts w:ascii="Palatino Linotype" w:hAnsi="Palatino Linotype" w:cs="Segoe UI" w:eastAsiaTheme="majorEastAsia"/>
        </w:rPr>
        <w:t xml:space="preserve">are </w:t>
      </w:r>
      <w:r w:rsidRPr="00251AAB" w:rsidR="00946D7C">
        <w:rPr>
          <w:rStyle w:val="normaltextrun"/>
          <w:rFonts w:ascii="Palatino Linotype" w:hAnsi="Palatino Linotype" w:cs="Segoe UI" w:eastAsiaTheme="majorEastAsia"/>
        </w:rPr>
        <w:t>denied</w:t>
      </w:r>
      <w:r w:rsidRPr="00251AAB" w:rsidR="00E915C5">
        <w:rPr>
          <w:rStyle w:val="normaltextrun"/>
          <w:rFonts w:ascii="Palatino Linotype" w:hAnsi="Palatino Linotype" w:cs="Segoe UI" w:eastAsiaTheme="majorEastAsia"/>
        </w:rPr>
        <w:t>.</w:t>
      </w:r>
    </w:p>
    <w:p w:rsidRPr="00251AAB" w:rsidR="00750D94" w:rsidP="0CE52D38" w:rsidRDefault="003D51B1" w14:paraId="076BEC5D" w14:textId="581AA266">
      <w:pPr>
        <w:pStyle w:val="paragraph"/>
        <w:numPr>
          <w:ilvl w:val="0"/>
          <w:numId w:val="2"/>
        </w:numPr>
        <w:spacing w:before="120" w:beforeAutospacing="0" w:after="0" w:afterAutospacing="0"/>
        <w:textAlignment w:val="baseline"/>
        <w:rPr>
          <w:rStyle w:val="normaltextrun"/>
          <w:rFonts w:ascii="Palatino Linotype" w:hAnsi="Palatino Linotype"/>
        </w:rPr>
      </w:pPr>
      <w:r w:rsidRPr="00251AAB">
        <w:rPr>
          <w:rStyle w:val="normaltextrun"/>
          <w:rFonts w:ascii="Palatino Linotype" w:hAnsi="Palatino Linotype" w:cs="Segoe UI"/>
        </w:rPr>
        <w:t xml:space="preserve">SDG&amp;E is authorized to record up to </w:t>
      </w:r>
      <w:r w:rsidRPr="00251AAB" w:rsidR="00A30611">
        <w:rPr>
          <w:rStyle w:val="normaltextrun"/>
          <w:rFonts w:ascii="Palatino Linotype" w:hAnsi="Palatino Linotype" w:cs="Segoe UI"/>
        </w:rPr>
        <w:t>$0.428</w:t>
      </w:r>
      <w:r w:rsidRPr="00251AAB" w:rsidR="00750D94">
        <w:rPr>
          <w:rStyle w:val="normaltextrun"/>
          <w:rFonts w:ascii="Palatino Linotype" w:hAnsi="Palatino Linotype" w:cs="Segoe UI"/>
        </w:rPr>
        <w:t xml:space="preserve"> million for NGLA Program Administration in the Natural Gas Leak Abatement Program Memorandum Account (NGLAPMA) for potential recovery in a future general rate case or other proceeding, where it will be subject to reasonableness review.</w:t>
      </w:r>
    </w:p>
    <w:p w:rsidRPr="00251AAB" w:rsidR="00750D94" w:rsidP="00750D94" w:rsidRDefault="00750D94" w14:paraId="7E6F8DAE" w14:textId="73073993">
      <w:pPr>
        <w:pStyle w:val="ListParagraph"/>
        <w:keepNext/>
        <w:numPr>
          <w:ilvl w:val="0"/>
          <w:numId w:val="2"/>
        </w:numPr>
        <w:adjustRightInd w:val="0"/>
        <w:spacing w:before="120" w:after="0" w:line="240" w:lineRule="auto"/>
        <w:contextualSpacing w:val="0"/>
        <w:rPr>
          <w:rFonts w:ascii="Palatino Linotype" w:hAnsi="Palatino Linotype"/>
        </w:rPr>
      </w:pPr>
      <w:r w:rsidRPr="00251AAB">
        <w:rPr>
          <w:rStyle w:val="normaltextrun"/>
          <w:rFonts w:ascii="Palatino Linotype" w:hAnsi="Palatino Linotype" w:eastAsia="Times New Roman" w:cs="Segoe UI"/>
        </w:rPr>
        <w:t>Going forward, S</w:t>
      </w:r>
      <w:r w:rsidRPr="00251AAB" w:rsidR="00E915C5">
        <w:rPr>
          <w:rStyle w:val="normaltextrun"/>
          <w:rFonts w:ascii="Palatino Linotype" w:hAnsi="Palatino Linotype" w:eastAsia="Times New Roman" w:cs="Segoe UI"/>
        </w:rPr>
        <w:t>DG&amp;E</w:t>
      </w:r>
      <w:r w:rsidRPr="00251AAB">
        <w:rPr>
          <w:rStyle w:val="normaltextrun"/>
          <w:rFonts w:ascii="Palatino Linotype" w:hAnsi="Palatino Linotype" w:eastAsia="Times New Roman" w:cs="Segoe UI"/>
        </w:rPr>
        <w:t xml:space="preserve"> shall incorporate its NGLA program expenses and</w:t>
      </w:r>
      <w:r w:rsidRPr="00251AAB">
        <w:rPr>
          <w:rFonts w:ascii="Palatino Linotype" w:hAnsi="Palatino Linotype"/>
        </w:rPr>
        <w:t xml:space="preserve"> </w:t>
      </w:r>
      <w:r w:rsidRPr="00251AAB" w:rsidDel="00DB2012">
        <w:rPr>
          <w:rFonts w:ascii="Palatino Linotype" w:hAnsi="Palatino Linotype"/>
        </w:rPr>
        <w:t>biennial NGLA compliance plans into the record of any GRC or other application proceeding in which</w:t>
      </w:r>
      <w:r w:rsidRPr="00251AAB">
        <w:rPr>
          <w:rFonts w:ascii="Palatino Linotype" w:hAnsi="Palatino Linotype"/>
        </w:rPr>
        <w:t xml:space="preserve"> recovery for costs associated with that compliance plan is sought.</w:t>
      </w:r>
    </w:p>
    <w:p w:rsidRPr="00251AAB" w:rsidR="00750D94" w:rsidP="00750D94" w:rsidRDefault="00E915C5" w14:paraId="16796B28" w14:textId="0FBF2DFD">
      <w:pPr>
        <w:pStyle w:val="ListParagraph"/>
        <w:keepNext/>
        <w:numPr>
          <w:ilvl w:val="0"/>
          <w:numId w:val="2"/>
        </w:numPr>
        <w:adjustRightInd w:val="0"/>
        <w:spacing w:before="120" w:after="0" w:line="240" w:lineRule="auto"/>
        <w:contextualSpacing w:val="0"/>
        <w:rPr>
          <w:rFonts w:ascii="Palatino Linotype" w:hAnsi="Palatino Linotype"/>
        </w:rPr>
      </w:pPr>
      <w:r w:rsidRPr="00251AAB">
        <w:rPr>
          <w:rFonts w:ascii="Palatino Linotype" w:hAnsi="Palatino Linotype"/>
        </w:rPr>
        <w:t>SDG&amp;E</w:t>
      </w:r>
      <w:r w:rsidRPr="00251AAB" w:rsidR="00750D94">
        <w:rPr>
          <w:rFonts w:ascii="Palatino Linotype" w:hAnsi="Palatino Linotype"/>
        </w:rPr>
        <w:t xml:space="preserve"> shall update its rates for the approved revenue requirement in Resolution G-360</w:t>
      </w:r>
      <w:r w:rsidRPr="00251AAB" w:rsidR="008253FB">
        <w:rPr>
          <w:rFonts w:ascii="Palatino Linotype" w:hAnsi="Palatino Linotype"/>
        </w:rPr>
        <w:t>6</w:t>
      </w:r>
      <w:r w:rsidRPr="00251AAB" w:rsidR="00750D94">
        <w:rPr>
          <w:rFonts w:ascii="Palatino Linotype" w:hAnsi="Palatino Linotype"/>
        </w:rPr>
        <w:t xml:space="preserve"> within 30 days upon issuance of this resolution via a Tier 1 Advice Letter.</w:t>
      </w:r>
    </w:p>
    <w:p w:rsidRPr="00251AAB" w:rsidR="00750D94" w:rsidP="00750D94" w:rsidRDefault="00750D94" w14:paraId="4B10A4B6" w14:textId="77777777">
      <w:pPr>
        <w:pStyle w:val="ListParagraph"/>
        <w:keepNext/>
        <w:adjustRightInd w:val="0"/>
        <w:spacing w:before="120" w:after="0"/>
        <w:ind w:left="360"/>
        <w:contextualSpacing w:val="0"/>
        <w:rPr>
          <w:rFonts w:ascii="Palatino Linotype" w:hAnsi="Palatino Linotype" w:eastAsia="Palatino Linotype"/>
          <w:b/>
          <w:caps/>
          <w:kern w:val="28"/>
          <w:u w:val="single"/>
        </w:rPr>
      </w:pPr>
    </w:p>
    <w:p w:rsidRPr="00251AAB" w:rsidR="00A76F4A" w:rsidP="00A76F4A" w:rsidRDefault="00A76F4A" w14:paraId="4636079E"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6B9B735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This Resolution is effective today.</w:t>
      </w:r>
    </w:p>
    <w:p w:rsidRPr="00251AAB" w:rsidR="00A76F4A" w:rsidP="251370F6" w:rsidRDefault="00A76F4A" w14:paraId="6FDD03B7" w14:textId="77777777">
      <w:pPr>
        <w:keepNext/>
        <w:tabs>
          <w:tab w:val="left" w:pos="720"/>
          <w:tab w:val="left" w:pos="1296"/>
          <w:tab w:val="left" w:pos="2016"/>
          <w:tab w:val="left" w:pos="2736"/>
          <w:tab w:val="left" w:pos="3456"/>
          <w:tab w:val="left" w:pos="4176"/>
          <w:tab w:val="left" w:pos="450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203AD159" w14:textId="79C1AE07">
      <w:pPr>
        <w:pStyle w:val="10sp0"/>
        <w:spacing w:after="480"/>
        <w:rPr>
          <w:rFonts w:ascii="Palatino Linotype" w:hAnsi="Palatino Linotype"/>
          <w:szCs w:val="24"/>
        </w:rPr>
      </w:pPr>
      <w:r w:rsidRPr="00251AAB">
        <w:rPr>
          <w:rFonts w:ascii="Palatino Linotype" w:hAnsi="Palatino Linotype"/>
          <w:szCs w:val="24"/>
        </w:rPr>
        <w:t xml:space="preserve">The foregoing resolution was duly introduced, passed and adopted at a conference of the Public Utilities Commission of the State of California held on </w:t>
      </w:r>
      <w:r w:rsidRPr="00251AAB" w:rsidR="00251AAB">
        <w:rPr>
          <w:rFonts w:ascii="Palatino Linotype" w:hAnsi="Palatino Linotype"/>
          <w:szCs w:val="24"/>
        </w:rPr>
        <w:t>August 14, 2025</w:t>
      </w:r>
      <w:r w:rsidRPr="00251AAB">
        <w:rPr>
          <w:rFonts w:ascii="Palatino Linotype" w:hAnsi="Palatino Linotype"/>
          <w:szCs w:val="24"/>
        </w:rPr>
        <w:t>; the following Commissioners voting favorably thereon:</w:t>
      </w:r>
    </w:p>
    <w:p w:rsidRPr="00251AAB" w:rsidR="00A76F4A" w:rsidP="4B8EF7B2" w:rsidRDefault="542AC687" w14:paraId="6E385009" w14:textId="75CDA1A6">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251AAB">
        <w:rPr>
          <w:rFonts w:ascii="Palatino Linotype" w:hAnsi="Palatino Linotype" w:eastAsia="Palatino Linotype" w:cs="Times New Roman"/>
        </w:rPr>
        <w:t xml:space="preserve">Commissioner Signature blocks to be added </w:t>
      </w:r>
    </w:p>
    <w:p w:rsidRPr="00251AAB" w:rsidR="00A76F4A" w:rsidP="4B8EF7B2" w:rsidRDefault="542AC687" w14:paraId="6FDD2628" w14:textId="21A4F054">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251AAB">
        <w:rPr>
          <w:rFonts w:ascii="Palatino Linotype" w:hAnsi="Palatino Linotype" w:eastAsia="Palatino Linotype" w:cs="Times New Roman"/>
        </w:rPr>
        <w:t>upon adoption of the resolution</w:t>
      </w:r>
    </w:p>
    <w:p w:rsidRPr="00251AAB" w:rsidR="00A76F4A" w:rsidP="00A76F4A" w:rsidRDefault="00A76F4A" w14:paraId="0B7DFB9B" w14:textId="1BDC677F">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7B2A2C9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1BFDA168" w14:textId="43EC99D8">
      <w:pPr>
        <w:keepNext/>
        <w:spacing w:after="0" w:line="240" w:lineRule="auto"/>
        <w:rPr>
          <w:rFonts w:ascii="Palatino Linotype" w:hAnsi="Palatino Linotype" w:eastAsia="Palatino Linotype" w:cs="Times New Roman"/>
        </w:rPr>
      </w:pPr>
      <w:r w:rsidRPr="00251AAB">
        <w:rPr>
          <w:rFonts w:ascii="Palatino Linotype" w:hAnsi="Palatino Linotype" w:eastAsia="Palatino Linotype" w:cs="Times New Roman"/>
        </w:rPr>
        <w:t xml:space="preserve">Dated </w:t>
      </w:r>
      <w:r w:rsidRPr="00251AAB" w:rsidR="00251AAB">
        <w:rPr>
          <w:rFonts w:ascii="Palatino Linotype" w:hAnsi="Palatino Linotype" w:eastAsia="Palatino Linotype" w:cs="Times New Roman"/>
        </w:rPr>
        <w:t>August 14, 2025</w:t>
      </w:r>
      <w:r w:rsidRPr="00251AAB">
        <w:rPr>
          <w:rFonts w:ascii="Palatino Linotype" w:hAnsi="Palatino Linotype" w:eastAsia="Palatino Linotype" w:cs="Times New Roman"/>
        </w:rPr>
        <w:t xml:space="preserve">, at </w:t>
      </w:r>
      <w:r w:rsidRPr="00251AAB" w:rsidR="00251AAB">
        <w:rPr>
          <w:rFonts w:ascii="Palatino Linotype" w:hAnsi="Palatino Linotype" w:eastAsia="Palatino Linotype" w:cs="Times New Roman"/>
        </w:rPr>
        <w:t>Sacramento</w:t>
      </w:r>
      <w:r w:rsidRPr="00251AAB">
        <w:rPr>
          <w:rFonts w:ascii="Palatino Linotype" w:hAnsi="Palatino Linotype" w:eastAsia="Palatino Linotype" w:cs="Times New Roman"/>
        </w:rPr>
        <w:t>, California</w:t>
      </w:r>
      <w:r w:rsidRPr="00251AAB" w:rsidR="1953FEF5">
        <w:rPr>
          <w:rFonts w:ascii="Palatino Linotype" w:hAnsi="Palatino Linotype" w:eastAsia="Palatino Linotype" w:cs="Times New Roman"/>
        </w:rPr>
        <w:t xml:space="preserve"> (EDTU will </w:t>
      </w:r>
      <w:r w:rsidRPr="00251AAB" w:rsidR="00251AAB">
        <w:rPr>
          <w:rFonts w:ascii="Palatino Linotype" w:hAnsi="Palatino Linotype" w:eastAsia="Palatino Linotype" w:cs="Times New Roman"/>
        </w:rPr>
        <w:t>fill out</w:t>
      </w:r>
      <w:r w:rsidRPr="00251AAB" w:rsidR="1953FEF5">
        <w:rPr>
          <w:rFonts w:ascii="Palatino Linotype" w:hAnsi="Palatino Linotype" w:eastAsia="Palatino Linotype" w:cs="Times New Roman"/>
        </w:rPr>
        <w:t xml:space="preserve"> the date and location)</w:t>
      </w:r>
      <w:r w:rsidRPr="00251AAB">
        <w:rPr>
          <w:rFonts w:ascii="Palatino Linotype" w:hAnsi="Palatino Linotype"/>
        </w:rPr>
        <w:tab/>
      </w:r>
    </w:p>
    <w:p w:rsidRPr="00251AAB" w:rsidR="00A76F4A" w:rsidP="00A76F4A" w:rsidRDefault="00A76F4A" w14:paraId="6C25D2B1" w14:textId="77777777">
      <w:pPr>
        <w:keepNext/>
        <w:spacing w:after="0" w:line="240" w:lineRule="auto"/>
        <w:rPr>
          <w:rFonts w:ascii="Palatino Linotype" w:hAnsi="Palatino Linotype" w:eastAsia="Palatino Linotype" w:cs="Times New Roman"/>
        </w:rPr>
      </w:pPr>
    </w:p>
    <w:p w:rsidRPr="00251AAB" w:rsidR="00A76F4A" w:rsidP="00A76F4A" w:rsidRDefault="00A76F4A" w14:paraId="0210CE2F" w14:textId="77777777">
      <w:pPr>
        <w:keepNext/>
        <w:spacing w:after="0" w:line="240" w:lineRule="auto"/>
        <w:rPr>
          <w:rFonts w:ascii="Palatino Linotype" w:hAnsi="Palatino Linotype" w:eastAsia="Palatino Linotype" w:cs="Times New Roman"/>
        </w:rPr>
      </w:pPr>
    </w:p>
    <w:p w:rsidRPr="00251AAB" w:rsidR="004B13D9" w:rsidP="00A76F4A" w:rsidRDefault="004B13D9" w14:paraId="7DE0DD3D" w14:textId="77777777">
      <w:pPr>
        <w:keepNext/>
        <w:spacing w:after="0" w:line="240" w:lineRule="auto"/>
        <w:rPr>
          <w:rFonts w:ascii="Palatino Linotype" w:hAnsi="Palatino Linotype" w:eastAsia="Palatino Linotype" w:cs="Times New Roman"/>
        </w:rPr>
      </w:pPr>
    </w:p>
    <w:p w:rsidRPr="00251AAB" w:rsidR="004B13D9" w:rsidP="00A76F4A" w:rsidRDefault="004B13D9" w14:paraId="7576CE80" w14:textId="77777777">
      <w:pPr>
        <w:keepNext/>
        <w:spacing w:after="0" w:line="240" w:lineRule="auto"/>
        <w:rPr>
          <w:rFonts w:ascii="Palatino Linotype" w:hAnsi="Palatino Linotype" w:eastAsia="Palatino Linotype" w:cs="Times New Roman"/>
        </w:rPr>
      </w:pPr>
    </w:p>
    <w:p w:rsidRPr="00251AAB" w:rsidR="004B13D9" w:rsidP="00A76F4A" w:rsidRDefault="004B13D9" w14:paraId="5CF67723" w14:textId="77777777">
      <w:pPr>
        <w:keepNext/>
        <w:spacing w:after="0" w:line="240" w:lineRule="auto"/>
        <w:rPr>
          <w:rFonts w:ascii="Palatino Linotype" w:hAnsi="Palatino Linotype" w:eastAsia="Palatino Linotype" w:cs="Times New Roman"/>
        </w:rPr>
      </w:pPr>
    </w:p>
    <w:p w:rsidRPr="00251AAB" w:rsidR="00A76F4A" w:rsidP="00E851DF" w:rsidRDefault="00A76F4A" w14:paraId="1FD216D4" w14:textId="77777777">
      <w:pPr>
        <w:keepNext/>
        <w:spacing w:after="0" w:line="240" w:lineRule="auto"/>
        <w:rPr>
          <w:rFonts w:ascii="Palatino Linotype" w:hAnsi="Palatino Linotype"/>
        </w:rPr>
      </w:pPr>
    </w:p>
    <w:sectPr w:rsidRPr="00251AAB" w:rsidR="00A76F4A" w:rsidSect="00750E9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FEEFC" w14:textId="77777777" w:rsidR="0012341D" w:rsidRDefault="0012341D" w:rsidP="00A76F4A">
      <w:pPr>
        <w:spacing w:after="0" w:line="240" w:lineRule="auto"/>
      </w:pPr>
      <w:r>
        <w:separator/>
      </w:r>
    </w:p>
  </w:endnote>
  <w:endnote w:type="continuationSeparator" w:id="0">
    <w:p w14:paraId="07EA4E62" w14:textId="77777777" w:rsidR="0012341D" w:rsidRDefault="0012341D" w:rsidP="00A76F4A">
      <w:pPr>
        <w:spacing w:after="0" w:line="240" w:lineRule="auto"/>
      </w:pPr>
      <w:r>
        <w:continuationSeparator/>
      </w:r>
    </w:p>
  </w:endnote>
  <w:endnote w:type="continuationNotice" w:id="1">
    <w:p w14:paraId="67F494F0" w14:textId="77777777" w:rsidR="0012341D" w:rsidRDefault="00123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w:altName w:val="Book Antiqua"/>
    <w:charset w:val="00"/>
    <w:family w:val="auto"/>
    <w:pitch w:val="variable"/>
    <w:sig w:usb0="20000A87" w:usb1="08000000" w:usb2="00000008" w:usb3="00000000" w:csb0="00000105"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95273077"/>
      <w:docPartObj>
        <w:docPartGallery w:val="Page Numbers (Bottom of Page)"/>
        <w:docPartUnique/>
      </w:docPartObj>
    </w:sdtPr>
    <w:sdtEndPr>
      <w:rPr>
        <w:noProof/>
      </w:rPr>
    </w:sdtEndPr>
    <w:sdtContent>
      <w:p w14:paraId="0D8786F3" w14:textId="5C6D8969" w:rsidR="002514A5" w:rsidRPr="002514A5" w:rsidRDefault="002514A5">
        <w:pPr>
          <w:pStyle w:val="Footer"/>
          <w:jc w:val="center"/>
          <w:rPr>
            <w:rFonts w:ascii="Palatino Linotype" w:hAnsi="Palatino Linotype"/>
          </w:rPr>
        </w:pPr>
        <w:r w:rsidRPr="002514A5">
          <w:rPr>
            <w:rFonts w:ascii="Palatino Linotype" w:hAnsi="Palatino Linotype"/>
          </w:rPr>
          <w:fldChar w:fldCharType="begin"/>
        </w:r>
        <w:r w:rsidRPr="002514A5">
          <w:rPr>
            <w:rFonts w:ascii="Palatino Linotype" w:hAnsi="Palatino Linotype"/>
          </w:rPr>
          <w:instrText xml:space="preserve"> PAGE   \* MERGEFORMAT </w:instrText>
        </w:r>
        <w:r w:rsidRPr="002514A5">
          <w:rPr>
            <w:rFonts w:ascii="Palatino Linotype" w:hAnsi="Palatino Linotype"/>
          </w:rPr>
          <w:fldChar w:fldCharType="separate"/>
        </w:r>
        <w:r w:rsidRPr="002514A5">
          <w:rPr>
            <w:rFonts w:ascii="Palatino Linotype" w:hAnsi="Palatino Linotype"/>
            <w:noProof/>
          </w:rPr>
          <w:t>2</w:t>
        </w:r>
        <w:r w:rsidRPr="002514A5">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495374242"/>
      <w:docPartObj>
        <w:docPartGallery w:val="Page Numbers (Bottom of Page)"/>
        <w:docPartUnique/>
      </w:docPartObj>
    </w:sdtPr>
    <w:sdtEndPr>
      <w:rPr>
        <w:noProof/>
      </w:rPr>
    </w:sdtEndPr>
    <w:sdtContent>
      <w:p w14:paraId="6783E552" w14:textId="35E02D97" w:rsidR="004A7A4C" w:rsidRPr="004A7A4C" w:rsidRDefault="0049047B" w:rsidP="0049047B">
        <w:pPr>
          <w:pStyle w:val="Footer"/>
          <w:rPr>
            <w:rFonts w:ascii="Palatino Linotype" w:hAnsi="Palatino Linotype"/>
          </w:rPr>
        </w:pPr>
        <w:r w:rsidRPr="0049047B">
          <w:rPr>
            <w:rFonts w:ascii="Tahoma" w:hAnsi="Tahoma" w:cs="Tahoma"/>
            <w:sz w:val="18"/>
          </w:rPr>
          <w:t>572943905  </w:t>
        </w:r>
        <w:r>
          <w:rPr>
            <w:rFonts w:ascii="Tahoma" w:hAnsi="Tahoma" w:cs="Tahoma"/>
            <w:sz w:val="18"/>
          </w:rPr>
          <w:t xml:space="preserve"> </w:t>
        </w:r>
        <w:r w:rsidR="00FB7C7C">
          <w:rPr>
            <w:rFonts w:ascii="Palatino Linotype" w:hAnsi="Palatino Linotype"/>
          </w:rPr>
          <w:tab/>
        </w:r>
        <w:r w:rsidR="004A7A4C" w:rsidRPr="004A7A4C">
          <w:rPr>
            <w:rFonts w:ascii="Palatino Linotype" w:hAnsi="Palatino Linotype"/>
          </w:rPr>
          <w:fldChar w:fldCharType="begin"/>
        </w:r>
        <w:r w:rsidR="004A7A4C" w:rsidRPr="004A7A4C">
          <w:rPr>
            <w:rFonts w:ascii="Palatino Linotype" w:hAnsi="Palatino Linotype"/>
          </w:rPr>
          <w:instrText xml:space="preserve"> PAGE   \* MERGEFORMAT </w:instrText>
        </w:r>
        <w:r w:rsidR="004A7A4C" w:rsidRPr="004A7A4C">
          <w:rPr>
            <w:rFonts w:ascii="Palatino Linotype" w:hAnsi="Palatino Linotype"/>
          </w:rPr>
          <w:fldChar w:fldCharType="separate"/>
        </w:r>
        <w:r w:rsidR="004A7A4C" w:rsidRPr="004A7A4C">
          <w:rPr>
            <w:rFonts w:ascii="Palatino Linotype" w:hAnsi="Palatino Linotype"/>
            <w:noProof/>
          </w:rPr>
          <w:t>2</w:t>
        </w:r>
        <w:r w:rsidR="004A7A4C" w:rsidRPr="004A7A4C">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E2642" w14:textId="77777777" w:rsidR="0012341D" w:rsidRDefault="0012341D" w:rsidP="00A76F4A">
      <w:pPr>
        <w:spacing w:after="0" w:line="240" w:lineRule="auto"/>
      </w:pPr>
      <w:r>
        <w:separator/>
      </w:r>
    </w:p>
  </w:footnote>
  <w:footnote w:type="continuationSeparator" w:id="0">
    <w:p w14:paraId="563A7D20" w14:textId="77777777" w:rsidR="0012341D" w:rsidRDefault="0012341D" w:rsidP="00A76F4A">
      <w:pPr>
        <w:spacing w:after="0" w:line="240" w:lineRule="auto"/>
      </w:pPr>
      <w:r>
        <w:continuationSeparator/>
      </w:r>
    </w:p>
  </w:footnote>
  <w:footnote w:type="continuationNotice" w:id="1">
    <w:p w14:paraId="3548F0BF" w14:textId="77777777" w:rsidR="0012341D" w:rsidRDefault="0012341D">
      <w:pPr>
        <w:spacing w:after="0" w:line="240" w:lineRule="auto"/>
      </w:pPr>
    </w:p>
  </w:footnote>
  <w:footnote w:id="2">
    <w:p w14:paraId="536363E0" w14:textId="77777777" w:rsidR="00904A8D" w:rsidRPr="00251AAB" w:rsidRDefault="00904A8D" w:rsidP="00904A8D">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The Total Revenue Requirement is the total cost of a program. The Average Annual Revenue Requirement (AARR) is the average yearly cost during the 2025-2026 Compliance Plan Period. The AARR is made up of both capital and operations and maintenance (O&amp;M) costs. Capital costs are collected evenly over the expected length of the life of the asset, and one year of such costs is included in the AARR. For O&amp;M, the AARR includes the total costs during the Compliance Plan Period</w:t>
      </w:r>
      <w:r w:rsidRPr="00251AAB" w:rsidDel="002B1402">
        <w:rPr>
          <w:rFonts w:ascii="Palatino Linotype" w:hAnsi="Palatino Linotype"/>
        </w:rPr>
        <w:t xml:space="preserve"> </w:t>
      </w:r>
      <w:r w:rsidRPr="00251AAB">
        <w:rPr>
          <w:rFonts w:ascii="Palatino Linotype" w:hAnsi="Palatino Linotype"/>
        </w:rPr>
        <w:t xml:space="preserve">divided by the number of years of the program, in this case, two years. SoCalGas identifies each of the chapters’ capital and O&amp;M costs separately in its Compliance Plan. </w:t>
      </w:r>
    </w:p>
  </w:footnote>
  <w:footnote w:id="3">
    <w:p w14:paraId="380FC67C" w14:textId="1BC349DC" w:rsidR="00551951" w:rsidRPr="00251AAB" w:rsidRDefault="00551951" w:rsidP="0055195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SB 1371 is codified in Public Utilities Code </w:t>
      </w:r>
      <w:r w:rsidR="008A1824" w:rsidRPr="00251AAB">
        <w:rPr>
          <w:rFonts w:ascii="Palatino Linotype" w:hAnsi="Palatino Linotype"/>
        </w:rPr>
        <w:t>S</w:t>
      </w:r>
      <w:r w:rsidRPr="00251AAB">
        <w:rPr>
          <w:rFonts w:ascii="Palatino Linotype" w:hAnsi="Palatino Linotype"/>
        </w:rPr>
        <w:t xml:space="preserve">ection 975-978. </w:t>
      </w:r>
    </w:p>
  </w:footnote>
  <w:footnote w:id="4">
    <w:p w14:paraId="0149FE76" w14:textId="77777777" w:rsidR="00280FAF" w:rsidRPr="00251AAB" w:rsidRDefault="00280FAF" w:rsidP="00280FAF">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D.17-06-015 at 132-133. </w:t>
      </w:r>
    </w:p>
  </w:footnote>
  <w:footnote w:id="5">
    <w:p w14:paraId="3463A035" w14:textId="77777777" w:rsidR="006F364D" w:rsidRPr="00251AAB" w:rsidRDefault="006F364D" w:rsidP="006F364D">
      <w:pPr>
        <w:pStyle w:val="FootnoteText"/>
        <w:rPr>
          <w:rFonts w:ascii="Palatino Linotype" w:hAnsi="Palatino Linotype" w:cs="Aharoni"/>
        </w:rPr>
      </w:pPr>
      <w:r w:rsidRPr="00251AAB">
        <w:rPr>
          <w:rStyle w:val="FootnoteReference"/>
          <w:rFonts w:ascii="Palatino Linotype" w:eastAsiaTheme="majorEastAsia" w:hAnsi="Palatino Linotype" w:cs="Aharoni"/>
        </w:rPr>
        <w:footnoteRef/>
      </w:r>
      <w:r w:rsidRPr="00251AAB">
        <w:rPr>
          <w:rFonts w:ascii="Palatino Linotype" w:hAnsi="Palatino Linotype" w:cs="Aharoni"/>
        </w:rPr>
        <w:t xml:space="preserve"> Resolution 3538 at 8.</w:t>
      </w:r>
    </w:p>
  </w:footnote>
  <w:footnote w:id="6">
    <w:p w14:paraId="61C970D5" w14:textId="77777777" w:rsidR="006F364D" w:rsidRPr="00251AAB" w:rsidRDefault="006F364D" w:rsidP="006F364D">
      <w:pPr>
        <w:pStyle w:val="FootnoteText"/>
        <w:rPr>
          <w:rFonts w:ascii="Palatino Linotype" w:hAnsi="Palatino Linotype" w:cs="Aharoni"/>
        </w:rPr>
      </w:pPr>
      <w:r w:rsidRPr="00251AAB">
        <w:rPr>
          <w:rStyle w:val="FootnoteReference"/>
          <w:rFonts w:ascii="Palatino Linotype" w:hAnsi="Palatino Linotype" w:cs="Aharoni"/>
        </w:rPr>
        <w:footnoteRef/>
      </w:r>
      <w:r w:rsidRPr="00251AAB">
        <w:rPr>
          <w:rFonts w:ascii="Palatino Linotype" w:hAnsi="Palatino Linotype" w:cs="Aharoni"/>
        </w:rPr>
        <w:t xml:space="preserve"> D.19-08-020, FOF 8,9&amp;10 and OP 2&amp;3.</w:t>
      </w:r>
    </w:p>
  </w:footnote>
  <w:footnote w:id="7">
    <w:p w14:paraId="07FA7885" w14:textId="77777777" w:rsidR="006F364D" w:rsidRPr="00251AAB" w:rsidRDefault="006F364D" w:rsidP="006F364D">
      <w:pPr>
        <w:pStyle w:val="FootnoteText"/>
        <w:rPr>
          <w:rFonts w:ascii="Palatino Linotype" w:hAnsi="Palatino Linotype" w:cs="Aharoni"/>
        </w:rPr>
      </w:pPr>
      <w:r w:rsidRPr="00251AAB">
        <w:rPr>
          <w:rStyle w:val="FootnoteReference"/>
          <w:rFonts w:ascii="Palatino Linotype" w:hAnsi="Palatino Linotype" w:cs="Aharoni"/>
        </w:rPr>
        <w:footnoteRef/>
      </w:r>
      <w:r w:rsidRPr="00251AAB">
        <w:rPr>
          <w:rFonts w:ascii="Palatino Linotype" w:hAnsi="Palatino Linotype" w:cs="Aharoni"/>
        </w:rPr>
        <w:t xml:space="preserve"> D.19-08-020, p.2 and OP 5.</w:t>
      </w:r>
    </w:p>
  </w:footnote>
  <w:footnote w:id="8">
    <w:p w14:paraId="02E72109" w14:textId="77777777" w:rsidR="006F364D" w:rsidRPr="00251AAB" w:rsidRDefault="006F364D" w:rsidP="006F364D">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p. 19: “SED has authority delegated by the CPUC to approve biennial compliance plans and disapprove any project it determines is not in the ratepayer’s interest.”</w:t>
      </w:r>
    </w:p>
  </w:footnote>
  <w:footnote w:id="9">
    <w:p w14:paraId="144DAA70" w14:textId="64D55652" w:rsidR="00CF5181" w:rsidRPr="00251AAB" w:rsidRDefault="00CF5181" w:rsidP="00CF518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At the time of the initial decision, </w:t>
      </w:r>
      <w:r w:rsidRPr="00251AAB">
        <w:rPr>
          <w:rFonts w:ascii="Palatino Linotype" w:eastAsia="Segoe UI" w:hAnsi="Palatino Linotype" w:cs="Segoe UI"/>
        </w:rPr>
        <w:t>any party to the proceeding who was interested could join the Technical Working Group. Parties that joined initially included EDF and TURN along with the gas companies and CARB</w:t>
      </w:r>
      <w:r w:rsidR="00177911" w:rsidRPr="00251AAB">
        <w:rPr>
          <w:rFonts w:ascii="Palatino Linotype" w:eastAsia="Segoe UI" w:hAnsi="Palatino Linotype" w:cs="Segoe UI"/>
        </w:rPr>
        <w:t>.</w:t>
      </w:r>
    </w:p>
  </w:footnote>
  <w:footnote w:id="10">
    <w:p w14:paraId="02904B81" w14:textId="77777777" w:rsidR="00CF5181" w:rsidRPr="00251AAB" w:rsidRDefault="00CF5181" w:rsidP="00CF518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OPs 6 and 7.</w:t>
      </w:r>
    </w:p>
  </w:footnote>
  <w:footnote w:id="11">
    <w:p w14:paraId="74AD4BE8"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D.19-08-020, COL 19.</w:t>
      </w:r>
    </w:p>
  </w:footnote>
  <w:footnote w:id="12">
    <w:p w14:paraId="3745FE64"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Email directive from</w:t>
      </w:r>
      <w:r w:rsidRPr="00251AAB" w:rsidDel="00166A0C">
        <w:rPr>
          <w:rFonts w:ascii="Palatino Linotype" w:hAnsi="Palatino Linotype"/>
        </w:rPr>
        <w:t xml:space="preserve"> </w:t>
      </w:r>
      <w:r w:rsidRPr="00251AAB">
        <w:rPr>
          <w:rFonts w:ascii="Palatino Linotype" w:hAnsi="Palatino Linotype"/>
        </w:rPr>
        <w:t>SPD to utilities, “</w:t>
      </w:r>
      <w:r w:rsidRPr="00251AAB" w:rsidDel="00166A0C">
        <w:rPr>
          <w:rFonts w:ascii="Palatino Linotype" w:hAnsi="Palatino Linotype"/>
        </w:rPr>
        <w:t>Compliance Plan Guidelines for Natural Gas Leak Abatement Program</w:t>
      </w:r>
      <w:r w:rsidRPr="00251AAB">
        <w:rPr>
          <w:rFonts w:ascii="Palatino Linotype" w:hAnsi="Palatino Linotype"/>
        </w:rPr>
        <w:t>,”</w:t>
      </w:r>
      <w:r w:rsidRPr="00251AAB" w:rsidDel="00166A0C">
        <w:rPr>
          <w:rFonts w:ascii="Palatino Linotype" w:hAnsi="Palatino Linotype"/>
        </w:rPr>
        <w:t xml:space="preserve"> November 25, 2019.</w:t>
      </w:r>
      <w:r w:rsidRPr="00251AAB">
        <w:rPr>
          <w:rFonts w:ascii="Palatino Linotype" w:eastAsia="Calibri" w:hAnsi="Palatino Linotype" w:cs="Calibri"/>
        </w:rPr>
        <w:t xml:space="preserve"> The NGLA Compliance Plans filed in 2020 reflect those guidelines, primarily the concept that Plan chapters can incorporate more than one best practice. The previous guidelines required a separate chapter for each of the 26 best practices, which was found to be inefficient since SPD had found that a particular measure could address more than one best practice at the same time.</w:t>
      </w:r>
    </w:p>
  </w:footnote>
  <w:footnote w:id="13">
    <w:p w14:paraId="18AC7A8F" w14:textId="44729DBC" w:rsidR="00385CE2" w:rsidRPr="00251AAB" w:rsidRDefault="00385CE2">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In SDG&amp;E’s case, this resulted in 14 Chapters.</w:t>
      </w:r>
    </w:p>
  </w:footnote>
  <w:footnote w:id="14">
    <w:p w14:paraId="3FA7FBB6" w14:textId="77777777" w:rsidR="00CF5181" w:rsidRPr="00251AAB" w:rsidRDefault="00CF5181" w:rsidP="00CF518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D.20-01-002, issued on January 16, 2020.</w:t>
      </w:r>
    </w:p>
  </w:footnote>
  <w:footnote w:id="15">
    <w:p w14:paraId="54179ACF" w14:textId="27B4444C" w:rsidR="00E7370F" w:rsidRPr="00251AAB" w:rsidRDefault="00E7370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SDG&amp;E SB 1371 Amended 2020 Compliance Plan.pdf (sdge.com).</w:t>
      </w:r>
    </w:p>
  </w:footnote>
  <w:footnote w:id="16">
    <w:p w14:paraId="284F45CF"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It has been</w:t>
      </w:r>
      <w:r w:rsidRPr="00251AAB" w:rsidDel="00743939">
        <w:rPr>
          <w:rFonts w:ascii="Palatino Linotype" w:hAnsi="Palatino Linotype"/>
        </w:rPr>
        <w:t xml:space="preserve"> </w:t>
      </w:r>
      <w:r w:rsidRPr="00251AAB">
        <w:rPr>
          <w:rFonts w:ascii="Palatino Linotype" w:hAnsi="Palatino Linotype"/>
        </w:rPr>
        <w:t xml:space="preserve">understood throughout the process of reviewing the NGLA requests for funding that they include the ongoing costs for the life of the capital projects, just as they would in a General Rate Case, and that once they are approved, these are put into the utility’s rates for the life of the capital projects and not just the two years of the NGLA Compliance Plan cycle. </w:t>
      </w:r>
    </w:p>
  </w:footnote>
  <w:footnote w:id="17">
    <w:p w14:paraId="0435DB10"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Resolution G-3576 p. 3.</w:t>
      </w:r>
    </w:p>
  </w:footnote>
  <w:footnote w:id="18">
    <w:p w14:paraId="2121A585"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The sum of the 2023 and 2024 annual revenue requirement is less than the Total Revenue Requirement because there are significant capital costs in some of the leak abatement programs, which are recovered over a longer period.</w:t>
      </w:r>
    </w:p>
  </w:footnote>
  <w:footnote w:id="19">
    <w:p w14:paraId="4F1CCAE9" w14:textId="3B53B781" w:rsidR="00A07C76" w:rsidRPr="00251AAB" w:rsidRDefault="00A07C76">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w:t>
      </w:r>
      <w:r w:rsidR="00B8751B" w:rsidRPr="00251AAB">
        <w:rPr>
          <w:rFonts w:ascii="Palatino Linotype" w:hAnsi="Palatino Linotype"/>
        </w:rPr>
        <w:t xml:space="preserve">2022 CARB Scoping Plan, p. 79, Table 2-1:https//ww2.arb.ca.gov/sites/default/files/2022-12-/2022-sp.pdf#page=252&amp;zoom=100,93,469. </w:t>
      </w:r>
    </w:p>
  </w:footnote>
  <w:footnote w:id="20">
    <w:p w14:paraId="2E5D32F3" w14:textId="015199E9"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Resolution </w:t>
      </w:r>
      <w:r w:rsidR="00730497" w:rsidRPr="00251AAB">
        <w:rPr>
          <w:rFonts w:ascii="Palatino Linotype" w:hAnsi="Palatino Linotype"/>
        </w:rPr>
        <w:t>G-</w:t>
      </w:r>
      <w:r w:rsidRPr="00251AAB">
        <w:rPr>
          <w:rFonts w:ascii="Palatino Linotype" w:hAnsi="Palatino Linotype"/>
        </w:rPr>
        <w:t>359</w:t>
      </w:r>
      <w:r w:rsidR="00B8751B" w:rsidRPr="00251AAB">
        <w:rPr>
          <w:rFonts w:ascii="Palatino Linotype" w:hAnsi="Palatino Linotype"/>
        </w:rPr>
        <w:t>9</w:t>
      </w:r>
      <w:r w:rsidRPr="00251AAB">
        <w:rPr>
          <w:rFonts w:ascii="Palatino Linotype" w:hAnsi="Palatino Linotype"/>
        </w:rPr>
        <w:t>-G, OP 1</w:t>
      </w:r>
      <w:r w:rsidR="00B8751B" w:rsidRPr="00251AAB">
        <w:rPr>
          <w:rFonts w:ascii="Palatino Linotype" w:hAnsi="Palatino Linotype"/>
        </w:rPr>
        <w:t>.</w:t>
      </w:r>
    </w:p>
  </w:footnote>
  <w:footnote w:id="21">
    <w:p w14:paraId="1CEE8DDD" w14:textId="15B3B34C" w:rsidR="008650BA" w:rsidRPr="00251AAB" w:rsidRDefault="008650BA">
      <w:pPr>
        <w:pStyle w:val="FootnoteText"/>
        <w:rPr>
          <w:rFonts w:ascii="Palatino Linotype" w:hAnsi="Palatino Linotype"/>
        </w:rPr>
      </w:pPr>
      <w:r w:rsidRPr="00251AAB">
        <w:rPr>
          <w:rStyle w:val="FootnoteReference"/>
          <w:rFonts w:ascii="Palatino Linotype" w:hAnsi="Palatino Linotype"/>
        </w:rPr>
        <w:footnoteRef/>
      </w:r>
      <w:r w:rsidR="00806427" w:rsidRPr="00251AAB">
        <w:rPr>
          <w:rFonts w:ascii="Palatino Linotype" w:hAnsi="Palatino Linotype"/>
        </w:rPr>
        <w:t xml:space="preserve">Safety Policy Division </w:t>
      </w:r>
      <w:r w:rsidR="00693AF7" w:rsidRPr="00251AAB">
        <w:rPr>
          <w:rFonts w:ascii="Palatino Linotype" w:hAnsi="Palatino Linotype"/>
        </w:rPr>
        <w:t>Evaluation</w:t>
      </w:r>
      <w:r w:rsidR="00A310C0" w:rsidRPr="00251AAB">
        <w:rPr>
          <w:rFonts w:ascii="Palatino Linotype" w:hAnsi="Palatino Linotype"/>
        </w:rPr>
        <w:t xml:space="preserve"> of</w:t>
      </w:r>
      <w:r w:rsidR="002E2F17" w:rsidRPr="00251AAB">
        <w:rPr>
          <w:rFonts w:ascii="Palatino Linotype" w:hAnsi="Palatino Linotype"/>
        </w:rPr>
        <w:t xml:space="preserve"> SDG&amp;E’s </w:t>
      </w:r>
      <w:r w:rsidR="00A310C0" w:rsidRPr="00251AAB">
        <w:rPr>
          <w:rFonts w:ascii="Palatino Linotype" w:hAnsi="Palatino Linotype"/>
        </w:rPr>
        <w:t xml:space="preserve">2024 </w:t>
      </w:r>
      <w:r w:rsidR="002E2F17" w:rsidRPr="00251AAB">
        <w:rPr>
          <w:rFonts w:ascii="Palatino Linotype" w:hAnsi="Palatino Linotype"/>
        </w:rPr>
        <w:t xml:space="preserve">NGLA Compliance Plan, </w:t>
      </w:r>
      <w:r w:rsidR="00A2757E" w:rsidRPr="00251AAB">
        <w:rPr>
          <w:rFonts w:ascii="Palatino Linotype" w:hAnsi="Palatino Linotype"/>
        </w:rPr>
        <w:t>June 30,</w:t>
      </w:r>
      <w:r w:rsidR="00BC6563" w:rsidRPr="00251AAB">
        <w:rPr>
          <w:rFonts w:ascii="Palatino Linotype" w:hAnsi="Palatino Linotype"/>
        </w:rPr>
        <w:t>3035</w:t>
      </w:r>
      <w:r w:rsidR="00B87152" w:rsidRPr="00251AAB">
        <w:rPr>
          <w:rFonts w:ascii="Palatino Linotype" w:hAnsi="Palatino Linotype"/>
        </w:rPr>
        <w:t xml:space="preserve"> at </w:t>
      </w:r>
      <w:r w:rsidR="00ED2320" w:rsidRPr="00251AAB">
        <w:rPr>
          <w:rFonts w:ascii="Palatino Linotype" w:hAnsi="Palatino Linotype"/>
        </w:rPr>
        <w:t>2</w:t>
      </w:r>
      <w:r w:rsidR="002E2F17" w:rsidRPr="00251AAB">
        <w:rPr>
          <w:rFonts w:ascii="Palatino Linotype" w:hAnsi="Palatino Linotype"/>
        </w:rPr>
        <w:t xml:space="preserve"> (Attach</w:t>
      </w:r>
      <w:r w:rsidR="00B87152" w:rsidRPr="00251AAB">
        <w:rPr>
          <w:rFonts w:ascii="Palatino Linotype" w:hAnsi="Palatino Linotype"/>
        </w:rPr>
        <w:t>ment A to this resolution</w:t>
      </w:r>
      <w:r w:rsidR="002E2F17" w:rsidRPr="00251AAB">
        <w:rPr>
          <w:rFonts w:ascii="Palatino Linotype" w:hAnsi="Palatino Linotype"/>
        </w:rPr>
        <w:t>).</w:t>
      </w:r>
    </w:p>
  </w:footnote>
  <w:footnote w:id="22">
    <w:p w14:paraId="69265010" w14:textId="29F21F83"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As explained in fn </w:t>
      </w:r>
      <w:r w:rsidR="00F67C2F" w:rsidRPr="00251AAB">
        <w:rPr>
          <w:rFonts w:ascii="Palatino Linotype" w:hAnsi="Palatino Linotype"/>
        </w:rPr>
        <w:t>1</w:t>
      </w:r>
      <w:r w:rsidRPr="00251AAB">
        <w:rPr>
          <w:rFonts w:ascii="Palatino Linotype" w:hAnsi="Palatino Linotype"/>
        </w:rPr>
        <w:t xml:space="preserve">, </w:t>
      </w:r>
      <w:r w:rsidR="00730497" w:rsidRPr="00251AAB">
        <w:rPr>
          <w:rFonts w:ascii="Palatino Linotype" w:hAnsi="Palatino Linotype"/>
        </w:rPr>
        <w:t xml:space="preserve">SDG&amp;E </w:t>
      </w:r>
      <w:r w:rsidRPr="00251AAB">
        <w:rPr>
          <w:rFonts w:ascii="Palatino Linotype" w:hAnsi="Palatino Linotype"/>
        </w:rPr>
        <w:t>identifies each of the chapters’ capital and O&amp;M costs separately in its Compliance Plan. The AARR is the basis for the standard cost-effectiveness calculations for each measure, as noted above.</w:t>
      </w:r>
    </w:p>
  </w:footnote>
  <w:footnote w:id="23">
    <w:p w14:paraId="7DDA69B9" w14:textId="5CA5B675"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Different units for natural gas are used in different contexts. One MCF is roughly equal to 1.038 million British thermal units (MMBtu), the unit typically used when pricing natural gas, and 10.38 therms, the unit used on customer bills: </w:t>
      </w:r>
      <w:hyperlink r:id="rId1" w:history="1">
        <w:r w:rsidRPr="00251AAB">
          <w:rPr>
            <w:rStyle w:val="Hyperlink"/>
            <w:rFonts w:ascii="Palatino Linotype" w:hAnsi="Palatino Linotype"/>
          </w:rPr>
          <w:t>https://www.eia.gov/tools/faqs/faq.php?id=45&amp;t=8</w:t>
        </w:r>
      </w:hyperlink>
      <w:r w:rsidRPr="00251AAB">
        <w:rPr>
          <w:rFonts w:ascii="Palatino Linotype" w:hAnsi="Palatino Linotype"/>
        </w:rPr>
        <w:t>.</w:t>
      </w:r>
      <w:r w:rsidRPr="00251AAB" w:rsidDel="004568F9">
        <w:rPr>
          <w:rFonts w:ascii="Palatino Linotype" w:hAnsi="Palatino Linotype"/>
        </w:rPr>
        <w:t xml:space="preserve"> </w:t>
      </w:r>
      <w:r w:rsidRPr="00251AAB">
        <w:rPr>
          <w:rFonts w:ascii="Palatino Linotype" w:hAnsi="Palatino Linotype"/>
        </w:rPr>
        <w:t>Natural gas spot prices at the Henry Hub, the pricing point for natural gas prices on the New York Mercantile Exchange</w:t>
      </w:r>
      <w:r w:rsidR="00A8209A" w:rsidRPr="00251AAB">
        <w:rPr>
          <w:rFonts w:ascii="Palatino Linotype" w:hAnsi="Palatino Linotype"/>
        </w:rPr>
        <w:t>,</w:t>
      </w:r>
      <w:r w:rsidRPr="00251AAB">
        <w:rPr>
          <w:rFonts w:ascii="Palatino Linotype" w:hAnsi="Palatino Linotype"/>
        </w:rPr>
        <w:t xml:space="preserve"> averaged $2.29 per MCF and $2.21 per MMBtu in 2024. Source: </w:t>
      </w:r>
      <w:hyperlink r:id="rId2" w:anchor=":~:text=In%202024%2C%20the%20U.S.%20benchmark%20Henry%20Hub%20natural,average%20annual%20price%20in%20inflation-adjusted%20dollars%20ever%20reported." w:history="1">
        <w:r w:rsidRPr="00251AAB">
          <w:rPr>
            <w:rStyle w:val="Hyperlink"/>
            <w:rFonts w:ascii="Palatino Linotype" w:hAnsi="Palatino Linotype"/>
          </w:rPr>
          <w:t>Spot Henry Hub natural gas prices hit a historic low in 2024 - U.S. Energy Information Administration (EIA)</w:t>
        </w:r>
      </w:hyperlink>
      <w:r w:rsidRPr="00251AAB">
        <w:rPr>
          <w:rFonts w:ascii="Palatino Linotype" w:hAnsi="Palatino Linotype"/>
        </w:rPr>
        <w:t>.</w:t>
      </w:r>
    </w:p>
  </w:footnote>
  <w:footnote w:id="24">
    <w:p w14:paraId="3F16DE56" w14:textId="48AFA135"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w:t>
      </w:r>
      <w:r w:rsidR="003A5193" w:rsidRPr="00251AAB">
        <w:rPr>
          <w:rFonts w:ascii="Palatino Linotype" w:hAnsi="Palatino Linotype"/>
        </w:rPr>
        <w:t>Safety Policy Division</w:t>
      </w:r>
      <w:r w:rsidRPr="00251AAB">
        <w:rPr>
          <w:rFonts w:ascii="Palatino Linotype" w:hAnsi="Palatino Linotype"/>
        </w:rPr>
        <w:t xml:space="preserve"> </w:t>
      </w:r>
      <w:r w:rsidR="0009604C" w:rsidRPr="00251AAB">
        <w:rPr>
          <w:rFonts w:ascii="Palatino Linotype" w:hAnsi="Palatino Linotype"/>
        </w:rPr>
        <w:t>Evaluation</w:t>
      </w:r>
      <w:r w:rsidRPr="00251AAB">
        <w:rPr>
          <w:rFonts w:ascii="Palatino Linotype" w:hAnsi="Palatino Linotype"/>
        </w:rPr>
        <w:t xml:space="preserve"> of </w:t>
      </w:r>
      <w:r w:rsidR="00A85E50" w:rsidRPr="00251AAB">
        <w:rPr>
          <w:rFonts w:ascii="Palatino Linotype" w:hAnsi="Palatino Linotype"/>
        </w:rPr>
        <w:t>SDG&amp;E’s</w:t>
      </w:r>
      <w:r w:rsidRPr="00251AAB">
        <w:rPr>
          <w:rFonts w:ascii="Palatino Linotype" w:hAnsi="Palatino Linotype"/>
        </w:rPr>
        <w:t xml:space="preserve"> 2024 NGLA Compliance Plan, </w:t>
      </w:r>
      <w:r w:rsidR="00257523" w:rsidRPr="00251AAB">
        <w:rPr>
          <w:rFonts w:ascii="Palatino Linotype" w:hAnsi="Palatino Linotype"/>
        </w:rPr>
        <w:t>June 30, 2025</w:t>
      </w:r>
      <w:r w:rsidRPr="00251AAB">
        <w:rPr>
          <w:rFonts w:ascii="Palatino Linotype" w:hAnsi="Palatino Linotype"/>
        </w:rPr>
        <w:t xml:space="preserve"> </w:t>
      </w:r>
      <w:r w:rsidR="00F3654B" w:rsidRPr="00251AAB">
        <w:rPr>
          <w:rFonts w:ascii="Palatino Linotype" w:hAnsi="Palatino Linotype"/>
        </w:rPr>
        <w:t>at 5.</w:t>
      </w:r>
      <w:r w:rsidR="00B27BED" w:rsidRPr="00251AAB">
        <w:rPr>
          <w:rFonts w:ascii="Palatino Linotype" w:hAnsi="Palatino Linotype"/>
        </w:rPr>
        <w:t xml:space="preserve"> </w:t>
      </w:r>
      <w:r w:rsidRPr="00251AAB">
        <w:rPr>
          <w:rFonts w:ascii="Palatino Linotype" w:hAnsi="Palatino Linotype"/>
        </w:rPr>
        <w:t xml:space="preserve"> </w:t>
      </w:r>
    </w:p>
  </w:footnote>
  <w:footnote w:id="25">
    <w:p w14:paraId="6B5C5418" w14:textId="77777777"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D.19-08-020, p. 36</w:t>
      </w:r>
    </w:p>
  </w:footnote>
  <w:footnote w:id="26">
    <w:p w14:paraId="5013082A" w14:textId="6CFB4AEC"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00676B7C" w:rsidRPr="00251AAB">
        <w:rPr>
          <w:rFonts w:ascii="Palatino Linotype" w:hAnsi="Palatino Linotype"/>
        </w:rPr>
        <w:t>SPD</w:t>
      </w:r>
      <w:r w:rsidRPr="00251AAB">
        <w:rPr>
          <w:rFonts w:ascii="Palatino Linotype" w:hAnsi="Palatino Linotype"/>
        </w:rPr>
        <w:t xml:space="preserve"> </w:t>
      </w:r>
      <w:r w:rsidR="00676B7C" w:rsidRPr="00251AAB">
        <w:rPr>
          <w:rFonts w:ascii="Palatino Linotype" w:hAnsi="Palatino Linotype"/>
        </w:rPr>
        <w:t>Review of  2024 SDG&amp;E</w:t>
      </w:r>
      <w:r w:rsidR="00251281" w:rsidRPr="00251AAB">
        <w:rPr>
          <w:rFonts w:ascii="Palatino Linotype" w:hAnsi="Palatino Linotype"/>
        </w:rPr>
        <w:t xml:space="preserve"> </w:t>
      </w:r>
      <w:r w:rsidRPr="00251AAB">
        <w:rPr>
          <w:rFonts w:ascii="Palatino Linotype" w:hAnsi="Palatino Linotype"/>
        </w:rPr>
        <w:t xml:space="preserve"> Evaluation Report at </w:t>
      </w:r>
      <w:r w:rsidR="00CA3C04" w:rsidRPr="00251AAB">
        <w:rPr>
          <w:rFonts w:ascii="Palatino Linotype" w:hAnsi="Palatino Linotype"/>
        </w:rPr>
        <w:t>4</w:t>
      </w:r>
      <w:r w:rsidRPr="00251AAB">
        <w:rPr>
          <w:rFonts w:ascii="Palatino Linotype" w:hAnsi="Palatino Linotype"/>
        </w:rPr>
        <w:t>.</w:t>
      </w:r>
    </w:p>
  </w:footnote>
  <w:footnote w:id="27">
    <w:p w14:paraId="06A337D4" w14:textId="77777777" w:rsidR="004C1477" w:rsidRPr="00251AAB" w:rsidRDefault="004C1477" w:rsidP="004C1477">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at 27.</w:t>
      </w:r>
    </w:p>
  </w:footnote>
  <w:footnote w:id="28">
    <w:p w14:paraId="0C12D25F" w14:textId="10D50DFB" w:rsidR="00A85E50" w:rsidRPr="00251AAB" w:rsidRDefault="00A85E50" w:rsidP="00A85E50">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Pub. Util. Code section 975(e)(1) provides that the Commission shall “[p]rovide for the maximum technologically feasible and cost-effective avoidance, reduction, and repair of leaks and leaking components </w:t>
      </w:r>
      <w:r w:rsidRPr="00251AAB">
        <w:rPr>
          <w:rFonts w:ascii="Palatino Linotype" w:hAnsi="Palatino Linotype"/>
          <w:i/>
        </w:rPr>
        <w:t>in those commission-regulated gas pipeline facilities that are intrastate transmission and distribution lines</w:t>
      </w:r>
      <w:r w:rsidRPr="00251AAB">
        <w:rPr>
          <w:rFonts w:ascii="Palatino Linotype" w:hAnsi="Palatino Linotype"/>
        </w:rPr>
        <w:t xml:space="preserve"> within a reasonable time after discovery. . .” (emphasis added). </w:t>
      </w:r>
    </w:p>
  </w:footnote>
  <w:footnote w:id="29">
    <w:p w14:paraId="66892891" w14:textId="3CF00FD2" w:rsidR="3D1049C1" w:rsidRPr="00251AAB" w:rsidRDefault="3D1049C1" w:rsidP="3D1049C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Net cost-effectiveness includes the additional cost-effectiveness tests of Cap and Trade and Social Cost of Methane, in addition to the standard cost-effectiveness test.</w:t>
      </w:r>
    </w:p>
  </w:footnote>
  <w:footnote w:id="30">
    <w:p w14:paraId="11AB3FE9" w14:textId="71D27135" w:rsidR="3D1049C1" w:rsidRPr="00251AAB" w:rsidRDefault="3D1049C1" w:rsidP="3D1049C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Safety Policy Division</w:t>
      </w:r>
      <w:r w:rsidR="00AC74F9" w:rsidRPr="00251AAB">
        <w:rPr>
          <w:rFonts w:ascii="Palatino Linotype" w:hAnsi="Palatino Linotype"/>
        </w:rPr>
        <w:t xml:space="preserve"> </w:t>
      </w:r>
      <w:r w:rsidRPr="00251AAB">
        <w:rPr>
          <w:rFonts w:ascii="Palatino Linotype" w:hAnsi="Palatino Linotype"/>
        </w:rPr>
        <w:t>Evaluation of SDG&amp;E’s 2024 NGLA Compliance Plan at 9.</w:t>
      </w:r>
    </w:p>
  </w:footnote>
  <w:footnote w:id="31">
    <w:p w14:paraId="3912C3BD" w14:textId="77777777" w:rsidR="009B037F" w:rsidRPr="00251AAB" w:rsidRDefault="009B037F" w:rsidP="009B037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See Pub. Util Code sections 975(b), 975(e)(1), and 977(d). </w:t>
      </w:r>
    </w:p>
  </w:footnote>
  <w:footnote w:id="32">
    <w:p w14:paraId="1FEBFE68" w14:textId="77777777" w:rsidR="009B037F" w:rsidRPr="00251AAB" w:rsidRDefault="009B037F" w:rsidP="009B037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at 27.</w:t>
      </w:r>
    </w:p>
  </w:footnote>
  <w:footnote w:id="33">
    <w:p w14:paraId="66678DFC" w14:textId="6493AD8D" w:rsidR="004B030F" w:rsidRPr="00251AAB" w:rsidRDefault="004B030F" w:rsidP="004B030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AL </w:t>
      </w:r>
      <w:r w:rsidR="00760AE6" w:rsidRPr="00251AAB">
        <w:rPr>
          <w:rFonts w:ascii="Palatino Linotype" w:hAnsi="Palatino Linotype"/>
        </w:rPr>
        <w:t>3</w:t>
      </w:r>
      <w:r w:rsidR="002942E0" w:rsidRPr="00251AAB">
        <w:rPr>
          <w:rFonts w:ascii="Palatino Linotype" w:hAnsi="Palatino Linotype"/>
        </w:rPr>
        <w:t>285</w:t>
      </w:r>
      <w:r w:rsidRPr="00251AAB">
        <w:rPr>
          <w:rFonts w:ascii="Palatino Linotype" w:hAnsi="Palatino Linotype"/>
        </w:rPr>
        <w:t>-G-</w:t>
      </w:r>
      <w:r w:rsidR="00E873B8" w:rsidRPr="00251AAB">
        <w:rPr>
          <w:rFonts w:ascii="Palatino Linotype" w:hAnsi="Palatino Linotype"/>
        </w:rPr>
        <w:t>A</w:t>
      </w:r>
      <w:r w:rsidRPr="00251AAB">
        <w:rPr>
          <w:rFonts w:ascii="Palatino Linotype" w:hAnsi="Palatino Linotype"/>
        </w:rPr>
        <w:t xml:space="preserve"> at 6.</w:t>
      </w:r>
    </w:p>
  </w:footnote>
  <w:footnote w:id="34">
    <w:p w14:paraId="0BA9CCF0" w14:textId="77777777" w:rsidR="002755F3" w:rsidRPr="00251AAB" w:rsidRDefault="002755F3" w:rsidP="002755F3">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See D.17-06-015, OP 12. </w:t>
      </w:r>
    </w:p>
  </w:footnote>
  <w:footnote w:id="35">
    <w:p w14:paraId="0C27B908" w14:textId="77777777" w:rsidR="002755F3" w:rsidRPr="00251AAB" w:rsidRDefault="002755F3" w:rsidP="002755F3">
      <w:pPr>
        <w:rPr>
          <w:rFonts w:ascii="Palatino Linotype" w:hAnsi="Palatino Linotype"/>
          <w:sz w:val="20"/>
          <w:szCs w:val="20"/>
        </w:rPr>
      </w:pPr>
      <w:r w:rsidRPr="00251AAB">
        <w:rPr>
          <w:rStyle w:val="FootnoteReference"/>
          <w:rFonts w:ascii="Palatino Linotype" w:hAnsi="Palatino Linotype"/>
          <w:sz w:val="20"/>
          <w:szCs w:val="20"/>
        </w:rPr>
        <w:footnoteRef/>
      </w:r>
      <w:r w:rsidRPr="00251AAB">
        <w:rPr>
          <w:rFonts w:ascii="Palatino Linotype" w:hAnsi="Palatino Linotype"/>
          <w:sz w:val="20"/>
          <w:szCs w:val="20"/>
        </w:rPr>
        <w:t xml:space="preserve"> See AL 6277-G-B at 8 (“As directed in D.17-06-015 and D.19-08-020, and subsequently as granted by the Commission, future costs for the NGLA Program for SoCalGas will ultimately be incorporated into the TY 2028 GRC, anticipated to be filed May 15, 2026.”)</w:t>
      </w:r>
    </w:p>
    <w:p w14:paraId="6AF210F7" w14:textId="77777777" w:rsidR="002755F3" w:rsidRPr="00251AAB" w:rsidRDefault="002755F3" w:rsidP="002755F3">
      <w:pPr>
        <w:pStyle w:val="Footnote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9280" w14:textId="7A777EF7" w:rsidR="00A76F4A" w:rsidRDefault="56DF6A51" w:rsidP="00CA3D13">
    <w:pPr>
      <w:pStyle w:val="Header"/>
      <w:tabs>
        <w:tab w:val="clear" w:pos="9360"/>
        <w:tab w:val="right" w:pos="9000"/>
      </w:tabs>
      <w:rPr>
        <w:rFonts w:ascii="Palatino Linotype" w:hAnsi="Palatino Linotype"/>
      </w:rPr>
    </w:pPr>
    <w:r w:rsidRPr="56DF6A51">
      <w:rPr>
        <w:rFonts w:ascii="Palatino Linotype" w:hAnsi="Palatino Linotype"/>
      </w:rPr>
      <w:t xml:space="preserve">ED/Resolution </w:t>
    </w:r>
    <w:r w:rsidR="00967556">
      <w:rPr>
        <w:rFonts w:ascii="Palatino Linotype" w:hAnsi="Palatino Linotype"/>
      </w:rPr>
      <w:t>G-3606</w:t>
    </w:r>
    <w:r w:rsidR="008213BB">
      <w:tab/>
    </w:r>
    <w:r w:rsidRPr="56DF6A51">
      <w:rPr>
        <w:rFonts w:ascii="Palatino Linotype" w:hAnsi="Palatino Linotype"/>
      </w:rPr>
      <w:t>DRAFT</w:t>
    </w:r>
    <w:r w:rsidR="008213BB">
      <w:tab/>
    </w:r>
    <w:r w:rsidR="00251AAB">
      <w:t xml:space="preserve">   </w:t>
    </w:r>
    <w:r w:rsidR="00251AAB">
      <w:rPr>
        <w:rFonts w:ascii="Palatino Linotype" w:hAnsi="Palatino Linotype"/>
      </w:rPr>
      <w:t>August 14, 2025</w:t>
    </w:r>
  </w:p>
  <w:p w14:paraId="52548ECE" w14:textId="65E2385D" w:rsidR="008213BB" w:rsidRDefault="00251AAB" w:rsidP="00CA3D13">
    <w:pPr>
      <w:pStyle w:val="Header"/>
      <w:rPr>
        <w:rFonts w:ascii="Palatino Linotype" w:hAnsi="Palatino Linotype"/>
      </w:rPr>
    </w:pPr>
    <w:r>
      <w:rPr>
        <w:rFonts w:ascii="Palatino Linotype" w:hAnsi="Palatino Linotype"/>
      </w:rPr>
      <w:t xml:space="preserve">SDG&amp;E </w:t>
    </w:r>
    <w:r w:rsidR="008213BB">
      <w:rPr>
        <w:rFonts w:ascii="Palatino Linotype" w:hAnsi="Palatino Linotype"/>
      </w:rPr>
      <w:t>AL</w:t>
    </w:r>
    <w:r w:rsidR="00967556">
      <w:rPr>
        <w:rFonts w:ascii="Palatino Linotype" w:hAnsi="Palatino Linotype"/>
      </w:rPr>
      <w:t xml:space="preserve"> 3285-G</w:t>
    </w:r>
    <w:r>
      <w:rPr>
        <w:rFonts w:ascii="Palatino Linotype" w:hAnsi="Palatino Linotype"/>
      </w:rPr>
      <w:t>, AL 3285-G-A</w:t>
    </w:r>
    <w:r w:rsidR="00565F65">
      <w:rPr>
        <w:rFonts w:ascii="Palatino Linotype" w:hAnsi="Palatino Linotype"/>
      </w:rPr>
      <w:t>/</w:t>
    </w:r>
    <w:r w:rsidR="00967556">
      <w:rPr>
        <w:rFonts w:ascii="Palatino Linotype" w:hAnsi="Palatino Linotype"/>
      </w:rPr>
      <w:t>RGD</w:t>
    </w:r>
  </w:p>
  <w:p w14:paraId="73BFD5CE" w14:textId="77777777" w:rsidR="00251AAB" w:rsidRPr="002A1AD8" w:rsidRDefault="00251AAB" w:rsidP="00CA3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1BBB" w14:textId="775E2A77" w:rsidR="00750E92" w:rsidRPr="00750E92" w:rsidRDefault="00750E92" w:rsidP="00750E92">
    <w:pPr>
      <w:pStyle w:val="Header"/>
      <w:jc w:val="center"/>
      <w:rPr>
        <w:rFonts w:ascii="Palatino Linotype" w:hAnsi="Palatino Linotype"/>
      </w:rPr>
    </w:pPr>
    <w:r w:rsidRPr="00750E92">
      <w:rPr>
        <w:rFonts w:ascii="Palatino Linotype" w:hAnsi="Palatino Linotyp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05F5"/>
    <w:multiLevelType w:val="hybridMultilevel"/>
    <w:tmpl w:val="EAE63286"/>
    <w:lvl w:ilvl="0" w:tplc="A8FC6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6679AF"/>
    <w:multiLevelType w:val="hybridMultilevel"/>
    <w:tmpl w:val="FFFFFFFF"/>
    <w:lvl w:ilvl="0" w:tplc="F39653C4">
      <w:start w:val="1"/>
      <w:numFmt w:val="bullet"/>
      <w:lvlText w:val=""/>
      <w:lvlJc w:val="left"/>
      <w:pPr>
        <w:ind w:left="1500" w:hanging="360"/>
      </w:pPr>
      <w:rPr>
        <w:rFonts w:ascii="Symbol" w:hAnsi="Symbol" w:hint="default"/>
      </w:rPr>
    </w:lvl>
    <w:lvl w:ilvl="1" w:tplc="FCACFB7A">
      <w:start w:val="1"/>
      <w:numFmt w:val="bullet"/>
      <w:lvlText w:val="o"/>
      <w:lvlJc w:val="left"/>
      <w:pPr>
        <w:ind w:left="2220" w:hanging="360"/>
      </w:pPr>
      <w:rPr>
        <w:rFonts w:ascii="Courier New" w:hAnsi="Courier New" w:hint="default"/>
      </w:rPr>
    </w:lvl>
    <w:lvl w:ilvl="2" w:tplc="FE301B94">
      <w:start w:val="1"/>
      <w:numFmt w:val="bullet"/>
      <w:lvlText w:val=""/>
      <w:lvlJc w:val="left"/>
      <w:pPr>
        <w:ind w:left="2940" w:hanging="360"/>
      </w:pPr>
      <w:rPr>
        <w:rFonts w:ascii="Wingdings" w:hAnsi="Wingdings" w:hint="default"/>
      </w:rPr>
    </w:lvl>
    <w:lvl w:ilvl="3" w:tplc="7018D292">
      <w:start w:val="1"/>
      <w:numFmt w:val="bullet"/>
      <w:lvlText w:val=""/>
      <w:lvlJc w:val="left"/>
      <w:pPr>
        <w:ind w:left="3660" w:hanging="360"/>
      </w:pPr>
      <w:rPr>
        <w:rFonts w:ascii="Symbol" w:hAnsi="Symbol" w:hint="default"/>
      </w:rPr>
    </w:lvl>
    <w:lvl w:ilvl="4" w:tplc="B5CABC1E">
      <w:start w:val="1"/>
      <w:numFmt w:val="bullet"/>
      <w:lvlText w:val="o"/>
      <w:lvlJc w:val="left"/>
      <w:pPr>
        <w:ind w:left="4380" w:hanging="360"/>
      </w:pPr>
      <w:rPr>
        <w:rFonts w:ascii="Courier New" w:hAnsi="Courier New" w:hint="default"/>
      </w:rPr>
    </w:lvl>
    <w:lvl w:ilvl="5" w:tplc="67360D56">
      <w:start w:val="1"/>
      <w:numFmt w:val="bullet"/>
      <w:lvlText w:val=""/>
      <w:lvlJc w:val="left"/>
      <w:pPr>
        <w:ind w:left="5100" w:hanging="360"/>
      </w:pPr>
      <w:rPr>
        <w:rFonts w:ascii="Wingdings" w:hAnsi="Wingdings" w:hint="default"/>
      </w:rPr>
    </w:lvl>
    <w:lvl w:ilvl="6" w:tplc="2006F4AC">
      <w:start w:val="1"/>
      <w:numFmt w:val="bullet"/>
      <w:lvlText w:val=""/>
      <w:lvlJc w:val="left"/>
      <w:pPr>
        <w:ind w:left="5820" w:hanging="360"/>
      </w:pPr>
      <w:rPr>
        <w:rFonts w:ascii="Symbol" w:hAnsi="Symbol" w:hint="default"/>
      </w:rPr>
    </w:lvl>
    <w:lvl w:ilvl="7" w:tplc="EF0C47A8">
      <w:start w:val="1"/>
      <w:numFmt w:val="bullet"/>
      <w:lvlText w:val="o"/>
      <w:lvlJc w:val="left"/>
      <w:pPr>
        <w:ind w:left="6540" w:hanging="360"/>
      </w:pPr>
      <w:rPr>
        <w:rFonts w:ascii="Courier New" w:hAnsi="Courier New" w:hint="default"/>
      </w:rPr>
    </w:lvl>
    <w:lvl w:ilvl="8" w:tplc="712046EC">
      <w:start w:val="1"/>
      <w:numFmt w:val="bullet"/>
      <w:lvlText w:val=""/>
      <w:lvlJc w:val="left"/>
      <w:pPr>
        <w:ind w:left="7260" w:hanging="360"/>
      </w:pPr>
      <w:rPr>
        <w:rFonts w:ascii="Wingdings" w:hAnsi="Wingdings" w:hint="default"/>
      </w:rPr>
    </w:lvl>
  </w:abstractNum>
  <w:abstractNum w:abstractNumId="3" w15:restartNumberingAfterBreak="0">
    <w:nsid w:val="24982583"/>
    <w:multiLevelType w:val="hybridMultilevel"/>
    <w:tmpl w:val="E1E4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63B30"/>
    <w:multiLevelType w:val="hybridMultilevel"/>
    <w:tmpl w:val="E2E032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DB7947"/>
    <w:multiLevelType w:val="hybridMultilevel"/>
    <w:tmpl w:val="E98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E347E"/>
    <w:multiLevelType w:val="hybridMultilevel"/>
    <w:tmpl w:val="0B88CE86"/>
    <w:lvl w:ilvl="0" w:tplc="FEBC07C2">
      <w:start w:val="1"/>
      <w:numFmt w:val="lowerLetter"/>
      <w:lvlText w:val="%1)"/>
      <w:lvlJc w:val="left"/>
      <w:pPr>
        <w:ind w:left="1440" w:hanging="360"/>
      </w:pPr>
      <w:rPr>
        <w:rFonts w:eastAsiaTheme="minorHAnsi"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33BC1"/>
    <w:multiLevelType w:val="hybridMultilevel"/>
    <w:tmpl w:val="A8E626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3" w15:restartNumberingAfterBreak="0">
    <w:nsid w:val="757D159C"/>
    <w:multiLevelType w:val="hybridMultilevel"/>
    <w:tmpl w:val="23223854"/>
    <w:lvl w:ilvl="0" w:tplc="0409000F">
      <w:start w:val="1"/>
      <w:numFmt w:val="decimal"/>
      <w:lvlText w:val="%1."/>
      <w:lvlJc w:val="left"/>
      <w:pPr>
        <w:ind w:left="108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944842790">
    <w:abstractNumId w:val="8"/>
  </w:num>
  <w:num w:numId="2" w16cid:durableId="1991593136">
    <w:abstractNumId w:val="1"/>
  </w:num>
  <w:num w:numId="3" w16cid:durableId="1754620235">
    <w:abstractNumId w:val="5"/>
  </w:num>
  <w:num w:numId="4" w16cid:durableId="969365539">
    <w:abstractNumId w:val="11"/>
  </w:num>
  <w:num w:numId="5" w16cid:durableId="468133998">
    <w:abstractNumId w:val="9"/>
  </w:num>
  <w:num w:numId="6" w16cid:durableId="426273653">
    <w:abstractNumId w:val="12"/>
  </w:num>
  <w:num w:numId="7" w16cid:durableId="299966728">
    <w:abstractNumId w:val="2"/>
  </w:num>
  <w:num w:numId="8" w16cid:durableId="135996757">
    <w:abstractNumId w:val="0"/>
  </w:num>
  <w:num w:numId="9" w16cid:durableId="1349477874">
    <w:abstractNumId w:val="6"/>
  </w:num>
  <w:num w:numId="10" w16cid:durableId="794256907">
    <w:abstractNumId w:val="3"/>
  </w:num>
  <w:num w:numId="11" w16cid:durableId="1340932802">
    <w:abstractNumId w:val="10"/>
  </w:num>
  <w:num w:numId="12" w16cid:durableId="594943784">
    <w:abstractNumId w:val="7"/>
  </w:num>
  <w:num w:numId="13" w16cid:durableId="1133673232">
    <w:abstractNumId w:val="13"/>
  </w:num>
  <w:num w:numId="14" w16cid:durableId="1705061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25CF"/>
    <w:rsid w:val="00004DE1"/>
    <w:rsid w:val="00006D27"/>
    <w:rsid w:val="000112AA"/>
    <w:rsid w:val="00011A91"/>
    <w:rsid w:val="0001372A"/>
    <w:rsid w:val="00013D9D"/>
    <w:rsid w:val="000144AF"/>
    <w:rsid w:val="00015493"/>
    <w:rsid w:val="000177D4"/>
    <w:rsid w:val="00020AF9"/>
    <w:rsid w:val="00020BF8"/>
    <w:rsid w:val="000239C2"/>
    <w:rsid w:val="0003305E"/>
    <w:rsid w:val="00033E73"/>
    <w:rsid w:val="000341B3"/>
    <w:rsid w:val="00034228"/>
    <w:rsid w:val="000355B1"/>
    <w:rsid w:val="00036D58"/>
    <w:rsid w:val="0004342D"/>
    <w:rsid w:val="00044F18"/>
    <w:rsid w:val="00045956"/>
    <w:rsid w:val="00046246"/>
    <w:rsid w:val="000467A6"/>
    <w:rsid w:val="00051AAB"/>
    <w:rsid w:val="00051BFE"/>
    <w:rsid w:val="00053154"/>
    <w:rsid w:val="0005426F"/>
    <w:rsid w:val="00054780"/>
    <w:rsid w:val="00054D11"/>
    <w:rsid w:val="00055A86"/>
    <w:rsid w:val="000607AF"/>
    <w:rsid w:val="00060A0C"/>
    <w:rsid w:val="00060D3E"/>
    <w:rsid w:val="00061937"/>
    <w:rsid w:val="000620C5"/>
    <w:rsid w:val="000636F7"/>
    <w:rsid w:val="0006558E"/>
    <w:rsid w:val="000664AD"/>
    <w:rsid w:val="00066920"/>
    <w:rsid w:val="00066DB1"/>
    <w:rsid w:val="00066DEC"/>
    <w:rsid w:val="0006718D"/>
    <w:rsid w:val="000678AF"/>
    <w:rsid w:val="00067E3E"/>
    <w:rsid w:val="00067FBD"/>
    <w:rsid w:val="00075691"/>
    <w:rsid w:val="00075A5E"/>
    <w:rsid w:val="0007721F"/>
    <w:rsid w:val="000821AE"/>
    <w:rsid w:val="00082200"/>
    <w:rsid w:val="000850ED"/>
    <w:rsid w:val="00090AF9"/>
    <w:rsid w:val="00091EB2"/>
    <w:rsid w:val="00091F83"/>
    <w:rsid w:val="0009280A"/>
    <w:rsid w:val="000929AF"/>
    <w:rsid w:val="000937E8"/>
    <w:rsid w:val="00093D86"/>
    <w:rsid w:val="00094FFD"/>
    <w:rsid w:val="0009604C"/>
    <w:rsid w:val="00096412"/>
    <w:rsid w:val="00097EBE"/>
    <w:rsid w:val="000A00EA"/>
    <w:rsid w:val="000A06EF"/>
    <w:rsid w:val="000A14BE"/>
    <w:rsid w:val="000A29F9"/>
    <w:rsid w:val="000A2D5B"/>
    <w:rsid w:val="000A38E2"/>
    <w:rsid w:val="000A516E"/>
    <w:rsid w:val="000A61BB"/>
    <w:rsid w:val="000A64CC"/>
    <w:rsid w:val="000A6A69"/>
    <w:rsid w:val="000A6D54"/>
    <w:rsid w:val="000A7106"/>
    <w:rsid w:val="000A7A6F"/>
    <w:rsid w:val="000A7BF7"/>
    <w:rsid w:val="000B05E5"/>
    <w:rsid w:val="000B1644"/>
    <w:rsid w:val="000B26B5"/>
    <w:rsid w:val="000B284C"/>
    <w:rsid w:val="000B50C7"/>
    <w:rsid w:val="000B5A8F"/>
    <w:rsid w:val="000B6CFD"/>
    <w:rsid w:val="000B733D"/>
    <w:rsid w:val="000C019B"/>
    <w:rsid w:val="000C2431"/>
    <w:rsid w:val="000C2701"/>
    <w:rsid w:val="000C2EA3"/>
    <w:rsid w:val="000C3274"/>
    <w:rsid w:val="000C72F9"/>
    <w:rsid w:val="000C7CF0"/>
    <w:rsid w:val="000D0B66"/>
    <w:rsid w:val="000D1CCE"/>
    <w:rsid w:val="000D2DE9"/>
    <w:rsid w:val="000D2FCE"/>
    <w:rsid w:val="000D3446"/>
    <w:rsid w:val="000D451A"/>
    <w:rsid w:val="000D4A60"/>
    <w:rsid w:val="000D5983"/>
    <w:rsid w:val="000D643D"/>
    <w:rsid w:val="000D74E2"/>
    <w:rsid w:val="000D7651"/>
    <w:rsid w:val="000D7C91"/>
    <w:rsid w:val="000D7C97"/>
    <w:rsid w:val="000E07F6"/>
    <w:rsid w:val="000E2962"/>
    <w:rsid w:val="000E2D21"/>
    <w:rsid w:val="000E304F"/>
    <w:rsid w:val="000E4532"/>
    <w:rsid w:val="000E49BC"/>
    <w:rsid w:val="000E49F2"/>
    <w:rsid w:val="000E4D25"/>
    <w:rsid w:val="000E4ECB"/>
    <w:rsid w:val="000E520C"/>
    <w:rsid w:val="000E6A7D"/>
    <w:rsid w:val="000E6DDA"/>
    <w:rsid w:val="000E6EBE"/>
    <w:rsid w:val="000F0E17"/>
    <w:rsid w:val="000F6D44"/>
    <w:rsid w:val="000F755F"/>
    <w:rsid w:val="00100560"/>
    <w:rsid w:val="00100BCE"/>
    <w:rsid w:val="0010140E"/>
    <w:rsid w:val="001018C5"/>
    <w:rsid w:val="0010196A"/>
    <w:rsid w:val="00102C80"/>
    <w:rsid w:val="001038A0"/>
    <w:rsid w:val="00103F71"/>
    <w:rsid w:val="001042B5"/>
    <w:rsid w:val="0010435E"/>
    <w:rsid w:val="00104363"/>
    <w:rsid w:val="00106F22"/>
    <w:rsid w:val="00107AFD"/>
    <w:rsid w:val="0011059C"/>
    <w:rsid w:val="00110AC0"/>
    <w:rsid w:val="00111D30"/>
    <w:rsid w:val="00112234"/>
    <w:rsid w:val="00114325"/>
    <w:rsid w:val="001145C3"/>
    <w:rsid w:val="00114615"/>
    <w:rsid w:val="001150FA"/>
    <w:rsid w:val="001151A8"/>
    <w:rsid w:val="00115A67"/>
    <w:rsid w:val="00116AD3"/>
    <w:rsid w:val="00120221"/>
    <w:rsid w:val="0012302D"/>
    <w:rsid w:val="0012341D"/>
    <w:rsid w:val="00123EDE"/>
    <w:rsid w:val="0012597B"/>
    <w:rsid w:val="00125B28"/>
    <w:rsid w:val="00126BEF"/>
    <w:rsid w:val="00126C6C"/>
    <w:rsid w:val="001317EC"/>
    <w:rsid w:val="00132518"/>
    <w:rsid w:val="001362C3"/>
    <w:rsid w:val="00136303"/>
    <w:rsid w:val="00136CDD"/>
    <w:rsid w:val="001400ED"/>
    <w:rsid w:val="00141AE2"/>
    <w:rsid w:val="00141BA6"/>
    <w:rsid w:val="00141C12"/>
    <w:rsid w:val="00142427"/>
    <w:rsid w:val="001431C9"/>
    <w:rsid w:val="00144C56"/>
    <w:rsid w:val="00145CB7"/>
    <w:rsid w:val="00150B67"/>
    <w:rsid w:val="00151998"/>
    <w:rsid w:val="00151B8C"/>
    <w:rsid w:val="00151E42"/>
    <w:rsid w:val="00152026"/>
    <w:rsid w:val="001533BA"/>
    <w:rsid w:val="00153DED"/>
    <w:rsid w:val="00155711"/>
    <w:rsid w:val="00155A34"/>
    <w:rsid w:val="00155BCE"/>
    <w:rsid w:val="00157F7B"/>
    <w:rsid w:val="00157F92"/>
    <w:rsid w:val="00160ADD"/>
    <w:rsid w:val="0016144D"/>
    <w:rsid w:val="00162261"/>
    <w:rsid w:val="00164DB0"/>
    <w:rsid w:val="001663D7"/>
    <w:rsid w:val="00167F00"/>
    <w:rsid w:val="00170525"/>
    <w:rsid w:val="00171F78"/>
    <w:rsid w:val="00172AB8"/>
    <w:rsid w:val="00173B3F"/>
    <w:rsid w:val="00174148"/>
    <w:rsid w:val="00175228"/>
    <w:rsid w:val="00177911"/>
    <w:rsid w:val="00177E96"/>
    <w:rsid w:val="001804FD"/>
    <w:rsid w:val="001805DD"/>
    <w:rsid w:val="001806F9"/>
    <w:rsid w:val="00180816"/>
    <w:rsid w:val="00180CFA"/>
    <w:rsid w:val="00182A93"/>
    <w:rsid w:val="00183726"/>
    <w:rsid w:val="001837A9"/>
    <w:rsid w:val="00185FE7"/>
    <w:rsid w:val="0018601A"/>
    <w:rsid w:val="00186258"/>
    <w:rsid w:val="00187769"/>
    <w:rsid w:val="00194170"/>
    <w:rsid w:val="00195CA5"/>
    <w:rsid w:val="001966B4"/>
    <w:rsid w:val="00196A66"/>
    <w:rsid w:val="001A1AD8"/>
    <w:rsid w:val="001A2A05"/>
    <w:rsid w:val="001A3DD9"/>
    <w:rsid w:val="001A6C0C"/>
    <w:rsid w:val="001A6D31"/>
    <w:rsid w:val="001A74EB"/>
    <w:rsid w:val="001B024A"/>
    <w:rsid w:val="001B0284"/>
    <w:rsid w:val="001B0C12"/>
    <w:rsid w:val="001B0E3E"/>
    <w:rsid w:val="001B2049"/>
    <w:rsid w:val="001B2303"/>
    <w:rsid w:val="001B298A"/>
    <w:rsid w:val="001B30D8"/>
    <w:rsid w:val="001B6EAF"/>
    <w:rsid w:val="001B72C1"/>
    <w:rsid w:val="001C24B4"/>
    <w:rsid w:val="001C3B4E"/>
    <w:rsid w:val="001C4511"/>
    <w:rsid w:val="001C5725"/>
    <w:rsid w:val="001C57BE"/>
    <w:rsid w:val="001C5D12"/>
    <w:rsid w:val="001C763F"/>
    <w:rsid w:val="001D0CF0"/>
    <w:rsid w:val="001D0E51"/>
    <w:rsid w:val="001D2175"/>
    <w:rsid w:val="001D281A"/>
    <w:rsid w:val="001D2A4A"/>
    <w:rsid w:val="001D43C9"/>
    <w:rsid w:val="001E066F"/>
    <w:rsid w:val="001E0798"/>
    <w:rsid w:val="001E07D1"/>
    <w:rsid w:val="001E084D"/>
    <w:rsid w:val="001E1138"/>
    <w:rsid w:val="001E2972"/>
    <w:rsid w:val="001E3A21"/>
    <w:rsid w:val="001E3D9C"/>
    <w:rsid w:val="001E5350"/>
    <w:rsid w:val="001F013D"/>
    <w:rsid w:val="001F28F6"/>
    <w:rsid w:val="001F4779"/>
    <w:rsid w:val="001F4B96"/>
    <w:rsid w:val="001F5C99"/>
    <w:rsid w:val="00200481"/>
    <w:rsid w:val="00201412"/>
    <w:rsid w:val="00204B1B"/>
    <w:rsid w:val="00205084"/>
    <w:rsid w:val="0020569D"/>
    <w:rsid w:val="0021148C"/>
    <w:rsid w:val="002121EC"/>
    <w:rsid w:val="002121FB"/>
    <w:rsid w:val="0021269E"/>
    <w:rsid w:val="0021448B"/>
    <w:rsid w:val="0021528E"/>
    <w:rsid w:val="0021544D"/>
    <w:rsid w:val="00215ABA"/>
    <w:rsid w:val="00216A7A"/>
    <w:rsid w:val="00216EBC"/>
    <w:rsid w:val="0021713F"/>
    <w:rsid w:val="0021792E"/>
    <w:rsid w:val="002179E0"/>
    <w:rsid w:val="002207CE"/>
    <w:rsid w:val="00220B13"/>
    <w:rsid w:val="00223378"/>
    <w:rsid w:val="002248ED"/>
    <w:rsid w:val="00224F6C"/>
    <w:rsid w:val="00225772"/>
    <w:rsid w:val="00226C73"/>
    <w:rsid w:val="00226F32"/>
    <w:rsid w:val="00231354"/>
    <w:rsid w:val="002318F6"/>
    <w:rsid w:val="00231C9D"/>
    <w:rsid w:val="00231CAE"/>
    <w:rsid w:val="00231F4D"/>
    <w:rsid w:val="00232977"/>
    <w:rsid w:val="002351EC"/>
    <w:rsid w:val="00236B35"/>
    <w:rsid w:val="00237C8A"/>
    <w:rsid w:val="0024024E"/>
    <w:rsid w:val="002417B3"/>
    <w:rsid w:val="002435FB"/>
    <w:rsid w:val="00243606"/>
    <w:rsid w:val="00243625"/>
    <w:rsid w:val="00245266"/>
    <w:rsid w:val="002457C2"/>
    <w:rsid w:val="00246306"/>
    <w:rsid w:val="00247B24"/>
    <w:rsid w:val="00250C22"/>
    <w:rsid w:val="00251281"/>
    <w:rsid w:val="002514A5"/>
    <w:rsid w:val="00251AAB"/>
    <w:rsid w:val="00252C04"/>
    <w:rsid w:val="00253185"/>
    <w:rsid w:val="00255640"/>
    <w:rsid w:val="002560E5"/>
    <w:rsid w:val="0025638C"/>
    <w:rsid w:val="002567AD"/>
    <w:rsid w:val="00256ADB"/>
    <w:rsid w:val="00257523"/>
    <w:rsid w:val="002612FA"/>
    <w:rsid w:val="00262285"/>
    <w:rsid w:val="00263953"/>
    <w:rsid w:val="00263D0A"/>
    <w:rsid w:val="00264444"/>
    <w:rsid w:val="002647A6"/>
    <w:rsid w:val="0026554B"/>
    <w:rsid w:val="00265818"/>
    <w:rsid w:val="0026687D"/>
    <w:rsid w:val="00271DC0"/>
    <w:rsid w:val="00271EEA"/>
    <w:rsid w:val="00272799"/>
    <w:rsid w:val="00274EF9"/>
    <w:rsid w:val="002755F3"/>
    <w:rsid w:val="00276AB7"/>
    <w:rsid w:val="00276E3F"/>
    <w:rsid w:val="00277230"/>
    <w:rsid w:val="00277744"/>
    <w:rsid w:val="00277F44"/>
    <w:rsid w:val="00280FAF"/>
    <w:rsid w:val="00283218"/>
    <w:rsid w:val="00283413"/>
    <w:rsid w:val="00283FB0"/>
    <w:rsid w:val="0028579E"/>
    <w:rsid w:val="002857B8"/>
    <w:rsid w:val="002870DB"/>
    <w:rsid w:val="00290F86"/>
    <w:rsid w:val="002928DE"/>
    <w:rsid w:val="002942E0"/>
    <w:rsid w:val="00295DE3"/>
    <w:rsid w:val="00296169"/>
    <w:rsid w:val="00296264"/>
    <w:rsid w:val="00296B9E"/>
    <w:rsid w:val="0029757A"/>
    <w:rsid w:val="002A04D0"/>
    <w:rsid w:val="002A0CBB"/>
    <w:rsid w:val="002A1865"/>
    <w:rsid w:val="002A22E1"/>
    <w:rsid w:val="002A3D82"/>
    <w:rsid w:val="002A5EC6"/>
    <w:rsid w:val="002A6684"/>
    <w:rsid w:val="002A796D"/>
    <w:rsid w:val="002B007D"/>
    <w:rsid w:val="002B15E0"/>
    <w:rsid w:val="002B169C"/>
    <w:rsid w:val="002B17CE"/>
    <w:rsid w:val="002B19C7"/>
    <w:rsid w:val="002B19EC"/>
    <w:rsid w:val="002B2944"/>
    <w:rsid w:val="002B30A5"/>
    <w:rsid w:val="002B36B9"/>
    <w:rsid w:val="002B6675"/>
    <w:rsid w:val="002B6A14"/>
    <w:rsid w:val="002B6CB1"/>
    <w:rsid w:val="002B7AA1"/>
    <w:rsid w:val="002C0A83"/>
    <w:rsid w:val="002C1012"/>
    <w:rsid w:val="002C1345"/>
    <w:rsid w:val="002C31A2"/>
    <w:rsid w:val="002C4C83"/>
    <w:rsid w:val="002C54E1"/>
    <w:rsid w:val="002C5C59"/>
    <w:rsid w:val="002C7FB5"/>
    <w:rsid w:val="002D2B63"/>
    <w:rsid w:val="002D54DA"/>
    <w:rsid w:val="002D6E8C"/>
    <w:rsid w:val="002D7564"/>
    <w:rsid w:val="002E0143"/>
    <w:rsid w:val="002E2429"/>
    <w:rsid w:val="002E2F17"/>
    <w:rsid w:val="002E3679"/>
    <w:rsid w:val="002E4474"/>
    <w:rsid w:val="002F1A90"/>
    <w:rsid w:val="002F29B8"/>
    <w:rsid w:val="002F329E"/>
    <w:rsid w:val="002F3CB2"/>
    <w:rsid w:val="002F6E7D"/>
    <w:rsid w:val="002F6FAC"/>
    <w:rsid w:val="002F7D84"/>
    <w:rsid w:val="0030246C"/>
    <w:rsid w:val="00303F46"/>
    <w:rsid w:val="00304728"/>
    <w:rsid w:val="003073DB"/>
    <w:rsid w:val="003076A9"/>
    <w:rsid w:val="003077FE"/>
    <w:rsid w:val="003112E4"/>
    <w:rsid w:val="00312EF4"/>
    <w:rsid w:val="00314A53"/>
    <w:rsid w:val="00316FA7"/>
    <w:rsid w:val="003172E5"/>
    <w:rsid w:val="0031741E"/>
    <w:rsid w:val="0031743C"/>
    <w:rsid w:val="00321AB8"/>
    <w:rsid w:val="003234DB"/>
    <w:rsid w:val="00323EC2"/>
    <w:rsid w:val="003266E0"/>
    <w:rsid w:val="00327210"/>
    <w:rsid w:val="00327378"/>
    <w:rsid w:val="0033262F"/>
    <w:rsid w:val="003328A6"/>
    <w:rsid w:val="00333FFC"/>
    <w:rsid w:val="0033516A"/>
    <w:rsid w:val="00335AD2"/>
    <w:rsid w:val="00336074"/>
    <w:rsid w:val="00337FCE"/>
    <w:rsid w:val="00343351"/>
    <w:rsid w:val="00343BEC"/>
    <w:rsid w:val="00344173"/>
    <w:rsid w:val="003448DA"/>
    <w:rsid w:val="00344AFD"/>
    <w:rsid w:val="00344EF3"/>
    <w:rsid w:val="003457E3"/>
    <w:rsid w:val="003459F6"/>
    <w:rsid w:val="00345B77"/>
    <w:rsid w:val="00346E6B"/>
    <w:rsid w:val="00350560"/>
    <w:rsid w:val="00353CC9"/>
    <w:rsid w:val="00354E6B"/>
    <w:rsid w:val="00354FBB"/>
    <w:rsid w:val="00355135"/>
    <w:rsid w:val="003558A8"/>
    <w:rsid w:val="00356D51"/>
    <w:rsid w:val="00356FA0"/>
    <w:rsid w:val="00360772"/>
    <w:rsid w:val="00361B3A"/>
    <w:rsid w:val="00361CA9"/>
    <w:rsid w:val="0036334A"/>
    <w:rsid w:val="00364137"/>
    <w:rsid w:val="00365C5D"/>
    <w:rsid w:val="00366AC1"/>
    <w:rsid w:val="00370A58"/>
    <w:rsid w:val="00370DA9"/>
    <w:rsid w:val="0037242B"/>
    <w:rsid w:val="00373CC1"/>
    <w:rsid w:val="00374C12"/>
    <w:rsid w:val="00374CDB"/>
    <w:rsid w:val="00374D59"/>
    <w:rsid w:val="00376CF7"/>
    <w:rsid w:val="00376FAB"/>
    <w:rsid w:val="00377F94"/>
    <w:rsid w:val="0038258A"/>
    <w:rsid w:val="0038261A"/>
    <w:rsid w:val="003826CF"/>
    <w:rsid w:val="00383458"/>
    <w:rsid w:val="003837AC"/>
    <w:rsid w:val="00383994"/>
    <w:rsid w:val="00384102"/>
    <w:rsid w:val="00384E77"/>
    <w:rsid w:val="003852A9"/>
    <w:rsid w:val="00385CE2"/>
    <w:rsid w:val="00386538"/>
    <w:rsid w:val="00386B3A"/>
    <w:rsid w:val="00391B2C"/>
    <w:rsid w:val="00392862"/>
    <w:rsid w:val="00393C87"/>
    <w:rsid w:val="003966B5"/>
    <w:rsid w:val="0039788A"/>
    <w:rsid w:val="003978CD"/>
    <w:rsid w:val="003A1E28"/>
    <w:rsid w:val="003A2CD9"/>
    <w:rsid w:val="003A3325"/>
    <w:rsid w:val="003A3347"/>
    <w:rsid w:val="003A4053"/>
    <w:rsid w:val="003A4979"/>
    <w:rsid w:val="003A5193"/>
    <w:rsid w:val="003A61C8"/>
    <w:rsid w:val="003A7CF9"/>
    <w:rsid w:val="003B061D"/>
    <w:rsid w:val="003B2732"/>
    <w:rsid w:val="003B42F6"/>
    <w:rsid w:val="003B5982"/>
    <w:rsid w:val="003B5F99"/>
    <w:rsid w:val="003B6567"/>
    <w:rsid w:val="003B76AB"/>
    <w:rsid w:val="003B7F7B"/>
    <w:rsid w:val="003C2395"/>
    <w:rsid w:val="003C257F"/>
    <w:rsid w:val="003C6754"/>
    <w:rsid w:val="003C6FD4"/>
    <w:rsid w:val="003D082A"/>
    <w:rsid w:val="003D2327"/>
    <w:rsid w:val="003D294C"/>
    <w:rsid w:val="003D2BAB"/>
    <w:rsid w:val="003D4DF4"/>
    <w:rsid w:val="003D51B1"/>
    <w:rsid w:val="003D6EB8"/>
    <w:rsid w:val="003D7AE5"/>
    <w:rsid w:val="003E135F"/>
    <w:rsid w:val="003E209F"/>
    <w:rsid w:val="003E2C9D"/>
    <w:rsid w:val="003E2CD0"/>
    <w:rsid w:val="003E6384"/>
    <w:rsid w:val="003E64C9"/>
    <w:rsid w:val="003E6A63"/>
    <w:rsid w:val="003F1E91"/>
    <w:rsid w:val="003F2D2F"/>
    <w:rsid w:val="003F32A1"/>
    <w:rsid w:val="003F4853"/>
    <w:rsid w:val="003F7625"/>
    <w:rsid w:val="0040300F"/>
    <w:rsid w:val="004049A8"/>
    <w:rsid w:val="00405F23"/>
    <w:rsid w:val="00407B8F"/>
    <w:rsid w:val="00410078"/>
    <w:rsid w:val="00417B8F"/>
    <w:rsid w:val="004201E4"/>
    <w:rsid w:val="00420E41"/>
    <w:rsid w:val="004221B5"/>
    <w:rsid w:val="004246B0"/>
    <w:rsid w:val="004252E6"/>
    <w:rsid w:val="004255F8"/>
    <w:rsid w:val="00425928"/>
    <w:rsid w:val="004264AE"/>
    <w:rsid w:val="00426650"/>
    <w:rsid w:val="004271A3"/>
    <w:rsid w:val="00427E45"/>
    <w:rsid w:val="00430CB5"/>
    <w:rsid w:val="00432005"/>
    <w:rsid w:val="00432931"/>
    <w:rsid w:val="0043349F"/>
    <w:rsid w:val="004337B8"/>
    <w:rsid w:val="00434388"/>
    <w:rsid w:val="00434F0B"/>
    <w:rsid w:val="00435967"/>
    <w:rsid w:val="00435C83"/>
    <w:rsid w:val="00436130"/>
    <w:rsid w:val="004401D3"/>
    <w:rsid w:val="0044093B"/>
    <w:rsid w:val="00441762"/>
    <w:rsid w:val="00441864"/>
    <w:rsid w:val="00444BA6"/>
    <w:rsid w:val="00445A4E"/>
    <w:rsid w:val="00450331"/>
    <w:rsid w:val="00450857"/>
    <w:rsid w:val="00450B17"/>
    <w:rsid w:val="0045194E"/>
    <w:rsid w:val="00451F1F"/>
    <w:rsid w:val="00452129"/>
    <w:rsid w:val="004528F9"/>
    <w:rsid w:val="00453EB1"/>
    <w:rsid w:val="00460839"/>
    <w:rsid w:val="0046149A"/>
    <w:rsid w:val="00461D84"/>
    <w:rsid w:val="00462F0C"/>
    <w:rsid w:val="00465880"/>
    <w:rsid w:val="004664E6"/>
    <w:rsid w:val="00466E6E"/>
    <w:rsid w:val="004714EA"/>
    <w:rsid w:val="004718A3"/>
    <w:rsid w:val="00471BAD"/>
    <w:rsid w:val="004738AB"/>
    <w:rsid w:val="0047390D"/>
    <w:rsid w:val="00473945"/>
    <w:rsid w:val="00473E78"/>
    <w:rsid w:val="004750AB"/>
    <w:rsid w:val="004758BC"/>
    <w:rsid w:val="00476385"/>
    <w:rsid w:val="004800F4"/>
    <w:rsid w:val="004809BF"/>
    <w:rsid w:val="00482B62"/>
    <w:rsid w:val="00482CBD"/>
    <w:rsid w:val="00482DD9"/>
    <w:rsid w:val="00482E90"/>
    <w:rsid w:val="004847E0"/>
    <w:rsid w:val="004901A1"/>
    <w:rsid w:val="0049047B"/>
    <w:rsid w:val="004910AF"/>
    <w:rsid w:val="00491510"/>
    <w:rsid w:val="004915C1"/>
    <w:rsid w:val="00492A6C"/>
    <w:rsid w:val="00492D71"/>
    <w:rsid w:val="00494905"/>
    <w:rsid w:val="004959EA"/>
    <w:rsid w:val="00496D5E"/>
    <w:rsid w:val="004A3E94"/>
    <w:rsid w:val="004A6C3F"/>
    <w:rsid w:val="004A6CEE"/>
    <w:rsid w:val="004A7A4C"/>
    <w:rsid w:val="004A7CC8"/>
    <w:rsid w:val="004B030F"/>
    <w:rsid w:val="004B13D9"/>
    <w:rsid w:val="004B1C91"/>
    <w:rsid w:val="004B2F4C"/>
    <w:rsid w:val="004B4EA5"/>
    <w:rsid w:val="004B59A8"/>
    <w:rsid w:val="004B70A9"/>
    <w:rsid w:val="004B7596"/>
    <w:rsid w:val="004B7D5B"/>
    <w:rsid w:val="004C0C7E"/>
    <w:rsid w:val="004C1477"/>
    <w:rsid w:val="004C2428"/>
    <w:rsid w:val="004C317C"/>
    <w:rsid w:val="004C3B4E"/>
    <w:rsid w:val="004C4F89"/>
    <w:rsid w:val="004C505C"/>
    <w:rsid w:val="004C68C3"/>
    <w:rsid w:val="004D1506"/>
    <w:rsid w:val="004D3A3B"/>
    <w:rsid w:val="004D5358"/>
    <w:rsid w:val="004D5F82"/>
    <w:rsid w:val="004D5FD0"/>
    <w:rsid w:val="004D79E9"/>
    <w:rsid w:val="004D7D2F"/>
    <w:rsid w:val="004D7EFF"/>
    <w:rsid w:val="004E2428"/>
    <w:rsid w:val="004E2E78"/>
    <w:rsid w:val="004E30AD"/>
    <w:rsid w:val="004E36A3"/>
    <w:rsid w:val="004E5378"/>
    <w:rsid w:val="004E5C1F"/>
    <w:rsid w:val="004E7B41"/>
    <w:rsid w:val="004F086C"/>
    <w:rsid w:val="004F11A3"/>
    <w:rsid w:val="004F3F49"/>
    <w:rsid w:val="004F52D9"/>
    <w:rsid w:val="004F5551"/>
    <w:rsid w:val="004F5B7B"/>
    <w:rsid w:val="004F6F97"/>
    <w:rsid w:val="004F7ADE"/>
    <w:rsid w:val="005003B3"/>
    <w:rsid w:val="00501193"/>
    <w:rsid w:val="005051A0"/>
    <w:rsid w:val="005061A0"/>
    <w:rsid w:val="00506D12"/>
    <w:rsid w:val="00507847"/>
    <w:rsid w:val="005102A2"/>
    <w:rsid w:val="00510FE0"/>
    <w:rsid w:val="005130B6"/>
    <w:rsid w:val="00514D86"/>
    <w:rsid w:val="005154B7"/>
    <w:rsid w:val="00515CA9"/>
    <w:rsid w:val="00520533"/>
    <w:rsid w:val="00520AA5"/>
    <w:rsid w:val="00520EFD"/>
    <w:rsid w:val="00522ED7"/>
    <w:rsid w:val="005243D5"/>
    <w:rsid w:val="00524D95"/>
    <w:rsid w:val="0052542F"/>
    <w:rsid w:val="00526BCA"/>
    <w:rsid w:val="0053050E"/>
    <w:rsid w:val="0053347E"/>
    <w:rsid w:val="005340C3"/>
    <w:rsid w:val="00534762"/>
    <w:rsid w:val="0053681C"/>
    <w:rsid w:val="0053731F"/>
    <w:rsid w:val="005404FB"/>
    <w:rsid w:val="005411E1"/>
    <w:rsid w:val="00543E70"/>
    <w:rsid w:val="0054539C"/>
    <w:rsid w:val="00545530"/>
    <w:rsid w:val="00545619"/>
    <w:rsid w:val="0054640B"/>
    <w:rsid w:val="005511E8"/>
    <w:rsid w:val="00551339"/>
    <w:rsid w:val="00551829"/>
    <w:rsid w:val="00551951"/>
    <w:rsid w:val="00552941"/>
    <w:rsid w:val="00553F75"/>
    <w:rsid w:val="00554F5B"/>
    <w:rsid w:val="00556062"/>
    <w:rsid w:val="00560312"/>
    <w:rsid w:val="00560314"/>
    <w:rsid w:val="00560BEE"/>
    <w:rsid w:val="00561542"/>
    <w:rsid w:val="00562838"/>
    <w:rsid w:val="005628A4"/>
    <w:rsid w:val="00562C7C"/>
    <w:rsid w:val="00563043"/>
    <w:rsid w:val="00563ACE"/>
    <w:rsid w:val="00564F83"/>
    <w:rsid w:val="005651BB"/>
    <w:rsid w:val="00565F65"/>
    <w:rsid w:val="005679F2"/>
    <w:rsid w:val="00567AF0"/>
    <w:rsid w:val="00572E56"/>
    <w:rsid w:val="005752C6"/>
    <w:rsid w:val="00575711"/>
    <w:rsid w:val="00576BB5"/>
    <w:rsid w:val="00577EAE"/>
    <w:rsid w:val="00582C3D"/>
    <w:rsid w:val="00583435"/>
    <w:rsid w:val="00583D71"/>
    <w:rsid w:val="005855F5"/>
    <w:rsid w:val="00585729"/>
    <w:rsid w:val="005859A5"/>
    <w:rsid w:val="00585E6F"/>
    <w:rsid w:val="00585FC5"/>
    <w:rsid w:val="00591ACD"/>
    <w:rsid w:val="00591E52"/>
    <w:rsid w:val="00592261"/>
    <w:rsid w:val="00592709"/>
    <w:rsid w:val="00592D60"/>
    <w:rsid w:val="00593D66"/>
    <w:rsid w:val="00596D13"/>
    <w:rsid w:val="00596F5B"/>
    <w:rsid w:val="005A18BB"/>
    <w:rsid w:val="005A197B"/>
    <w:rsid w:val="005A2945"/>
    <w:rsid w:val="005A3069"/>
    <w:rsid w:val="005A50F2"/>
    <w:rsid w:val="005A5AE3"/>
    <w:rsid w:val="005A5D80"/>
    <w:rsid w:val="005A724E"/>
    <w:rsid w:val="005B0943"/>
    <w:rsid w:val="005B0EF6"/>
    <w:rsid w:val="005B105C"/>
    <w:rsid w:val="005B11EF"/>
    <w:rsid w:val="005B289F"/>
    <w:rsid w:val="005B34AB"/>
    <w:rsid w:val="005B3945"/>
    <w:rsid w:val="005B3B72"/>
    <w:rsid w:val="005B3F82"/>
    <w:rsid w:val="005B466A"/>
    <w:rsid w:val="005B47D0"/>
    <w:rsid w:val="005B4F46"/>
    <w:rsid w:val="005B5BAB"/>
    <w:rsid w:val="005B5DCC"/>
    <w:rsid w:val="005B7950"/>
    <w:rsid w:val="005B795A"/>
    <w:rsid w:val="005C0A2D"/>
    <w:rsid w:val="005C0E8F"/>
    <w:rsid w:val="005C217C"/>
    <w:rsid w:val="005C229B"/>
    <w:rsid w:val="005C2654"/>
    <w:rsid w:val="005C29CC"/>
    <w:rsid w:val="005C422F"/>
    <w:rsid w:val="005C4519"/>
    <w:rsid w:val="005C488B"/>
    <w:rsid w:val="005C4CD5"/>
    <w:rsid w:val="005C53E1"/>
    <w:rsid w:val="005C5417"/>
    <w:rsid w:val="005C58A0"/>
    <w:rsid w:val="005C603E"/>
    <w:rsid w:val="005C64A0"/>
    <w:rsid w:val="005C796C"/>
    <w:rsid w:val="005D034A"/>
    <w:rsid w:val="005D05F3"/>
    <w:rsid w:val="005D06F6"/>
    <w:rsid w:val="005D18C9"/>
    <w:rsid w:val="005D25A6"/>
    <w:rsid w:val="005D300D"/>
    <w:rsid w:val="005D3CAD"/>
    <w:rsid w:val="005D5C12"/>
    <w:rsid w:val="005D72FF"/>
    <w:rsid w:val="005D7AFB"/>
    <w:rsid w:val="005E1371"/>
    <w:rsid w:val="005E154C"/>
    <w:rsid w:val="005E1C2F"/>
    <w:rsid w:val="005E2B7D"/>
    <w:rsid w:val="005E48FC"/>
    <w:rsid w:val="005E53F8"/>
    <w:rsid w:val="005E557C"/>
    <w:rsid w:val="005E55A1"/>
    <w:rsid w:val="005E63C4"/>
    <w:rsid w:val="005E6907"/>
    <w:rsid w:val="005F2C0A"/>
    <w:rsid w:val="005F4FC4"/>
    <w:rsid w:val="005F7A99"/>
    <w:rsid w:val="005F7A9C"/>
    <w:rsid w:val="005F7BC5"/>
    <w:rsid w:val="005F7DB9"/>
    <w:rsid w:val="006006E5"/>
    <w:rsid w:val="00602577"/>
    <w:rsid w:val="00602764"/>
    <w:rsid w:val="00602BB2"/>
    <w:rsid w:val="00605291"/>
    <w:rsid w:val="00605422"/>
    <w:rsid w:val="00605558"/>
    <w:rsid w:val="00605F09"/>
    <w:rsid w:val="0060630B"/>
    <w:rsid w:val="00612017"/>
    <w:rsid w:val="00612581"/>
    <w:rsid w:val="00613202"/>
    <w:rsid w:val="006139BF"/>
    <w:rsid w:val="006161E3"/>
    <w:rsid w:val="00617897"/>
    <w:rsid w:val="00620BBA"/>
    <w:rsid w:val="00620C63"/>
    <w:rsid w:val="00620CAA"/>
    <w:rsid w:val="00620CE4"/>
    <w:rsid w:val="00621DD1"/>
    <w:rsid w:val="006251E3"/>
    <w:rsid w:val="00625EFA"/>
    <w:rsid w:val="006306C1"/>
    <w:rsid w:val="006329AB"/>
    <w:rsid w:val="00632CEA"/>
    <w:rsid w:val="00633245"/>
    <w:rsid w:val="0063432E"/>
    <w:rsid w:val="00634DC6"/>
    <w:rsid w:val="00637C42"/>
    <w:rsid w:val="006412A8"/>
    <w:rsid w:val="006414D3"/>
    <w:rsid w:val="0064197B"/>
    <w:rsid w:val="0064287B"/>
    <w:rsid w:val="0064371A"/>
    <w:rsid w:val="00644A28"/>
    <w:rsid w:val="00644CAD"/>
    <w:rsid w:val="0064536E"/>
    <w:rsid w:val="00645E75"/>
    <w:rsid w:val="00647A38"/>
    <w:rsid w:val="00652A02"/>
    <w:rsid w:val="00656FA5"/>
    <w:rsid w:val="006573C7"/>
    <w:rsid w:val="006630A3"/>
    <w:rsid w:val="00664B7C"/>
    <w:rsid w:val="00664C40"/>
    <w:rsid w:val="006671A7"/>
    <w:rsid w:val="00667D9C"/>
    <w:rsid w:val="00670591"/>
    <w:rsid w:val="0067109B"/>
    <w:rsid w:val="006714E8"/>
    <w:rsid w:val="00671716"/>
    <w:rsid w:val="00671985"/>
    <w:rsid w:val="00671E18"/>
    <w:rsid w:val="006721E8"/>
    <w:rsid w:val="0067479C"/>
    <w:rsid w:val="0067479F"/>
    <w:rsid w:val="006748CB"/>
    <w:rsid w:val="00676B7C"/>
    <w:rsid w:val="00676C75"/>
    <w:rsid w:val="006773E2"/>
    <w:rsid w:val="00677F81"/>
    <w:rsid w:val="0068007B"/>
    <w:rsid w:val="0068079B"/>
    <w:rsid w:val="00682761"/>
    <w:rsid w:val="00684A41"/>
    <w:rsid w:val="00685E1B"/>
    <w:rsid w:val="006865E3"/>
    <w:rsid w:val="00687354"/>
    <w:rsid w:val="0068773C"/>
    <w:rsid w:val="00687CBE"/>
    <w:rsid w:val="0069054F"/>
    <w:rsid w:val="00690E8B"/>
    <w:rsid w:val="006918AF"/>
    <w:rsid w:val="00692734"/>
    <w:rsid w:val="00693AF7"/>
    <w:rsid w:val="00696BE5"/>
    <w:rsid w:val="006A037A"/>
    <w:rsid w:val="006A39E2"/>
    <w:rsid w:val="006A3A74"/>
    <w:rsid w:val="006A7C0D"/>
    <w:rsid w:val="006B0625"/>
    <w:rsid w:val="006B0F78"/>
    <w:rsid w:val="006B278C"/>
    <w:rsid w:val="006B41D0"/>
    <w:rsid w:val="006B4DEA"/>
    <w:rsid w:val="006B5120"/>
    <w:rsid w:val="006B5944"/>
    <w:rsid w:val="006C03D5"/>
    <w:rsid w:val="006C05DA"/>
    <w:rsid w:val="006C1EE7"/>
    <w:rsid w:val="006C37A4"/>
    <w:rsid w:val="006C3885"/>
    <w:rsid w:val="006C4D8F"/>
    <w:rsid w:val="006C7016"/>
    <w:rsid w:val="006D0CD5"/>
    <w:rsid w:val="006D2FDE"/>
    <w:rsid w:val="006D356A"/>
    <w:rsid w:val="006D3A8C"/>
    <w:rsid w:val="006D3B6B"/>
    <w:rsid w:val="006D4914"/>
    <w:rsid w:val="006D4C30"/>
    <w:rsid w:val="006D7529"/>
    <w:rsid w:val="006E10E5"/>
    <w:rsid w:val="006E18C0"/>
    <w:rsid w:val="006E1A5C"/>
    <w:rsid w:val="006E221B"/>
    <w:rsid w:val="006E35A1"/>
    <w:rsid w:val="006E39B4"/>
    <w:rsid w:val="006E4DFB"/>
    <w:rsid w:val="006F145D"/>
    <w:rsid w:val="006F24E8"/>
    <w:rsid w:val="006F31A6"/>
    <w:rsid w:val="006F3247"/>
    <w:rsid w:val="006F3294"/>
    <w:rsid w:val="006F364D"/>
    <w:rsid w:val="006F3AE7"/>
    <w:rsid w:val="006F5695"/>
    <w:rsid w:val="006F670B"/>
    <w:rsid w:val="006F7D7B"/>
    <w:rsid w:val="00701E13"/>
    <w:rsid w:val="00701F52"/>
    <w:rsid w:val="00702271"/>
    <w:rsid w:val="00705863"/>
    <w:rsid w:val="00705BBB"/>
    <w:rsid w:val="007062D6"/>
    <w:rsid w:val="00706819"/>
    <w:rsid w:val="00706DE0"/>
    <w:rsid w:val="0070753A"/>
    <w:rsid w:val="0071004C"/>
    <w:rsid w:val="00710199"/>
    <w:rsid w:val="007102BA"/>
    <w:rsid w:val="007110CB"/>
    <w:rsid w:val="007116EA"/>
    <w:rsid w:val="00712D4E"/>
    <w:rsid w:val="00712F38"/>
    <w:rsid w:val="007138D0"/>
    <w:rsid w:val="00713BDD"/>
    <w:rsid w:val="007142BF"/>
    <w:rsid w:val="0071571F"/>
    <w:rsid w:val="00715724"/>
    <w:rsid w:val="0071784A"/>
    <w:rsid w:val="007206B7"/>
    <w:rsid w:val="00720B5B"/>
    <w:rsid w:val="00720DEA"/>
    <w:rsid w:val="0072150A"/>
    <w:rsid w:val="0072404D"/>
    <w:rsid w:val="00724A35"/>
    <w:rsid w:val="00725338"/>
    <w:rsid w:val="007254A6"/>
    <w:rsid w:val="00725F17"/>
    <w:rsid w:val="00727A15"/>
    <w:rsid w:val="00730497"/>
    <w:rsid w:val="00730680"/>
    <w:rsid w:val="0073089A"/>
    <w:rsid w:val="007319AB"/>
    <w:rsid w:val="007320A3"/>
    <w:rsid w:val="00732F5F"/>
    <w:rsid w:val="00733339"/>
    <w:rsid w:val="00734012"/>
    <w:rsid w:val="00734417"/>
    <w:rsid w:val="007357D3"/>
    <w:rsid w:val="007361A1"/>
    <w:rsid w:val="00736965"/>
    <w:rsid w:val="007416A8"/>
    <w:rsid w:val="00742DEB"/>
    <w:rsid w:val="00743A4A"/>
    <w:rsid w:val="00744D59"/>
    <w:rsid w:val="00744E0E"/>
    <w:rsid w:val="0074516F"/>
    <w:rsid w:val="0074747A"/>
    <w:rsid w:val="00747720"/>
    <w:rsid w:val="007477F9"/>
    <w:rsid w:val="00750D94"/>
    <w:rsid w:val="00750E92"/>
    <w:rsid w:val="00752A88"/>
    <w:rsid w:val="00754911"/>
    <w:rsid w:val="007550FB"/>
    <w:rsid w:val="00755638"/>
    <w:rsid w:val="00755D15"/>
    <w:rsid w:val="007571C8"/>
    <w:rsid w:val="00757A19"/>
    <w:rsid w:val="00760257"/>
    <w:rsid w:val="00760AE6"/>
    <w:rsid w:val="00762ACE"/>
    <w:rsid w:val="007670C1"/>
    <w:rsid w:val="007702FD"/>
    <w:rsid w:val="007708B1"/>
    <w:rsid w:val="007721A6"/>
    <w:rsid w:val="00773D95"/>
    <w:rsid w:val="00775E89"/>
    <w:rsid w:val="00775FFE"/>
    <w:rsid w:val="007769B5"/>
    <w:rsid w:val="00776C15"/>
    <w:rsid w:val="00780AE0"/>
    <w:rsid w:val="00780E62"/>
    <w:rsid w:val="00780F5E"/>
    <w:rsid w:val="007815E6"/>
    <w:rsid w:val="007830ED"/>
    <w:rsid w:val="00784081"/>
    <w:rsid w:val="00784F50"/>
    <w:rsid w:val="007857E2"/>
    <w:rsid w:val="007859B5"/>
    <w:rsid w:val="0078614E"/>
    <w:rsid w:val="00786CF0"/>
    <w:rsid w:val="007875C5"/>
    <w:rsid w:val="007900EA"/>
    <w:rsid w:val="00790A8E"/>
    <w:rsid w:val="00791134"/>
    <w:rsid w:val="007917BA"/>
    <w:rsid w:val="00791E7C"/>
    <w:rsid w:val="00795329"/>
    <w:rsid w:val="0079629A"/>
    <w:rsid w:val="007968DA"/>
    <w:rsid w:val="007969BC"/>
    <w:rsid w:val="00796E02"/>
    <w:rsid w:val="007971A0"/>
    <w:rsid w:val="007971E9"/>
    <w:rsid w:val="00797647"/>
    <w:rsid w:val="007A05AE"/>
    <w:rsid w:val="007A2A40"/>
    <w:rsid w:val="007A4380"/>
    <w:rsid w:val="007A488B"/>
    <w:rsid w:val="007A5DC1"/>
    <w:rsid w:val="007A69C7"/>
    <w:rsid w:val="007B0352"/>
    <w:rsid w:val="007B06CF"/>
    <w:rsid w:val="007B0AEF"/>
    <w:rsid w:val="007B11FE"/>
    <w:rsid w:val="007B1C94"/>
    <w:rsid w:val="007B1F2F"/>
    <w:rsid w:val="007B5EE9"/>
    <w:rsid w:val="007B6998"/>
    <w:rsid w:val="007B6D46"/>
    <w:rsid w:val="007C23E7"/>
    <w:rsid w:val="007C2603"/>
    <w:rsid w:val="007C3009"/>
    <w:rsid w:val="007C43E6"/>
    <w:rsid w:val="007C5B2C"/>
    <w:rsid w:val="007C67F4"/>
    <w:rsid w:val="007D03F3"/>
    <w:rsid w:val="007D2FE2"/>
    <w:rsid w:val="007D396B"/>
    <w:rsid w:val="007D458B"/>
    <w:rsid w:val="007D4626"/>
    <w:rsid w:val="007D68A4"/>
    <w:rsid w:val="007E0100"/>
    <w:rsid w:val="007E0E9E"/>
    <w:rsid w:val="007E2944"/>
    <w:rsid w:val="007E2B99"/>
    <w:rsid w:val="007E385B"/>
    <w:rsid w:val="007E452B"/>
    <w:rsid w:val="007E4BFC"/>
    <w:rsid w:val="007E5149"/>
    <w:rsid w:val="007E51AE"/>
    <w:rsid w:val="007E579E"/>
    <w:rsid w:val="007E7C06"/>
    <w:rsid w:val="007F10BE"/>
    <w:rsid w:val="007F31A7"/>
    <w:rsid w:val="007F31CD"/>
    <w:rsid w:val="007F39C5"/>
    <w:rsid w:val="007F500A"/>
    <w:rsid w:val="007F507C"/>
    <w:rsid w:val="007F5D02"/>
    <w:rsid w:val="007F5E9D"/>
    <w:rsid w:val="007F6E28"/>
    <w:rsid w:val="00802705"/>
    <w:rsid w:val="008030A4"/>
    <w:rsid w:val="00803C39"/>
    <w:rsid w:val="00803D12"/>
    <w:rsid w:val="0080435B"/>
    <w:rsid w:val="008058FB"/>
    <w:rsid w:val="00806427"/>
    <w:rsid w:val="00807681"/>
    <w:rsid w:val="00810547"/>
    <w:rsid w:val="00811D43"/>
    <w:rsid w:val="008123EA"/>
    <w:rsid w:val="008129B2"/>
    <w:rsid w:val="00812BF0"/>
    <w:rsid w:val="00815022"/>
    <w:rsid w:val="00815C43"/>
    <w:rsid w:val="0081635D"/>
    <w:rsid w:val="0081646B"/>
    <w:rsid w:val="00816B62"/>
    <w:rsid w:val="00817053"/>
    <w:rsid w:val="008178C1"/>
    <w:rsid w:val="008213BB"/>
    <w:rsid w:val="00821FCB"/>
    <w:rsid w:val="00822F10"/>
    <w:rsid w:val="00823565"/>
    <w:rsid w:val="008242C4"/>
    <w:rsid w:val="008253FB"/>
    <w:rsid w:val="008254CD"/>
    <w:rsid w:val="00825B48"/>
    <w:rsid w:val="008263E7"/>
    <w:rsid w:val="008275FF"/>
    <w:rsid w:val="008277DB"/>
    <w:rsid w:val="00830B80"/>
    <w:rsid w:val="008318A6"/>
    <w:rsid w:val="00831A1D"/>
    <w:rsid w:val="008326DC"/>
    <w:rsid w:val="008336A9"/>
    <w:rsid w:val="00834E46"/>
    <w:rsid w:val="008350BD"/>
    <w:rsid w:val="0084080B"/>
    <w:rsid w:val="00841317"/>
    <w:rsid w:val="00841880"/>
    <w:rsid w:val="00841908"/>
    <w:rsid w:val="00841C19"/>
    <w:rsid w:val="00841E6D"/>
    <w:rsid w:val="00844C5F"/>
    <w:rsid w:val="008508BE"/>
    <w:rsid w:val="0085245E"/>
    <w:rsid w:val="00852F2D"/>
    <w:rsid w:val="00853578"/>
    <w:rsid w:val="00855281"/>
    <w:rsid w:val="00856F27"/>
    <w:rsid w:val="00857C42"/>
    <w:rsid w:val="00860083"/>
    <w:rsid w:val="0086339C"/>
    <w:rsid w:val="008650BA"/>
    <w:rsid w:val="0086598F"/>
    <w:rsid w:val="0086660A"/>
    <w:rsid w:val="00866D24"/>
    <w:rsid w:val="00870299"/>
    <w:rsid w:val="008706EC"/>
    <w:rsid w:val="00870AE2"/>
    <w:rsid w:val="00870EAF"/>
    <w:rsid w:val="00871901"/>
    <w:rsid w:val="00872A98"/>
    <w:rsid w:val="00872F5D"/>
    <w:rsid w:val="00873411"/>
    <w:rsid w:val="00873653"/>
    <w:rsid w:val="00873DBC"/>
    <w:rsid w:val="0087457A"/>
    <w:rsid w:val="008754F7"/>
    <w:rsid w:val="00876790"/>
    <w:rsid w:val="00876CB5"/>
    <w:rsid w:val="0088121D"/>
    <w:rsid w:val="00881C89"/>
    <w:rsid w:val="00885FE9"/>
    <w:rsid w:val="00890199"/>
    <w:rsid w:val="0089089E"/>
    <w:rsid w:val="00890B67"/>
    <w:rsid w:val="008916FB"/>
    <w:rsid w:val="00893059"/>
    <w:rsid w:val="00894044"/>
    <w:rsid w:val="00896382"/>
    <w:rsid w:val="00896FA7"/>
    <w:rsid w:val="0089737C"/>
    <w:rsid w:val="0089782F"/>
    <w:rsid w:val="008A0E2F"/>
    <w:rsid w:val="008A161C"/>
    <w:rsid w:val="008A17E7"/>
    <w:rsid w:val="008A1824"/>
    <w:rsid w:val="008A1C0B"/>
    <w:rsid w:val="008A24A7"/>
    <w:rsid w:val="008A257A"/>
    <w:rsid w:val="008A2F13"/>
    <w:rsid w:val="008A3EA0"/>
    <w:rsid w:val="008A4F71"/>
    <w:rsid w:val="008A63B9"/>
    <w:rsid w:val="008A6762"/>
    <w:rsid w:val="008A6EA4"/>
    <w:rsid w:val="008A7266"/>
    <w:rsid w:val="008A736C"/>
    <w:rsid w:val="008B0AF0"/>
    <w:rsid w:val="008B0F8C"/>
    <w:rsid w:val="008B152F"/>
    <w:rsid w:val="008B2016"/>
    <w:rsid w:val="008B2122"/>
    <w:rsid w:val="008B2571"/>
    <w:rsid w:val="008C0393"/>
    <w:rsid w:val="008C1374"/>
    <w:rsid w:val="008C59BF"/>
    <w:rsid w:val="008C5AD9"/>
    <w:rsid w:val="008C5E73"/>
    <w:rsid w:val="008C6D16"/>
    <w:rsid w:val="008C6E05"/>
    <w:rsid w:val="008D1A3F"/>
    <w:rsid w:val="008D24DB"/>
    <w:rsid w:val="008D4A94"/>
    <w:rsid w:val="008D5D96"/>
    <w:rsid w:val="008D651B"/>
    <w:rsid w:val="008D6868"/>
    <w:rsid w:val="008D719C"/>
    <w:rsid w:val="008E2425"/>
    <w:rsid w:val="008E36B3"/>
    <w:rsid w:val="008E4FB1"/>
    <w:rsid w:val="008E5B9C"/>
    <w:rsid w:val="008E6026"/>
    <w:rsid w:val="008E6293"/>
    <w:rsid w:val="008E6438"/>
    <w:rsid w:val="008E6AA2"/>
    <w:rsid w:val="008E72F8"/>
    <w:rsid w:val="008F0160"/>
    <w:rsid w:val="008F22F5"/>
    <w:rsid w:val="008F233F"/>
    <w:rsid w:val="008F2AE4"/>
    <w:rsid w:val="008F50EF"/>
    <w:rsid w:val="008F6B28"/>
    <w:rsid w:val="008F74F2"/>
    <w:rsid w:val="0090236D"/>
    <w:rsid w:val="00902A7F"/>
    <w:rsid w:val="00902FAE"/>
    <w:rsid w:val="009030EA"/>
    <w:rsid w:val="0090331D"/>
    <w:rsid w:val="009035B3"/>
    <w:rsid w:val="00903AA5"/>
    <w:rsid w:val="00904562"/>
    <w:rsid w:val="00904A8D"/>
    <w:rsid w:val="00904C23"/>
    <w:rsid w:val="00905C1F"/>
    <w:rsid w:val="0090606C"/>
    <w:rsid w:val="00910203"/>
    <w:rsid w:val="00910C91"/>
    <w:rsid w:val="00912489"/>
    <w:rsid w:val="0091403B"/>
    <w:rsid w:val="009141A2"/>
    <w:rsid w:val="00915DF0"/>
    <w:rsid w:val="00917768"/>
    <w:rsid w:val="00917CB3"/>
    <w:rsid w:val="00923F6A"/>
    <w:rsid w:val="0092484D"/>
    <w:rsid w:val="00924F9F"/>
    <w:rsid w:val="009250A5"/>
    <w:rsid w:val="0092623C"/>
    <w:rsid w:val="00926558"/>
    <w:rsid w:val="00926D5A"/>
    <w:rsid w:val="009271DA"/>
    <w:rsid w:val="009304FB"/>
    <w:rsid w:val="00930C9B"/>
    <w:rsid w:val="009315F9"/>
    <w:rsid w:val="009316D5"/>
    <w:rsid w:val="00931F98"/>
    <w:rsid w:val="00932021"/>
    <w:rsid w:val="00932998"/>
    <w:rsid w:val="00933859"/>
    <w:rsid w:val="00934CD8"/>
    <w:rsid w:val="0093613C"/>
    <w:rsid w:val="00936A1B"/>
    <w:rsid w:val="0093714D"/>
    <w:rsid w:val="00937AEF"/>
    <w:rsid w:val="00941948"/>
    <w:rsid w:val="00944E41"/>
    <w:rsid w:val="00946011"/>
    <w:rsid w:val="009460A0"/>
    <w:rsid w:val="00946D7C"/>
    <w:rsid w:val="009471FE"/>
    <w:rsid w:val="0094722E"/>
    <w:rsid w:val="009475E2"/>
    <w:rsid w:val="009506FE"/>
    <w:rsid w:val="00952132"/>
    <w:rsid w:val="00952FC9"/>
    <w:rsid w:val="009542BA"/>
    <w:rsid w:val="009547AE"/>
    <w:rsid w:val="009558FD"/>
    <w:rsid w:val="0095685E"/>
    <w:rsid w:val="00956CE5"/>
    <w:rsid w:val="00957A7C"/>
    <w:rsid w:val="00960F79"/>
    <w:rsid w:val="009629D2"/>
    <w:rsid w:val="0096326D"/>
    <w:rsid w:val="0096356F"/>
    <w:rsid w:val="00964E2F"/>
    <w:rsid w:val="00966A95"/>
    <w:rsid w:val="00967556"/>
    <w:rsid w:val="00970971"/>
    <w:rsid w:val="00970FF4"/>
    <w:rsid w:val="009712A5"/>
    <w:rsid w:val="009712DC"/>
    <w:rsid w:val="0097145A"/>
    <w:rsid w:val="00971B10"/>
    <w:rsid w:val="009736F1"/>
    <w:rsid w:val="00974C30"/>
    <w:rsid w:val="00975FFC"/>
    <w:rsid w:val="00976451"/>
    <w:rsid w:val="009765D3"/>
    <w:rsid w:val="0097671B"/>
    <w:rsid w:val="00976D04"/>
    <w:rsid w:val="0097776D"/>
    <w:rsid w:val="00977D0F"/>
    <w:rsid w:val="009803B3"/>
    <w:rsid w:val="00984DA8"/>
    <w:rsid w:val="00985E9C"/>
    <w:rsid w:val="0098617D"/>
    <w:rsid w:val="00987303"/>
    <w:rsid w:val="00987AF3"/>
    <w:rsid w:val="00987F92"/>
    <w:rsid w:val="009907E8"/>
    <w:rsid w:val="009912B7"/>
    <w:rsid w:val="00992E39"/>
    <w:rsid w:val="00993A59"/>
    <w:rsid w:val="009943E3"/>
    <w:rsid w:val="00994FF7"/>
    <w:rsid w:val="009956E8"/>
    <w:rsid w:val="009973ED"/>
    <w:rsid w:val="009A104A"/>
    <w:rsid w:val="009A14B6"/>
    <w:rsid w:val="009A2651"/>
    <w:rsid w:val="009A29ED"/>
    <w:rsid w:val="009A30C9"/>
    <w:rsid w:val="009A3F3D"/>
    <w:rsid w:val="009A452F"/>
    <w:rsid w:val="009A5BD1"/>
    <w:rsid w:val="009A6341"/>
    <w:rsid w:val="009A7198"/>
    <w:rsid w:val="009A7C67"/>
    <w:rsid w:val="009B037F"/>
    <w:rsid w:val="009B04E7"/>
    <w:rsid w:val="009B193E"/>
    <w:rsid w:val="009B39E5"/>
    <w:rsid w:val="009B4DFA"/>
    <w:rsid w:val="009B5797"/>
    <w:rsid w:val="009B7653"/>
    <w:rsid w:val="009C04D1"/>
    <w:rsid w:val="009C2CA1"/>
    <w:rsid w:val="009C3255"/>
    <w:rsid w:val="009C46B4"/>
    <w:rsid w:val="009C496F"/>
    <w:rsid w:val="009C5185"/>
    <w:rsid w:val="009C55D5"/>
    <w:rsid w:val="009C57D6"/>
    <w:rsid w:val="009C69F9"/>
    <w:rsid w:val="009C6F59"/>
    <w:rsid w:val="009C7016"/>
    <w:rsid w:val="009C7811"/>
    <w:rsid w:val="009D12FE"/>
    <w:rsid w:val="009D1FE2"/>
    <w:rsid w:val="009D2859"/>
    <w:rsid w:val="009D2EC1"/>
    <w:rsid w:val="009D2EC8"/>
    <w:rsid w:val="009D4DDB"/>
    <w:rsid w:val="009D4E12"/>
    <w:rsid w:val="009D5871"/>
    <w:rsid w:val="009D667D"/>
    <w:rsid w:val="009D6934"/>
    <w:rsid w:val="009E335C"/>
    <w:rsid w:val="009E4729"/>
    <w:rsid w:val="009E529F"/>
    <w:rsid w:val="009E60D5"/>
    <w:rsid w:val="009E6CB9"/>
    <w:rsid w:val="009E716A"/>
    <w:rsid w:val="009E7B5A"/>
    <w:rsid w:val="009F23BF"/>
    <w:rsid w:val="009F2B7C"/>
    <w:rsid w:val="009F358D"/>
    <w:rsid w:val="009F4551"/>
    <w:rsid w:val="009F55F4"/>
    <w:rsid w:val="009F567E"/>
    <w:rsid w:val="009F56DE"/>
    <w:rsid w:val="009F7607"/>
    <w:rsid w:val="009F77E7"/>
    <w:rsid w:val="00A00C2C"/>
    <w:rsid w:val="00A01B80"/>
    <w:rsid w:val="00A026EF"/>
    <w:rsid w:val="00A03EC9"/>
    <w:rsid w:val="00A041E6"/>
    <w:rsid w:val="00A0539F"/>
    <w:rsid w:val="00A06305"/>
    <w:rsid w:val="00A06CE3"/>
    <w:rsid w:val="00A06E65"/>
    <w:rsid w:val="00A07900"/>
    <w:rsid w:val="00A07B59"/>
    <w:rsid w:val="00A07C76"/>
    <w:rsid w:val="00A07F75"/>
    <w:rsid w:val="00A10305"/>
    <w:rsid w:val="00A1056C"/>
    <w:rsid w:val="00A1057E"/>
    <w:rsid w:val="00A1101E"/>
    <w:rsid w:val="00A113B7"/>
    <w:rsid w:val="00A11745"/>
    <w:rsid w:val="00A117B6"/>
    <w:rsid w:val="00A11AC2"/>
    <w:rsid w:val="00A12979"/>
    <w:rsid w:val="00A12A60"/>
    <w:rsid w:val="00A16316"/>
    <w:rsid w:val="00A2103D"/>
    <w:rsid w:val="00A21386"/>
    <w:rsid w:val="00A21ABA"/>
    <w:rsid w:val="00A21BB0"/>
    <w:rsid w:val="00A249EC"/>
    <w:rsid w:val="00A24C41"/>
    <w:rsid w:val="00A26FA4"/>
    <w:rsid w:val="00A2701B"/>
    <w:rsid w:val="00A274DF"/>
    <w:rsid w:val="00A2757E"/>
    <w:rsid w:val="00A278E0"/>
    <w:rsid w:val="00A302FB"/>
    <w:rsid w:val="00A30457"/>
    <w:rsid w:val="00A30611"/>
    <w:rsid w:val="00A3061C"/>
    <w:rsid w:val="00A310C0"/>
    <w:rsid w:val="00A317EE"/>
    <w:rsid w:val="00A3196C"/>
    <w:rsid w:val="00A33F08"/>
    <w:rsid w:val="00A36C2D"/>
    <w:rsid w:val="00A371D1"/>
    <w:rsid w:val="00A37894"/>
    <w:rsid w:val="00A37BE1"/>
    <w:rsid w:val="00A4012E"/>
    <w:rsid w:val="00A40528"/>
    <w:rsid w:val="00A40A6D"/>
    <w:rsid w:val="00A40B0B"/>
    <w:rsid w:val="00A41ADD"/>
    <w:rsid w:val="00A41E60"/>
    <w:rsid w:val="00A429A5"/>
    <w:rsid w:val="00A43EC6"/>
    <w:rsid w:val="00A446AC"/>
    <w:rsid w:val="00A453EC"/>
    <w:rsid w:val="00A46181"/>
    <w:rsid w:val="00A46CB1"/>
    <w:rsid w:val="00A50552"/>
    <w:rsid w:val="00A53457"/>
    <w:rsid w:val="00A5483C"/>
    <w:rsid w:val="00A55CE6"/>
    <w:rsid w:val="00A56854"/>
    <w:rsid w:val="00A602EC"/>
    <w:rsid w:val="00A60319"/>
    <w:rsid w:val="00A60C5F"/>
    <w:rsid w:val="00A61A0B"/>
    <w:rsid w:val="00A64853"/>
    <w:rsid w:val="00A65C90"/>
    <w:rsid w:val="00A666B6"/>
    <w:rsid w:val="00A66D78"/>
    <w:rsid w:val="00A67D6A"/>
    <w:rsid w:val="00A70886"/>
    <w:rsid w:val="00A7261A"/>
    <w:rsid w:val="00A7489F"/>
    <w:rsid w:val="00A75B58"/>
    <w:rsid w:val="00A75B88"/>
    <w:rsid w:val="00A76479"/>
    <w:rsid w:val="00A76B62"/>
    <w:rsid w:val="00A76E5E"/>
    <w:rsid w:val="00A76F4A"/>
    <w:rsid w:val="00A7760A"/>
    <w:rsid w:val="00A80F20"/>
    <w:rsid w:val="00A819E4"/>
    <w:rsid w:val="00A8209A"/>
    <w:rsid w:val="00A848DB"/>
    <w:rsid w:val="00A84C37"/>
    <w:rsid w:val="00A8505C"/>
    <w:rsid w:val="00A8523A"/>
    <w:rsid w:val="00A85E50"/>
    <w:rsid w:val="00A8639B"/>
    <w:rsid w:val="00A86475"/>
    <w:rsid w:val="00A866A8"/>
    <w:rsid w:val="00A86A8E"/>
    <w:rsid w:val="00A87ABD"/>
    <w:rsid w:val="00A87C97"/>
    <w:rsid w:val="00A90AAE"/>
    <w:rsid w:val="00A9226E"/>
    <w:rsid w:val="00A92604"/>
    <w:rsid w:val="00A93C04"/>
    <w:rsid w:val="00A94838"/>
    <w:rsid w:val="00A94EA4"/>
    <w:rsid w:val="00A97258"/>
    <w:rsid w:val="00AA010E"/>
    <w:rsid w:val="00AA25CE"/>
    <w:rsid w:val="00AA36A9"/>
    <w:rsid w:val="00AA667D"/>
    <w:rsid w:val="00AA718A"/>
    <w:rsid w:val="00AA7533"/>
    <w:rsid w:val="00AB167E"/>
    <w:rsid w:val="00AB2E94"/>
    <w:rsid w:val="00AB35D1"/>
    <w:rsid w:val="00AB4394"/>
    <w:rsid w:val="00AB688E"/>
    <w:rsid w:val="00AB691C"/>
    <w:rsid w:val="00AB7074"/>
    <w:rsid w:val="00AB75AD"/>
    <w:rsid w:val="00AB7B78"/>
    <w:rsid w:val="00AC16A5"/>
    <w:rsid w:val="00AC180F"/>
    <w:rsid w:val="00AC2718"/>
    <w:rsid w:val="00AC340B"/>
    <w:rsid w:val="00AC4638"/>
    <w:rsid w:val="00AC499C"/>
    <w:rsid w:val="00AC74F9"/>
    <w:rsid w:val="00AC7BF9"/>
    <w:rsid w:val="00AC7F78"/>
    <w:rsid w:val="00AD0109"/>
    <w:rsid w:val="00AD3396"/>
    <w:rsid w:val="00AD476B"/>
    <w:rsid w:val="00AD5696"/>
    <w:rsid w:val="00AD6319"/>
    <w:rsid w:val="00AD6C87"/>
    <w:rsid w:val="00AE13B1"/>
    <w:rsid w:val="00AE18CB"/>
    <w:rsid w:val="00AE19A2"/>
    <w:rsid w:val="00AE1EC8"/>
    <w:rsid w:val="00AE2AF1"/>
    <w:rsid w:val="00AE42AB"/>
    <w:rsid w:val="00AE44EE"/>
    <w:rsid w:val="00AE513A"/>
    <w:rsid w:val="00AE54B2"/>
    <w:rsid w:val="00AE54D4"/>
    <w:rsid w:val="00AE569A"/>
    <w:rsid w:val="00AF21DE"/>
    <w:rsid w:val="00AF2817"/>
    <w:rsid w:val="00AF3406"/>
    <w:rsid w:val="00AF5909"/>
    <w:rsid w:val="00AF599F"/>
    <w:rsid w:val="00AF679A"/>
    <w:rsid w:val="00AF68AD"/>
    <w:rsid w:val="00AF6F16"/>
    <w:rsid w:val="00AF7560"/>
    <w:rsid w:val="00B02157"/>
    <w:rsid w:val="00B0248B"/>
    <w:rsid w:val="00B02F15"/>
    <w:rsid w:val="00B049CC"/>
    <w:rsid w:val="00B05190"/>
    <w:rsid w:val="00B06224"/>
    <w:rsid w:val="00B07CA3"/>
    <w:rsid w:val="00B103C7"/>
    <w:rsid w:val="00B10FE4"/>
    <w:rsid w:val="00B12C85"/>
    <w:rsid w:val="00B14711"/>
    <w:rsid w:val="00B15199"/>
    <w:rsid w:val="00B16596"/>
    <w:rsid w:val="00B16981"/>
    <w:rsid w:val="00B17577"/>
    <w:rsid w:val="00B17DC7"/>
    <w:rsid w:val="00B223EF"/>
    <w:rsid w:val="00B228F8"/>
    <w:rsid w:val="00B2330C"/>
    <w:rsid w:val="00B23DD6"/>
    <w:rsid w:val="00B24FC7"/>
    <w:rsid w:val="00B25D7E"/>
    <w:rsid w:val="00B27BED"/>
    <w:rsid w:val="00B2CFBF"/>
    <w:rsid w:val="00B300C0"/>
    <w:rsid w:val="00B31322"/>
    <w:rsid w:val="00B321EE"/>
    <w:rsid w:val="00B32500"/>
    <w:rsid w:val="00B33002"/>
    <w:rsid w:val="00B34F7D"/>
    <w:rsid w:val="00B36165"/>
    <w:rsid w:val="00B3697D"/>
    <w:rsid w:val="00B36AE5"/>
    <w:rsid w:val="00B37016"/>
    <w:rsid w:val="00B37619"/>
    <w:rsid w:val="00B37E2D"/>
    <w:rsid w:val="00B40933"/>
    <w:rsid w:val="00B43A6B"/>
    <w:rsid w:val="00B43D1E"/>
    <w:rsid w:val="00B44B00"/>
    <w:rsid w:val="00B44EA2"/>
    <w:rsid w:val="00B451EF"/>
    <w:rsid w:val="00B4662F"/>
    <w:rsid w:val="00B473CB"/>
    <w:rsid w:val="00B47CB0"/>
    <w:rsid w:val="00B47CE9"/>
    <w:rsid w:val="00B50497"/>
    <w:rsid w:val="00B52083"/>
    <w:rsid w:val="00B52563"/>
    <w:rsid w:val="00B52C67"/>
    <w:rsid w:val="00B52F44"/>
    <w:rsid w:val="00B530EC"/>
    <w:rsid w:val="00B535FD"/>
    <w:rsid w:val="00B53D50"/>
    <w:rsid w:val="00B53E9D"/>
    <w:rsid w:val="00B545EA"/>
    <w:rsid w:val="00B54EDD"/>
    <w:rsid w:val="00B57012"/>
    <w:rsid w:val="00B61765"/>
    <w:rsid w:val="00B617E3"/>
    <w:rsid w:val="00B631EE"/>
    <w:rsid w:val="00B63750"/>
    <w:rsid w:val="00B63FBC"/>
    <w:rsid w:val="00B64CD9"/>
    <w:rsid w:val="00B66667"/>
    <w:rsid w:val="00B70112"/>
    <w:rsid w:val="00B705C0"/>
    <w:rsid w:val="00B717B8"/>
    <w:rsid w:val="00B7182A"/>
    <w:rsid w:val="00B72B83"/>
    <w:rsid w:val="00B73C1C"/>
    <w:rsid w:val="00B73E4D"/>
    <w:rsid w:val="00B800F2"/>
    <w:rsid w:val="00B80D63"/>
    <w:rsid w:val="00B80E9C"/>
    <w:rsid w:val="00B8166B"/>
    <w:rsid w:val="00B8275C"/>
    <w:rsid w:val="00B82932"/>
    <w:rsid w:val="00B82B47"/>
    <w:rsid w:val="00B83410"/>
    <w:rsid w:val="00B83ADB"/>
    <w:rsid w:val="00B847F4"/>
    <w:rsid w:val="00B85A95"/>
    <w:rsid w:val="00B86A7B"/>
    <w:rsid w:val="00B86CF2"/>
    <w:rsid w:val="00B87152"/>
    <w:rsid w:val="00B871FE"/>
    <w:rsid w:val="00B8751B"/>
    <w:rsid w:val="00B8758E"/>
    <w:rsid w:val="00B8760F"/>
    <w:rsid w:val="00B87848"/>
    <w:rsid w:val="00B87876"/>
    <w:rsid w:val="00B91179"/>
    <w:rsid w:val="00B9132D"/>
    <w:rsid w:val="00B95EC8"/>
    <w:rsid w:val="00B9648C"/>
    <w:rsid w:val="00BA2026"/>
    <w:rsid w:val="00BA28A8"/>
    <w:rsid w:val="00BA2992"/>
    <w:rsid w:val="00BA29ED"/>
    <w:rsid w:val="00BA47B6"/>
    <w:rsid w:val="00BA55E3"/>
    <w:rsid w:val="00BA6E3A"/>
    <w:rsid w:val="00BA7B7B"/>
    <w:rsid w:val="00BA7D6A"/>
    <w:rsid w:val="00BB1218"/>
    <w:rsid w:val="00BB1B5E"/>
    <w:rsid w:val="00BB3F02"/>
    <w:rsid w:val="00BB4514"/>
    <w:rsid w:val="00BB4D0D"/>
    <w:rsid w:val="00BC2122"/>
    <w:rsid w:val="00BC25E4"/>
    <w:rsid w:val="00BC43B2"/>
    <w:rsid w:val="00BC4596"/>
    <w:rsid w:val="00BC53C8"/>
    <w:rsid w:val="00BC6563"/>
    <w:rsid w:val="00BC73C1"/>
    <w:rsid w:val="00BC7575"/>
    <w:rsid w:val="00BD0928"/>
    <w:rsid w:val="00BD2DC0"/>
    <w:rsid w:val="00BD3CB5"/>
    <w:rsid w:val="00BD48E0"/>
    <w:rsid w:val="00BD4F3F"/>
    <w:rsid w:val="00BD654A"/>
    <w:rsid w:val="00BD73F2"/>
    <w:rsid w:val="00BE2008"/>
    <w:rsid w:val="00BE34DA"/>
    <w:rsid w:val="00BE4E9D"/>
    <w:rsid w:val="00BE590B"/>
    <w:rsid w:val="00BE64A5"/>
    <w:rsid w:val="00BE698B"/>
    <w:rsid w:val="00BE6DC2"/>
    <w:rsid w:val="00BF16F4"/>
    <w:rsid w:val="00BF1DD0"/>
    <w:rsid w:val="00BF4730"/>
    <w:rsid w:val="00BF480C"/>
    <w:rsid w:val="00BF5D16"/>
    <w:rsid w:val="00BF6291"/>
    <w:rsid w:val="00BF638F"/>
    <w:rsid w:val="00BF7470"/>
    <w:rsid w:val="00C01857"/>
    <w:rsid w:val="00C01BD4"/>
    <w:rsid w:val="00C0288C"/>
    <w:rsid w:val="00C03DBB"/>
    <w:rsid w:val="00C06363"/>
    <w:rsid w:val="00C065AE"/>
    <w:rsid w:val="00C06DDB"/>
    <w:rsid w:val="00C07CE3"/>
    <w:rsid w:val="00C10829"/>
    <w:rsid w:val="00C1098F"/>
    <w:rsid w:val="00C10A63"/>
    <w:rsid w:val="00C13014"/>
    <w:rsid w:val="00C16DEB"/>
    <w:rsid w:val="00C22611"/>
    <w:rsid w:val="00C22B4F"/>
    <w:rsid w:val="00C22EE9"/>
    <w:rsid w:val="00C24476"/>
    <w:rsid w:val="00C251AC"/>
    <w:rsid w:val="00C27A47"/>
    <w:rsid w:val="00C3172E"/>
    <w:rsid w:val="00C328A7"/>
    <w:rsid w:val="00C32F8A"/>
    <w:rsid w:val="00C339FE"/>
    <w:rsid w:val="00C36642"/>
    <w:rsid w:val="00C36E43"/>
    <w:rsid w:val="00C378DC"/>
    <w:rsid w:val="00C37D5D"/>
    <w:rsid w:val="00C42DB2"/>
    <w:rsid w:val="00C42ED7"/>
    <w:rsid w:val="00C4349F"/>
    <w:rsid w:val="00C43D41"/>
    <w:rsid w:val="00C4507A"/>
    <w:rsid w:val="00C4573F"/>
    <w:rsid w:val="00C45FD2"/>
    <w:rsid w:val="00C460E8"/>
    <w:rsid w:val="00C47BC6"/>
    <w:rsid w:val="00C47D52"/>
    <w:rsid w:val="00C504BC"/>
    <w:rsid w:val="00C50811"/>
    <w:rsid w:val="00C51B1D"/>
    <w:rsid w:val="00C51E1F"/>
    <w:rsid w:val="00C522A9"/>
    <w:rsid w:val="00C52675"/>
    <w:rsid w:val="00C532D8"/>
    <w:rsid w:val="00C54702"/>
    <w:rsid w:val="00C56015"/>
    <w:rsid w:val="00C561E0"/>
    <w:rsid w:val="00C56E42"/>
    <w:rsid w:val="00C57ED1"/>
    <w:rsid w:val="00C64323"/>
    <w:rsid w:val="00C658E2"/>
    <w:rsid w:val="00C65CF9"/>
    <w:rsid w:val="00C65E39"/>
    <w:rsid w:val="00C6654F"/>
    <w:rsid w:val="00C70CA3"/>
    <w:rsid w:val="00C72F8C"/>
    <w:rsid w:val="00C72FEE"/>
    <w:rsid w:val="00C73D98"/>
    <w:rsid w:val="00C76A9F"/>
    <w:rsid w:val="00C7710F"/>
    <w:rsid w:val="00C77F45"/>
    <w:rsid w:val="00C80197"/>
    <w:rsid w:val="00C8157C"/>
    <w:rsid w:val="00C90F5C"/>
    <w:rsid w:val="00C91AA8"/>
    <w:rsid w:val="00C93124"/>
    <w:rsid w:val="00C9429B"/>
    <w:rsid w:val="00C97798"/>
    <w:rsid w:val="00CA031D"/>
    <w:rsid w:val="00CA1C89"/>
    <w:rsid w:val="00CA1D3C"/>
    <w:rsid w:val="00CA20F9"/>
    <w:rsid w:val="00CA22DB"/>
    <w:rsid w:val="00CA35C4"/>
    <w:rsid w:val="00CA3C04"/>
    <w:rsid w:val="00CA3D13"/>
    <w:rsid w:val="00CA68DC"/>
    <w:rsid w:val="00CB15CF"/>
    <w:rsid w:val="00CB2C78"/>
    <w:rsid w:val="00CB45F8"/>
    <w:rsid w:val="00CB4C46"/>
    <w:rsid w:val="00CB5AD5"/>
    <w:rsid w:val="00CB6622"/>
    <w:rsid w:val="00CB6A33"/>
    <w:rsid w:val="00CC09B9"/>
    <w:rsid w:val="00CC0F8B"/>
    <w:rsid w:val="00CC14D2"/>
    <w:rsid w:val="00CC193B"/>
    <w:rsid w:val="00CC1986"/>
    <w:rsid w:val="00CC19D0"/>
    <w:rsid w:val="00CC34ED"/>
    <w:rsid w:val="00CC3600"/>
    <w:rsid w:val="00CC449F"/>
    <w:rsid w:val="00CC4537"/>
    <w:rsid w:val="00CC4666"/>
    <w:rsid w:val="00CC634C"/>
    <w:rsid w:val="00CD06EA"/>
    <w:rsid w:val="00CD086B"/>
    <w:rsid w:val="00CD0A8F"/>
    <w:rsid w:val="00CD0F22"/>
    <w:rsid w:val="00CD2C12"/>
    <w:rsid w:val="00CD3630"/>
    <w:rsid w:val="00CD43E4"/>
    <w:rsid w:val="00CD534F"/>
    <w:rsid w:val="00CE0227"/>
    <w:rsid w:val="00CE0DB2"/>
    <w:rsid w:val="00CE20F8"/>
    <w:rsid w:val="00CE55A6"/>
    <w:rsid w:val="00CE6760"/>
    <w:rsid w:val="00CF07F5"/>
    <w:rsid w:val="00CF0849"/>
    <w:rsid w:val="00CF20D8"/>
    <w:rsid w:val="00CF34E8"/>
    <w:rsid w:val="00CF42BF"/>
    <w:rsid w:val="00CF5181"/>
    <w:rsid w:val="00CF52E7"/>
    <w:rsid w:val="00CF5583"/>
    <w:rsid w:val="00CF5990"/>
    <w:rsid w:val="00CF69ED"/>
    <w:rsid w:val="00CF739D"/>
    <w:rsid w:val="00CF7F19"/>
    <w:rsid w:val="00D02644"/>
    <w:rsid w:val="00D02D6B"/>
    <w:rsid w:val="00D035FF"/>
    <w:rsid w:val="00D03B31"/>
    <w:rsid w:val="00D0576F"/>
    <w:rsid w:val="00D058F6"/>
    <w:rsid w:val="00D05A68"/>
    <w:rsid w:val="00D05B9B"/>
    <w:rsid w:val="00D06706"/>
    <w:rsid w:val="00D06AD9"/>
    <w:rsid w:val="00D06ECD"/>
    <w:rsid w:val="00D073F5"/>
    <w:rsid w:val="00D12EC5"/>
    <w:rsid w:val="00D14561"/>
    <w:rsid w:val="00D21B43"/>
    <w:rsid w:val="00D22ADA"/>
    <w:rsid w:val="00D24145"/>
    <w:rsid w:val="00D242C4"/>
    <w:rsid w:val="00D2522D"/>
    <w:rsid w:val="00D252AA"/>
    <w:rsid w:val="00D25533"/>
    <w:rsid w:val="00D25546"/>
    <w:rsid w:val="00D25A1C"/>
    <w:rsid w:val="00D26B25"/>
    <w:rsid w:val="00D26FC2"/>
    <w:rsid w:val="00D27465"/>
    <w:rsid w:val="00D31248"/>
    <w:rsid w:val="00D31893"/>
    <w:rsid w:val="00D31A92"/>
    <w:rsid w:val="00D36313"/>
    <w:rsid w:val="00D37657"/>
    <w:rsid w:val="00D37F5D"/>
    <w:rsid w:val="00D44D53"/>
    <w:rsid w:val="00D46F3D"/>
    <w:rsid w:val="00D4732F"/>
    <w:rsid w:val="00D47611"/>
    <w:rsid w:val="00D510A6"/>
    <w:rsid w:val="00D52B8A"/>
    <w:rsid w:val="00D52C8D"/>
    <w:rsid w:val="00D53964"/>
    <w:rsid w:val="00D54A16"/>
    <w:rsid w:val="00D60475"/>
    <w:rsid w:val="00D627A7"/>
    <w:rsid w:val="00D62CF3"/>
    <w:rsid w:val="00D63414"/>
    <w:rsid w:val="00D650D6"/>
    <w:rsid w:val="00D67260"/>
    <w:rsid w:val="00D67AD3"/>
    <w:rsid w:val="00D7250E"/>
    <w:rsid w:val="00D727A9"/>
    <w:rsid w:val="00D73396"/>
    <w:rsid w:val="00D734CA"/>
    <w:rsid w:val="00D750DA"/>
    <w:rsid w:val="00D759F2"/>
    <w:rsid w:val="00D76AEF"/>
    <w:rsid w:val="00D774AF"/>
    <w:rsid w:val="00D77CE7"/>
    <w:rsid w:val="00D82635"/>
    <w:rsid w:val="00D8287C"/>
    <w:rsid w:val="00D830EE"/>
    <w:rsid w:val="00D83867"/>
    <w:rsid w:val="00D841D3"/>
    <w:rsid w:val="00D84AD2"/>
    <w:rsid w:val="00D863C9"/>
    <w:rsid w:val="00D8671E"/>
    <w:rsid w:val="00D86DA6"/>
    <w:rsid w:val="00D912C6"/>
    <w:rsid w:val="00D9151B"/>
    <w:rsid w:val="00D92E5E"/>
    <w:rsid w:val="00D93740"/>
    <w:rsid w:val="00D9441E"/>
    <w:rsid w:val="00D94563"/>
    <w:rsid w:val="00D94717"/>
    <w:rsid w:val="00D94D6E"/>
    <w:rsid w:val="00D95360"/>
    <w:rsid w:val="00D973A0"/>
    <w:rsid w:val="00D97ECC"/>
    <w:rsid w:val="00DA2B2B"/>
    <w:rsid w:val="00DA31F0"/>
    <w:rsid w:val="00DA4BC3"/>
    <w:rsid w:val="00DA5074"/>
    <w:rsid w:val="00DA6B7A"/>
    <w:rsid w:val="00DB008D"/>
    <w:rsid w:val="00DB1C0F"/>
    <w:rsid w:val="00DB2DF5"/>
    <w:rsid w:val="00DB2E18"/>
    <w:rsid w:val="00DB3213"/>
    <w:rsid w:val="00DB3D46"/>
    <w:rsid w:val="00DC082E"/>
    <w:rsid w:val="00DC2F79"/>
    <w:rsid w:val="00DC30CD"/>
    <w:rsid w:val="00DC329B"/>
    <w:rsid w:val="00DC3BED"/>
    <w:rsid w:val="00DC4A70"/>
    <w:rsid w:val="00DC4B70"/>
    <w:rsid w:val="00DC5074"/>
    <w:rsid w:val="00DC65DD"/>
    <w:rsid w:val="00DC6AFE"/>
    <w:rsid w:val="00DD1712"/>
    <w:rsid w:val="00DD23D4"/>
    <w:rsid w:val="00DD2E36"/>
    <w:rsid w:val="00DD37C5"/>
    <w:rsid w:val="00DD3DEC"/>
    <w:rsid w:val="00DD43CE"/>
    <w:rsid w:val="00DD6B7C"/>
    <w:rsid w:val="00DD72BA"/>
    <w:rsid w:val="00DD76AE"/>
    <w:rsid w:val="00DD7AD5"/>
    <w:rsid w:val="00DE023C"/>
    <w:rsid w:val="00DE0920"/>
    <w:rsid w:val="00DE0DFA"/>
    <w:rsid w:val="00DE174E"/>
    <w:rsid w:val="00DE1CD5"/>
    <w:rsid w:val="00DE1DE8"/>
    <w:rsid w:val="00DE21AA"/>
    <w:rsid w:val="00DE3305"/>
    <w:rsid w:val="00DE3E9A"/>
    <w:rsid w:val="00DE599A"/>
    <w:rsid w:val="00DE61D9"/>
    <w:rsid w:val="00DE792F"/>
    <w:rsid w:val="00DF0261"/>
    <w:rsid w:val="00DF0330"/>
    <w:rsid w:val="00DF0528"/>
    <w:rsid w:val="00DF1818"/>
    <w:rsid w:val="00DF1B28"/>
    <w:rsid w:val="00DF25AE"/>
    <w:rsid w:val="00DF3AA9"/>
    <w:rsid w:val="00DF4EA1"/>
    <w:rsid w:val="00DF4F25"/>
    <w:rsid w:val="00DF55C0"/>
    <w:rsid w:val="00DF5D9B"/>
    <w:rsid w:val="00DF6809"/>
    <w:rsid w:val="00DF7F73"/>
    <w:rsid w:val="00E00487"/>
    <w:rsid w:val="00E00A6C"/>
    <w:rsid w:val="00E00D17"/>
    <w:rsid w:val="00E02199"/>
    <w:rsid w:val="00E04347"/>
    <w:rsid w:val="00E0524E"/>
    <w:rsid w:val="00E06064"/>
    <w:rsid w:val="00E0723D"/>
    <w:rsid w:val="00E10D4C"/>
    <w:rsid w:val="00E111DA"/>
    <w:rsid w:val="00E1136D"/>
    <w:rsid w:val="00E128B4"/>
    <w:rsid w:val="00E141EA"/>
    <w:rsid w:val="00E15B7B"/>
    <w:rsid w:val="00E166CF"/>
    <w:rsid w:val="00E176B1"/>
    <w:rsid w:val="00E17D78"/>
    <w:rsid w:val="00E17DE2"/>
    <w:rsid w:val="00E20042"/>
    <w:rsid w:val="00E2004C"/>
    <w:rsid w:val="00E2302E"/>
    <w:rsid w:val="00E25494"/>
    <w:rsid w:val="00E25D22"/>
    <w:rsid w:val="00E27147"/>
    <w:rsid w:val="00E27B07"/>
    <w:rsid w:val="00E31AA6"/>
    <w:rsid w:val="00E32EEE"/>
    <w:rsid w:val="00E345CA"/>
    <w:rsid w:val="00E34B18"/>
    <w:rsid w:val="00E35668"/>
    <w:rsid w:val="00E365E6"/>
    <w:rsid w:val="00E4007F"/>
    <w:rsid w:val="00E40A41"/>
    <w:rsid w:val="00E4181B"/>
    <w:rsid w:val="00E41E0C"/>
    <w:rsid w:val="00E43275"/>
    <w:rsid w:val="00E440D7"/>
    <w:rsid w:val="00E44145"/>
    <w:rsid w:val="00E449B8"/>
    <w:rsid w:val="00E47541"/>
    <w:rsid w:val="00E47DBD"/>
    <w:rsid w:val="00E50042"/>
    <w:rsid w:val="00E501D8"/>
    <w:rsid w:val="00E509AC"/>
    <w:rsid w:val="00E51170"/>
    <w:rsid w:val="00E51AA0"/>
    <w:rsid w:val="00E534A9"/>
    <w:rsid w:val="00E53960"/>
    <w:rsid w:val="00E540CB"/>
    <w:rsid w:val="00E600CA"/>
    <w:rsid w:val="00E63950"/>
    <w:rsid w:val="00E64D80"/>
    <w:rsid w:val="00E6518C"/>
    <w:rsid w:val="00E659CF"/>
    <w:rsid w:val="00E66639"/>
    <w:rsid w:val="00E67DD3"/>
    <w:rsid w:val="00E72625"/>
    <w:rsid w:val="00E7370F"/>
    <w:rsid w:val="00E74549"/>
    <w:rsid w:val="00E74B22"/>
    <w:rsid w:val="00E75937"/>
    <w:rsid w:val="00E76126"/>
    <w:rsid w:val="00E76146"/>
    <w:rsid w:val="00E76595"/>
    <w:rsid w:val="00E76674"/>
    <w:rsid w:val="00E774E7"/>
    <w:rsid w:val="00E775ED"/>
    <w:rsid w:val="00E776FF"/>
    <w:rsid w:val="00E77CDE"/>
    <w:rsid w:val="00E80AB0"/>
    <w:rsid w:val="00E81A99"/>
    <w:rsid w:val="00E83FA1"/>
    <w:rsid w:val="00E851DF"/>
    <w:rsid w:val="00E8711E"/>
    <w:rsid w:val="00E873B8"/>
    <w:rsid w:val="00E905BC"/>
    <w:rsid w:val="00E915C5"/>
    <w:rsid w:val="00E92760"/>
    <w:rsid w:val="00E9438D"/>
    <w:rsid w:val="00E94B7D"/>
    <w:rsid w:val="00E94C8E"/>
    <w:rsid w:val="00E94F3E"/>
    <w:rsid w:val="00E950F2"/>
    <w:rsid w:val="00E95F04"/>
    <w:rsid w:val="00E97798"/>
    <w:rsid w:val="00EA1961"/>
    <w:rsid w:val="00EA5865"/>
    <w:rsid w:val="00EA6C18"/>
    <w:rsid w:val="00EA726C"/>
    <w:rsid w:val="00EA79BE"/>
    <w:rsid w:val="00EA7CB4"/>
    <w:rsid w:val="00EB0A5B"/>
    <w:rsid w:val="00EB264D"/>
    <w:rsid w:val="00EB3D9A"/>
    <w:rsid w:val="00EB479A"/>
    <w:rsid w:val="00EB762D"/>
    <w:rsid w:val="00EC0A64"/>
    <w:rsid w:val="00EC660D"/>
    <w:rsid w:val="00EC75A4"/>
    <w:rsid w:val="00EC76DA"/>
    <w:rsid w:val="00ED2051"/>
    <w:rsid w:val="00ED2320"/>
    <w:rsid w:val="00ED24C4"/>
    <w:rsid w:val="00ED3681"/>
    <w:rsid w:val="00ED413C"/>
    <w:rsid w:val="00ED4BA8"/>
    <w:rsid w:val="00ED4E53"/>
    <w:rsid w:val="00ED57F0"/>
    <w:rsid w:val="00ED5983"/>
    <w:rsid w:val="00ED5E06"/>
    <w:rsid w:val="00ED656C"/>
    <w:rsid w:val="00EE010D"/>
    <w:rsid w:val="00EE0187"/>
    <w:rsid w:val="00EE048D"/>
    <w:rsid w:val="00EE1523"/>
    <w:rsid w:val="00EE1656"/>
    <w:rsid w:val="00EE264C"/>
    <w:rsid w:val="00EE3088"/>
    <w:rsid w:val="00EE6443"/>
    <w:rsid w:val="00EE7542"/>
    <w:rsid w:val="00EF014A"/>
    <w:rsid w:val="00EF094C"/>
    <w:rsid w:val="00EF1A6B"/>
    <w:rsid w:val="00EF27D2"/>
    <w:rsid w:val="00EF7137"/>
    <w:rsid w:val="00F01E8B"/>
    <w:rsid w:val="00F03271"/>
    <w:rsid w:val="00F03647"/>
    <w:rsid w:val="00F04839"/>
    <w:rsid w:val="00F04B7A"/>
    <w:rsid w:val="00F05B87"/>
    <w:rsid w:val="00F05FB4"/>
    <w:rsid w:val="00F06DBA"/>
    <w:rsid w:val="00F10EAB"/>
    <w:rsid w:val="00F1237C"/>
    <w:rsid w:val="00F15368"/>
    <w:rsid w:val="00F1588C"/>
    <w:rsid w:val="00F17605"/>
    <w:rsid w:val="00F17BA6"/>
    <w:rsid w:val="00F17D69"/>
    <w:rsid w:val="00F219B4"/>
    <w:rsid w:val="00F21DB8"/>
    <w:rsid w:val="00F2227C"/>
    <w:rsid w:val="00F22396"/>
    <w:rsid w:val="00F23C6B"/>
    <w:rsid w:val="00F24FED"/>
    <w:rsid w:val="00F26028"/>
    <w:rsid w:val="00F26538"/>
    <w:rsid w:val="00F265CA"/>
    <w:rsid w:val="00F27090"/>
    <w:rsid w:val="00F27D4E"/>
    <w:rsid w:val="00F30442"/>
    <w:rsid w:val="00F31B30"/>
    <w:rsid w:val="00F32FA6"/>
    <w:rsid w:val="00F3455B"/>
    <w:rsid w:val="00F35395"/>
    <w:rsid w:val="00F3654B"/>
    <w:rsid w:val="00F36C3E"/>
    <w:rsid w:val="00F3736C"/>
    <w:rsid w:val="00F37503"/>
    <w:rsid w:val="00F421BD"/>
    <w:rsid w:val="00F42C66"/>
    <w:rsid w:val="00F431EE"/>
    <w:rsid w:val="00F43382"/>
    <w:rsid w:val="00F43598"/>
    <w:rsid w:val="00F43AE9"/>
    <w:rsid w:val="00F44490"/>
    <w:rsid w:val="00F45E78"/>
    <w:rsid w:val="00F46FF8"/>
    <w:rsid w:val="00F473A4"/>
    <w:rsid w:val="00F51C93"/>
    <w:rsid w:val="00F521C4"/>
    <w:rsid w:val="00F534B2"/>
    <w:rsid w:val="00F5366F"/>
    <w:rsid w:val="00F53AA5"/>
    <w:rsid w:val="00F54061"/>
    <w:rsid w:val="00F548F8"/>
    <w:rsid w:val="00F54BF7"/>
    <w:rsid w:val="00F54E78"/>
    <w:rsid w:val="00F55799"/>
    <w:rsid w:val="00F60BE1"/>
    <w:rsid w:val="00F6142B"/>
    <w:rsid w:val="00F626EC"/>
    <w:rsid w:val="00F62BCE"/>
    <w:rsid w:val="00F636B0"/>
    <w:rsid w:val="00F639B7"/>
    <w:rsid w:val="00F64CBE"/>
    <w:rsid w:val="00F66931"/>
    <w:rsid w:val="00F6762E"/>
    <w:rsid w:val="00F67C2F"/>
    <w:rsid w:val="00F7115E"/>
    <w:rsid w:val="00F72609"/>
    <w:rsid w:val="00F72CE2"/>
    <w:rsid w:val="00F73FC2"/>
    <w:rsid w:val="00F7535A"/>
    <w:rsid w:val="00F76684"/>
    <w:rsid w:val="00F77FE7"/>
    <w:rsid w:val="00F80D46"/>
    <w:rsid w:val="00F80FD6"/>
    <w:rsid w:val="00F8222F"/>
    <w:rsid w:val="00F82ADC"/>
    <w:rsid w:val="00F84115"/>
    <w:rsid w:val="00F854A4"/>
    <w:rsid w:val="00F8555C"/>
    <w:rsid w:val="00F85F09"/>
    <w:rsid w:val="00F8624A"/>
    <w:rsid w:val="00F86BED"/>
    <w:rsid w:val="00F86D52"/>
    <w:rsid w:val="00F9037F"/>
    <w:rsid w:val="00F919E8"/>
    <w:rsid w:val="00F923BD"/>
    <w:rsid w:val="00F9328B"/>
    <w:rsid w:val="00F96E15"/>
    <w:rsid w:val="00F97E83"/>
    <w:rsid w:val="00FA03AA"/>
    <w:rsid w:val="00FA1367"/>
    <w:rsid w:val="00FA2EA6"/>
    <w:rsid w:val="00FA320F"/>
    <w:rsid w:val="00FA4088"/>
    <w:rsid w:val="00FA4314"/>
    <w:rsid w:val="00FA4454"/>
    <w:rsid w:val="00FA50A8"/>
    <w:rsid w:val="00FA68B0"/>
    <w:rsid w:val="00FB1F87"/>
    <w:rsid w:val="00FB26D0"/>
    <w:rsid w:val="00FB294B"/>
    <w:rsid w:val="00FB31BC"/>
    <w:rsid w:val="00FB32E6"/>
    <w:rsid w:val="00FB38A4"/>
    <w:rsid w:val="00FB496D"/>
    <w:rsid w:val="00FB7C7C"/>
    <w:rsid w:val="00FC036D"/>
    <w:rsid w:val="00FC14C8"/>
    <w:rsid w:val="00FC1526"/>
    <w:rsid w:val="00FC169D"/>
    <w:rsid w:val="00FC1FEC"/>
    <w:rsid w:val="00FC2189"/>
    <w:rsid w:val="00FC21D9"/>
    <w:rsid w:val="00FC3934"/>
    <w:rsid w:val="00FC5A3E"/>
    <w:rsid w:val="00FC5A9B"/>
    <w:rsid w:val="00FC7206"/>
    <w:rsid w:val="00FC7531"/>
    <w:rsid w:val="00FC75DC"/>
    <w:rsid w:val="00FC7A92"/>
    <w:rsid w:val="00FD0B26"/>
    <w:rsid w:val="00FD1E9E"/>
    <w:rsid w:val="00FD32A6"/>
    <w:rsid w:val="00FD3C78"/>
    <w:rsid w:val="00FD45C3"/>
    <w:rsid w:val="00FD5471"/>
    <w:rsid w:val="00FD57D0"/>
    <w:rsid w:val="00FD5C48"/>
    <w:rsid w:val="00FD5F98"/>
    <w:rsid w:val="00FD71D6"/>
    <w:rsid w:val="00FE0007"/>
    <w:rsid w:val="00FE0196"/>
    <w:rsid w:val="00FE0A6C"/>
    <w:rsid w:val="00FE0AED"/>
    <w:rsid w:val="00FE1096"/>
    <w:rsid w:val="00FE1930"/>
    <w:rsid w:val="00FE2C7B"/>
    <w:rsid w:val="00FE2EDE"/>
    <w:rsid w:val="00FE4B14"/>
    <w:rsid w:val="00FE4EAE"/>
    <w:rsid w:val="00FE5E1A"/>
    <w:rsid w:val="00FE666E"/>
    <w:rsid w:val="00FE6B48"/>
    <w:rsid w:val="00FE7480"/>
    <w:rsid w:val="00FF0DD8"/>
    <w:rsid w:val="00FF22C6"/>
    <w:rsid w:val="00FF23D3"/>
    <w:rsid w:val="00FF2958"/>
    <w:rsid w:val="00FF3945"/>
    <w:rsid w:val="00FF4C53"/>
    <w:rsid w:val="00FF4D16"/>
    <w:rsid w:val="00FF5227"/>
    <w:rsid w:val="00FF5662"/>
    <w:rsid w:val="00FF5B17"/>
    <w:rsid w:val="00FF5FD2"/>
    <w:rsid w:val="00FF7EEC"/>
    <w:rsid w:val="01041BA8"/>
    <w:rsid w:val="013664FD"/>
    <w:rsid w:val="01476ECC"/>
    <w:rsid w:val="017C715F"/>
    <w:rsid w:val="01843EBF"/>
    <w:rsid w:val="018600FB"/>
    <w:rsid w:val="01B6B361"/>
    <w:rsid w:val="01FB5A89"/>
    <w:rsid w:val="02D8E97A"/>
    <w:rsid w:val="03496E32"/>
    <w:rsid w:val="0400F343"/>
    <w:rsid w:val="041830E7"/>
    <w:rsid w:val="0510040B"/>
    <w:rsid w:val="051966D2"/>
    <w:rsid w:val="0570DC35"/>
    <w:rsid w:val="05C6C841"/>
    <w:rsid w:val="063EF1C3"/>
    <w:rsid w:val="0658D4D1"/>
    <w:rsid w:val="0665F8C7"/>
    <w:rsid w:val="06AFE690"/>
    <w:rsid w:val="07232B00"/>
    <w:rsid w:val="07798A2D"/>
    <w:rsid w:val="08AD7EF2"/>
    <w:rsid w:val="08F168AA"/>
    <w:rsid w:val="094558BE"/>
    <w:rsid w:val="0A637EC5"/>
    <w:rsid w:val="0B2AFD17"/>
    <w:rsid w:val="0B53B362"/>
    <w:rsid w:val="0C3429D3"/>
    <w:rsid w:val="0CE52D38"/>
    <w:rsid w:val="0CEE3720"/>
    <w:rsid w:val="0D987CDC"/>
    <w:rsid w:val="0DC33DEC"/>
    <w:rsid w:val="0F36D2EA"/>
    <w:rsid w:val="10F8AD96"/>
    <w:rsid w:val="10FC4351"/>
    <w:rsid w:val="11A59AD9"/>
    <w:rsid w:val="123C4DA6"/>
    <w:rsid w:val="12745F3B"/>
    <w:rsid w:val="12AF4E66"/>
    <w:rsid w:val="15453A29"/>
    <w:rsid w:val="165E98E4"/>
    <w:rsid w:val="16778B75"/>
    <w:rsid w:val="168B0020"/>
    <w:rsid w:val="176DA232"/>
    <w:rsid w:val="181DA353"/>
    <w:rsid w:val="18314E13"/>
    <w:rsid w:val="1840E4D7"/>
    <w:rsid w:val="1953FEF5"/>
    <w:rsid w:val="196A7BEE"/>
    <w:rsid w:val="196D73D0"/>
    <w:rsid w:val="1977C499"/>
    <w:rsid w:val="19A62560"/>
    <w:rsid w:val="1A1B46D8"/>
    <w:rsid w:val="1B033E51"/>
    <w:rsid w:val="1B5D3C18"/>
    <w:rsid w:val="1B6BCD8E"/>
    <w:rsid w:val="1BD69284"/>
    <w:rsid w:val="1C89B1B1"/>
    <w:rsid w:val="1D45394A"/>
    <w:rsid w:val="1E2C34AE"/>
    <w:rsid w:val="1E767416"/>
    <w:rsid w:val="1EB2F621"/>
    <w:rsid w:val="1EC5517B"/>
    <w:rsid w:val="1EFC4732"/>
    <w:rsid w:val="1FD9A8C1"/>
    <w:rsid w:val="211EEBC7"/>
    <w:rsid w:val="226CC117"/>
    <w:rsid w:val="236E9C46"/>
    <w:rsid w:val="238DAA94"/>
    <w:rsid w:val="244C70A7"/>
    <w:rsid w:val="24732A85"/>
    <w:rsid w:val="25010674"/>
    <w:rsid w:val="251370F6"/>
    <w:rsid w:val="25FA5349"/>
    <w:rsid w:val="26FD7E4D"/>
    <w:rsid w:val="2727D837"/>
    <w:rsid w:val="27399995"/>
    <w:rsid w:val="27C4768E"/>
    <w:rsid w:val="28F8056A"/>
    <w:rsid w:val="2AB16244"/>
    <w:rsid w:val="2B0A75A9"/>
    <w:rsid w:val="2B32DC20"/>
    <w:rsid w:val="2B90F93A"/>
    <w:rsid w:val="2BC63A8B"/>
    <w:rsid w:val="2D4986BA"/>
    <w:rsid w:val="2D7A4324"/>
    <w:rsid w:val="2E4E35F4"/>
    <w:rsid w:val="2EC50717"/>
    <w:rsid w:val="2F0D2346"/>
    <w:rsid w:val="2F75A6A4"/>
    <w:rsid w:val="2FEB2AAC"/>
    <w:rsid w:val="31527C8F"/>
    <w:rsid w:val="31A84C32"/>
    <w:rsid w:val="31C19C7E"/>
    <w:rsid w:val="3253FFD9"/>
    <w:rsid w:val="3274A566"/>
    <w:rsid w:val="337C2CEC"/>
    <w:rsid w:val="338AAD06"/>
    <w:rsid w:val="340A6FE3"/>
    <w:rsid w:val="34BB8A9D"/>
    <w:rsid w:val="34FD72F7"/>
    <w:rsid w:val="3538B289"/>
    <w:rsid w:val="35A5A598"/>
    <w:rsid w:val="35C22121"/>
    <w:rsid w:val="367C69BC"/>
    <w:rsid w:val="36C52321"/>
    <w:rsid w:val="3778A99E"/>
    <w:rsid w:val="39338255"/>
    <w:rsid w:val="39804556"/>
    <w:rsid w:val="3985E960"/>
    <w:rsid w:val="3A0830E4"/>
    <w:rsid w:val="3A4DEF20"/>
    <w:rsid w:val="3AB40827"/>
    <w:rsid w:val="3ACA9C39"/>
    <w:rsid w:val="3BB19ADF"/>
    <w:rsid w:val="3BCD66BA"/>
    <w:rsid w:val="3BEC80FD"/>
    <w:rsid w:val="3C04E11E"/>
    <w:rsid w:val="3CF6373E"/>
    <w:rsid w:val="3CFDD470"/>
    <w:rsid w:val="3D1049C1"/>
    <w:rsid w:val="3D5F3462"/>
    <w:rsid w:val="3DE83DD2"/>
    <w:rsid w:val="3EEA4BA1"/>
    <w:rsid w:val="3EEF3218"/>
    <w:rsid w:val="3F76C90C"/>
    <w:rsid w:val="3F7D6906"/>
    <w:rsid w:val="3FC889AD"/>
    <w:rsid w:val="3FE76802"/>
    <w:rsid w:val="3FF01D48"/>
    <w:rsid w:val="4029E072"/>
    <w:rsid w:val="4078E08D"/>
    <w:rsid w:val="416E7AA8"/>
    <w:rsid w:val="42053774"/>
    <w:rsid w:val="42097D3C"/>
    <w:rsid w:val="42A32C4C"/>
    <w:rsid w:val="434C0387"/>
    <w:rsid w:val="43528487"/>
    <w:rsid w:val="4363BBC0"/>
    <w:rsid w:val="43764EED"/>
    <w:rsid w:val="43C66736"/>
    <w:rsid w:val="43DDAB00"/>
    <w:rsid w:val="44B46185"/>
    <w:rsid w:val="44C8A53D"/>
    <w:rsid w:val="453B1B9A"/>
    <w:rsid w:val="457BD6BC"/>
    <w:rsid w:val="465C32BA"/>
    <w:rsid w:val="466471A4"/>
    <w:rsid w:val="468CDC35"/>
    <w:rsid w:val="46E360CE"/>
    <w:rsid w:val="46EC6207"/>
    <w:rsid w:val="47133975"/>
    <w:rsid w:val="489A1B8D"/>
    <w:rsid w:val="48DCA27D"/>
    <w:rsid w:val="491BF6FC"/>
    <w:rsid w:val="4A147A66"/>
    <w:rsid w:val="4A29DC84"/>
    <w:rsid w:val="4B8EF7B2"/>
    <w:rsid w:val="4BC90BA5"/>
    <w:rsid w:val="4BE763D5"/>
    <w:rsid w:val="4C5B722A"/>
    <w:rsid w:val="4CB449D2"/>
    <w:rsid w:val="4CFCAC32"/>
    <w:rsid w:val="4D0AD28F"/>
    <w:rsid w:val="4D17697B"/>
    <w:rsid w:val="4EC1BA21"/>
    <w:rsid w:val="4F5D125E"/>
    <w:rsid w:val="4F695081"/>
    <w:rsid w:val="4FDEA7DC"/>
    <w:rsid w:val="502A4150"/>
    <w:rsid w:val="502C306E"/>
    <w:rsid w:val="505CF092"/>
    <w:rsid w:val="506D2E64"/>
    <w:rsid w:val="524EE862"/>
    <w:rsid w:val="532A924F"/>
    <w:rsid w:val="533F89E0"/>
    <w:rsid w:val="5340275B"/>
    <w:rsid w:val="53F479AC"/>
    <w:rsid w:val="542AC687"/>
    <w:rsid w:val="54769736"/>
    <w:rsid w:val="550F35A6"/>
    <w:rsid w:val="5523BD46"/>
    <w:rsid w:val="557E1693"/>
    <w:rsid w:val="559EADAC"/>
    <w:rsid w:val="56350C03"/>
    <w:rsid w:val="56DF6A51"/>
    <w:rsid w:val="570FF405"/>
    <w:rsid w:val="57D75EEE"/>
    <w:rsid w:val="57FD26C6"/>
    <w:rsid w:val="5893DD7B"/>
    <w:rsid w:val="5AC9F8CC"/>
    <w:rsid w:val="5CEDBEDC"/>
    <w:rsid w:val="5DB608F2"/>
    <w:rsid w:val="5E42F749"/>
    <w:rsid w:val="5E6FD156"/>
    <w:rsid w:val="5E8C0F91"/>
    <w:rsid w:val="5ED8F864"/>
    <w:rsid w:val="5F343A41"/>
    <w:rsid w:val="5F51105B"/>
    <w:rsid w:val="5F62D690"/>
    <w:rsid w:val="6007E779"/>
    <w:rsid w:val="62AC11B5"/>
    <w:rsid w:val="639627FB"/>
    <w:rsid w:val="6396DB49"/>
    <w:rsid w:val="63A88D87"/>
    <w:rsid w:val="63E31F89"/>
    <w:rsid w:val="64B8D196"/>
    <w:rsid w:val="64CEA578"/>
    <w:rsid w:val="651541F9"/>
    <w:rsid w:val="6542443F"/>
    <w:rsid w:val="658A94B8"/>
    <w:rsid w:val="664F8171"/>
    <w:rsid w:val="66FB8BC5"/>
    <w:rsid w:val="6729EA1C"/>
    <w:rsid w:val="67D72F26"/>
    <w:rsid w:val="68202783"/>
    <w:rsid w:val="6873531C"/>
    <w:rsid w:val="688E7C7B"/>
    <w:rsid w:val="68E8D97C"/>
    <w:rsid w:val="68E933B1"/>
    <w:rsid w:val="698C7ED5"/>
    <w:rsid w:val="69EE2F37"/>
    <w:rsid w:val="6A278537"/>
    <w:rsid w:val="6A68E0A0"/>
    <w:rsid w:val="6B195B52"/>
    <w:rsid w:val="6BD05A67"/>
    <w:rsid w:val="6C0ADE60"/>
    <w:rsid w:val="6C75CDE2"/>
    <w:rsid w:val="6CB13D31"/>
    <w:rsid w:val="6D4F822B"/>
    <w:rsid w:val="6DB8F2C0"/>
    <w:rsid w:val="6DEC9B13"/>
    <w:rsid w:val="6E589DF2"/>
    <w:rsid w:val="6E5A7A0D"/>
    <w:rsid w:val="6E897F5E"/>
    <w:rsid w:val="6E92FDEC"/>
    <w:rsid w:val="6EA5A833"/>
    <w:rsid w:val="6F4847A5"/>
    <w:rsid w:val="6FF13A72"/>
    <w:rsid w:val="6FF8CB01"/>
    <w:rsid w:val="709AFDAE"/>
    <w:rsid w:val="70D1B744"/>
    <w:rsid w:val="70D51D47"/>
    <w:rsid w:val="7157DA86"/>
    <w:rsid w:val="719FD2F3"/>
    <w:rsid w:val="725FB529"/>
    <w:rsid w:val="726203C5"/>
    <w:rsid w:val="728681BD"/>
    <w:rsid w:val="72A1F37D"/>
    <w:rsid w:val="72C4EC1A"/>
    <w:rsid w:val="73060A5B"/>
    <w:rsid w:val="73C9035F"/>
    <w:rsid w:val="74157286"/>
    <w:rsid w:val="744023DA"/>
    <w:rsid w:val="74E12022"/>
    <w:rsid w:val="74F534C2"/>
    <w:rsid w:val="752D847A"/>
    <w:rsid w:val="7635AAA7"/>
    <w:rsid w:val="76ACB307"/>
    <w:rsid w:val="77DDB6A1"/>
    <w:rsid w:val="77F5BAE1"/>
    <w:rsid w:val="78056CF0"/>
    <w:rsid w:val="782B557C"/>
    <w:rsid w:val="784B3BBC"/>
    <w:rsid w:val="7891932A"/>
    <w:rsid w:val="79203650"/>
    <w:rsid w:val="7A20338C"/>
    <w:rsid w:val="7A34AC01"/>
    <w:rsid w:val="7A41DF40"/>
    <w:rsid w:val="7ACF8688"/>
    <w:rsid w:val="7AFFD5D0"/>
    <w:rsid w:val="7B2A6C1D"/>
    <w:rsid w:val="7B50A329"/>
    <w:rsid w:val="7C092FAA"/>
    <w:rsid w:val="7C981833"/>
    <w:rsid w:val="7CF4A1E3"/>
    <w:rsid w:val="7D487F43"/>
    <w:rsid w:val="7E217DA6"/>
    <w:rsid w:val="7EA1D23C"/>
    <w:rsid w:val="7EDB04EB"/>
    <w:rsid w:val="7F3F5C5F"/>
    <w:rsid w:val="7FC320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6E405C6A-BD8B-49D7-B0D5-CA21A33ABA2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7B"/>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iPriority w:val="99"/>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uiPriority w:val="99"/>
    <w:semiHidden/>
    <w:unhideWhenUsed/>
    <w:rsid w:val="00473945"/>
    <w:rPr>
      <w:sz w:val="16"/>
      <w:szCs w:val="16"/>
    </w:rPr>
  </w:style>
  <w:style w:type="paragraph" w:styleId="CommentText">
    <w:name w:val="annotation text"/>
    <w:basedOn w:val="Normal"/>
    <w:link w:val="CommentTextChar"/>
    <w:uiPriority w:val="99"/>
    <w:unhideWhenUsed/>
    <w:rsid w:val="00473945"/>
    <w:pPr>
      <w:spacing w:line="240" w:lineRule="auto"/>
    </w:pPr>
    <w:rPr>
      <w:sz w:val="20"/>
      <w:szCs w:val="20"/>
    </w:rPr>
  </w:style>
  <w:style w:type="character" w:customStyle="1" w:styleId="CommentTextChar">
    <w:name w:val="Comment Text Char"/>
    <w:basedOn w:val="DefaultParagraphFont"/>
    <w:link w:val="CommentText"/>
    <w:uiPriority w:val="99"/>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paragraph" w:styleId="FootnoteText">
    <w:name w:val="footnote text"/>
    <w:basedOn w:val="Normal"/>
    <w:link w:val="FootnoteTextChar"/>
    <w:uiPriority w:val="99"/>
    <w:unhideWhenUsed/>
    <w:rsid w:val="00551951"/>
    <w:pPr>
      <w:spacing w:after="0" w:line="240" w:lineRule="auto"/>
    </w:pPr>
    <w:rPr>
      <w:sz w:val="20"/>
      <w:szCs w:val="20"/>
    </w:rPr>
  </w:style>
  <w:style w:type="character" w:customStyle="1" w:styleId="FootnoteTextChar">
    <w:name w:val="Footnote Text Char"/>
    <w:basedOn w:val="DefaultParagraphFont"/>
    <w:link w:val="FootnoteText"/>
    <w:uiPriority w:val="99"/>
    <w:rsid w:val="00551951"/>
    <w:rPr>
      <w:sz w:val="20"/>
      <w:szCs w:val="20"/>
    </w:rPr>
  </w:style>
  <w:style w:type="character" w:styleId="FootnoteReference">
    <w:name w:val="footnote reference"/>
    <w:basedOn w:val="DefaultParagraphFont"/>
    <w:uiPriority w:val="99"/>
    <w:semiHidden/>
    <w:unhideWhenUsed/>
    <w:rsid w:val="00551951"/>
    <w:rPr>
      <w:vertAlign w:val="superscript"/>
    </w:rPr>
  </w:style>
  <w:style w:type="paragraph" w:customStyle="1" w:styleId="Default">
    <w:name w:val="Default"/>
    <w:rsid w:val="006F364D"/>
    <w:pPr>
      <w:autoSpaceDE w:val="0"/>
      <w:autoSpaceDN w:val="0"/>
      <w:adjustRightInd w:val="0"/>
      <w:spacing w:after="0" w:line="240" w:lineRule="auto"/>
    </w:pPr>
    <w:rPr>
      <w:rFonts w:ascii="Calibri" w:hAnsi="Calibri" w:cs="Calibri"/>
      <w:color w:val="000000"/>
      <w:kern w:val="0"/>
      <w14:ligatures w14:val="none"/>
    </w:rPr>
  </w:style>
  <w:style w:type="table" w:styleId="TableGrid">
    <w:name w:val="Table Grid"/>
    <w:basedOn w:val="TableNormal"/>
    <w:uiPriority w:val="1"/>
    <w:rsid w:val="002755F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0D94"/>
  </w:style>
  <w:style w:type="paragraph" w:customStyle="1" w:styleId="paragraph">
    <w:name w:val="paragraph"/>
    <w:basedOn w:val="Normal"/>
    <w:rsid w:val="00750D9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BookTitle">
    <w:name w:val="Book Title"/>
    <w:basedOn w:val="DefaultParagraphFont"/>
    <w:uiPriority w:val="33"/>
    <w:qFormat/>
    <w:rsid w:val="00750D94"/>
    <w:rPr>
      <w:b/>
      <w:bCs/>
      <w:i/>
      <w:iCs/>
      <w:spacing w:val="5"/>
    </w:rPr>
  </w:style>
  <w:style w:type="paragraph" w:styleId="Revision">
    <w:name w:val="Revision"/>
    <w:hidden/>
    <w:uiPriority w:val="99"/>
    <w:semiHidden/>
    <w:rsid w:val="00383458"/>
    <w:pPr>
      <w:spacing w:after="0" w:line="240" w:lineRule="auto"/>
    </w:pPr>
  </w:style>
  <w:style w:type="character" w:styleId="UnresolvedMention">
    <w:name w:val="Unresolved Mention"/>
    <w:basedOn w:val="DefaultParagraphFont"/>
    <w:uiPriority w:val="99"/>
    <w:semiHidden/>
    <w:unhideWhenUsed/>
    <w:rsid w:val="00730680"/>
    <w:rPr>
      <w:color w:val="605E5C"/>
      <w:shd w:val="clear" w:color="auto" w:fill="E1DFDD"/>
    </w:rPr>
  </w:style>
  <w:style w:type="character" w:styleId="Mention">
    <w:name w:val="Mention"/>
    <w:basedOn w:val="DefaultParagraphFont"/>
    <w:uiPriority w:val="99"/>
    <w:unhideWhenUsed/>
    <w:rsid w:val="007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 w:id="10400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ia.gov/todayinenergy/detail.php?id=64184" TargetMode="External"/><Relationship Id="rId1" Type="http://schemas.openxmlformats.org/officeDocument/2006/relationships/hyperlink" Target="https://www.eia.gov/tools/faqs/faq.php?id=45&amp;t=8" TargetMode="External"/></Relationships>
</file>

<file path=word/documenttasks/documenttasks1.xml><?xml version="1.0" encoding="utf-8"?>
<t:Tasks xmlns:t="http://schemas.microsoft.com/office/tasks/2019/documenttasks" xmlns:oel="http://schemas.microsoft.com/office/2019/extlst">
  <t:Task id="{51616530-2E14-40A2-BDE8-49141DB31356}">
    <t:Anchor>
      <t:Comment id="1441866024"/>
    </t:Anchor>
    <t:History>
      <t:Event id="{5D717D93-4F5D-4A6F-A7A5-A0D8F4F78044}" time="2025-07-01T16:39:27.188Z">
        <t:Attribution userId="S::Renee.Guild@cpuc.ca.gov::da9397f1-4b5a-4a3c-a0a6-ec96e48391cf" userProvider="AD" userName="Guild, Renee"/>
        <t:Anchor>
          <t:Comment id="1477566078"/>
        </t:Anchor>
        <t:Create/>
      </t:Event>
      <t:Event id="{048CC04E-EC58-4E6E-9061-272864F82BCF}" time="2025-07-01T16:39:27.188Z">
        <t:Attribution userId="S::Renee.Guild@cpuc.ca.gov::da9397f1-4b5a-4a3c-a0a6-ec96e48391cf" userProvider="AD" userName="Guild, Renee"/>
        <t:Anchor>
          <t:Comment id="1477566078"/>
        </t:Anchor>
        <t:Assign userId="S::Galen.Lemei@cpuc.ca.gov::1e7a6190-a5f5-43b2-bebe-9957559fe0e6" userProvider="AD" userName="Lemei, Galen"/>
      </t:Event>
      <t:Event id="{A7FA195B-978F-4D09-A3A9-E22ED46C6E40}" time="2025-07-01T16:39:27.188Z">
        <t:Attribution userId="S::Renee.Guild@cpuc.ca.gov::da9397f1-4b5a-4a3c-a0a6-ec96e48391cf" userProvider="AD" userName="Guild, Renee"/>
        <t:Anchor>
          <t:Comment id="1477566078"/>
        </t:Anchor>
        <t:SetTitle title="@Lemei, Galen "/>
      </t:Event>
      <t:Event id="{732E0777-1B01-4C56-ADD0-12DC51B72606}" time="2025-07-01T18:52:41.715Z">
        <t:Attribution userId="S::Renee.Guild@cpuc.ca.gov::da9397f1-4b5a-4a3c-a0a6-ec96e48391cf" userProvider="AD" userName="Guild, Renee"/>
        <t:Progress percentComplete="100"/>
      </t:Event>
    </t:History>
  </t:Task>
  <t:Task id="{6A857FFF-FFCB-4AA9-B703-DA9FD38FE1BB}">
    <t:Anchor>
      <t:Comment id="27441105"/>
    </t:Anchor>
    <t:History>
      <t:Event id="{883D252E-AB6D-4A70-AFEE-CAF198038861}" time="2025-07-01T16:40:13.757Z">
        <t:Attribution userId="S::Renee.Guild@cpuc.ca.gov::da9397f1-4b5a-4a3c-a0a6-ec96e48391cf" userProvider="AD" userName="Guild, Renee"/>
        <t:Anchor>
          <t:Comment id="1039327060"/>
        </t:Anchor>
        <t:Create/>
      </t:Event>
      <t:Event id="{9787D15C-79B8-49A6-8F37-FD47EAF45817}" time="2025-07-01T16:40:13.757Z">
        <t:Attribution userId="S::Renee.Guild@cpuc.ca.gov::da9397f1-4b5a-4a3c-a0a6-ec96e48391cf" userProvider="AD" userName="Guild, Renee"/>
        <t:Anchor>
          <t:Comment id="1039327060"/>
        </t:Anchor>
        <t:Assign userId="S::Galen.Lemei@cpuc.ca.gov::1e7a6190-a5f5-43b2-bebe-9957559fe0e6" userProvider="AD" userName="Lemei, Galen"/>
      </t:Event>
      <t:Event id="{B7EEA62E-6DA7-4D37-9446-05E0C556C7EA}" time="2025-07-01T16:40:13.757Z">
        <t:Attribution userId="S::Renee.Guild@cpuc.ca.gov::da9397f1-4b5a-4a3c-a0a6-ec96e48391cf" userProvider="AD" userName="Guild, Renee"/>
        <t:Anchor>
          <t:Comment id="1039327060"/>
        </t:Anchor>
        <t:SetTitle title="@Lemei, Galen Is this resolved?"/>
      </t:Event>
      <t:Event id="{12C348C0-B52F-4552-AD3E-0F48AF26D11A}" time="2025-07-01T18:53:04.203Z">
        <t:Attribution userId="S::Renee.Guild@cpuc.ca.gov::da9397f1-4b5a-4a3c-a0a6-ec96e48391cf" userProvider="AD" userName="Guild, Renee"/>
        <t:Progress percentComplete="100"/>
      </t:Event>
    </t:History>
  </t:Task>
  <t:Task id="{4C56D182-9A52-4FCF-BFD7-153B81F15D4E}">
    <t:Anchor>
      <t:Comment id="545250850"/>
    </t:Anchor>
    <t:History>
      <t:Event id="{99AFF76E-0107-4280-9FC9-84D3F58CD284}" time="2025-07-01T17:44:37.223Z">
        <t:Attribution userId="S::renee.guild@cpuc.ca.gov::da9397f1-4b5a-4a3c-a0a6-ec96e48391cf" userProvider="AD" userName="Guild, Renee"/>
        <t:Anchor>
          <t:Comment id="997090577"/>
        </t:Anchor>
        <t:Create/>
      </t:Event>
      <t:Event id="{8BB8101D-FE85-4106-B9FB-4EE1B2F9113A}" time="2025-07-01T17:44:37.223Z">
        <t:Attribution userId="S::renee.guild@cpuc.ca.gov::da9397f1-4b5a-4a3c-a0a6-ec96e48391cf" userProvider="AD" userName="Guild, Renee"/>
        <t:Anchor>
          <t:Comment id="997090577"/>
        </t:Anchor>
        <t:Assign userId="S::fred.hanes@cpuc.ca.gov::b00feec7-91bf-4c79-83ce-67350cc02427" userProvider="AD" userName="Hanes, Fred"/>
      </t:Event>
      <t:Event id="{0F4FE700-55E4-49ED-9977-3734205A847B}" time="2025-07-01T17:44:37.223Z">
        <t:Attribution userId="S::renee.guild@cpuc.ca.gov::da9397f1-4b5a-4a3c-a0a6-ec96e48391cf" userProvider="AD" userName="Guild, Renee"/>
        <t:Anchor>
          <t:Comment id="997090577"/>
        </t:Anchor>
        <t:SetTitle title="@Hanes, Fred Is this resolved?"/>
      </t:Event>
      <t:Event id="{4656C02A-735C-40C4-A57D-183C2CA764DC}" time="2025-07-01T21:30:23.953Z">
        <t:Attribution userId="S::Renee.Guild@cpuc.ca.gov::da9397f1-4b5a-4a3c-a0a6-ec96e48391cf" userProvider="AD" userName="Guild, Rene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94eb0b-0742-491f-921b-4c8fe009313f" xsi:nil="true"/>
    <lcf76f155ced4ddcb4097134ff3c332f xmlns="b2d2777c-a1f1-404e-80d5-4b6b735f5353">
      <Terms xmlns="http://schemas.microsoft.com/office/infopath/2007/PartnerControls"/>
    </lcf76f155ced4ddcb4097134ff3c332f>
    <OtherDivisionLeads xmlns="b2d2777c-a1f1-404e-80d5-4b6b735f5353">
      <UserInfo>
        <DisplayName/>
        <AccountId xsi:nil="true"/>
        <AccountType/>
      </UserInfo>
    </OtherDivisionLeads>
    <BCPLead_x0028_s_x0029_ xmlns="b2d2777c-a1f1-404e-80d5-4b6b735f5353">
      <UserInfo>
        <DisplayName/>
        <AccountId xsi:nil="true"/>
        <AccountType/>
      </UserInfo>
    </BCPLead_x0028_s_x0029_>
    <Positions xmlns="b2d2777c-a1f1-404e-80d5-4b6b735f5353" xsi:nil="true"/>
    <BCPName xmlns="b2d2777c-a1f1-404e-80d5-4b6b735f5353" xsi:nil="true"/>
    <DateSignedbyGovernor xmlns="b2d2777c-a1f1-404e-80d5-4b6b735f5353" xsi:nil="true"/>
    <Link xmlns="b2d2777c-a1f1-404e-80d5-4b6b735f5353">
      <Url xsi:nil="true"/>
      <Description xsi:nil="true"/>
    </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23" ma:contentTypeDescription="Create a new document." ma:contentTypeScope="" ma:versionID="a5562ebecc481c493f2640d6686b12cc">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a2c692c175dc4a9c562771b57dfd4237"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BCPLead_x0028_s_x0029_" minOccurs="0"/>
                <xsd:element ref="ns2:BCPName" minOccurs="0"/>
                <xsd:element ref="ns2:Positions" minOccurs="0"/>
                <xsd:element ref="ns2:OtherDivisionLeads" minOccurs="0"/>
                <xsd:element ref="ns2:DateSignedbyGovernor" minOccurs="0"/>
                <xsd:element ref="ns2:lcf76f155ced4ddcb4097134ff3c332f" minOccurs="0"/>
                <xsd:element ref="ns3:TaxCatchAll" minOccurs="0"/>
                <xsd:element ref="ns2:MediaServiceSearchProperties" minOccurs="0"/>
                <xsd:element ref="ns2:MediaServiceBillingMetadata"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BCPLead_x0028_s_x0029_" ma:index="19" nillable="true" ma:displayName="ED Lead" ma:description="Energy Division lead for BCP" ma:format="Dropdown" ma:list="UserInfo" ma:SharePointGroup="0" ma:internalName="BCPLead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CPName" ma:index="20" nillable="true" ma:displayName="BCP Name" ma:format="Dropdown" ma:internalName="BCPName">
      <xsd:simpleType>
        <xsd:restriction base="dms:Text">
          <xsd:maxLength value="255"/>
        </xsd:restriction>
      </xsd:simpleType>
    </xsd:element>
    <xsd:element name="Positions" ma:index="21" nillable="true" ma:displayName="Positions" ma:format="Dropdown" ma:internalName="Positions">
      <xsd:simpleType>
        <xsd:restriction base="dms:Note">
          <xsd:maxLength value="255"/>
        </xsd:restriction>
      </xsd:simpleType>
    </xsd:element>
    <xsd:element name="OtherDivisionLeads" ma:index="22" nillable="true" ma:displayName="Other Lead(s)" ma:format="Dropdown" ma:list="UserInfo" ma:SharePointGroup="0" ma:internalName="OtherDivisionLead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SignedbyGovernor" ma:index="23" nillable="true" ma:displayName="Date Signed by Governor" ma:format="DateTime" ma:internalName="DateSignedbyGovernor">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86ee5c-bc1d-4224-b12b-34228e56b313}" ma:internalName="TaxCatchAll" ma:showField="CatchAllData" ma:web="5294eb0b-0742-491f-921b-4c8fe0093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4B3C5-E223-4BBA-ABB3-0E5CEDF36E4A}">
  <ds:schemaRefs>
    <ds:schemaRef ds:uri="http://schemas.openxmlformats.org/officeDocument/2006/bibliography"/>
  </ds:schemaRefs>
</ds:datastoreItem>
</file>

<file path=customXml/itemProps2.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3.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5294eb0b-0742-491f-921b-4c8fe009313f"/>
    <ds:schemaRef ds:uri="b2d2777c-a1f1-404e-80d5-4b6b735f5353"/>
  </ds:schemaRefs>
</ds:datastoreItem>
</file>

<file path=customXml/itemProps4.xml><?xml version="1.0" encoding="utf-8"?>
<ds:datastoreItem xmlns:ds="http://schemas.openxmlformats.org/officeDocument/2006/customXml" ds:itemID="{C863C4B0-A340-448D-B71C-4F8989902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5259</ap:Words>
  <ap:Characters>29979</ap:Characters>
  <ap:Application>Microsoft Office Word</ap:Application>
  <ap:DocSecurity>0</ap:DocSecurity>
  <ap:Lines>249</ap:Lines>
  <ap:Paragraphs>70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35168</ap:CharactersWithSpaces>
  <ap:SharedDoc>false</ap:SharedDoc>
  <ap:HLinks>
    <vt:vector baseType="variant" size="48">
      <vt:variant>
        <vt:i4>1114191</vt:i4>
      </vt:variant>
      <vt:variant>
        <vt:i4>3</vt:i4>
      </vt:variant>
      <vt:variant>
        <vt:i4>0</vt:i4>
      </vt:variant>
      <vt:variant>
        <vt:i4>5</vt:i4>
      </vt:variant>
      <vt:variant>
        <vt:lpwstr>https://www.eia.gov/todayinenergy/detail.php?id=64184</vt:lpwstr>
      </vt:variant>
      <vt:variant>
        <vt:lpwstr>:~:text=In%202024%2C%20the%20U.S.%20benchmark%20Henry%20Hub%20natural,average%20annual%20price%20in%20inflation-adjusted%20dollars%20ever%20reported.</vt:lpwstr>
      </vt:variant>
      <vt:variant>
        <vt:i4>4915286</vt:i4>
      </vt:variant>
      <vt:variant>
        <vt:i4>0</vt:i4>
      </vt:variant>
      <vt:variant>
        <vt:i4>0</vt:i4>
      </vt:variant>
      <vt:variant>
        <vt:i4>5</vt:i4>
      </vt:variant>
      <vt:variant>
        <vt:lpwstr>https://www.eia.gov/tools/faqs/faq.php?id=45&amp;t=8</vt:lpwstr>
      </vt:variant>
      <vt:variant>
        <vt:lpwstr/>
      </vt:variant>
      <vt:variant>
        <vt:i4>3735564</vt:i4>
      </vt:variant>
      <vt:variant>
        <vt:i4>15</vt:i4>
      </vt:variant>
      <vt:variant>
        <vt:i4>0</vt:i4>
      </vt:variant>
      <vt:variant>
        <vt:i4>5</vt:i4>
      </vt:variant>
      <vt:variant>
        <vt:lpwstr>mailto:Renee.Guild@cpuc.ca.gov</vt:lpwstr>
      </vt:variant>
      <vt:variant>
        <vt:lpwstr/>
      </vt:variant>
      <vt:variant>
        <vt:i4>3801111</vt:i4>
      </vt:variant>
      <vt:variant>
        <vt:i4>12</vt:i4>
      </vt:variant>
      <vt:variant>
        <vt:i4>0</vt:i4>
      </vt:variant>
      <vt:variant>
        <vt:i4>5</vt:i4>
      </vt:variant>
      <vt:variant>
        <vt:lpwstr>mailto:fred.hanes@cpuc.ca.gov</vt:lpwstr>
      </vt:variant>
      <vt:variant>
        <vt:lpwstr/>
      </vt:variant>
      <vt:variant>
        <vt:i4>3735564</vt:i4>
      </vt:variant>
      <vt:variant>
        <vt:i4>9</vt:i4>
      </vt:variant>
      <vt:variant>
        <vt:i4>0</vt:i4>
      </vt:variant>
      <vt:variant>
        <vt:i4>5</vt:i4>
      </vt:variant>
      <vt:variant>
        <vt:lpwstr>mailto:Renee.Guild@cpuc.ca.gov</vt:lpwstr>
      </vt:variant>
      <vt:variant>
        <vt:lpwstr/>
      </vt:variant>
      <vt:variant>
        <vt:i4>4522105</vt:i4>
      </vt:variant>
      <vt:variant>
        <vt:i4>6</vt:i4>
      </vt:variant>
      <vt:variant>
        <vt:i4>0</vt:i4>
      </vt:variant>
      <vt:variant>
        <vt:i4>5</vt:i4>
      </vt:variant>
      <vt:variant>
        <vt:lpwstr>mailto:candace.morey@cpuc.ca.gov</vt:lpwstr>
      </vt:variant>
      <vt:variant>
        <vt:lpwstr/>
      </vt:variant>
      <vt:variant>
        <vt:i4>3735564</vt:i4>
      </vt:variant>
      <vt:variant>
        <vt:i4>3</vt:i4>
      </vt:variant>
      <vt:variant>
        <vt:i4>0</vt:i4>
      </vt:variant>
      <vt:variant>
        <vt:i4>5</vt:i4>
      </vt:variant>
      <vt:variant>
        <vt:lpwstr>mailto:Renee.Guild@cpuc.ca.gov</vt:lpwstr>
      </vt:variant>
      <vt:variant>
        <vt:lpwstr/>
      </vt:variant>
      <vt:variant>
        <vt:i4>4522105</vt:i4>
      </vt:variant>
      <vt:variant>
        <vt:i4>0</vt:i4>
      </vt:variant>
      <vt:variant>
        <vt:i4>0</vt:i4>
      </vt:variant>
      <vt:variant>
        <vt:i4>5</vt:i4>
      </vt:variant>
      <vt:variant>
        <vt:lpwstr>mailto:candace.morey@cpuc.ca.gov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2025-07-11T16:23:49Z</dcterms:created>
  <dcterms:modified xsi:type="dcterms:W3CDTF">2025-07-11T16:23:49Z</dcterms:modified>
</cp:coreProperties>
</file>