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4462" w:rsidR="00CE4462" w:rsidP="00CE4462" w:rsidRDefault="00CE4462" w14:paraId="5434FB54" w14:textId="29826A7A">
      <w:pPr>
        <w:suppressAutoHyphens/>
        <w:rPr>
          <w:b/>
          <w:bCs/>
          <w:color w:val="000000"/>
        </w:rPr>
      </w:pPr>
      <w:r w:rsidRPr="00CE4462">
        <w:rPr>
          <w:color w:val="000000"/>
        </w:rPr>
        <w:t>ALJ/JF2/CR2</w:t>
      </w:r>
      <w:r>
        <w:rPr>
          <w:color w:val="000000"/>
        </w:rPr>
        <w:t>/cg7</w:t>
      </w:r>
      <w:r w:rsidRPr="00CE4462">
        <w:rPr>
          <w:color w:val="000000"/>
        </w:rPr>
        <w:tab/>
      </w:r>
      <w:r w:rsidRPr="00CE4462">
        <w:rPr>
          <w:color w:val="000000"/>
        </w:rPr>
        <w:tab/>
      </w:r>
      <w:r w:rsidRPr="00CE4462">
        <w:rPr>
          <w:color w:val="000000"/>
        </w:rPr>
        <w:tab/>
      </w:r>
      <w:r w:rsidRPr="00CE4462">
        <w:rPr>
          <w:b/>
          <w:bCs/>
          <w:color w:val="000000"/>
        </w:rPr>
        <w:t>PROPOSED DECISION</w:t>
      </w:r>
      <w:r w:rsidRPr="00CE4462">
        <w:rPr>
          <w:b/>
          <w:bCs/>
          <w:color w:val="000000"/>
        </w:rPr>
        <w:tab/>
      </w:r>
      <w:r w:rsidRPr="00CE4462">
        <w:rPr>
          <w:b/>
          <w:bCs/>
          <w:color w:val="000000"/>
        </w:rPr>
        <w:tab/>
        <w:t xml:space="preserve">Agenda </w:t>
      </w:r>
      <w:r w:rsidRPr="00971F48">
        <w:rPr>
          <w:b/>
          <w:bCs/>
          <w:color w:val="000000"/>
          <w:u w:val="single"/>
        </w:rPr>
        <w:t>ID #</w:t>
      </w:r>
      <w:r w:rsidR="00971F48">
        <w:rPr>
          <w:b/>
          <w:bCs/>
          <w:color w:val="000000"/>
          <w:u w:val="single"/>
        </w:rPr>
        <w:t>23570</w:t>
      </w:r>
    </w:p>
    <w:p w:rsidRPr="00CE4462" w:rsidR="00CE4462" w:rsidP="00CE4462" w:rsidRDefault="00CE4462" w14:paraId="0F9AA188" w14:textId="301E0CA8">
      <w:pPr>
        <w:suppressAutoHyphens/>
        <w:rPr>
          <w:b/>
          <w:bCs/>
          <w:color w:val="000000"/>
        </w:rPr>
      </w:pPr>
      <w:r w:rsidRPr="00CE4462">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roofErr w:type="spellStart"/>
      <w:r w:rsidRPr="00CE4462">
        <w:rPr>
          <w:b/>
          <w:bCs/>
          <w:color w:val="000000"/>
        </w:rPr>
        <w:t>Ratesetting</w:t>
      </w:r>
      <w:proofErr w:type="spellEnd"/>
    </w:p>
    <w:p w:rsidRPr="00CE4462" w:rsidR="00CE4462" w:rsidP="00CE4462" w:rsidRDefault="00CE4462" w14:paraId="3A3393FB" w14:textId="77777777">
      <w:pPr>
        <w:suppressAutoHyphens/>
        <w:rPr>
          <w:color w:val="000000"/>
        </w:rPr>
      </w:pPr>
    </w:p>
    <w:p w:rsidRPr="00CE4462" w:rsidR="00CE4462" w:rsidP="00CE4462" w:rsidRDefault="00CE4462" w14:paraId="67C0D926" w14:textId="77777777">
      <w:pPr>
        <w:suppressAutoHyphens/>
        <w:rPr>
          <w:color w:val="000000"/>
        </w:rPr>
      </w:pPr>
    </w:p>
    <w:p w:rsidRPr="007F620E" w:rsidR="00A92D0B" w:rsidRDefault="00A92D0B" w14:paraId="5BDA9FD4" w14:textId="50B91AB2">
      <w:pPr>
        <w:suppressAutoHyphens/>
        <w:rPr>
          <w:color w:val="000000"/>
        </w:rPr>
      </w:pPr>
      <w:r w:rsidRPr="007F620E">
        <w:rPr>
          <w:color w:val="000000"/>
        </w:rPr>
        <w:t xml:space="preserve">Decision </w:t>
      </w:r>
      <w:r w:rsidRPr="007F620E">
        <w:rPr>
          <w:color w:val="000000"/>
          <w:u w:val="single"/>
        </w:rPr>
        <w:tab/>
      </w:r>
      <w:r w:rsidRPr="007F620E">
        <w:rPr>
          <w:color w:val="000000"/>
          <w:u w:val="single"/>
        </w:rPr>
        <w:tab/>
      </w:r>
      <w:r w:rsidRPr="007F620E">
        <w:rPr>
          <w:color w:val="000000"/>
          <w:u w:val="single"/>
        </w:rPr>
        <w:tab/>
      </w:r>
    </w:p>
    <w:p w:rsidRPr="007F620E" w:rsidR="00A92D0B" w:rsidRDefault="00A92D0B" w14:paraId="6D327C87" w14:textId="77777777">
      <w:pPr>
        <w:pStyle w:val="titlebar"/>
        <w:rPr>
          <w:rFonts w:ascii="Times New Roman" w:hAnsi="Times New Roman"/>
          <w:color w:val="000000"/>
          <w:sz w:val="24"/>
          <w:szCs w:val="24"/>
        </w:rPr>
      </w:pPr>
    </w:p>
    <w:p w:rsidRPr="007F620E" w:rsidR="00A92D0B" w:rsidRDefault="00A92D0B" w14:paraId="44E03231" w14:textId="77777777">
      <w:pPr>
        <w:pStyle w:val="titlebar"/>
        <w:rPr>
          <w:rFonts w:ascii="Times New Roman" w:hAnsi="Times New Roman"/>
          <w:color w:val="000000"/>
          <w:sz w:val="24"/>
          <w:szCs w:val="24"/>
        </w:rPr>
      </w:pPr>
    </w:p>
    <w:p w:rsidRPr="0057088A" w:rsidR="00A92D0B" w:rsidRDefault="00A92D0B" w14:paraId="67F2520C"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958"/>
        <w:gridCol w:w="3870"/>
      </w:tblGrid>
      <w:tr w:rsidRPr="007F620E" w:rsidR="00A92D0B" w:rsidTr="003F2897" w14:paraId="3942D7B4" w14:textId="77777777">
        <w:tc>
          <w:tcPr>
            <w:tcW w:w="5958" w:type="dxa"/>
            <w:shd w:val="clear" w:color="auto" w:fill="auto"/>
          </w:tcPr>
          <w:p w:rsidRPr="007F620E" w:rsidR="00A92D0B" w:rsidRDefault="00CE4462" w14:paraId="47850BD9" w14:textId="506C0DEA">
            <w:pPr>
              <w:rPr>
                <w:color w:val="000000"/>
              </w:rPr>
            </w:pPr>
            <w:r w:rsidRPr="00CE4462">
              <w:rPr>
                <w:color w:val="000000"/>
              </w:rPr>
              <w:t>Order Instituting Rulemaking to Continue Electric Integrated Resource Planning and Related Procurement Processes.</w:t>
            </w:r>
            <w:r>
              <w:rPr>
                <w:color w:val="000000"/>
              </w:rPr>
              <w:br/>
            </w:r>
          </w:p>
        </w:tc>
        <w:tc>
          <w:tcPr>
            <w:tcW w:w="3870" w:type="dxa"/>
            <w:tcBorders>
              <w:top w:val="nil"/>
              <w:bottom w:val="nil"/>
            </w:tcBorders>
            <w:shd w:val="clear" w:color="auto" w:fill="auto"/>
          </w:tcPr>
          <w:p w:rsidRPr="007F620E" w:rsidR="009A31F4" w:rsidP="000A7220" w:rsidRDefault="009A31F4" w14:paraId="0B81835A" w14:textId="6DDABCBD">
            <w:pPr>
              <w:tabs>
                <w:tab w:val="left" w:pos="1440"/>
                <w:tab w:val="left" w:pos="3600"/>
              </w:tabs>
              <w:jc w:val="center"/>
              <w:rPr>
                <w:color w:val="000000"/>
              </w:rPr>
            </w:pPr>
            <w:r w:rsidRPr="00971F48">
              <w:rPr>
                <w:color w:val="000000"/>
              </w:rPr>
              <w:t>R</w:t>
            </w:r>
            <w:r w:rsidRPr="00971F48" w:rsidR="00520FD6">
              <w:rPr>
                <w:color w:val="000000"/>
              </w:rPr>
              <w:t xml:space="preserve">ulemaking </w:t>
            </w:r>
            <w:r w:rsidRPr="00971F48">
              <w:rPr>
                <w:color w:val="000000"/>
              </w:rPr>
              <w:t>2</w:t>
            </w:r>
            <w:r>
              <w:rPr>
                <w:color w:val="000000"/>
              </w:rPr>
              <w:t>0-05-003</w:t>
            </w:r>
          </w:p>
          <w:p w:rsidRPr="007F620E" w:rsidR="009A31F4" w:rsidP="000A7220" w:rsidRDefault="009A31F4" w14:paraId="0298DBB5" w14:textId="77777777">
            <w:pPr>
              <w:tabs>
                <w:tab w:val="left" w:pos="1440"/>
                <w:tab w:val="left" w:pos="3600"/>
              </w:tabs>
              <w:jc w:val="center"/>
              <w:rPr>
                <w:color w:val="000000"/>
              </w:rPr>
            </w:pPr>
            <w:r w:rsidRPr="007F620E">
              <w:rPr>
                <w:color w:val="000000"/>
              </w:rPr>
              <w:t xml:space="preserve">(Filed </w:t>
            </w:r>
            <w:r>
              <w:rPr>
                <w:color w:val="000000"/>
              </w:rPr>
              <w:t>May 7, 2020)</w:t>
            </w:r>
          </w:p>
          <w:p w:rsidRPr="007F620E" w:rsidR="00A92D0B" w:rsidRDefault="00A92D0B" w14:paraId="7EC7277D" w14:textId="77777777">
            <w:pPr>
              <w:jc w:val="center"/>
              <w:rPr>
                <w:color w:val="000000"/>
              </w:rPr>
            </w:pPr>
          </w:p>
        </w:tc>
      </w:tr>
    </w:tbl>
    <w:p w:rsidRPr="007F620E" w:rsidR="00FC72B7" w:rsidRDefault="00FC72B7" w14:paraId="5459E071" w14:textId="77777777">
      <w:pPr>
        <w:jc w:val="center"/>
        <w:rPr>
          <w:b/>
          <w:color w:val="000000"/>
        </w:rPr>
      </w:pPr>
    </w:p>
    <w:p w:rsidRPr="006577EE" w:rsidR="00374FD1" w:rsidP="006577EE" w:rsidRDefault="00D14A92" w14:paraId="7DD45571" w14:textId="3E136BDA">
      <w:pPr>
        <w:jc w:val="center"/>
        <w:rPr>
          <w:b/>
        </w:rPr>
      </w:pPr>
      <w:r w:rsidRPr="006577EE">
        <w:rPr>
          <w:b/>
        </w:rPr>
        <w:t xml:space="preserve">DECISION GRANTING COMPENSATION TO </w:t>
      </w:r>
      <w:r w:rsidRPr="006577EE" w:rsidR="009A31F4">
        <w:rPr>
          <w:b/>
        </w:rPr>
        <w:t>CALIFORNIA ENVIRONMENTAL JUSTICE ALLIANCE</w:t>
      </w:r>
      <w:r w:rsidRPr="006577EE" w:rsidR="00A92D0B">
        <w:rPr>
          <w:b/>
        </w:rPr>
        <w:t xml:space="preserve"> </w:t>
      </w:r>
      <w:r w:rsidRPr="006577EE" w:rsidR="006577EE">
        <w:rPr>
          <w:b/>
        </w:rPr>
        <w:t>FOR SUBSTANTIAL CONTRIBUTION</w:t>
      </w:r>
      <w:r w:rsidRPr="006577EE" w:rsidR="00897FA7">
        <w:rPr>
          <w:b/>
        </w:rPr>
        <w:t xml:space="preserve"> TO DECISION</w:t>
      </w:r>
      <w:r w:rsidR="006A6FAB">
        <w:rPr>
          <w:b/>
        </w:rPr>
        <w:t>S</w:t>
      </w:r>
      <w:r w:rsidRPr="006577EE" w:rsidR="00897FA7">
        <w:rPr>
          <w:b/>
        </w:rPr>
        <w:t xml:space="preserve"> (D.) </w:t>
      </w:r>
      <w:r w:rsidRPr="006577EE" w:rsidR="00051156">
        <w:rPr>
          <w:b/>
        </w:rPr>
        <w:t>24-08-064, D.24-09-006,</w:t>
      </w:r>
      <w:r w:rsidRPr="006577EE" w:rsidR="006577EE">
        <w:rPr>
          <w:b/>
        </w:rPr>
        <w:t xml:space="preserve"> AND</w:t>
      </w:r>
      <w:r w:rsidRPr="006577EE" w:rsidR="00051156">
        <w:rPr>
          <w:b/>
        </w:rPr>
        <w:t xml:space="preserve"> D.25-02-0</w:t>
      </w:r>
      <w:r w:rsidR="00490D52">
        <w:rPr>
          <w:b/>
        </w:rPr>
        <w:t>2</w:t>
      </w:r>
      <w:r w:rsidRPr="006577EE" w:rsidR="00051156">
        <w:rPr>
          <w:b/>
        </w:rPr>
        <w:t>6</w:t>
      </w:r>
    </w:p>
    <w:p w:rsidRPr="007F620E" w:rsidR="00A92D0B" w:rsidRDefault="00A92D0B" w14:paraId="4BEAFF75" w14:textId="77777777">
      <w:pPr>
        <w:suppressAutoHyphens/>
        <w:rPr>
          <w:color w:val="000000"/>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952"/>
        <w:gridCol w:w="5943"/>
      </w:tblGrid>
      <w:tr w:rsidRPr="007F620E" w:rsidR="00A92D0B" w:rsidTr="00CE4462" w14:paraId="0FE98F62" w14:textId="77777777">
        <w:tc>
          <w:tcPr>
            <w:tcW w:w="3952" w:type="dxa"/>
            <w:shd w:val="clear" w:color="auto" w:fill="auto"/>
          </w:tcPr>
          <w:p w:rsidRPr="00691528" w:rsidR="00A92D0B" w:rsidP="00C47A2B" w:rsidRDefault="005A63D4" w14:paraId="11570D4A" w14:textId="599F15AA">
            <w:pPr>
              <w:tabs>
                <w:tab w:val="left" w:pos="1620"/>
                <w:tab w:val="right" w:pos="4500"/>
              </w:tabs>
              <w:rPr>
                <w:color w:val="000000"/>
              </w:rPr>
            </w:pPr>
            <w:r w:rsidRPr="007F620E">
              <w:rPr>
                <w:b/>
                <w:color w:val="000000"/>
              </w:rPr>
              <w:t>Intervenor</w:t>
            </w:r>
            <w:r w:rsidRPr="007F620E" w:rsidR="00F63C29">
              <w:rPr>
                <w:b/>
                <w:color w:val="000000"/>
              </w:rPr>
              <w:t>:</w:t>
            </w:r>
            <w:r w:rsidR="00691528">
              <w:rPr>
                <w:b/>
                <w:color w:val="000000"/>
              </w:rPr>
              <w:t xml:space="preserve"> </w:t>
            </w:r>
            <w:r w:rsidRPr="00A9160F" w:rsidR="009A31F4">
              <w:rPr>
                <w:bCs/>
                <w:color w:val="000000"/>
              </w:rPr>
              <w:t>California Environmental Justice Alliance</w:t>
            </w:r>
          </w:p>
        </w:tc>
        <w:tc>
          <w:tcPr>
            <w:tcW w:w="5943" w:type="dxa"/>
            <w:shd w:val="clear" w:color="auto" w:fill="auto"/>
          </w:tcPr>
          <w:p w:rsidRPr="007F620E" w:rsidR="00A92D0B" w:rsidP="00C47A2B" w:rsidRDefault="00A92D0B" w14:paraId="53A584EE" w14:textId="0D8F6ADA">
            <w:pPr>
              <w:tabs>
                <w:tab w:val="left" w:pos="1872"/>
                <w:tab w:val="right" w:pos="3672"/>
              </w:tabs>
              <w:rPr>
                <w:b/>
                <w:color w:val="000000"/>
              </w:rPr>
            </w:pPr>
            <w:r w:rsidRPr="007F620E">
              <w:rPr>
                <w:b/>
                <w:color w:val="000000"/>
              </w:rPr>
              <w:t>For contribution to D</w:t>
            </w:r>
            <w:r w:rsidRPr="007F620E" w:rsidR="00DE3A5D">
              <w:rPr>
                <w:b/>
                <w:color w:val="000000"/>
              </w:rPr>
              <w:t xml:space="preserve">ecision (D.) </w:t>
            </w:r>
            <w:r w:rsidR="00370148">
              <w:rPr>
                <w:b/>
                <w:color w:val="000000"/>
              </w:rPr>
              <w:t>24-08-064</w:t>
            </w:r>
            <w:r w:rsidR="00A81AD7">
              <w:rPr>
                <w:b/>
                <w:color w:val="000000"/>
              </w:rPr>
              <w:t>, D.24-09-006, D.25-02-046</w:t>
            </w:r>
            <w:bookmarkStart w:name="_Ref197600805" w:id="0"/>
            <w:r w:rsidRPr="00DE1910" w:rsidR="00CD13E8">
              <w:rPr>
                <w:rStyle w:val="FootnoteReference"/>
                <w:bCs/>
                <w:color w:val="000000"/>
              </w:rPr>
              <w:footnoteReference w:id="2"/>
            </w:r>
            <w:bookmarkEnd w:id="0"/>
          </w:p>
        </w:tc>
      </w:tr>
      <w:tr w:rsidRPr="007F620E" w:rsidR="00A92D0B" w:rsidTr="00CE4462" w14:paraId="47003B8E" w14:textId="77777777">
        <w:tc>
          <w:tcPr>
            <w:tcW w:w="3952" w:type="dxa"/>
            <w:shd w:val="clear" w:color="auto" w:fill="auto"/>
          </w:tcPr>
          <w:p w:rsidRPr="007F620E" w:rsidR="00A92D0B" w:rsidP="00C47A2B" w:rsidRDefault="00A92D0B" w14:paraId="0E2E4BD1" w14:textId="328F2F77">
            <w:pPr>
              <w:tabs>
                <w:tab w:val="left" w:pos="1620"/>
                <w:tab w:val="right" w:pos="4500"/>
              </w:tabs>
              <w:rPr>
                <w:b/>
                <w:color w:val="000000"/>
                <w:u w:val="single"/>
              </w:rPr>
            </w:pPr>
            <w:r w:rsidRPr="007F620E">
              <w:rPr>
                <w:b/>
                <w:color w:val="000000"/>
              </w:rPr>
              <w:t>Claimed:</w:t>
            </w:r>
            <w:r w:rsidR="002D21CA">
              <w:rPr>
                <w:b/>
                <w:color w:val="000000"/>
              </w:rPr>
              <w:t xml:space="preserve"> </w:t>
            </w:r>
            <w:r w:rsidRPr="00AA24D7" w:rsidR="00630386">
              <w:rPr>
                <w:bCs/>
                <w:color w:val="000000"/>
              </w:rPr>
              <w:t>$99,720.60</w:t>
            </w:r>
          </w:p>
        </w:tc>
        <w:tc>
          <w:tcPr>
            <w:tcW w:w="5943" w:type="dxa"/>
            <w:tcBorders>
              <w:bottom w:val="single" w:color="auto" w:sz="4" w:space="0"/>
            </w:tcBorders>
            <w:shd w:val="clear" w:color="auto" w:fill="auto"/>
          </w:tcPr>
          <w:p w:rsidRPr="007F620E" w:rsidR="00A92D0B" w:rsidP="00C47A2B" w:rsidRDefault="00A92D0B" w14:paraId="211F40A8" w14:textId="113A24E7">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Pr="00AA24D7" w:rsidR="005048CB">
              <w:rPr>
                <w:bCs/>
                <w:color w:val="000000"/>
              </w:rPr>
              <w:t>$91,319.15</w:t>
            </w:r>
          </w:p>
        </w:tc>
      </w:tr>
      <w:tr w:rsidRPr="007F620E" w:rsidR="00A92D0B" w:rsidTr="00CE4462" w14:paraId="5C56877D" w14:textId="77777777">
        <w:tc>
          <w:tcPr>
            <w:tcW w:w="3952" w:type="dxa"/>
            <w:shd w:val="clear" w:color="auto" w:fill="auto"/>
          </w:tcPr>
          <w:p w:rsidRPr="00691528" w:rsidR="00A92D0B" w:rsidP="00C47A2B" w:rsidRDefault="00A92D0B" w14:paraId="6EF99E36" w14:textId="0944CC35">
            <w:pPr>
              <w:tabs>
                <w:tab w:val="left" w:pos="3060"/>
                <w:tab w:val="right" w:pos="4500"/>
              </w:tabs>
              <w:rPr>
                <w:color w:val="000000"/>
                <w:u w:val="single"/>
              </w:rPr>
            </w:pPr>
            <w:r w:rsidRPr="007F620E">
              <w:rPr>
                <w:b/>
                <w:color w:val="000000"/>
              </w:rPr>
              <w:t xml:space="preserve">Assigned Commissioner: </w:t>
            </w:r>
            <w:r w:rsidR="00A81AD7">
              <w:rPr>
                <w:b/>
                <w:color w:val="000000"/>
              </w:rPr>
              <w:t xml:space="preserve"> </w:t>
            </w:r>
            <w:r w:rsidRPr="0027357A" w:rsidR="00A81AD7">
              <w:rPr>
                <w:bCs/>
                <w:color w:val="000000"/>
              </w:rPr>
              <w:t>Alice Reynolds</w:t>
            </w:r>
          </w:p>
        </w:tc>
        <w:tc>
          <w:tcPr>
            <w:tcW w:w="5943" w:type="dxa"/>
            <w:shd w:val="clear" w:color="auto" w:fill="auto"/>
          </w:tcPr>
          <w:p w:rsidRPr="00691528" w:rsidR="00A92D0B" w:rsidP="00C47A2B" w:rsidRDefault="00A92D0B" w14:paraId="79375F78" w14:textId="03415C09">
            <w:pPr>
              <w:tabs>
                <w:tab w:val="left" w:pos="1872"/>
                <w:tab w:val="right" w:pos="3672"/>
              </w:tabs>
              <w:rPr>
                <w:color w:val="000000"/>
                <w:u w:val="single"/>
              </w:rPr>
            </w:pPr>
            <w:r w:rsidRPr="007F620E">
              <w:rPr>
                <w:b/>
                <w:color w:val="000000"/>
              </w:rPr>
              <w:t>Assigned ALJ:</w:t>
            </w:r>
            <w:r w:rsidRPr="007F620E" w:rsidR="00F63C29">
              <w:rPr>
                <w:b/>
                <w:color w:val="000000"/>
              </w:rPr>
              <w:t xml:space="preserve"> </w:t>
            </w:r>
            <w:r w:rsidRPr="00A9160F" w:rsidR="009A31F4">
              <w:rPr>
                <w:bCs/>
                <w:color w:val="000000"/>
              </w:rPr>
              <w:t>Julie A. Fitch</w:t>
            </w:r>
            <w:r w:rsidR="00027C7F">
              <w:rPr>
                <w:bCs/>
                <w:color w:val="000000"/>
              </w:rPr>
              <w:t xml:space="preserve">, </w:t>
            </w:r>
            <w:r w:rsidR="001F1C23">
              <w:rPr>
                <w:bCs/>
                <w:color w:val="000000"/>
              </w:rPr>
              <w:t>Colin Rizzo</w:t>
            </w:r>
            <w:r w:rsidR="001F1C23">
              <w:rPr>
                <w:rStyle w:val="FootnoteReference"/>
                <w:bCs/>
                <w:color w:val="000000"/>
              </w:rPr>
              <w:footnoteReference w:id="3"/>
            </w:r>
          </w:p>
        </w:tc>
      </w:tr>
    </w:tbl>
    <w:p w:rsidRPr="001F1C23" w:rsidR="001F1C23" w:rsidP="00062EFE" w:rsidRDefault="00A92D0B" w14:paraId="0F69DD2E" w14:textId="53A9DB3A">
      <w:pPr>
        <w:keepNext/>
        <w:spacing w:before="480" w:after="240"/>
        <w:jc w:val="center"/>
        <w:rPr>
          <w:b/>
          <w:color w:val="000000"/>
        </w:rPr>
      </w:pPr>
      <w:r w:rsidRPr="007F620E">
        <w:rPr>
          <w:b/>
          <w:color w:val="000000"/>
        </w:rPr>
        <w:t>PART I</w:t>
      </w:r>
      <w:r w:rsidRPr="007F620E" w:rsidR="004C6D23">
        <w:rPr>
          <w:b/>
          <w:color w:val="000000"/>
        </w:rPr>
        <w:t>:</w:t>
      </w:r>
      <w:r w:rsidR="004C6D23">
        <w:rPr>
          <w:b/>
          <w:color w:val="000000"/>
        </w:rPr>
        <w:t xml:space="preserve"> PROCEDURAL</w:t>
      </w:r>
      <w:r w:rsidRPr="007F620E">
        <w:rPr>
          <w:b/>
          <w:color w:val="000000"/>
        </w:rPr>
        <w:t xml:space="preserve"> ISSUES</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1F1C23"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00C02649" w:rsidP="00370148" w:rsidRDefault="00024111" w14:paraId="281B5E01" w14:textId="4B61B857">
            <w:pPr>
              <w:rPr>
                <w:color w:val="000000"/>
              </w:rPr>
            </w:pPr>
            <w:r>
              <w:rPr>
                <w:color w:val="000000"/>
              </w:rPr>
              <w:t xml:space="preserve">Decision </w:t>
            </w:r>
            <w:r w:rsidR="00021181">
              <w:rPr>
                <w:color w:val="000000"/>
              </w:rPr>
              <w:t xml:space="preserve">24-08-064 found an initial need for the Department of Water Resources (“DWR”) to procure up to 10.6 gigawatts (“GW”) of nameplate capacity, including up to the following capacities: 7.6 GW of offshore wind (“OSW”); 1 GW of multi-day long-duration energy storage (“LDES”), and up to 1 GW of LDES with a discharge period of at least 12 hours. D.24-08-064 also set forth the process and considerations for DWR centralized procurement and identified procedural and substantive safeguards for the centralized procurement process. </w:t>
            </w:r>
          </w:p>
          <w:p w:rsidR="00552CFB" w:rsidP="00370148" w:rsidRDefault="00552CFB" w14:paraId="2DD64B6A" w14:textId="77777777">
            <w:pPr>
              <w:rPr>
                <w:color w:val="000000"/>
              </w:rPr>
            </w:pPr>
          </w:p>
          <w:p w:rsidR="00552CFB" w:rsidP="00135A27" w:rsidRDefault="00135A27" w14:paraId="3C80B2FB" w14:textId="67106B8F">
            <w:pPr>
              <w:rPr>
                <w:color w:val="000000"/>
              </w:rPr>
            </w:pPr>
            <w:r>
              <w:rPr>
                <w:color w:val="000000"/>
              </w:rPr>
              <w:t>Decision 24-09-006 allows load-serving entities (“LSEs”) with compliance obligations pursuant to Decision 21-06-</w:t>
            </w:r>
            <w:proofErr w:type="gramStart"/>
            <w:r>
              <w:rPr>
                <w:color w:val="000000"/>
              </w:rPr>
              <w:t xml:space="preserve">035 </w:t>
            </w:r>
            <w:r w:rsidRPr="00135A27">
              <w:rPr>
                <w:color w:val="000000"/>
              </w:rPr>
              <w:t xml:space="preserve"> to</w:t>
            </w:r>
            <w:proofErr w:type="gramEnd"/>
            <w:r w:rsidRPr="00135A27">
              <w:rPr>
                <w:color w:val="000000"/>
              </w:rPr>
              <w:t xml:space="preserve"> use</w:t>
            </w:r>
            <w:r>
              <w:rPr>
                <w:color w:val="000000"/>
              </w:rPr>
              <w:t xml:space="preserve"> </w:t>
            </w:r>
            <w:r w:rsidRPr="00135A27">
              <w:rPr>
                <w:color w:val="000000"/>
              </w:rPr>
              <w:t>short-term alternative compliance options</w:t>
            </w:r>
            <w:r w:rsidR="00657174">
              <w:rPr>
                <w:color w:val="000000"/>
              </w:rPr>
              <w:t xml:space="preserve"> </w:t>
            </w:r>
            <w:r w:rsidRPr="00135A27" w:rsidR="00657174">
              <w:rPr>
                <w:color w:val="000000"/>
              </w:rPr>
              <w:t xml:space="preserve">as part of </w:t>
            </w:r>
            <w:r w:rsidRPr="00135A27" w:rsidR="00657174">
              <w:rPr>
                <w:color w:val="000000"/>
              </w:rPr>
              <w:lastRenderedPageBreak/>
              <w:t>the category of resources</w:t>
            </w:r>
            <w:r w:rsidR="00657174">
              <w:rPr>
                <w:color w:val="000000"/>
              </w:rPr>
              <w:t xml:space="preserve"> d</w:t>
            </w:r>
            <w:r w:rsidRPr="00135A27" w:rsidR="00657174">
              <w:rPr>
                <w:color w:val="000000"/>
              </w:rPr>
              <w:t>esigned to replace the attributes of the Diablo Canyon Power Plant</w:t>
            </w:r>
            <w:r>
              <w:rPr>
                <w:color w:val="000000"/>
              </w:rPr>
              <w:t>.</w:t>
            </w:r>
          </w:p>
          <w:p w:rsidR="00024111" w:rsidP="00370148" w:rsidRDefault="00024111" w14:paraId="4808DBAC" w14:textId="77777777">
            <w:pPr>
              <w:rPr>
                <w:color w:val="000000"/>
              </w:rPr>
            </w:pPr>
          </w:p>
          <w:p w:rsidRPr="007F620E" w:rsidR="00552CFB" w:rsidP="00370148" w:rsidRDefault="00024111" w14:paraId="67B8ECAA" w14:textId="1D25A3DA">
            <w:pPr>
              <w:rPr>
                <w:color w:val="000000"/>
              </w:rPr>
            </w:pPr>
            <w:r>
              <w:rPr>
                <w:color w:val="000000"/>
              </w:rPr>
              <w:t xml:space="preserve">Decision </w:t>
            </w:r>
            <w:r w:rsidR="00135A27">
              <w:rPr>
                <w:color w:val="000000"/>
              </w:rPr>
              <w:t>25-02-046</w:t>
            </w:r>
            <w:r w:rsidR="00703321">
              <w:rPr>
                <w:color w:val="000000"/>
              </w:rPr>
              <w:fldChar w:fldCharType="begin"/>
            </w:r>
            <w:r w:rsidR="00703321">
              <w:rPr>
                <w:color w:val="000000"/>
              </w:rPr>
              <w:instrText xml:space="preserve"> NOTEREF _Ref197600805 \f \h </w:instrText>
            </w:r>
            <w:r w:rsidR="00703321">
              <w:rPr>
                <w:color w:val="000000"/>
              </w:rPr>
            </w:r>
            <w:r w:rsidR="00703321">
              <w:rPr>
                <w:color w:val="000000"/>
              </w:rPr>
              <w:fldChar w:fldCharType="separate"/>
            </w:r>
            <w:r w:rsidRPr="00703321" w:rsidR="00703321">
              <w:rPr>
                <w:rStyle w:val="FootnoteReference"/>
              </w:rPr>
              <w:t>1</w:t>
            </w:r>
            <w:r w:rsidR="00703321">
              <w:rPr>
                <w:color w:val="000000"/>
              </w:rPr>
              <w:fldChar w:fldCharType="end"/>
            </w:r>
            <w:r w:rsidR="00135A27">
              <w:rPr>
                <w:color w:val="000000"/>
              </w:rPr>
              <w:t xml:space="preserve"> </w:t>
            </w:r>
            <w:r w:rsidR="00946672">
              <w:rPr>
                <w:color w:val="000000"/>
              </w:rPr>
              <w:t xml:space="preserve">recommends </w:t>
            </w:r>
            <w:r w:rsidRPr="00946672" w:rsidR="003351C5">
              <w:rPr>
                <w:color w:val="000000"/>
              </w:rPr>
              <w:t>two electricity portfolios</w:t>
            </w:r>
            <w:r w:rsidR="00290AE0">
              <w:rPr>
                <w:color w:val="000000"/>
              </w:rPr>
              <w:t xml:space="preserve"> -</w:t>
            </w:r>
            <w:r w:rsidRPr="00946672" w:rsidR="003351C5">
              <w:rPr>
                <w:color w:val="000000"/>
              </w:rPr>
              <w:t xml:space="preserve"> a reliability and policy-driven base case portfolio and a sensitivity portfolio </w:t>
            </w:r>
            <w:r w:rsidR="00290AE0">
              <w:rPr>
                <w:color w:val="000000"/>
              </w:rPr>
              <w:t xml:space="preserve">– to the </w:t>
            </w:r>
            <w:r w:rsidRPr="00946672" w:rsidR="00946672">
              <w:rPr>
                <w:color w:val="000000"/>
              </w:rPr>
              <w:t>California Independent System Operator (</w:t>
            </w:r>
            <w:r w:rsidR="00946672">
              <w:rPr>
                <w:color w:val="000000"/>
              </w:rPr>
              <w:t>“</w:t>
            </w:r>
            <w:r w:rsidRPr="00946672" w:rsidR="00946672">
              <w:rPr>
                <w:color w:val="000000"/>
              </w:rPr>
              <w:t>CAISO</w:t>
            </w:r>
            <w:r w:rsidR="00946672">
              <w:rPr>
                <w:color w:val="000000"/>
              </w:rPr>
              <w:t>”</w:t>
            </w:r>
            <w:r w:rsidRPr="00946672" w:rsidR="00946672">
              <w:rPr>
                <w:color w:val="000000"/>
              </w:rPr>
              <w:t xml:space="preserve">) for its 2025-2026 Transmission Planning Process </w:t>
            </w:r>
            <w:proofErr w:type="gramStart"/>
            <w:r w:rsidRPr="00946672" w:rsidR="00946672">
              <w:rPr>
                <w:color w:val="000000"/>
              </w:rPr>
              <w:t>analysis .</w:t>
            </w:r>
            <w:proofErr w:type="gramEnd"/>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4"/>
      </w:r>
      <w:r w:rsidRPr="007F620E" w:rsidR="00A92D0B">
        <w:rPr>
          <w:b/>
          <w:color w:val="000000"/>
        </w:rPr>
        <w:t>:</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811"/>
      </w:tblGrid>
      <w:tr w:rsidRPr="007F620E" w:rsidR="00A92D0B" w:rsidTr="00CE4462"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811"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CE4462" w14:paraId="7D83D00D"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A92D0B" w:rsidTr="00CE4462" w14:paraId="160E284A" w14:textId="77777777">
        <w:tc>
          <w:tcPr>
            <w:tcW w:w="4817" w:type="dxa"/>
            <w:tcBorders>
              <w:top w:val="single" w:color="auto" w:sz="4" w:space="0"/>
            </w:tcBorders>
            <w:shd w:val="clear" w:color="auto" w:fill="auto"/>
          </w:tcPr>
          <w:p w:rsidRPr="007F620E" w:rsidR="00A92D0B" w:rsidP="00F028C8" w:rsidRDefault="00A92D0B" w14:paraId="44D1876C" w14:textId="478A95F3">
            <w:pPr>
              <w:keepNext/>
              <w:tabs>
                <w:tab w:val="left" w:pos="360"/>
              </w:tabs>
              <w:ind w:left="360" w:hanging="360"/>
              <w:rPr>
                <w:color w:val="000000"/>
              </w:rPr>
            </w:pPr>
            <w:r w:rsidRPr="007F620E">
              <w:rPr>
                <w:color w:val="000000"/>
              </w:rPr>
              <w:t>1.</w:t>
            </w:r>
            <w:r w:rsidR="001E7EE2">
              <w:rPr>
                <w:color w:val="000000"/>
              </w:rPr>
              <w:tab/>
            </w:r>
            <w:r w:rsidRPr="007F620E">
              <w:rPr>
                <w:color w:val="000000"/>
              </w:rPr>
              <w:t>Date of Prehearing Conference:</w:t>
            </w:r>
          </w:p>
        </w:tc>
        <w:tc>
          <w:tcPr>
            <w:tcW w:w="2267" w:type="dxa"/>
            <w:tcBorders>
              <w:top w:val="single" w:color="auto" w:sz="4" w:space="0"/>
            </w:tcBorders>
            <w:shd w:val="clear" w:color="auto" w:fill="auto"/>
          </w:tcPr>
          <w:p w:rsidRPr="00CF1F49" w:rsidR="00A92D0B" w:rsidP="00F028C8" w:rsidRDefault="009A31F4" w14:paraId="35450816" w14:textId="4C7CC9ED">
            <w:pPr>
              <w:keepNext/>
              <w:keepLines/>
              <w:tabs>
                <w:tab w:val="left" w:pos="360"/>
              </w:tabs>
              <w:ind w:left="360" w:hanging="360"/>
              <w:rPr>
                <w:color w:val="000000"/>
              </w:rPr>
            </w:pPr>
            <w:r w:rsidRPr="00CF1F49">
              <w:rPr>
                <w:color w:val="000000"/>
              </w:rPr>
              <w:t>7/14/20</w:t>
            </w:r>
          </w:p>
        </w:tc>
        <w:tc>
          <w:tcPr>
            <w:tcW w:w="2811" w:type="dxa"/>
            <w:tcBorders>
              <w:top w:val="single" w:color="auto" w:sz="4" w:space="0"/>
            </w:tcBorders>
            <w:shd w:val="clear" w:color="auto" w:fill="auto"/>
          </w:tcPr>
          <w:p w:rsidRPr="007F620E" w:rsidR="00A92D0B" w:rsidP="00F028C8" w:rsidRDefault="00950C39" w14:paraId="34540344" w14:textId="3D6D8A77">
            <w:pPr>
              <w:keepNext/>
              <w:tabs>
                <w:tab w:val="left" w:pos="360"/>
              </w:tabs>
              <w:jc w:val="both"/>
              <w:rPr>
                <w:color w:val="000000"/>
              </w:rPr>
            </w:pPr>
            <w:r>
              <w:rPr>
                <w:color w:val="000000"/>
              </w:rPr>
              <w:t>Verified</w:t>
            </w:r>
          </w:p>
        </w:tc>
      </w:tr>
      <w:tr w:rsidRPr="007F620E" w:rsidR="00A92D0B" w:rsidTr="00CE4462" w14:paraId="24C85564" w14:textId="77777777">
        <w:tc>
          <w:tcPr>
            <w:tcW w:w="4817" w:type="dxa"/>
            <w:shd w:val="clear" w:color="auto" w:fill="auto"/>
          </w:tcPr>
          <w:p w:rsidRPr="007F620E" w:rsidR="00A92D0B" w:rsidP="00F028C8" w:rsidRDefault="00A92D0B" w14:paraId="382C5788" w14:textId="49F0E39E">
            <w:pPr>
              <w:tabs>
                <w:tab w:val="left" w:pos="360"/>
              </w:tabs>
              <w:ind w:left="360" w:hanging="360"/>
              <w:rPr>
                <w:color w:val="000000"/>
              </w:rPr>
            </w:pPr>
            <w:r w:rsidRPr="007F620E">
              <w:rPr>
                <w:color w:val="000000"/>
              </w:rPr>
              <w:t>2.</w:t>
            </w:r>
            <w:r w:rsidR="001E7EE2">
              <w:rPr>
                <w:color w:val="000000"/>
              </w:rPr>
              <w:tab/>
            </w:r>
            <w:r w:rsidRPr="007F620E">
              <w:rPr>
                <w:color w:val="000000"/>
              </w:rPr>
              <w:t xml:space="preserve">Other </w:t>
            </w:r>
            <w:r w:rsidRPr="007F620E" w:rsidR="00A319DE">
              <w:rPr>
                <w:color w:val="000000"/>
              </w:rPr>
              <w:t>s</w:t>
            </w:r>
            <w:r w:rsidRPr="007F620E">
              <w:rPr>
                <w:color w:val="000000"/>
              </w:rPr>
              <w:t xml:space="preserve">pecified </w:t>
            </w:r>
            <w:r w:rsidRPr="007F620E" w:rsidR="00A319DE">
              <w:rPr>
                <w:color w:val="000000"/>
              </w:rPr>
              <w:t>d</w:t>
            </w:r>
            <w:r w:rsidRPr="007F620E">
              <w:rPr>
                <w:color w:val="000000"/>
              </w:rPr>
              <w:t>ate for NOI:</w:t>
            </w:r>
          </w:p>
        </w:tc>
        <w:tc>
          <w:tcPr>
            <w:tcW w:w="2267" w:type="dxa"/>
            <w:shd w:val="clear" w:color="auto" w:fill="auto"/>
          </w:tcPr>
          <w:p w:rsidRPr="00CF1F49" w:rsidR="00A92D0B" w:rsidP="00F028C8" w:rsidRDefault="00A92D0B" w14:paraId="1826BC2C" w14:textId="77777777">
            <w:pPr>
              <w:keepNext/>
              <w:keepLines/>
              <w:tabs>
                <w:tab w:val="left" w:pos="360"/>
              </w:tabs>
              <w:ind w:left="360" w:hanging="360"/>
              <w:rPr>
                <w:color w:val="000000"/>
              </w:rPr>
            </w:pPr>
          </w:p>
        </w:tc>
        <w:tc>
          <w:tcPr>
            <w:tcW w:w="2811" w:type="dxa"/>
            <w:shd w:val="clear" w:color="auto" w:fill="auto"/>
          </w:tcPr>
          <w:p w:rsidRPr="007F620E" w:rsidR="00A92D0B" w:rsidP="00F028C8" w:rsidRDefault="00A92D0B" w14:paraId="210DAD91" w14:textId="77777777">
            <w:pPr>
              <w:tabs>
                <w:tab w:val="left" w:pos="360"/>
              </w:tabs>
              <w:jc w:val="both"/>
              <w:rPr>
                <w:color w:val="000000"/>
              </w:rPr>
            </w:pPr>
          </w:p>
        </w:tc>
      </w:tr>
      <w:tr w:rsidRPr="007F620E" w:rsidR="00A92D0B" w:rsidTr="00CE4462" w14:paraId="4836EEA6" w14:textId="77777777">
        <w:tc>
          <w:tcPr>
            <w:tcW w:w="4817" w:type="dxa"/>
            <w:shd w:val="clear" w:color="auto" w:fill="auto"/>
          </w:tcPr>
          <w:p w:rsidRPr="007F620E" w:rsidR="00A92D0B" w:rsidP="00F028C8" w:rsidRDefault="00A92D0B" w14:paraId="34809C45" w14:textId="2501A8A3">
            <w:pPr>
              <w:tabs>
                <w:tab w:val="left" w:pos="360"/>
              </w:tabs>
              <w:ind w:left="360" w:hanging="360"/>
              <w:rPr>
                <w:color w:val="000000"/>
              </w:rPr>
            </w:pPr>
            <w:r w:rsidRPr="007F620E">
              <w:rPr>
                <w:color w:val="000000"/>
              </w:rPr>
              <w:t>3.</w:t>
            </w:r>
            <w:r w:rsidR="001E7EE2">
              <w:rPr>
                <w:color w:val="000000"/>
              </w:rPr>
              <w:tab/>
            </w:r>
            <w:r w:rsidRPr="007F620E">
              <w:rPr>
                <w:color w:val="000000"/>
              </w:rPr>
              <w:t xml:space="preserve">Date NOI </w:t>
            </w:r>
            <w:r w:rsidRPr="007F620E" w:rsidR="00A319DE">
              <w:rPr>
                <w:color w:val="000000"/>
              </w:rPr>
              <w:t>f</w:t>
            </w:r>
            <w:r w:rsidRPr="007F620E">
              <w:rPr>
                <w:color w:val="000000"/>
              </w:rPr>
              <w:t>iled:</w:t>
            </w:r>
          </w:p>
        </w:tc>
        <w:tc>
          <w:tcPr>
            <w:tcW w:w="2267" w:type="dxa"/>
            <w:tcBorders>
              <w:bottom w:val="single" w:color="auto" w:sz="4" w:space="0"/>
            </w:tcBorders>
            <w:shd w:val="clear" w:color="auto" w:fill="auto"/>
          </w:tcPr>
          <w:p w:rsidRPr="00CF1F49" w:rsidR="00A92D0B" w:rsidP="00F028C8" w:rsidRDefault="009A31F4" w14:paraId="694E6E5E" w14:textId="254B74F3">
            <w:pPr>
              <w:keepNext/>
              <w:keepLines/>
              <w:tabs>
                <w:tab w:val="left" w:pos="360"/>
              </w:tabs>
              <w:ind w:left="360" w:hanging="360"/>
              <w:rPr>
                <w:color w:val="000000"/>
              </w:rPr>
            </w:pPr>
            <w:r w:rsidRPr="00CF1F49">
              <w:rPr>
                <w:color w:val="000000"/>
              </w:rPr>
              <w:t>7/28/20</w:t>
            </w:r>
            <w:r w:rsidRPr="00CF1F49" w:rsidR="00A9160F">
              <w:rPr>
                <w:color w:val="000000"/>
              </w:rPr>
              <w:t>, 9/6/2023</w:t>
            </w:r>
          </w:p>
          <w:p w:rsidRPr="00CF1F49" w:rsidR="009A31F4" w:rsidP="00F028C8" w:rsidRDefault="009A31F4" w14:paraId="1DEC0DCE" w14:textId="77777777">
            <w:pPr>
              <w:keepNext/>
              <w:keepLines/>
              <w:tabs>
                <w:tab w:val="left" w:pos="360"/>
              </w:tabs>
              <w:ind w:left="360" w:hanging="360"/>
              <w:rPr>
                <w:color w:val="000000"/>
              </w:rPr>
            </w:pPr>
          </w:p>
          <w:p w:rsidRPr="00CF1F49" w:rsidR="009A31F4" w:rsidP="009A31F4" w:rsidRDefault="009A31F4" w14:paraId="44F7CCB9" w14:textId="0C45555A">
            <w:r w:rsidRPr="00CF1F49">
              <w:rPr>
                <w:color w:val="000000"/>
              </w:rPr>
              <w:t>(</w:t>
            </w:r>
            <w:r w:rsidRPr="00CF1F49">
              <w:t>CEJA timely filed its original NOI</w:t>
            </w:r>
            <w:r w:rsidRPr="00CF1F49" w:rsidR="00A9160F">
              <w:t xml:space="preserve"> in this proceeding</w:t>
            </w:r>
            <w:r w:rsidRPr="00CF1F49">
              <w:t xml:space="preserve">. Pursuant to Rule 17.1 of the Commission’s Rules of Practice and Procedure and </w:t>
            </w:r>
            <w:proofErr w:type="gramStart"/>
            <w:r w:rsidRPr="00CF1F49">
              <w:t>the August</w:t>
            </w:r>
            <w:proofErr w:type="gramEnd"/>
            <w:r w:rsidRPr="00CF1F49">
              <w:t xml:space="preserve"> 21, </w:t>
            </w:r>
            <w:proofErr w:type="gramStart"/>
            <w:r w:rsidRPr="00CF1F49">
              <w:t>2023</w:t>
            </w:r>
            <w:proofErr w:type="gramEnd"/>
            <w:r w:rsidRPr="00CF1F49">
              <w:t xml:space="preserve"> Assigned Commissioner’s Amended Scoping Memo and Ruling, CEJA submitted an Amended NOI given CEJA’s change in its bylaws.)</w:t>
            </w:r>
          </w:p>
        </w:tc>
        <w:tc>
          <w:tcPr>
            <w:tcW w:w="2811" w:type="dxa"/>
            <w:tcBorders>
              <w:bottom w:val="single" w:color="auto" w:sz="4" w:space="0"/>
            </w:tcBorders>
            <w:shd w:val="clear" w:color="auto" w:fill="auto"/>
          </w:tcPr>
          <w:p w:rsidRPr="007F620E" w:rsidR="00A92D0B" w:rsidP="00CE22AB" w:rsidRDefault="00E04E14" w14:paraId="71759DE3" w14:textId="651D4A38">
            <w:pPr>
              <w:tabs>
                <w:tab w:val="left" w:pos="360"/>
              </w:tabs>
              <w:rPr>
                <w:color w:val="000000"/>
              </w:rPr>
            </w:pPr>
            <w:r>
              <w:rPr>
                <w:color w:val="000000"/>
              </w:rPr>
              <w:t>Verified</w:t>
            </w:r>
            <w:r w:rsidR="00DF40B9">
              <w:rPr>
                <w:color w:val="000000"/>
              </w:rPr>
              <w:t xml:space="preserve">; CEJA’s NOI was timely filed on </w:t>
            </w:r>
            <w:r w:rsidR="00CE22AB">
              <w:rPr>
                <w:color w:val="000000"/>
              </w:rPr>
              <w:t>July 28, 2020.</w:t>
            </w:r>
          </w:p>
        </w:tc>
      </w:tr>
      <w:tr w:rsidRPr="007F620E" w:rsidR="00A92D0B" w:rsidTr="00CE4462"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811" w:type="dxa"/>
            <w:tcBorders>
              <w:bottom w:val="single" w:color="auto" w:sz="4" w:space="0"/>
            </w:tcBorders>
            <w:shd w:val="clear" w:color="auto" w:fill="auto"/>
          </w:tcPr>
          <w:p w:rsidRPr="007F620E" w:rsidR="00A92D0B" w:rsidP="00F028C8" w:rsidRDefault="00DF40B9" w14:paraId="61DE2845" w14:textId="67CB59EC">
            <w:pPr>
              <w:tabs>
                <w:tab w:val="left" w:pos="360"/>
              </w:tabs>
              <w:rPr>
                <w:color w:val="000000"/>
              </w:rPr>
            </w:pPr>
            <w:r>
              <w:rPr>
                <w:color w:val="000000"/>
              </w:rPr>
              <w:t>Yes</w:t>
            </w:r>
          </w:p>
        </w:tc>
      </w:tr>
      <w:tr w:rsidRPr="007F620E" w:rsidR="00A92D0B" w:rsidTr="00CE4462" w14:paraId="4CD7D46A"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lastRenderedPageBreak/>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F028C8" w:rsidRDefault="00F63C29" w14:paraId="19D649BF" w14:textId="31FAE647">
            <w:pPr>
              <w:keepNext/>
              <w:keepLines/>
              <w:tabs>
                <w:tab w:val="left" w:pos="360"/>
              </w:tabs>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A92D0B" w:rsidTr="00CE4462" w14:paraId="259EC227" w14:textId="77777777">
        <w:tc>
          <w:tcPr>
            <w:tcW w:w="4817" w:type="dxa"/>
            <w:tcBorders>
              <w:top w:val="single" w:color="auto" w:sz="4" w:space="0"/>
            </w:tcBorders>
            <w:shd w:val="clear" w:color="auto" w:fill="auto"/>
          </w:tcPr>
          <w:p w:rsidRPr="007F620E" w:rsidR="00A92D0B" w:rsidP="00F028C8" w:rsidRDefault="00A92D0B" w14:paraId="0EFCD0E9" w14:textId="1A5E3FBE">
            <w:pPr>
              <w:keepNext/>
              <w:keepLines/>
              <w:ind w:left="360" w:hanging="360"/>
              <w:rPr>
                <w:color w:val="000000"/>
              </w:rPr>
            </w:pPr>
            <w:r w:rsidRPr="007F620E">
              <w:rPr>
                <w:color w:val="000000"/>
              </w:rPr>
              <w:t>5.</w:t>
            </w:r>
            <w:r w:rsidR="001E7EE2">
              <w:rPr>
                <w:color w:val="000000"/>
              </w:rPr>
              <w:tab/>
            </w:r>
            <w:r w:rsidRPr="007F620E">
              <w:rPr>
                <w:color w:val="000000"/>
              </w:rPr>
              <w:t xml:space="preserve">Based on ALJ </w:t>
            </w:r>
            <w:proofErr w:type="gramStart"/>
            <w:r w:rsidRPr="007F620E">
              <w:rPr>
                <w:color w:val="000000"/>
              </w:rPr>
              <w:t>ruling</w:t>
            </w:r>
            <w:proofErr w:type="gramEnd"/>
            <w:r w:rsidRPr="007F620E">
              <w:rPr>
                <w:color w:val="000000"/>
              </w:rPr>
              <w:t xml:space="preserve"> issued in proceeding </w:t>
            </w:r>
            <w:r w:rsidRPr="007F620E" w:rsidR="00E3786F">
              <w:rPr>
                <w:color w:val="000000"/>
              </w:rPr>
              <w:t xml:space="preserve">  </w:t>
            </w:r>
            <w:r w:rsidRPr="007F620E">
              <w:rPr>
                <w:color w:val="000000"/>
              </w:rPr>
              <w:t>number:</w:t>
            </w:r>
          </w:p>
        </w:tc>
        <w:tc>
          <w:tcPr>
            <w:tcW w:w="2267" w:type="dxa"/>
            <w:tcBorders>
              <w:top w:val="single" w:color="auto" w:sz="4" w:space="0"/>
            </w:tcBorders>
            <w:shd w:val="clear" w:color="auto" w:fill="auto"/>
          </w:tcPr>
          <w:p w:rsidRPr="007F620E" w:rsidR="00A92D0B" w:rsidP="009A31F4" w:rsidRDefault="00552CFB" w14:paraId="13E72B6D" w14:textId="611856FA">
            <w:pPr>
              <w:keepNext/>
              <w:keepLines/>
              <w:tabs>
                <w:tab w:val="left" w:pos="360"/>
              </w:tabs>
              <w:rPr>
                <w:color w:val="000000"/>
              </w:rPr>
            </w:pPr>
            <w:r>
              <w:rPr>
                <w:color w:val="000000"/>
              </w:rPr>
              <w:t>R.19-11-009</w:t>
            </w:r>
          </w:p>
        </w:tc>
        <w:tc>
          <w:tcPr>
            <w:tcW w:w="2811" w:type="dxa"/>
            <w:tcBorders>
              <w:top w:val="single" w:color="auto" w:sz="4" w:space="0"/>
            </w:tcBorders>
            <w:shd w:val="clear" w:color="auto" w:fill="auto"/>
          </w:tcPr>
          <w:p w:rsidRPr="007F620E" w:rsidR="00A92D0B" w:rsidP="00F028C8" w:rsidRDefault="00B41270" w14:paraId="2679B197" w14:textId="6781C89A">
            <w:pPr>
              <w:keepNext/>
              <w:keepLines/>
              <w:tabs>
                <w:tab w:val="left" w:pos="360"/>
              </w:tabs>
              <w:rPr>
                <w:color w:val="000000"/>
              </w:rPr>
            </w:pPr>
            <w:r>
              <w:rPr>
                <w:color w:val="000000"/>
              </w:rPr>
              <w:t>Verified</w:t>
            </w:r>
          </w:p>
        </w:tc>
      </w:tr>
      <w:tr w:rsidRPr="007F620E" w:rsidR="00A92D0B" w:rsidTr="00CE4462" w14:paraId="4E0FB3B6" w14:textId="77777777">
        <w:tc>
          <w:tcPr>
            <w:tcW w:w="4817" w:type="dxa"/>
            <w:shd w:val="clear" w:color="auto" w:fill="auto"/>
          </w:tcPr>
          <w:p w:rsidRPr="007F620E" w:rsidR="00A92D0B" w:rsidP="00F028C8" w:rsidRDefault="00A92D0B" w14:paraId="568B12E8" w14:textId="6121FC05">
            <w:pPr>
              <w:tabs>
                <w:tab w:val="left" w:pos="360"/>
              </w:tabs>
              <w:ind w:left="360" w:hanging="360"/>
              <w:rPr>
                <w:color w:val="000000"/>
              </w:rPr>
            </w:pPr>
            <w:r w:rsidRPr="007F620E">
              <w:rPr>
                <w:color w:val="000000"/>
              </w:rPr>
              <w:t>6.</w:t>
            </w:r>
            <w:r w:rsidR="001E7EE2">
              <w:rPr>
                <w:color w:val="000000"/>
              </w:rPr>
              <w:tab/>
            </w:r>
            <w:r w:rsidRPr="007F620E">
              <w:rPr>
                <w:color w:val="000000"/>
              </w:rPr>
              <w:t>Date of ALJ ruling:</w:t>
            </w:r>
          </w:p>
        </w:tc>
        <w:tc>
          <w:tcPr>
            <w:tcW w:w="2267" w:type="dxa"/>
            <w:shd w:val="clear" w:color="auto" w:fill="auto"/>
          </w:tcPr>
          <w:p w:rsidRPr="007F620E" w:rsidR="00A92D0B" w:rsidP="00F028C8" w:rsidRDefault="00552CFB" w14:paraId="306125B9" w14:textId="5D6D088D">
            <w:pPr>
              <w:tabs>
                <w:tab w:val="left" w:pos="360"/>
              </w:tabs>
              <w:ind w:left="360" w:hanging="360"/>
              <w:rPr>
                <w:color w:val="000000"/>
              </w:rPr>
            </w:pPr>
            <w:r>
              <w:rPr>
                <w:color w:val="000000"/>
              </w:rPr>
              <w:t>March 13, 2020</w:t>
            </w:r>
          </w:p>
        </w:tc>
        <w:tc>
          <w:tcPr>
            <w:tcW w:w="2811" w:type="dxa"/>
            <w:shd w:val="clear" w:color="auto" w:fill="auto"/>
          </w:tcPr>
          <w:p w:rsidRPr="007F620E" w:rsidR="00A92D0B" w:rsidP="00F028C8" w:rsidRDefault="00B41270" w14:paraId="19F10313" w14:textId="41E74C93">
            <w:pPr>
              <w:tabs>
                <w:tab w:val="left" w:pos="360"/>
              </w:tabs>
              <w:rPr>
                <w:color w:val="000000"/>
              </w:rPr>
            </w:pPr>
            <w:r>
              <w:rPr>
                <w:color w:val="000000"/>
              </w:rPr>
              <w:t>Verified</w:t>
            </w:r>
          </w:p>
        </w:tc>
      </w:tr>
      <w:tr w:rsidRPr="007F620E" w:rsidR="00A92D0B" w:rsidTr="00CE4462" w14:paraId="7F6C1E54" w14:textId="77777777">
        <w:tc>
          <w:tcPr>
            <w:tcW w:w="4817" w:type="dxa"/>
            <w:shd w:val="clear" w:color="auto" w:fill="auto"/>
          </w:tcPr>
          <w:p w:rsidRPr="007F620E" w:rsidR="00A92D0B" w:rsidP="00F028C8" w:rsidRDefault="00A92D0B" w14:paraId="4B6E35B7" w14:textId="56E59D65">
            <w:pPr>
              <w:tabs>
                <w:tab w:val="left" w:pos="360"/>
              </w:tabs>
              <w:ind w:left="360" w:hanging="360"/>
              <w:rPr>
                <w:color w:val="000000"/>
              </w:rPr>
            </w:pPr>
            <w:r w:rsidRPr="007F620E">
              <w:rPr>
                <w:color w:val="000000"/>
              </w:rPr>
              <w:t>7.</w:t>
            </w:r>
            <w:r w:rsidR="001E7EE2">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A92D0B" w:rsidP="00F028C8" w:rsidRDefault="00A92D0B" w14:paraId="5E0F9D32" w14:textId="77777777">
            <w:pPr>
              <w:tabs>
                <w:tab w:val="left" w:pos="360"/>
              </w:tabs>
              <w:ind w:left="360" w:hanging="360"/>
              <w:rPr>
                <w:color w:val="000000"/>
              </w:rPr>
            </w:pPr>
          </w:p>
        </w:tc>
        <w:tc>
          <w:tcPr>
            <w:tcW w:w="2811" w:type="dxa"/>
            <w:tcBorders>
              <w:bottom w:val="single" w:color="auto" w:sz="4" w:space="0"/>
            </w:tcBorders>
            <w:shd w:val="clear" w:color="auto" w:fill="auto"/>
          </w:tcPr>
          <w:p w:rsidRPr="007F620E" w:rsidR="00A92D0B" w:rsidP="00F028C8" w:rsidRDefault="00A92D0B" w14:paraId="180E80B3" w14:textId="77777777">
            <w:pPr>
              <w:tabs>
                <w:tab w:val="left" w:pos="360"/>
              </w:tabs>
              <w:rPr>
                <w:color w:val="000000"/>
              </w:rPr>
            </w:pPr>
          </w:p>
        </w:tc>
      </w:tr>
      <w:tr w:rsidRPr="007F620E" w:rsidR="00A92D0B" w:rsidTr="00CE4462" w14:paraId="397CC4AD" w14:textId="77777777">
        <w:tc>
          <w:tcPr>
            <w:tcW w:w="7084" w:type="dxa"/>
            <w:gridSpan w:val="2"/>
            <w:tcBorders>
              <w:bottom w:val="single" w:color="auto" w:sz="4" w:space="0"/>
            </w:tcBorders>
            <w:shd w:val="clear" w:color="auto" w:fill="auto"/>
          </w:tcPr>
          <w:p w:rsidRPr="007F620E" w:rsidR="00A92D0B" w:rsidP="00F028C8" w:rsidRDefault="00A92D0B" w14:paraId="71D46B68" w14:textId="56857D2E">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Pr="007F620E" w:rsidR="005A63D4">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811" w:type="dxa"/>
            <w:tcBorders>
              <w:bottom w:val="single" w:color="auto" w:sz="4" w:space="0"/>
            </w:tcBorders>
            <w:shd w:val="clear" w:color="auto" w:fill="auto"/>
          </w:tcPr>
          <w:p w:rsidRPr="007F620E" w:rsidR="00A92D0B" w:rsidP="00F028C8" w:rsidRDefault="00BC519F" w14:paraId="7D296E63" w14:textId="3D297965">
            <w:pPr>
              <w:tabs>
                <w:tab w:val="left" w:pos="360"/>
              </w:tabs>
              <w:rPr>
                <w:color w:val="000000"/>
              </w:rPr>
            </w:pPr>
            <w:r>
              <w:rPr>
                <w:color w:val="000000"/>
              </w:rPr>
              <w:t>Yes</w:t>
            </w:r>
          </w:p>
        </w:tc>
      </w:tr>
      <w:tr w:rsidRPr="007F620E" w:rsidR="00A92D0B" w:rsidTr="00CE4462" w14:paraId="33231C71"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F028C8" w:rsidRDefault="00A92D0B" w14:paraId="0291EC4E" w14:textId="77777777">
            <w:pPr>
              <w:keepNext/>
              <w:tabs>
                <w:tab w:val="left" w:pos="360"/>
              </w:tabs>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A92D0B" w:rsidTr="00CE4462" w14:paraId="77F91856" w14:textId="77777777">
        <w:tc>
          <w:tcPr>
            <w:tcW w:w="4817" w:type="dxa"/>
            <w:tcBorders>
              <w:top w:val="single" w:color="auto" w:sz="4" w:space="0"/>
            </w:tcBorders>
            <w:shd w:val="clear" w:color="auto" w:fill="auto"/>
          </w:tcPr>
          <w:p w:rsidRPr="007F620E" w:rsidR="00A92D0B" w:rsidP="00F028C8" w:rsidRDefault="00A92D0B" w14:paraId="6506E60E" w14:textId="7F0FF6A0">
            <w:pPr>
              <w:tabs>
                <w:tab w:val="left" w:pos="315"/>
              </w:tabs>
              <w:ind w:left="360" w:hanging="360"/>
              <w:rPr>
                <w:color w:val="000000"/>
              </w:rPr>
            </w:pPr>
            <w:r w:rsidRPr="007F620E">
              <w:rPr>
                <w:color w:val="000000"/>
              </w:rPr>
              <w:t>9.</w:t>
            </w:r>
            <w:r w:rsidR="001E7EE2">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A92D0B" w:rsidP="00F028C8" w:rsidRDefault="00552CFB" w14:paraId="54B4911C" w14:textId="3A680DA6">
            <w:pPr>
              <w:tabs>
                <w:tab w:val="left" w:pos="360"/>
              </w:tabs>
              <w:ind w:left="360" w:hanging="360"/>
              <w:rPr>
                <w:color w:val="000000"/>
              </w:rPr>
            </w:pPr>
            <w:r>
              <w:rPr>
                <w:color w:val="000000"/>
              </w:rPr>
              <w:t>R.19-11-009</w:t>
            </w:r>
          </w:p>
        </w:tc>
        <w:tc>
          <w:tcPr>
            <w:tcW w:w="2811" w:type="dxa"/>
            <w:tcBorders>
              <w:top w:val="single" w:color="auto" w:sz="4" w:space="0"/>
            </w:tcBorders>
            <w:shd w:val="clear" w:color="auto" w:fill="auto"/>
          </w:tcPr>
          <w:p w:rsidRPr="007F620E" w:rsidR="00A92D0B" w:rsidP="00F028C8" w:rsidRDefault="00704C3A" w14:paraId="2E2FB9D6" w14:textId="1BE7376E">
            <w:pPr>
              <w:tabs>
                <w:tab w:val="left" w:pos="360"/>
              </w:tabs>
              <w:rPr>
                <w:color w:val="000000"/>
              </w:rPr>
            </w:pPr>
            <w:r w:rsidRPr="00704C3A">
              <w:rPr>
                <w:color w:val="000000"/>
              </w:rPr>
              <w:t>Verified</w:t>
            </w:r>
          </w:p>
        </w:tc>
      </w:tr>
      <w:tr w:rsidRPr="007F620E" w:rsidR="00A92D0B" w:rsidTr="00CE4462" w14:paraId="4AD750C1" w14:textId="77777777">
        <w:tc>
          <w:tcPr>
            <w:tcW w:w="4817" w:type="dxa"/>
            <w:shd w:val="clear" w:color="auto" w:fill="auto"/>
          </w:tcPr>
          <w:p w:rsidRPr="007F620E" w:rsidR="00A92D0B" w:rsidP="00F028C8" w:rsidRDefault="00A92D0B" w14:paraId="2A279407" w14:textId="1E831EEE">
            <w:pPr>
              <w:ind w:left="360" w:hanging="360"/>
              <w:rPr>
                <w:color w:val="000000"/>
              </w:rPr>
            </w:pPr>
            <w:r w:rsidRPr="007F620E">
              <w:rPr>
                <w:color w:val="000000"/>
              </w:rPr>
              <w:t>10.</w:t>
            </w:r>
            <w:r w:rsidR="001E7EE2">
              <w:rPr>
                <w:color w:val="000000"/>
              </w:rPr>
              <w:tab/>
            </w:r>
            <w:r w:rsidRPr="007F620E">
              <w:rPr>
                <w:color w:val="000000"/>
              </w:rPr>
              <w:t>Date of ALJ ruling:</w:t>
            </w:r>
          </w:p>
        </w:tc>
        <w:tc>
          <w:tcPr>
            <w:tcW w:w="2267" w:type="dxa"/>
            <w:shd w:val="clear" w:color="auto" w:fill="auto"/>
          </w:tcPr>
          <w:p w:rsidRPr="007F620E" w:rsidR="00A92D0B" w:rsidP="00F028C8" w:rsidRDefault="00552CFB" w14:paraId="4B66A2E4" w14:textId="5F60501E">
            <w:pPr>
              <w:tabs>
                <w:tab w:val="left" w:pos="360"/>
              </w:tabs>
              <w:ind w:left="360" w:hanging="360"/>
              <w:rPr>
                <w:color w:val="000000"/>
              </w:rPr>
            </w:pPr>
            <w:r>
              <w:rPr>
                <w:color w:val="000000"/>
              </w:rPr>
              <w:t>March 13, 2020</w:t>
            </w:r>
          </w:p>
        </w:tc>
        <w:tc>
          <w:tcPr>
            <w:tcW w:w="2811" w:type="dxa"/>
            <w:shd w:val="clear" w:color="auto" w:fill="auto"/>
          </w:tcPr>
          <w:p w:rsidRPr="007F620E" w:rsidR="00A92D0B" w:rsidP="00F028C8" w:rsidRDefault="00704C3A" w14:paraId="3B83D035" w14:textId="73D4593E">
            <w:pPr>
              <w:tabs>
                <w:tab w:val="left" w:pos="360"/>
              </w:tabs>
              <w:rPr>
                <w:color w:val="000000"/>
              </w:rPr>
            </w:pPr>
            <w:r w:rsidRPr="00704C3A">
              <w:rPr>
                <w:color w:val="000000"/>
              </w:rPr>
              <w:t>Verified</w:t>
            </w:r>
          </w:p>
        </w:tc>
      </w:tr>
      <w:tr w:rsidRPr="007F620E" w:rsidR="00357F1A" w:rsidTr="00CE4462" w14:paraId="7C183C5E" w14:textId="77777777">
        <w:tc>
          <w:tcPr>
            <w:tcW w:w="4817" w:type="dxa"/>
            <w:shd w:val="clear" w:color="auto" w:fill="auto"/>
          </w:tcPr>
          <w:p w:rsidRPr="007F620E" w:rsidR="00357F1A" w:rsidP="00F028C8" w:rsidRDefault="00357F1A" w14:paraId="4141CB3D" w14:textId="2DCA8797">
            <w:pPr>
              <w:ind w:left="360" w:hanging="360"/>
              <w:rPr>
                <w:color w:val="000000"/>
              </w:rPr>
            </w:pPr>
            <w:r w:rsidRPr="007F620E">
              <w:rPr>
                <w:color w:val="000000"/>
              </w:rPr>
              <w:t>11.</w:t>
            </w:r>
            <w:r w:rsidR="001E7EE2">
              <w:rPr>
                <w:color w:val="000000"/>
              </w:rPr>
              <w:tab/>
            </w:r>
            <w:r w:rsidRPr="007F620E">
              <w:rPr>
                <w:color w:val="000000"/>
              </w:rPr>
              <w:t>Based on another CPUC determination (specify):</w:t>
            </w:r>
          </w:p>
        </w:tc>
        <w:tc>
          <w:tcPr>
            <w:tcW w:w="2267" w:type="dxa"/>
            <w:shd w:val="clear" w:color="auto" w:fill="auto"/>
          </w:tcPr>
          <w:p w:rsidRPr="007F620E" w:rsidR="00357F1A" w:rsidP="00F028C8" w:rsidRDefault="00357F1A" w14:paraId="141EB5CF" w14:textId="77777777">
            <w:pPr>
              <w:tabs>
                <w:tab w:val="left" w:pos="360"/>
              </w:tabs>
              <w:ind w:left="360" w:hanging="360"/>
              <w:rPr>
                <w:color w:val="000000"/>
              </w:rPr>
            </w:pPr>
          </w:p>
        </w:tc>
        <w:tc>
          <w:tcPr>
            <w:tcW w:w="2811" w:type="dxa"/>
            <w:shd w:val="clear" w:color="auto" w:fill="auto"/>
          </w:tcPr>
          <w:p w:rsidRPr="007F620E" w:rsidR="00357F1A" w:rsidP="00F028C8" w:rsidRDefault="00357F1A" w14:paraId="79318715" w14:textId="77777777">
            <w:pPr>
              <w:tabs>
                <w:tab w:val="left" w:pos="360"/>
              </w:tabs>
              <w:rPr>
                <w:color w:val="000000"/>
              </w:rPr>
            </w:pPr>
          </w:p>
        </w:tc>
      </w:tr>
      <w:tr w:rsidRPr="007F620E" w:rsidR="00A92D0B" w:rsidTr="00CE4462" w14:paraId="4E8D20BF" w14:textId="77777777">
        <w:tc>
          <w:tcPr>
            <w:tcW w:w="7084" w:type="dxa"/>
            <w:gridSpan w:val="2"/>
            <w:tcBorders>
              <w:bottom w:val="single" w:color="auto" w:sz="4" w:space="0"/>
            </w:tcBorders>
            <w:shd w:val="clear" w:color="auto" w:fill="auto"/>
          </w:tcPr>
          <w:p w:rsidRPr="007F620E" w:rsidR="00A92D0B" w:rsidP="00F028C8" w:rsidRDefault="00180E8C" w14:paraId="48D0D936" w14:textId="6A3DF8B8">
            <w:pPr>
              <w:tabs>
                <w:tab w:val="left" w:pos="360"/>
              </w:tabs>
              <w:ind w:left="360" w:hanging="360"/>
              <w:rPr>
                <w:color w:val="000000"/>
              </w:rPr>
            </w:pPr>
            <w:r>
              <w:rPr>
                <w:color w:val="000000"/>
              </w:rPr>
              <w:t>12</w:t>
            </w:r>
            <w:r w:rsidRPr="007F620E" w:rsidR="00A92D0B">
              <w:rPr>
                <w:color w:val="000000"/>
              </w:rPr>
              <w:t>.</w:t>
            </w:r>
            <w:r w:rsidR="001E7EE2">
              <w:rPr>
                <w:color w:val="000000"/>
              </w:rPr>
              <w:tab/>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811" w:type="dxa"/>
            <w:tcBorders>
              <w:bottom w:val="single" w:color="auto" w:sz="4" w:space="0"/>
            </w:tcBorders>
            <w:shd w:val="clear" w:color="auto" w:fill="auto"/>
          </w:tcPr>
          <w:p w:rsidRPr="007F620E" w:rsidR="00A92D0B" w:rsidP="00F028C8" w:rsidRDefault="00E948A6" w14:paraId="0F29B839" w14:textId="5FBD0E8B">
            <w:pPr>
              <w:tabs>
                <w:tab w:val="left" w:pos="360"/>
              </w:tabs>
              <w:rPr>
                <w:color w:val="000000"/>
              </w:rPr>
            </w:pPr>
            <w:r>
              <w:rPr>
                <w:color w:val="000000"/>
              </w:rPr>
              <w:t>Yes</w:t>
            </w:r>
          </w:p>
        </w:tc>
      </w:tr>
      <w:tr w:rsidRPr="007F620E" w:rsidR="00A92D0B" w:rsidTr="00CE4462" w14:paraId="60D4FD5C"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7056FC" w:rsidRDefault="00A92D0B" w14:paraId="172E2884" w14:textId="77777777">
            <w:pPr>
              <w:keepNext/>
              <w:tabs>
                <w:tab w:val="left" w:pos="360"/>
              </w:tabs>
              <w:jc w:val="center"/>
              <w:rPr>
                <w:color w:val="000000"/>
              </w:rPr>
            </w:pPr>
            <w:r w:rsidRPr="007F620E">
              <w:rPr>
                <w:b/>
                <w:color w:val="000000"/>
              </w:rPr>
              <w:t>Timely request for compensation (§ 1804(c)):</w:t>
            </w:r>
          </w:p>
        </w:tc>
      </w:tr>
      <w:tr w:rsidRPr="007F620E" w:rsidR="00A92D0B" w:rsidTr="00CE4462" w14:paraId="3E7938B0" w14:textId="77777777">
        <w:tc>
          <w:tcPr>
            <w:tcW w:w="4817" w:type="dxa"/>
            <w:tcBorders>
              <w:top w:val="single" w:color="auto" w:sz="4" w:space="0"/>
            </w:tcBorders>
            <w:shd w:val="clear" w:color="auto" w:fill="auto"/>
          </w:tcPr>
          <w:p w:rsidRPr="007F620E" w:rsidR="00A92D0B" w:rsidP="00F028C8" w:rsidRDefault="00A92D0B" w14:paraId="66088F1B" w14:textId="2DB4A731">
            <w:pPr>
              <w:keepNext/>
              <w:tabs>
                <w:tab w:val="left" w:pos="612"/>
              </w:tabs>
              <w:ind w:left="360" w:hanging="360"/>
              <w:rPr>
                <w:color w:val="000000"/>
              </w:rPr>
            </w:pPr>
            <w:r w:rsidRPr="007F620E">
              <w:rPr>
                <w:color w:val="000000"/>
              </w:rPr>
              <w:t>13.</w:t>
            </w:r>
            <w:r w:rsidR="001E7EE2">
              <w:rPr>
                <w:color w:val="000000"/>
              </w:rPr>
              <w:tab/>
            </w:r>
            <w:r w:rsidRPr="007F620E">
              <w:rPr>
                <w:color w:val="000000"/>
              </w:rPr>
              <w:t>Identify Final Decision:</w:t>
            </w:r>
          </w:p>
        </w:tc>
        <w:tc>
          <w:tcPr>
            <w:tcW w:w="2267" w:type="dxa"/>
            <w:tcBorders>
              <w:top w:val="single" w:color="auto" w:sz="4" w:space="0"/>
            </w:tcBorders>
            <w:shd w:val="clear" w:color="auto" w:fill="auto"/>
          </w:tcPr>
          <w:p w:rsidRPr="007F620E" w:rsidR="00A92D0B" w:rsidP="00F028C8" w:rsidRDefault="00946672" w14:paraId="7166F318" w14:textId="7A92045D">
            <w:pPr>
              <w:tabs>
                <w:tab w:val="left" w:pos="360"/>
              </w:tabs>
              <w:rPr>
                <w:color w:val="000000"/>
              </w:rPr>
            </w:pPr>
            <w:r>
              <w:rPr>
                <w:color w:val="000000"/>
              </w:rPr>
              <w:t>D.25-02-026</w:t>
            </w:r>
          </w:p>
        </w:tc>
        <w:tc>
          <w:tcPr>
            <w:tcW w:w="2811" w:type="dxa"/>
            <w:tcBorders>
              <w:top w:val="single" w:color="auto" w:sz="4" w:space="0"/>
            </w:tcBorders>
            <w:shd w:val="clear" w:color="auto" w:fill="auto"/>
          </w:tcPr>
          <w:p w:rsidRPr="007F620E" w:rsidR="00A92D0B" w:rsidP="00F028C8" w:rsidRDefault="00162633" w14:paraId="1588DC54" w14:textId="538E8F19">
            <w:pPr>
              <w:tabs>
                <w:tab w:val="left" w:pos="360"/>
              </w:tabs>
              <w:rPr>
                <w:color w:val="000000"/>
              </w:rPr>
            </w:pPr>
            <w:r>
              <w:rPr>
                <w:color w:val="000000"/>
              </w:rPr>
              <w:t>Verified</w:t>
            </w:r>
          </w:p>
        </w:tc>
      </w:tr>
      <w:tr w:rsidRPr="007F620E" w:rsidR="00A92D0B" w:rsidTr="00CE4462" w14:paraId="6360DE59" w14:textId="77777777">
        <w:tc>
          <w:tcPr>
            <w:tcW w:w="4817" w:type="dxa"/>
            <w:shd w:val="clear" w:color="auto" w:fill="auto"/>
          </w:tcPr>
          <w:p w:rsidRPr="007F620E" w:rsidR="00A92D0B" w:rsidP="00F028C8" w:rsidRDefault="00A92D0B" w14:paraId="4B809E4A" w14:textId="4BEED0BB">
            <w:pPr>
              <w:tabs>
                <w:tab w:val="left" w:pos="612"/>
              </w:tabs>
              <w:ind w:left="360" w:hanging="360"/>
              <w:rPr>
                <w:color w:val="000000"/>
              </w:rPr>
            </w:pPr>
            <w:r w:rsidRPr="007F620E">
              <w:rPr>
                <w:color w:val="000000"/>
              </w:rPr>
              <w:t>14.</w:t>
            </w:r>
            <w:r w:rsidR="001E7EE2">
              <w:rPr>
                <w:color w:val="000000"/>
              </w:rPr>
              <w:tab/>
            </w:r>
            <w:r w:rsidRPr="007F620E">
              <w:rPr>
                <w:color w:val="000000"/>
              </w:rPr>
              <w:t xml:space="preserve">Date of </w:t>
            </w:r>
            <w:r w:rsidRPr="007F620E" w:rsidR="00A319DE">
              <w:rPr>
                <w:color w:val="000000"/>
              </w:rPr>
              <w:t>i</w:t>
            </w:r>
            <w:r w:rsidRPr="007F620E">
              <w:rPr>
                <w:color w:val="000000"/>
              </w:rPr>
              <w:t xml:space="preserve">ssuance of Final Order or Decision:    </w:t>
            </w:r>
          </w:p>
        </w:tc>
        <w:tc>
          <w:tcPr>
            <w:tcW w:w="2267" w:type="dxa"/>
            <w:shd w:val="clear" w:color="auto" w:fill="auto"/>
          </w:tcPr>
          <w:p w:rsidRPr="007F620E" w:rsidR="00A92D0B" w:rsidP="00F028C8" w:rsidRDefault="00946672" w14:paraId="20455B5F" w14:textId="5B0114C2">
            <w:pPr>
              <w:tabs>
                <w:tab w:val="left" w:pos="360"/>
              </w:tabs>
              <w:rPr>
                <w:color w:val="000000"/>
              </w:rPr>
            </w:pPr>
            <w:r>
              <w:rPr>
                <w:color w:val="000000"/>
              </w:rPr>
              <w:t>February 26, 2025</w:t>
            </w:r>
          </w:p>
        </w:tc>
        <w:tc>
          <w:tcPr>
            <w:tcW w:w="2811" w:type="dxa"/>
            <w:shd w:val="clear" w:color="auto" w:fill="auto"/>
          </w:tcPr>
          <w:p w:rsidRPr="007F620E" w:rsidR="00A92D0B" w:rsidP="00F028C8" w:rsidRDefault="00162633" w14:paraId="1FCF00DD" w14:textId="1005FEAF">
            <w:pPr>
              <w:tabs>
                <w:tab w:val="left" w:pos="360"/>
              </w:tabs>
              <w:rPr>
                <w:color w:val="000000"/>
              </w:rPr>
            </w:pPr>
            <w:r w:rsidRPr="00162633">
              <w:rPr>
                <w:color w:val="000000"/>
              </w:rPr>
              <w:t>Verified</w:t>
            </w:r>
          </w:p>
        </w:tc>
      </w:tr>
      <w:tr w:rsidRPr="007F620E" w:rsidR="00A92D0B" w:rsidTr="00CE4462" w14:paraId="723259E3" w14:textId="77777777">
        <w:tc>
          <w:tcPr>
            <w:tcW w:w="4817" w:type="dxa"/>
            <w:shd w:val="clear" w:color="auto" w:fill="auto"/>
          </w:tcPr>
          <w:p w:rsidRPr="007F620E" w:rsidR="00A92D0B" w:rsidP="00F028C8" w:rsidRDefault="00A92D0B" w14:paraId="163EE1CA" w14:textId="2B64EB9E">
            <w:pPr>
              <w:tabs>
                <w:tab w:val="left" w:pos="612"/>
              </w:tabs>
              <w:ind w:left="360" w:hanging="360"/>
              <w:rPr>
                <w:color w:val="000000"/>
              </w:rPr>
            </w:pPr>
            <w:r w:rsidRPr="00A81AD7">
              <w:rPr>
                <w:color w:val="000000"/>
              </w:rPr>
              <w:t>15.</w:t>
            </w:r>
            <w:r w:rsidRPr="00A81AD7" w:rsidR="001E7EE2">
              <w:rPr>
                <w:color w:val="000000"/>
              </w:rPr>
              <w:tab/>
            </w:r>
            <w:r w:rsidRPr="0027357A">
              <w:rPr>
                <w:color w:val="000000"/>
              </w:rPr>
              <w:t>File date of compensation request:</w:t>
            </w:r>
          </w:p>
        </w:tc>
        <w:tc>
          <w:tcPr>
            <w:tcW w:w="2267" w:type="dxa"/>
            <w:shd w:val="clear" w:color="auto" w:fill="auto"/>
          </w:tcPr>
          <w:p w:rsidRPr="007F620E" w:rsidR="00A92D0B" w:rsidP="00F028C8" w:rsidRDefault="00A81AD7" w14:paraId="0568B39D" w14:textId="3BDA83F6">
            <w:pPr>
              <w:tabs>
                <w:tab w:val="left" w:pos="360"/>
              </w:tabs>
              <w:rPr>
                <w:color w:val="000000"/>
              </w:rPr>
            </w:pPr>
            <w:r>
              <w:rPr>
                <w:color w:val="000000"/>
              </w:rPr>
              <w:t>March 2</w:t>
            </w:r>
            <w:r w:rsidR="00F80AC7">
              <w:rPr>
                <w:color w:val="000000"/>
              </w:rPr>
              <w:t>1</w:t>
            </w:r>
            <w:r>
              <w:rPr>
                <w:color w:val="000000"/>
              </w:rPr>
              <w:t>, 2025</w:t>
            </w:r>
          </w:p>
        </w:tc>
        <w:tc>
          <w:tcPr>
            <w:tcW w:w="2811" w:type="dxa"/>
            <w:shd w:val="clear" w:color="auto" w:fill="auto"/>
          </w:tcPr>
          <w:p w:rsidRPr="007F620E" w:rsidR="00A92D0B" w:rsidP="00F028C8" w:rsidRDefault="006F5DFF" w14:paraId="1CBF4E7A" w14:textId="78EA224F">
            <w:pPr>
              <w:tabs>
                <w:tab w:val="left" w:pos="360"/>
              </w:tabs>
              <w:rPr>
                <w:color w:val="000000"/>
              </w:rPr>
            </w:pPr>
            <w:r>
              <w:rPr>
                <w:color w:val="000000"/>
              </w:rPr>
              <w:t>Verified</w:t>
            </w:r>
          </w:p>
        </w:tc>
      </w:tr>
      <w:tr w:rsidRPr="007F620E" w:rsidR="00A92D0B" w:rsidTr="00CE4462" w14:paraId="406BCA3A" w14:textId="77777777">
        <w:tc>
          <w:tcPr>
            <w:tcW w:w="7084" w:type="dxa"/>
            <w:gridSpan w:val="2"/>
            <w:shd w:val="clear" w:color="auto" w:fill="auto"/>
          </w:tcPr>
          <w:p w:rsidRPr="007F620E" w:rsidR="00A92D0B" w:rsidP="00F028C8" w:rsidRDefault="00A92D0B" w14:paraId="10AF42D1" w14:textId="67695104">
            <w:pPr>
              <w:tabs>
                <w:tab w:val="left" w:pos="360"/>
              </w:tabs>
              <w:ind w:left="360" w:hanging="360"/>
              <w:rPr>
                <w:color w:val="000000"/>
              </w:rPr>
            </w:pPr>
            <w:proofErr w:type="gramStart"/>
            <w:r w:rsidRPr="007F620E">
              <w:rPr>
                <w:color w:val="000000"/>
              </w:rPr>
              <w:t>16</w:t>
            </w:r>
            <w:r w:rsidR="001E7EE2">
              <w:rPr>
                <w:color w:val="000000"/>
              </w:rPr>
              <w:t>.</w:t>
            </w:r>
            <w:r w:rsidR="001E7EE2">
              <w:rPr>
                <w:color w:val="000000"/>
              </w:rPr>
              <w:tab/>
            </w:r>
            <w:r w:rsidRPr="007F620E">
              <w:rPr>
                <w:color w:val="000000"/>
              </w:rPr>
              <w:t>Was</w:t>
            </w:r>
            <w:proofErr w:type="gramEnd"/>
            <w:r w:rsidRPr="007F620E">
              <w:rPr>
                <w:color w:val="000000"/>
              </w:rPr>
              <w:t xml:space="preserve"> the request for compensation timely?</w:t>
            </w:r>
          </w:p>
        </w:tc>
        <w:tc>
          <w:tcPr>
            <w:tcW w:w="2811" w:type="dxa"/>
            <w:shd w:val="clear" w:color="auto" w:fill="auto"/>
          </w:tcPr>
          <w:p w:rsidRPr="007F620E" w:rsidR="00A92D0B" w:rsidP="00F028C8" w:rsidRDefault="006F5DFF" w14:paraId="2EA30E63" w14:textId="1C1DEFD3">
            <w:pPr>
              <w:tabs>
                <w:tab w:val="left" w:pos="360"/>
              </w:tabs>
              <w:rPr>
                <w:color w:val="000000"/>
              </w:rPr>
            </w:pPr>
            <w:r>
              <w:rPr>
                <w:color w:val="000000"/>
              </w:rPr>
              <w:t>Yes</w:t>
            </w:r>
          </w:p>
        </w:tc>
      </w:tr>
    </w:tbl>
    <w:p w:rsidRPr="007F620E" w:rsidR="00A92D0B" w:rsidP="00880855" w:rsidRDefault="00A92D0B" w14:paraId="0068592B" w14:textId="3EBFE17C">
      <w:pPr>
        <w:keepNext/>
        <w:numPr>
          <w:ilvl w:val="0"/>
          <w:numId w:val="5"/>
        </w:numPr>
        <w:spacing w:before="240" w:after="240"/>
        <w:rPr>
          <w:b/>
          <w:color w:val="000000"/>
        </w:rPr>
      </w:pPr>
      <w:r w:rsidRPr="007F620E">
        <w:rPr>
          <w:b/>
          <w:color w:val="000000"/>
        </w:rPr>
        <w:t>Additional Comments on Part I</w:t>
      </w:r>
      <w:r w:rsidR="00C02649">
        <w:rPr>
          <w:b/>
          <w:color w:val="000000"/>
        </w:rPr>
        <w:t>:</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3759"/>
        <w:gridCol w:w="5276"/>
      </w:tblGrid>
      <w:tr w:rsidRPr="007F620E" w:rsidR="003C608A" w:rsidTr="00CE4462"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3759"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5276"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3C608A" w:rsidTr="00CE4462" w14:paraId="1C6180A4" w14:textId="77777777">
        <w:trPr>
          <w:trHeight w:val="67"/>
        </w:trPr>
        <w:tc>
          <w:tcPr>
            <w:tcW w:w="860" w:type="dxa"/>
            <w:shd w:val="clear" w:color="auto" w:fill="auto"/>
          </w:tcPr>
          <w:p w:rsidRPr="007F620E" w:rsidR="003C608A" w:rsidP="007056FC" w:rsidRDefault="003C608A" w14:paraId="4350D384" w14:textId="77777777">
            <w:pPr>
              <w:tabs>
                <w:tab w:val="left" w:pos="360"/>
              </w:tabs>
              <w:rPr>
                <w:color w:val="000000"/>
              </w:rPr>
            </w:pPr>
          </w:p>
        </w:tc>
        <w:tc>
          <w:tcPr>
            <w:tcW w:w="3759" w:type="dxa"/>
            <w:shd w:val="clear" w:color="auto" w:fill="auto"/>
          </w:tcPr>
          <w:p w:rsidRPr="007F620E" w:rsidR="003C608A" w:rsidP="003B7550" w:rsidRDefault="003B7550" w14:paraId="0ECF4A98" w14:textId="595D78F1">
            <w:pPr>
              <w:pStyle w:val="Default"/>
            </w:pPr>
            <w:r w:rsidRPr="00304129">
              <w:t>The California Environmental Justice Alliance (</w:t>
            </w:r>
            <w:r>
              <w:t>“</w:t>
            </w:r>
            <w:r w:rsidRPr="00304129">
              <w:t>CEJA</w:t>
            </w:r>
            <w:r>
              <w:t>”</w:t>
            </w:r>
            <w:r w:rsidRPr="00304129">
              <w:t xml:space="preserve">) is an alliance of nonprofit, public interest, and grassroots environmental justice organizations working to achieve environmental justice for low-income communities and communities of color throughout the state of California. CEJA’s organizations represent utility customers throughout California that </w:t>
            </w:r>
            <w:r w:rsidRPr="00304129">
              <w:lastRenderedPageBreak/>
              <w:t xml:space="preserve">are concerned about their health and the environment. </w:t>
            </w:r>
            <w:proofErr w:type="gramStart"/>
            <w:r w:rsidRPr="00304129">
              <w:t>In particular, CEJA</w:t>
            </w:r>
            <w:proofErr w:type="gramEnd"/>
            <w:r w:rsidRPr="00304129">
              <w:t xml:space="preserve"> is advocating for policies at </w:t>
            </w:r>
            <w:proofErr w:type="gramStart"/>
            <w:r w:rsidRPr="00304129">
              <w:t>the federal</w:t>
            </w:r>
            <w:proofErr w:type="gramEnd"/>
            <w:r w:rsidRPr="00304129">
              <w:t>, state, regional and local levels that protect public health and the environment. CEJA is also working to ensure that California enacts statewide climate change policies that protect low-income communities and communities of color.</w:t>
            </w:r>
          </w:p>
        </w:tc>
        <w:tc>
          <w:tcPr>
            <w:tcW w:w="5276" w:type="dxa"/>
            <w:shd w:val="clear" w:color="auto" w:fill="auto"/>
          </w:tcPr>
          <w:p w:rsidRPr="007F620E" w:rsidR="003C608A" w:rsidP="007056FC" w:rsidRDefault="0029648E" w14:paraId="416D6250" w14:textId="385F2D4E">
            <w:pPr>
              <w:tabs>
                <w:tab w:val="left" w:pos="360"/>
              </w:tabs>
              <w:rPr>
                <w:color w:val="000000"/>
              </w:rPr>
            </w:pPr>
            <w:r>
              <w:rPr>
                <w:color w:val="000000"/>
              </w:rPr>
              <w:lastRenderedPageBreak/>
              <w:t>Noted</w:t>
            </w:r>
          </w:p>
        </w:tc>
      </w:tr>
    </w:tbl>
    <w:p w:rsidR="003B6A1B" w:rsidP="00DB4E03" w:rsidRDefault="00A92D0B" w14:paraId="501B5F3D" w14:textId="4BA761D3">
      <w:pPr>
        <w:keepNext/>
        <w:spacing w:before="480"/>
        <w:jc w:val="center"/>
        <w:rPr>
          <w:b/>
          <w:color w:val="000000"/>
        </w:rPr>
      </w:pPr>
      <w:r w:rsidRPr="007F620E">
        <w:rPr>
          <w:b/>
          <w:color w:val="000000"/>
        </w:rPr>
        <w:t>PART II</w:t>
      </w:r>
      <w:r w:rsidRPr="007F620E" w:rsidR="009851A5">
        <w:rPr>
          <w:b/>
          <w:color w:val="000000"/>
        </w:rPr>
        <w:t>:</w:t>
      </w:r>
      <w:r w:rsidR="009851A5">
        <w:rPr>
          <w:b/>
          <w:color w:val="000000"/>
        </w:rPr>
        <w:t xml:space="preserve"> SUBSTANTIAL</w:t>
      </w:r>
      <w:r w:rsidRPr="007F620E">
        <w:rPr>
          <w:b/>
          <w:color w:val="000000"/>
        </w:rPr>
        <w:t xml:space="preserve"> CONTRIBUTION</w:t>
      </w:r>
    </w:p>
    <w:p w:rsidRPr="00C02649" w:rsidR="00A92D0B" w:rsidP="005B5B44" w:rsidRDefault="00D075B1" w14:paraId="337CC332" w14:textId="352E139A">
      <w:pPr>
        <w:keepNext/>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258"/>
        <w:gridCol w:w="4140"/>
        <w:gridCol w:w="2497"/>
      </w:tblGrid>
      <w:tr w:rsidRPr="007F620E" w:rsidR="00A92D0B" w:rsidTr="00CE4462" w14:paraId="67755362" w14:textId="77777777">
        <w:tc>
          <w:tcPr>
            <w:tcW w:w="3258" w:type="dxa"/>
            <w:tcBorders>
              <w:bottom w:val="single" w:color="auto" w:sz="4" w:space="0"/>
            </w:tcBorders>
            <w:shd w:val="pct12" w:color="auto" w:fill="auto"/>
          </w:tcPr>
          <w:p w:rsidRPr="007F620E" w:rsidR="00A92D0B" w:rsidP="00073262" w:rsidRDefault="00D075B1" w14:paraId="7CE2E5BB" w14:textId="77777777">
            <w:pPr>
              <w:jc w:val="center"/>
              <w:rPr>
                <w:b/>
                <w:color w:val="000000"/>
              </w:rPr>
            </w:pPr>
            <w:r w:rsidRPr="007F620E">
              <w:rPr>
                <w:b/>
                <w:color w:val="000000"/>
              </w:rPr>
              <w:t>Intervenor’s Claimed Contribution(s)</w:t>
            </w:r>
          </w:p>
        </w:tc>
        <w:tc>
          <w:tcPr>
            <w:tcW w:w="4140" w:type="dxa"/>
            <w:tcBorders>
              <w:bottom w:val="single" w:color="auto" w:sz="4" w:space="0"/>
            </w:tcBorders>
            <w:shd w:val="pct12" w:color="auto" w:fill="auto"/>
            <w:vAlign w:val="bottom"/>
          </w:tcPr>
          <w:p w:rsidRPr="007F620E" w:rsidR="00A92D0B" w:rsidP="00073262" w:rsidRDefault="00A92D0B" w14:paraId="2794272E" w14:textId="77777777">
            <w:pPr>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497" w:type="dxa"/>
            <w:shd w:val="pct12" w:color="auto" w:fill="auto"/>
            <w:vAlign w:val="bottom"/>
          </w:tcPr>
          <w:p w:rsidRPr="007F620E" w:rsidR="00A92D0B" w:rsidP="00073262" w:rsidRDefault="00D075B1" w14:paraId="79AFC714" w14:textId="77777777">
            <w:pPr>
              <w:jc w:val="center"/>
              <w:rPr>
                <w:b/>
                <w:color w:val="000000"/>
              </w:rPr>
            </w:pPr>
            <w:r w:rsidRPr="007F620E">
              <w:rPr>
                <w:b/>
                <w:color w:val="000000"/>
              </w:rPr>
              <w:t>CPUC Discussion</w:t>
            </w:r>
          </w:p>
        </w:tc>
      </w:tr>
      <w:tr w:rsidRPr="007F620E" w:rsidR="006067EE" w:rsidTr="00CE4462" w14:paraId="55F03330" w14:textId="77777777">
        <w:tc>
          <w:tcPr>
            <w:tcW w:w="3258" w:type="dxa"/>
            <w:shd w:val="clear" w:color="auto" w:fill="auto"/>
          </w:tcPr>
          <w:p w:rsidRPr="00E81CF9" w:rsidR="00021181" w:rsidP="00021181" w:rsidRDefault="00552CFB" w14:paraId="1C75B721" w14:textId="56920B20">
            <w:pPr>
              <w:widowControl w:val="0"/>
              <w:snapToGrid w:val="0"/>
              <w:rPr>
                <w:color w:val="000000"/>
              </w:rPr>
            </w:pPr>
            <w:r w:rsidRPr="00E81CF9">
              <w:rPr>
                <w:b/>
                <w:bCs/>
                <w:color w:val="000000"/>
              </w:rPr>
              <w:t xml:space="preserve">Issue 1: </w:t>
            </w:r>
            <w:r w:rsidRPr="00E81CF9" w:rsidR="00037DD3">
              <w:rPr>
                <w:b/>
                <w:bCs/>
                <w:color w:val="000000"/>
              </w:rPr>
              <w:t xml:space="preserve">Eligible Resources: </w:t>
            </w:r>
            <w:r w:rsidRPr="00E81CF9" w:rsidR="00021181">
              <w:rPr>
                <w:b/>
                <w:bCs/>
                <w:color w:val="000000"/>
              </w:rPr>
              <w:t xml:space="preserve">Centralized Procurement Should Not Include </w:t>
            </w:r>
            <w:r w:rsidRPr="00E81CF9" w:rsidR="00037DD3">
              <w:rPr>
                <w:b/>
                <w:bCs/>
                <w:color w:val="000000"/>
              </w:rPr>
              <w:t xml:space="preserve">Combustion </w:t>
            </w:r>
            <w:r w:rsidRPr="00E81CF9" w:rsidR="000900E7">
              <w:rPr>
                <w:b/>
                <w:bCs/>
                <w:color w:val="000000"/>
              </w:rPr>
              <w:t xml:space="preserve">Resources </w:t>
            </w:r>
            <w:r w:rsidRPr="00E81CF9" w:rsidR="00037DD3">
              <w:rPr>
                <w:b/>
                <w:bCs/>
                <w:color w:val="000000"/>
              </w:rPr>
              <w:t xml:space="preserve">and </w:t>
            </w:r>
            <w:r w:rsidRPr="00E81CF9" w:rsidR="00021181">
              <w:rPr>
                <w:b/>
                <w:bCs/>
                <w:color w:val="000000"/>
              </w:rPr>
              <w:t>Fossil Fuels</w:t>
            </w:r>
            <w:proofErr w:type="gramStart"/>
            <w:r w:rsidRPr="00E81CF9" w:rsidR="00021181">
              <w:rPr>
                <w:b/>
                <w:bCs/>
                <w:color w:val="000000"/>
              </w:rPr>
              <w:t xml:space="preserve">: </w:t>
            </w:r>
            <w:r w:rsidRPr="00E81CF9" w:rsidR="00021181">
              <w:rPr>
                <w:color w:val="000000"/>
              </w:rPr>
              <w:t xml:space="preserve"> CEJA</w:t>
            </w:r>
            <w:proofErr w:type="gramEnd"/>
            <w:r w:rsidRPr="00E81CF9" w:rsidR="00021181">
              <w:rPr>
                <w:color w:val="000000"/>
              </w:rPr>
              <w:t xml:space="preserve"> argued that centralized procurement should be tied to meeting climate and clean energy mandates. CEJA </w:t>
            </w:r>
            <w:r w:rsidRPr="00E81CF9" w:rsidR="00A81AD7">
              <w:rPr>
                <w:color w:val="000000"/>
              </w:rPr>
              <w:t xml:space="preserve">also </w:t>
            </w:r>
            <w:r w:rsidRPr="00E81CF9" w:rsidR="00021181">
              <w:rPr>
                <w:color w:val="000000"/>
              </w:rPr>
              <w:t xml:space="preserve">argued that centralized procurement should not include </w:t>
            </w:r>
            <w:r w:rsidRPr="00E81CF9" w:rsidR="0011422A">
              <w:rPr>
                <w:color w:val="000000"/>
              </w:rPr>
              <w:t>carbon capture and sequestration (“CCS”)</w:t>
            </w:r>
            <w:r w:rsidRPr="00E81CF9" w:rsidR="007F75C2">
              <w:rPr>
                <w:color w:val="000000"/>
              </w:rPr>
              <w:t>,</w:t>
            </w:r>
            <w:r w:rsidRPr="00E81CF9" w:rsidR="00021181">
              <w:rPr>
                <w:color w:val="000000"/>
              </w:rPr>
              <w:t xml:space="preserve"> and that it should not include </w:t>
            </w:r>
            <w:r w:rsidRPr="00E81CF9" w:rsidR="0011422A">
              <w:rPr>
                <w:color w:val="000000"/>
              </w:rPr>
              <w:t>long duration energy storage (“</w:t>
            </w:r>
            <w:r w:rsidRPr="00E81CF9" w:rsidR="00021181">
              <w:rPr>
                <w:color w:val="000000"/>
              </w:rPr>
              <w:t>LDES</w:t>
            </w:r>
            <w:r w:rsidRPr="00E81CF9" w:rsidR="0011422A">
              <w:rPr>
                <w:color w:val="000000"/>
              </w:rPr>
              <w:t>”)</w:t>
            </w:r>
            <w:r w:rsidRPr="00E81CF9" w:rsidR="00021181">
              <w:rPr>
                <w:color w:val="000000"/>
              </w:rPr>
              <w:t xml:space="preserve"> that utilizes fossil </w:t>
            </w:r>
            <w:r w:rsidRPr="00E81CF9" w:rsidR="007F75C2">
              <w:rPr>
                <w:color w:val="000000"/>
              </w:rPr>
              <w:t>fuels</w:t>
            </w:r>
            <w:r w:rsidRPr="00E81CF9" w:rsidR="00021181">
              <w:rPr>
                <w:color w:val="000000"/>
              </w:rPr>
              <w:t xml:space="preserve">.  </w:t>
            </w:r>
          </w:p>
          <w:p w:rsidRPr="00E81CF9" w:rsidR="00021181" w:rsidP="00021181" w:rsidRDefault="00021181" w14:paraId="2F653C99" w14:textId="77777777">
            <w:pPr>
              <w:widowControl w:val="0"/>
              <w:snapToGrid w:val="0"/>
              <w:rPr>
                <w:color w:val="000000"/>
              </w:rPr>
            </w:pPr>
          </w:p>
          <w:p w:rsidRPr="00E81CF9" w:rsidR="00021181" w:rsidP="00021181" w:rsidRDefault="00021181" w14:paraId="7ED5E33F" w14:textId="4232ED2F">
            <w:pPr>
              <w:widowControl w:val="0"/>
              <w:snapToGrid w:val="0"/>
              <w:rPr>
                <w:color w:val="000000"/>
              </w:rPr>
            </w:pPr>
            <w:r w:rsidRPr="00E81CF9">
              <w:rPr>
                <w:color w:val="000000"/>
              </w:rPr>
              <w:t xml:space="preserve">The Commission agreed and found that centralized procurement should focus on meeting climate and clean energy mandates. The Commission further declined to include </w:t>
            </w:r>
            <w:proofErr w:type="gramStart"/>
            <w:r w:rsidRPr="00E81CF9">
              <w:rPr>
                <w:color w:val="000000"/>
              </w:rPr>
              <w:t>CCS</w:t>
            </w:r>
            <w:proofErr w:type="gramEnd"/>
            <w:r w:rsidRPr="00E81CF9">
              <w:rPr>
                <w:color w:val="000000"/>
              </w:rPr>
              <w:t xml:space="preserve"> and it further </w:t>
            </w:r>
            <w:r w:rsidRPr="00E81CF9">
              <w:rPr>
                <w:color w:val="000000"/>
              </w:rPr>
              <w:lastRenderedPageBreak/>
              <w:t xml:space="preserve">clarified that all LDES must meet the requirements of </w:t>
            </w:r>
            <w:r w:rsidRPr="00E81CF9" w:rsidR="00B71CDB">
              <w:rPr>
                <w:color w:val="000000"/>
              </w:rPr>
              <w:t xml:space="preserve">the statute, which includes a requirement that resources not utilize fossil fuels. </w:t>
            </w:r>
          </w:p>
          <w:p w:rsidRPr="00E81CF9" w:rsidR="00A9160F" w:rsidP="003B7550" w:rsidRDefault="00A9160F" w14:paraId="3D8CA1F0" w14:textId="691E96A6">
            <w:pPr>
              <w:widowControl w:val="0"/>
              <w:snapToGrid w:val="0"/>
              <w:rPr>
                <w:color w:val="000000"/>
              </w:rPr>
            </w:pPr>
          </w:p>
        </w:tc>
        <w:tc>
          <w:tcPr>
            <w:tcW w:w="4140" w:type="dxa"/>
            <w:shd w:val="clear" w:color="auto" w:fill="auto"/>
          </w:tcPr>
          <w:p w:rsidRPr="00E81CF9" w:rsidR="00C16934" w:rsidP="00073262" w:rsidRDefault="00B71CDB" w14:paraId="6FB2D9E4" w14:textId="3BC1BFBD">
            <w:pPr>
              <w:rPr>
                <w:color w:val="000000"/>
              </w:rPr>
            </w:pPr>
            <w:r w:rsidRPr="00E81CF9">
              <w:rPr>
                <w:color w:val="000000"/>
              </w:rPr>
              <w:lastRenderedPageBreak/>
              <w:t>D.24-08-064, p. 11 (</w:t>
            </w:r>
            <w:r w:rsidRPr="00E81CF9" w:rsidR="000006FC">
              <w:rPr>
                <w:color w:val="000000"/>
              </w:rPr>
              <w:t xml:space="preserve">describing how </w:t>
            </w:r>
            <w:r w:rsidRPr="00E81CF9">
              <w:rPr>
                <w:color w:val="000000"/>
              </w:rPr>
              <w:t>CEJA and Sierra Club also argue that an important criterion should be consistency with resource needs to meet Senate Bill (SB) 100</w:t>
            </w:r>
            <w:r w:rsidRPr="00E81CF9" w:rsidR="000006FC">
              <w:rPr>
                <w:color w:val="000000"/>
              </w:rPr>
              <w:t xml:space="preserve"> </w:t>
            </w:r>
            <w:r w:rsidRPr="00E81CF9" w:rsidR="002C27F8">
              <w:rPr>
                <w:color w:val="000000"/>
              </w:rPr>
              <w:t>goals</w:t>
            </w:r>
            <w:r w:rsidRPr="00E81CF9" w:rsidR="000006FC">
              <w:rPr>
                <w:color w:val="000000"/>
              </w:rPr>
              <w:t xml:space="preserve">, and how </w:t>
            </w:r>
            <w:r w:rsidRPr="00E81CF9" w:rsidR="002C27F8">
              <w:rPr>
                <w:color w:val="000000"/>
              </w:rPr>
              <w:t xml:space="preserve">CEJA and Sierra Club support Central Procurement Entity (CPE) procurement of OSW because it </w:t>
            </w:r>
            <w:proofErr w:type="gramStart"/>
            <w:r w:rsidRPr="00E81CF9" w:rsidR="002C27F8">
              <w:rPr>
                <w:color w:val="000000"/>
              </w:rPr>
              <w:t>can help</w:t>
            </w:r>
            <w:proofErr w:type="gramEnd"/>
            <w:r w:rsidRPr="00E81CF9" w:rsidR="002C27F8">
              <w:rPr>
                <w:color w:val="000000"/>
              </w:rPr>
              <w:t xml:space="preserve"> lead to faster retirement of natural gas plants.)</w:t>
            </w:r>
          </w:p>
          <w:p w:rsidRPr="00E81CF9" w:rsidR="002C27F8" w:rsidP="00073262" w:rsidRDefault="002C27F8" w14:paraId="1D00C970" w14:textId="77777777">
            <w:pPr>
              <w:rPr>
                <w:color w:val="000000"/>
              </w:rPr>
            </w:pPr>
          </w:p>
          <w:p w:rsidRPr="00E81CF9" w:rsidR="00037DD3" w:rsidP="00073262" w:rsidRDefault="002C27F8" w14:paraId="3502EB4B" w14:textId="77777777">
            <w:pPr>
              <w:rPr>
                <w:color w:val="000000"/>
              </w:rPr>
            </w:pPr>
            <w:r w:rsidRPr="00E81CF9">
              <w:rPr>
                <w:color w:val="000000"/>
              </w:rPr>
              <w:t xml:space="preserve">D.24-08-064, p. 37 (“We are intentionally focused on resources that we believe could be important to the electricity sector as a whole in achieving California’s </w:t>
            </w:r>
            <w:r w:rsidRPr="00E81CF9" w:rsidR="00037DD3">
              <w:rPr>
                <w:color w:val="000000"/>
              </w:rPr>
              <w:t>SB 100 goals by 2045….”).</w:t>
            </w:r>
          </w:p>
          <w:p w:rsidRPr="00E81CF9" w:rsidR="00037DD3" w:rsidP="00073262" w:rsidRDefault="00037DD3" w14:paraId="21ADBF8C" w14:textId="77777777">
            <w:pPr>
              <w:rPr>
                <w:color w:val="000000"/>
              </w:rPr>
            </w:pPr>
          </w:p>
          <w:p w:rsidRPr="00E81CF9" w:rsidR="00037DD3" w:rsidP="00073262" w:rsidRDefault="00037DD3" w14:paraId="73055BFC" w14:textId="1A9F1303">
            <w:pPr>
              <w:rPr>
                <w:color w:val="000000"/>
              </w:rPr>
            </w:pPr>
            <w:r w:rsidRPr="00E81CF9">
              <w:rPr>
                <w:color w:val="000000"/>
              </w:rPr>
              <w:t xml:space="preserve">D.24-08-064, p. 41 (not including CCS in the list of eligible resources).  </w:t>
            </w:r>
          </w:p>
          <w:p w:rsidRPr="00E81CF9" w:rsidR="00037DD3" w:rsidP="00073262" w:rsidRDefault="00037DD3" w14:paraId="2D492900" w14:textId="77777777">
            <w:pPr>
              <w:rPr>
                <w:color w:val="000000"/>
              </w:rPr>
            </w:pPr>
          </w:p>
          <w:p w:rsidRPr="00E81CF9" w:rsidR="00BA280C" w:rsidP="00073262" w:rsidRDefault="00BA280C" w14:paraId="381E6EE8" w14:textId="6F61E944">
            <w:pPr>
              <w:rPr>
                <w:color w:val="000000"/>
              </w:rPr>
            </w:pPr>
            <w:r w:rsidRPr="00E81CF9">
              <w:rPr>
                <w:color w:val="000000"/>
              </w:rPr>
              <w:t xml:space="preserve">D.24-08-064, p. 81, COL 12 (“Technologies that utilize fossil fuels to generate electricity are not eligible for centralized procurement by DWR…”). </w:t>
            </w:r>
          </w:p>
          <w:p w:rsidRPr="00E81CF9" w:rsidR="00BA280C" w:rsidP="00073262" w:rsidRDefault="00BA280C" w14:paraId="23657809" w14:textId="77777777">
            <w:pPr>
              <w:rPr>
                <w:color w:val="000000"/>
              </w:rPr>
            </w:pPr>
          </w:p>
          <w:p w:rsidRPr="00E81CF9" w:rsidR="00037DD3" w:rsidP="00073262" w:rsidRDefault="00037DD3" w14:paraId="3A1E591D" w14:textId="7A710E39">
            <w:pPr>
              <w:rPr>
                <w:color w:val="000000"/>
              </w:rPr>
            </w:pPr>
            <w:r w:rsidRPr="00E81CF9">
              <w:rPr>
                <w:color w:val="000000"/>
              </w:rPr>
              <w:lastRenderedPageBreak/>
              <w:t xml:space="preserve">CEJA/SC </w:t>
            </w:r>
            <w:r w:rsidRPr="00E81CF9" w:rsidR="00FE1842">
              <w:rPr>
                <w:color w:val="000000"/>
              </w:rPr>
              <w:t xml:space="preserve">May 24, </w:t>
            </w:r>
            <w:proofErr w:type="gramStart"/>
            <w:r w:rsidRPr="00E81CF9" w:rsidR="00FE1842">
              <w:rPr>
                <w:color w:val="000000"/>
              </w:rPr>
              <w:t>2024</w:t>
            </w:r>
            <w:proofErr w:type="gramEnd"/>
            <w:r w:rsidRPr="00E81CF9" w:rsidR="00FE1842">
              <w:rPr>
                <w:color w:val="000000"/>
              </w:rPr>
              <w:t xml:space="preserve"> </w:t>
            </w:r>
            <w:r w:rsidRPr="00E81CF9">
              <w:rPr>
                <w:color w:val="000000"/>
              </w:rPr>
              <w:t>Opening Comments on the ALJ Ruling, p. 5.</w:t>
            </w:r>
          </w:p>
          <w:p w:rsidRPr="00E81CF9" w:rsidR="00037DD3" w:rsidP="00073262" w:rsidRDefault="00037DD3" w14:paraId="6F82D1B5" w14:textId="77777777">
            <w:pPr>
              <w:rPr>
                <w:color w:val="000000"/>
              </w:rPr>
            </w:pPr>
          </w:p>
          <w:p w:rsidRPr="00E81CF9" w:rsidR="002C27F8" w:rsidP="00073262" w:rsidRDefault="00037DD3" w14:paraId="313E9EBC" w14:textId="09A92625">
            <w:pPr>
              <w:rPr>
                <w:color w:val="000000"/>
              </w:rPr>
            </w:pPr>
            <w:r w:rsidRPr="00E81CF9">
              <w:rPr>
                <w:color w:val="000000"/>
              </w:rPr>
              <w:t xml:space="preserve">CEJA/SC </w:t>
            </w:r>
            <w:r w:rsidRPr="00E81CF9" w:rsidR="00946672">
              <w:rPr>
                <w:color w:val="000000"/>
              </w:rPr>
              <w:t xml:space="preserve">June 5, </w:t>
            </w:r>
            <w:proofErr w:type="gramStart"/>
            <w:r w:rsidRPr="00E81CF9" w:rsidR="00946672">
              <w:rPr>
                <w:color w:val="000000"/>
              </w:rPr>
              <w:t>2024</w:t>
            </w:r>
            <w:proofErr w:type="gramEnd"/>
            <w:r w:rsidRPr="00E81CF9" w:rsidR="00946672">
              <w:rPr>
                <w:color w:val="000000"/>
              </w:rPr>
              <w:t xml:space="preserve"> </w:t>
            </w:r>
            <w:r w:rsidRPr="00E81CF9">
              <w:rPr>
                <w:color w:val="000000"/>
              </w:rPr>
              <w:t xml:space="preserve">Reply Comments on ALJ Ruling, pp. 2-5 (discussing why bioenergy combustion and CCS should not be included as eligible resources). </w:t>
            </w:r>
          </w:p>
          <w:p w:rsidRPr="00E81CF9" w:rsidR="00037DD3" w:rsidP="00073262" w:rsidRDefault="00037DD3" w14:paraId="576B03DA" w14:textId="77777777">
            <w:pPr>
              <w:rPr>
                <w:color w:val="000000"/>
              </w:rPr>
            </w:pPr>
          </w:p>
          <w:p w:rsidRPr="00E81CF9" w:rsidR="00037DD3" w:rsidP="00073262" w:rsidRDefault="00037DD3" w14:paraId="572D591D" w14:textId="056B8F6F">
            <w:pPr>
              <w:rPr>
                <w:color w:val="000000"/>
              </w:rPr>
            </w:pPr>
            <w:r w:rsidRPr="00E81CF9">
              <w:rPr>
                <w:color w:val="000000"/>
              </w:rPr>
              <w:t xml:space="preserve">CEJA/SC </w:t>
            </w:r>
            <w:r w:rsidRPr="00E81CF9" w:rsidR="00BF4843">
              <w:rPr>
                <w:color w:val="000000"/>
              </w:rPr>
              <w:t xml:space="preserve">August 8, </w:t>
            </w:r>
            <w:proofErr w:type="gramStart"/>
            <w:r w:rsidRPr="00E81CF9" w:rsidR="00BF4843">
              <w:rPr>
                <w:color w:val="000000"/>
              </w:rPr>
              <w:t>2024</w:t>
            </w:r>
            <w:proofErr w:type="gramEnd"/>
            <w:r w:rsidRPr="00E81CF9" w:rsidR="00BF4843">
              <w:rPr>
                <w:color w:val="000000"/>
              </w:rPr>
              <w:t xml:space="preserve"> </w:t>
            </w:r>
            <w:r w:rsidRPr="00E81CF9">
              <w:rPr>
                <w:color w:val="000000"/>
              </w:rPr>
              <w:t xml:space="preserve">Opening Comments on the Proposed Decision, pp. 1-3. </w:t>
            </w:r>
          </w:p>
        </w:tc>
        <w:tc>
          <w:tcPr>
            <w:tcW w:w="2497" w:type="dxa"/>
            <w:shd w:val="clear" w:color="auto" w:fill="auto"/>
          </w:tcPr>
          <w:p w:rsidRPr="007F620E" w:rsidR="006067EE" w:rsidP="00073262" w:rsidRDefault="00447318" w14:paraId="01C0A114" w14:textId="51C150F6">
            <w:pPr>
              <w:rPr>
                <w:color w:val="000000"/>
              </w:rPr>
            </w:pPr>
            <w:r>
              <w:rPr>
                <w:color w:val="000000"/>
              </w:rPr>
              <w:lastRenderedPageBreak/>
              <w:t>Verified</w:t>
            </w:r>
          </w:p>
        </w:tc>
      </w:tr>
      <w:tr w:rsidRPr="007F620E" w:rsidR="00037DD3" w:rsidTr="00CE4462" w14:paraId="0AA8D623" w14:textId="77777777">
        <w:tc>
          <w:tcPr>
            <w:tcW w:w="3258" w:type="dxa"/>
            <w:shd w:val="clear" w:color="auto" w:fill="auto"/>
          </w:tcPr>
          <w:p w:rsidRPr="00E81CF9" w:rsidR="00037DD3" w:rsidP="00D6567C" w:rsidRDefault="00552CFB" w14:paraId="3E82CA69" w14:textId="288A32B3">
            <w:pPr>
              <w:widowControl w:val="0"/>
              <w:snapToGrid w:val="0"/>
              <w:rPr>
                <w:b/>
                <w:bCs/>
                <w:color w:val="000000"/>
              </w:rPr>
            </w:pPr>
            <w:r w:rsidRPr="00E81CF9">
              <w:rPr>
                <w:b/>
                <w:bCs/>
                <w:color w:val="000000"/>
              </w:rPr>
              <w:t xml:space="preserve">Issue 2: </w:t>
            </w:r>
            <w:r w:rsidRPr="00E81CF9" w:rsidR="000900E7">
              <w:rPr>
                <w:b/>
                <w:bCs/>
                <w:color w:val="000000"/>
              </w:rPr>
              <w:t xml:space="preserve">DWR </w:t>
            </w:r>
            <w:r w:rsidRPr="00E81CF9" w:rsidR="00045B5D">
              <w:rPr>
                <w:b/>
                <w:bCs/>
                <w:color w:val="000000"/>
              </w:rPr>
              <w:t>Need Determination</w:t>
            </w:r>
            <w:r w:rsidRPr="00E81CF9" w:rsidR="000900E7">
              <w:rPr>
                <w:b/>
                <w:bCs/>
                <w:color w:val="000000"/>
              </w:rPr>
              <w:t>:</w:t>
            </w:r>
            <w:r w:rsidRPr="00E81CF9" w:rsidR="00045B5D">
              <w:rPr>
                <w:b/>
                <w:bCs/>
                <w:color w:val="000000"/>
              </w:rPr>
              <w:t xml:space="preserve"> </w:t>
            </w:r>
            <w:r w:rsidRPr="00E81CF9" w:rsidR="00045B5D">
              <w:rPr>
                <w:color w:val="000000"/>
              </w:rPr>
              <w:t>CEJA requeste</w:t>
            </w:r>
            <w:r w:rsidRPr="00E81CF9" w:rsidR="006229B1">
              <w:rPr>
                <w:color w:val="000000"/>
              </w:rPr>
              <w:t>d that the Commission use the Preferred System Plan</w:t>
            </w:r>
            <w:r w:rsidRPr="00E81CF9" w:rsidR="000900E7">
              <w:rPr>
                <w:color w:val="000000"/>
              </w:rPr>
              <w:t xml:space="preserve"> (“PSP”)</w:t>
            </w:r>
            <w:r w:rsidRPr="00E81CF9" w:rsidR="006229B1">
              <w:rPr>
                <w:color w:val="000000"/>
              </w:rPr>
              <w:t xml:space="preserve"> as a starting point for making a need determination</w:t>
            </w:r>
            <w:r w:rsidRPr="00E81CF9" w:rsidR="000900E7">
              <w:rPr>
                <w:color w:val="000000"/>
              </w:rPr>
              <w:t xml:space="preserve"> for DWR procurement</w:t>
            </w:r>
            <w:r w:rsidRPr="00E81CF9" w:rsidR="006229B1">
              <w:rPr>
                <w:color w:val="000000"/>
              </w:rPr>
              <w:t>.</w:t>
            </w:r>
            <w:r w:rsidRPr="00E81CF9" w:rsidR="006229B1">
              <w:rPr>
                <w:b/>
                <w:bCs/>
                <w:color w:val="000000"/>
              </w:rPr>
              <w:t xml:space="preserve">  </w:t>
            </w:r>
          </w:p>
          <w:p w:rsidRPr="00E81CF9" w:rsidR="007F75C2" w:rsidP="00D6567C" w:rsidRDefault="007F75C2" w14:paraId="09B3D0AF" w14:textId="77777777">
            <w:pPr>
              <w:widowControl w:val="0"/>
              <w:snapToGrid w:val="0"/>
              <w:rPr>
                <w:b/>
                <w:bCs/>
                <w:color w:val="000000"/>
              </w:rPr>
            </w:pPr>
          </w:p>
          <w:p w:rsidRPr="00E81CF9" w:rsidR="007F75C2" w:rsidP="00D6567C" w:rsidRDefault="007F75C2" w14:paraId="7BA387E9" w14:textId="21D45792">
            <w:pPr>
              <w:widowControl w:val="0"/>
              <w:snapToGrid w:val="0"/>
              <w:rPr>
                <w:color w:val="000000"/>
              </w:rPr>
            </w:pPr>
            <w:r w:rsidRPr="00E81CF9">
              <w:rPr>
                <w:color w:val="000000"/>
              </w:rPr>
              <w:t xml:space="preserve">The Commission agreed to use the PSP as a starting point for making its DWR need determination. </w:t>
            </w:r>
          </w:p>
        </w:tc>
        <w:tc>
          <w:tcPr>
            <w:tcW w:w="4140" w:type="dxa"/>
            <w:shd w:val="clear" w:color="auto" w:fill="auto"/>
          </w:tcPr>
          <w:p w:rsidRPr="00E81CF9" w:rsidR="00037DD3" w:rsidP="00D6567C" w:rsidRDefault="006229B1" w14:paraId="11E5BB5D" w14:textId="12E58BD5">
            <w:pPr>
              <w:rPr>
                <w:color w:val="000000"/>
              </w:rPr>
            </w:pPr>
            <w:r w:rsidRPr="00E81CF9">
              <w:rPr>
                <w:color w:val="000000"/>
              </w:rPr>
              <w:t>D.24-08-064, pp. 22-23 (“CEJA and Sierra Club comment that the PSP i</w:t>
            </w:r>
            <w:r w:rsidRPr="00E81CF9" w:rsidR="00FB726A">
              <w:rPr>
                <w:color w:val="000000"/>
              </w:rPr>
              <w:t>s</w:t>
            </w:r>
            <w:r w:rsidRPr="00E81CF9">
              <w:rPr>
                <w:color w:val="000000"/>
              </w:rPr>
              <w:t xml:space="preserve"> a reasonable starting point for a need determination….</w:t>
            </w:r>
            <w:r w:rsidRPr="00E81CF9" w:rsidR="000900E7">
              <w:rPr>
                <w:color w:val="000000"/>
              </w:rPr>
              <w:t xml:space="preserve">”).  </w:t>
            </w:r>
          </w:p>
          <w:p w:rsidRPr="00E81CF9" w:rsidR="006229B1" w:rsidP="00D6567C" w:rsidRDefault="006229B1" w14:paraId="152E4879" w14:textId="77777777">
            <w:pPr>
              <w:rPr>
                <w:color w:val="000000"/>
              </w:rPr>
            </w:pPr>
          </w:p>
          <w:p w:rsidRPr="00E81CF9" w:rsidR="006229B1" w:rsidP="00D6567C" w:rsidRDefault="006229B1" w14:paraId="3BA34FDB" w14:textId="77777777">
            <w:pPr>
              <w:rPr>
                <w:color w:val="000000"/>
              </w:rPr>
            </w:pPr>
            <w:r w:rsidRPr="00E81CF9">
              <w:rPr>
                <w:color w:val="000000"/>
              </w:rPr>
              <w:t xml:space="preserve">D.24-08-064, p. 48 (“In considering how much of each type of resource to determine is needed, for the geothermal and LDES categories, we determine that it is reasonable to make a need determination for roughly half of the quantities shown in the PSP portfolio to be procured using the CPE mechanism.”).  </w:t>
            </w:r>
          </w:p>
          <w:p w:rsidRPr="00E81CF9" w:rsidR="00FE1842" w:rsidP="00D6567C" w:rsidRDefault="00FE1842" w14:paraId="176D830F" w14:textId="77777777">
            <w:pPr>
              <w:rPr>
                <w:color w:val="000000"/>
              </w:rPr>
            </w:pPr>
          </w:p>
          <w:p w:rsidRPr="00E81CF9" w:rsidR="00FE1842" w:rsidP="00D6567C" w:rsidRDefault="00FE1842" w14:paraId="4BA1DDF2" w14:textId="16444DBA">
            <w:pPr>
              <w:rPr>
                <w:color w:val="000000"/>
              </w:rPr>
            </w:pPr>
            <w:r w:rsidRPr="00E81CF9">
              <w:rPr>
                <w:color w:val="000000"/>
              </w:rPr>
              <w:t xml:space="preserve">CEJA/SC May 24, </w:t>
            </w:r>
            <w:proofErr w:type="gramStart"/>
            <w:r w:rsidRPr="00E81CF9">
              <w:rPr>
                <w:color w:val="000000"/>
              </w:rPr>
              <w:t>2024</w:t>
            </w:r>
            <w:proofErr w:type="gramEnd"/>
            <w:r w:rsidRPr="00E81CF9">
              <w:rPr>
                <w:color w:val="000000"/>
              </w:rPr>
              <w:t xml:space="preserve"> Opening Comments, pp. 9-10 (discussing how the PSP is a good starting point for DWR procurement need). </w:t>
            </w:r>
          </w:p>
        </w:tc>
        <w:tc>
          <w:tcPr>
            <w:tcW w:w="2497" w:type="dxa"/>
            <w:shd w:val="clear" w:color="auto" w:fill="auto"/>
          </w:tcPr>
          <w:p w:rsidRPr="007F620E" w:rsidR="00037DD3" w:rsidP="00D6567C" w:rsidRDefault="00A47114" w14:paraId="1BCC60C3" w14:textId="5E38CBE9">
            <w:pPr>
              <w:rPr>
                <w:color w:val="000000"/>
              </w:rPr>
            </w:pPr>
            <w:r>
              <w:rPr>
                <w:color w:val="000000"/>
              </w:rPr>
              <w:t>Verified</w:t>
            </w:r>
          </w:p>
        </w:tc>
      </w:tr>
      <w:tr w:rsidRPr="007F620E" w:rsidR="00331AD2" w:rsidTr="00CE4462" w14:paraId="1DE1F192" w14:textId="77777777">
        <w:tc>
          <w:tcPr>
            <w:tcW w:w="3258" w:type="dxa"/>
            <w:shd w:val="clear" w:color="auto" w:fill="auto"/>
          </w:tcPr>
          <w:p w:rsidRPr="00E81CF9" w:rsidR="00331AD2" w:rsidP="00D6567C" w:rsidRDefault="00552CFB" w14:paraId="5AFF6E8C" w14:textId="0225ECCB">
            <w:pPr>
              <w:widowControl w:val="0"/>
              <w:snapToGrid w:val="0"/>
              <w:rPr>
                <w:color w:val="000000"/>
              </w:rPr>
            </w:pPr>
            <w:r w:rsidRPr="00E81CF9">
              <w:rPr>
                <w:b/>
                <w:bCs/>
                <w:color w:val="000000"/>
              </w:rPr>
              <w:t xml:space="preserve">Issue 2: </w:t>
            </w:r>
            <w:r w:rsidRPr="00E81CF9" w:rsidR="00946672">
              <w:rPr>
                <w:b/>
                <w:bCs/>
                <w:color w:val="000000"/>
              </w:rPr>
              <w:t xml:space="preserve">DWR </w:t>
            </w:r>
            <w:r w:rsidRPr="00E81CF9" w:rsidR="00331AD2">
              <w:rPr>
                <w:b/>
                <w:bCs/>
                <w:color w:val="000000"/>
              </w:rPr>
              <w:t>Need Determination</w:t>
            </w:r>
            <w:r w:rsidRPr="00E81CF9" w:rsidR="00946672">
              <w:rPr>
                <w:b/>
                <w:bCs/>
                <w:color w:val="000000"/>
              </w:rPr>
              <w:t xml:space="preserve">: </w:t>
            </w:r>
            <w:r w:rsidRPr="00E81CF9" w:rsidR="00331AD2">
              <w:rPr>
                <w:color w:val="000000"/>
              </w:rPr>
              <w:t xml:space="preserve">CEJA urged the Commission to find a need for up to 10 GW of </w:t>
            </w:r>
            <w:r w:rsidRPr="00E81CF9" w:rsidR="00946672">
              <w:rPr>
                <w:color w:val="000000"/>
              </w:rPr>
              <w:t xml:space="preserve">Offshore Wind (“OSW”) </w:t>
            </w:r>
            <w:r w:rsidRPr="00E81CF9" w:rsidR="00331AD2">
              <w:rPr>
                <w:color w:val="000000"/>
              </w:rPr>
              <w:t xml:space="preserve">procurement based on the AB 525 Strategic Plan.  </w:t>
            </w:r>
          </w:p>
          <w:p w:rsidRPr="00E81CF9" w:rsidR="007F75C2" w:rsidP="00D6567C" w:rsidRDefault="007F75C2" w14:paraId="171FAA82" w14:textId="77777777">
            <w:pPr>
              <w:widowControl w:val="0"/>
              <w:snapToGrid w:val="0"/>
              <w:rPr>
                <w:color w:val="000000"/>
              </w:rPr>
            </w:pPr>
          </w:p>
          <w:p w:rsidRPr="00E81CF9" w:rsidR="007F75C2" w:rsidP="00D6567C" w:rsidRDefault="007F75C2" w14:paraId="5EDFA922" w14:textId="02DD878D">
            <w:pPr>
              <w:widowControl w:val="0"/>
              <w:snapToGrid w:val="0"/>
              <w:rPr>
                <w:b/>
                <w:bCs/>
                <w:color w:val="000000"/>
              </w:rPr>
            </w:pPr>
            <w:r w:rsidRPr="00E81CF9">
              <w:rPr>
                <w:color w:val="000000"/>
              </w:rPr>
              <w:t xml:space="preserve">The Commission agreed that it should require DWR procurement of OSW up to 7.6 GW. </w:t>
            </w:r>
          </w:p>
        </w:tc>
        <w:tc>
          <w:tcPr>
            <w:tcW w:w="4140" w:type="dxa"/>
            <w:shd w:val="clear" w:color="auto" w:fill="auto"/>
          </w:tcPr>
          <w:p w:rsidRPr="00E81CF9" w:rsidR="00331AD2" w:rsidP="00D6567C" w:rsidRDefault="00331AD2" w14:paraId="319EF95F" w14:textId="77777777">
            <w:pPr>
              <w:rPr>
                <w:color w:val="000000"/>
              </w:rPr>
            </w:pPr>
            <w:r w:rsidRPr="00E81CF9">
              <w:rPr>
                <w:color w:val="000000"/>
              </w:rPr>
              <w:t xml:space="preserve">D.24-08-064, pp.49-50 (finding that “the 7.6 GW scenario [for OSW] analyzed appears to be the level beyond which, based on current assumptions, it becomes more likely that the costs of procuring the OSW will exceed benefits in cost savings to electricity ratepayers.”).  </w:t>
            </w:r>
          </w:p>
          <w:p w:rsidRPr="00E81CF9" w:rsidR="00FE1842" w:rsidP="00D6567C" w:rsidRDefault="00FE1842" w14:paraId="12747D89" w14:textId="77777777">
            <w:pPr>
              <w:rPr>
                <w:color w:val="000000"/>
              </w:rPr>
            </w:pPr>
          </w:p>
          <w:p w:rsidRPr="00E81CF9" w:rsidR="00FE1842" w:rsidP="00D6567C" w:rsidRDefault="00FE1842" w14:paraId="456877EF" w14:textId="3FB7DACD">
            <w:pPr>
              <w:rPr>
                <w:color w:val="000000"/>
              </w:rPr>
            </w:pPr>
            <w:r w:rsidRPr="00E81CF9">
              <w:rPr>
                <w:color w:val="000000"/>
              </w:rPr>
              <w:t xml:space="preserve">CEJA/SC June 5, </w:t>
            </w:r>
            <w:proofErr w:type="gramStart"/>
            <w:r w:rsidRPr="00E81CF9">
              <w:rPr>
                <w:color w:val="000000"/>
              </w:rPr>
              <w:t>2024</w:t>
            </w:r>
            <w:proofErr w:type="gramEnd"/>
            <w:r w:rsidRPr="00E81CF9">
              <w:rPr>
                <w:color w:val="000000"/>
              </w:rPr>
              <w:t xml:space="preserve"> Reply Comments, pp. 2-7.</w:t>
            </w:r>
          </w:p>
        </w:tc>
        <w:tc>
          <w:tcPr>
            <w:tcW w:w="2497" w:type="dxa"/>
            <w:shd w:val="clear" w:color="auto" w:fill="auto"/>
          </w:tcPr>
          <w:p w:rsidRPr="007F620E" w:rsidR="00331AD2" w:rsidP="00D6567C" w:rsidRDefault="00447318" w14:paraId="53CDEBF5" w14:textId="2E9471BA">
            <w:pPr>
              <w:rPr>
                <w:color w:val="000000"/>
              </w:rPr>
            </w:pPr>
            <w:r>
              <w:rPr>
                <w:color w:val="000000"/>
              </w:rPr>
              <w:t>Noted</w:t>
            </w:r>
            <w:r w:rsidR="00362184">
              <w:rPr>
                <w:color w:val="000000"/>
              </w:rPr>
              <w:t xml:space="preserve">; </w:t>
            </w:r>
            <w:r w:rsidR="002E7A1B">
              <w:rPr>
                <w:color w:val="000000"/>
              </w:rPr>
              <w:t>s</w:t>
            </w:r>
            <w:r w:rsidRPr="005A162C" w:rsidR="00362184">
              <w:rPr>
                <w:i/>
                <w:iCs/>
                <w:color w:val="000000"/>
              </w:rPr>
              <w:t>ee</w:t>
            </w:r>
            <w:r w:rsidRPr="00362184" w:rsidR="00362184">
              <w:rPr>
                <w:color w:val="000000"/>
              </w:rPr>
              <w:t xml:space="preserve"> Part III.D CPUC Comments, Disallowances, and Adjustments.</w:t>
            </w:r>
          </w:p>
        </w:tc>
      </w:tr>
      <w:tr w:rsidRPr="007F620E" w:rsidR="00037DD3" w:rsidTr="00CE4462" w14:paraId="1E140CC7" w14:textId="77777777">
        <w:tc>
          <w:tcPr>
            <w:tcW w:w="3258" w:type="dxa"/>
            <w:shd w:val="clear" w:color="auto" w:fill="auto"/>
          </w:tcPr>
          <w:p w:rsidRPr="00E81CF9" w:rsidR="00037DD3" w:rsidP="00D6567C" w:rsidRDefault="00552CFB" w14:paraId="02C87917" w14:textId="297F8652">
            <w:pPr>
              <w:widowControl w:val="0"/>
              <w:snapToGrid w:val="0"/>
              <w:rPr>
                <w:color w:val="000000"/>
              </w:rPr>
            </w:pPr>
            <w:r w:rsidRPr="00E81CF9">
              <w:rPr>
                <w:b/>
                <w:bCs/>
                <w:color w:val="000000"/>
              </w:rPr>
              <w:t xml:space="preserve">Issue 2: </w:t>
            </w:r>
            <w:r w:rsidRPr="00E81CF9" w:rsidR="00946672">
              <w:rPr>
                <w:b/>
                <w:bCs/>
                <w:color w:val="000000"/>
              </w:rPr>
              <w:t xml:space="preserve">DWR </w:t>
            </w:r>
            <w:r w:rsidRPr="00E81CF9" w:rsidR="00331AD2">
              <w:rPr>
                <w:b/>
                <w:bCs/>
                <w:color w:val="000000"/>
              </w:rPr>
              <w:t>Need Determination</w:t>
            </w:r>
            <w:r w:rsidRPr="00E81CF9" w:rsidR="00946672">
              <w:rPr>
                <w:b/>
                <w:bCs/>
                <w:color w:val="000000"/>
              </w:rPr>
              <w:t xml:space="preserve"> Process: </w:t>
            </w:r>
            <w:r w:rsidRPr="00E81CF9" w:rsidR="00331AD2">
              <w:rPr>
                <w:color w:val="000000"/>
              </w:rPr>
              <w:t xml:space="preserve">CEJA </w:t>
            </w:r>
            <w:r w:rsidRPr="00E81CF9" w:rsidR="00331AD2">
              <w:rPr>
                <w:color w:val="000000"/>
              </w:rPr>
              <w:lastRenderedPageBreak/>
              <w:t>argued that AB 1373 allowed the Commission to continue to refine its need determination after its initial request to DWR.</w:t>
            </w:r>
            <w:r w:rsidRPr="00E81CF9" w:rsidR="00BA280C">
              <w:rPr>
                <w:color w:val="000000"/>
              </w:rPr>
              <w:t xml:space="preserve"> CEJA also asked for confirmation that any need </w:t>
            </w:r>
            <w:r w:rsidRPr="00E81CF9" w:rsidR="00BF4843">
              <w:rPr>
                <w:color w:val="000000"/>
              </w:rPr>
              <w:t>determination</w:t>
            </w:r>
            <w:r w:rsidRPr="00E81CF9" w:rsidR="00BA280C">
              <w:rPr>
                <w:color w:val="000000"/>
              </w:rPr>
              <w:t xml:space="preserve"> submitted to DWR will be subject to a stakeholder process.  </w:t>
            </w:r>
          </w:p>
          <w:p w:rsidRPr="00E81CF9" w:rsidR="007F75C2" w:rsidP="00D6567C" w:rsidRDefault="007F75C2" w14:paraId="4FD8F553" w14:textId="77777777">
            <w:pPr>
              <w:widowControl w:val="0"/>
              <w:snapToGrid w:val="0"/>
              <w:rPr>
                <w:b/>
                <w:bCs/>
                <w:color w:val="000000"/>
              </w:rPr>
            </w:pPr>
          </w:p>
          <w:p w:rsidRPr="00E81CF9" w:rsidR="007F75C2" w:rsidP="00D6567C" w:rsidRDefault="007F75C2" w14:paraId="057E29F5" w14:textId="0B321983">
            <w:pPr>
              <w:widowControl w:val="0"/>
              <w:snapToGrid w:val="0"/>
              <w:rPr>
                <w:color w:val="000000"/>
              </w:rPr>
            </w:pPr>
            <w:r w:rsidRPr="00E81CF9">
              <w:rPr>
                <w:color w:val="000000"/>
              </w:rPr>
              <w:t xml:space="preserve">The Commission agreed with the process that CEJA outlined in its comments and provided a framework for ensuring stakeholder </w:t>
            </w:r>
            <w:r w:rsidRPr="00E81CF9" w:rsidR="0087372A">
              <w:rPr>
                <w:color w:val="000000"/>
              </w:rPr>
              <w:t xml:space="preserve">input </w:t>
            </w:r>
            <w:r w:rsidRPr="00E81CF9">
              <w:rPr>
                <w:color w:val="000000"/>
              </w:rPr>
              <w:t xml:space="preserve">on any new need determination. </w:t>
            </w:r>
          </w:p>
        </w:tc>
        <w:tc>
          <w:tcPr>
            <w:tcW w:w="4140" w:type="dxa"/>
            <w:shd w:val="clear" w:color="auto" w:fill="auto"/>
          </w:tcPr>
          <w:p w:rsidRPr="00E81CF9" w:rsidR="00037DD3" w:rsidP="00D6567C" w:rsidRDefault="000006FC" w14:paraId="4B8F0604" w14:textId="38A68FE7">
            <w:pPr>
              <w:rPr>
                <w:color w:val="000000"/>
              </w:rPr>
            </w:pPr>
            <w:r w:rsidRPr="00E81CF9">
              <w:rPr>
                <w:color w:val="000000"/>
              </w:rPr>
              <w:lastRenderedPageBreak/>
              <w:t xml:space="preserve">D.24-08-064, </w:t>
            </w:r>
            <w:r w:rsidRPr="00E81CF9" w:rsidR="00BA280C">
              <w:rPr>
                <w:color w:val="000000"/>
              </w:rPr>
              <w:t xml:space="preserve">p. 74 (“We have clarified that the review of the DWR </w:t>
            </w:r>
            <w:r w:rsidRPr="00E81CF9" w:rsidR="00BA280C">
              <w:rPr>
                <w:color w:val="000000"/>
              </w:rPr>
              <w:lastRenderedPageBreak/>
              <w:t xml:space="preserve">memorandum to be submitted in the open IRP rulemaking will be subject to normal Commission process, including discovery, potential for evidentiary hearings, and other stakeholder input.”).  </w:t>
            </w:r>
          </w:p>
          <w:p w:rsidRPr="00E81CF9" w:rsidR="00BA280C" w:rsidP="00D6567C" w:rsidRDefault="00BA280C" w14:paraId="5195D9A0" w14:textId="77777777">
            <w:pPr>
              <w:rPr>
                <w:color w:val="000000"/>
              </w:rPr>
            </w:pPr>
          </w:p>
          <w:p w:rsidRPr="00E81CF9" w:rsidR="00BA280C" w:rsidP="00D6567C" w:rsidRDefault="000006FC" w14:paraId="000AC50C" w14:textId="1C0973BC">
            <w:pPr>
              <w:rPr>
                <w:color w:val="000000"/>
              </w:rPr>
            </w:pPr>
            <w:r w:rsidRPr="00E81CF9">
              <w:rPr>
                <w:color w:val="000000"/>
              </w:rPr>
              <w:t>D.24-08-064</w:t>
            </w:r>
            <w:r w:rsidRPr="00E81CF9" w:rsidR="0087372A">
              <w:rPr>
                <w:color w:val="000000"/>
              </w:rPr>
              <w:t xml:space="preserve">, </w:t>
            </w:r>
            <w:r w:rsidRPr="00E81CF9" w:rsidR="00BA280C">
              <w:rPr>
                <w:color w:val="000000"/>
              </w:rPr>
              <w:t xml:space="preserve">p. 80, COL 3-6 (describing the process for the Commission making a DWR need determination under AB 1373).  </w:t>
            </w:r>
          </w:p>
          <w:p w:rsidRPr="00E81CF9" w:rsidR="00FE1842" w:rsidP="00D6567C" w:rsidRDefault="00FE1842" w14:paraId="6FF20559" w14:textId="77777777">
            <w:pPr>
              <w:rPr>
                <w:color w:val="000000"/>
              </w:rPr>
            </w:pPr>
          </w:p>
          <w:p w:rsidRPr="00E81CF9" w:rsidR="00FE1842" w:rsidP="00D6567C" w:rsidRDefault="00FE1842" w14:paraId="591A8569" w14:textId="2D571FE6">
            <w:pPr>
              <w:rPr>
                <w:color w:val="000000"/>
              </w:rPr>
            </w:pPr>
            <w:r w:rsidRPr="00E81CF9">
              <w:rPr>
                <w:color w:val="000000"/>
              </w:rPr>
              <w:t xml:space="preserve">CEJA/SC May 24, </w:t>
            </w:r>
            <w:proofErr w:type="gramStart"/>
            <w:r w:rsidRPr="00E81CF9">
              <w:rPr>
                <w:color w:val="000000"/>
              </w:rPr>
              <w:t>2024</w:t>
            </w:r>
            <w:proofErr w:type="gramEnd"/>
            <w:r w:rsidRPr="00E81CF9">
              <w:rPr>
                <w:color w:val="000000"/>
              </w:rPr>
              <w:t xml:space="preserve"> Opening </w:t>
            </w:r>
            <w:r w:rsidRPr="00E81CF9" w:rsidR="0011422A">
              <w:rPr>
                <w:color w:val="000000"/>
              </w:rPr>
              <w:t>Comments</w:t>
            </w:r>
            <w:r w:rsidRPr="00E81CF9">
              <w:rPr>
                <w:color w:val="000000"/>
              </w:rPr>
              <w:t xml:space="preserve">, pp. 10-11 (discussing the process under AB 1373). </w:t>
            </w:r>
          </w:p>
          <w:p w:rsidRPr="00E81CF9" w:rsidR="00FE1842" w:rsidP="00D6567C" w:rsidRDefault="00FE1842" w14:paraId="7A3FC5FD" w14:textId="77777777">
            <w:pPr>
              <w:rPr>
                <w:color w:val="000000"/>
              </w:rPr>
            </w:pPr>
          </w:p>
          <w:p w:rsidRPr="00E81CF9" w:rsidR="00FE1842" w:rsidP="00D6567C" w:rsidRDefault="00FE1842" w14:paraId="2695ADE7" w14:textId="697CF7EA">
            <w:pPr>
              <w:rPr>
                <w:color w:val="000000"/>
              </w:rPr>
            </w:pPr>
            <w:r w:rsidRPr="00E81CF9">
              <w:rPr>
                <w:color w:val="000000"/>
              </w:rPr>
              <w:t xml:space="preserve">CEJA/SC June 5, </w:t>
            </w:r>
            <w:proofErr w:type="gramStart"/>
            <w:r w:rsidRPr="00E81CF9">
              <w:rPr>
                <w:color w:val="000000"/>
              </w:rPr>
              <w:t>2024</w:t>
            </w:r>
            <w:proofErr w:type="gramEnd"/>
            <w:r w:rsidRPr="00E81CF9">
              <w:rPr>
                <w:color w:val="000000"/>
              </w:rPr>
              <w:t xml:space="preserve"> Reply Comments, pp. 5-7 (outlining process under AB 1373). </w:t>
            </w:r>
          </w:p>
          <w:p w:rsidRPr="00E81CF9" w:rsidR="00BF4843" w:rsidP="00D6567C" w:rsidRDefault="00BF4843" w14:paraId="0B39AA0D" w14:textId="77777777">
            <w:pPr>
              <w:rPr>
                <w:color w:val="000000"/>
              </w:rPr>
            </w:pPr>
          </w:p>
          <w:p w:rsidRPr="00E81CF9" w:rsidR="00BF4843" w:rsidP="00D6567C" w:rsidRDefault="00BF4843" w14:paraId="541C4A75" w14:textId="40E82D03">
            <w:pPr>
              <w:rPr>
                <w:color w:val="000000"/>
              </w:rPr>
            </w:pPr>
            <w:r w:rsidRPr="00E81CF9">
              <w:rPr>
                <w:color w:val="000000"/>
              </w:rPr>
              <w:t xml:space="preserve">CEJA/SC August 8, </w:t>
            </w:r>
            <w:proofErr w:type="gramStart"/>
            <w:r w:rsidRPr="00E81CF9">
              <w:rPr>
                <w:color w:val="000000"/>
              </w:rPr>
              <w:t>2024</w:t>
            </w:r>
            <w:proofErr w:type="gramEnd"/>
            <w:r w:rsidRPr="00E81CF9">
              <w:rPr>
                <w:color w:val="000000"/>
              </w:rPr>
              <w:t xml:space="preserve"> Opening Comments on the Proposed Decision, pp. 3-5. </w:t>
            </w:r>
          </w:p>
        </w:tc>
        <w:tc>
          <w:tcPr>
            <w:tcW w:w="2497" w:type="dxa"/>
            <w:shd w:val="clear" w:color="auto" w:fill="auto"/>
          </w:tcPr>
          <w:p w:rsidRPr="007F620E" w:rsidR="00037DD3" w:rsidP="00D6567C" w:rsidRDefault="003709A2" w14:paraId="5C615C05" w14:textId="2A704E3B">
            <w:pPr>
              <w:rPr>
                <w:color w:val="000000"/>
              </w:rPr>
            </w:pPr>
            <w:r>
              <w:rPr>
                <w:color w:val="000000"/>
              </w:rPr>
              <w:lastRenderedPageBreak/>
              <w:t>Verified</w:t>
            </w:r>
          </w:p>
        </w:tc>
      </w:tr>
      <w:tr w:rsidRPr="007F620E" w:rsidR="00037DD3" w:rsidTr="00CE4462" w14:paraId="71614C26" w14:textId="77777777">
        <w:tc>
          <w:tcPr>
            <w:tcW w:w="3258" w:type="dxa"/>
            <w:shd w:val="clear" w:color="auto" w:fill="auto"/>
          </w:tcPr>
          <w:p w:rsidRPr="00E81CF9" w:rsidR="00037DD3" w:rsidP="00D6567C" w:rsidRDefault="00552CFB" w14:paraId="216FD793" w14:textId="6740FE4A">
            <w:pPr>
              <w:widowControl w:val="0"/>
              <w:snapToGrid w:val="0"/>
              <w:rPr>
                <w:color w:val="000000"/>
              </w:rPr>
            </w:pPr>
            <w:r w:rsidRPr="00E81CF9">
              <w:rPr>
                <w:b/>
                <w:bCs/>
                <w:color w:val="000000"/>
              </w:rPr>
              <w:t xml:space="preserve">Issue 3: </w:t>
            </w:r>
            <w:r w:rsidRPr="00E81CF9" w:rsidR="007A0F07">
              <w:rPr>
                <w:b/>
                <w:bCs/>
                <w:color w:val="000000"/>
              </w:rPr>
              <w:t xml:space="preserve">Procurement Process: </w:t>
            </w:r>
            <w:r w:rsidRPr="00E81CF9" w:rsidR="00331AD2">
              <w:rPr>
                <w:b/>
                <w:bCs/>
                <w:color w:val="000000"/>
              </w:rPr>
              <w:t>Costs Consideration</w:t>
            </w:r>
            <w:r w:rsidRPr="00E81CF9" w:rsidR="000006FC">
              <w:rPr>
                <w:b/>
                <w:bCs/>
                <w:color w:val="000000"/>
              </w:rPr>
              <w:t xml:space="preserve">: </w:t>
            </w:r>
            <w:r w:rsidRPr="00E81CF9" w:rsidR="00331AD2">
              <w:rPr>
                <w:color w:val="000000"/>
              </w:rPr>
              <w:t xml:space="preserve">CEJA argued that the Commission needed to ensure that ratepayers were protected by unjust and unreasonable DWR procurement. </w:t>
            </w:r>
          </w:p>
          <w:p w:rsidRPr="00E81CF9" w:rsidR="007F75C2" w:rsidP="00D6567C" w:rsidRDefault="007F75C2" w14:paraId="5BE713E8" w14:textId="77777777">
            <w:pPr>
              <w:widowControl w:val="0"/>
              <w:snapToGrid w:val="0"/>
              <w:rPr>
                <w:color w:val="000000"/>
              </w:rPr>
            </w:pPr>
          </w:p>
          <w:p w:rsidRPr="00E81CF9" w:rsidR="007F75C2" w:rsidP="00D6567C" w:rsidRDefault="007F75C2" w14:paraId="6FA02109" w14:textId="6B0BCFFC">
            <w:pPr>
              <w:widowControl w:val="0"/>
              <w:snapToGrid w:val="0"/>
              <w:rPr>
                <w:b/>
                <w:bCs/>
                <w:color w:val="000000"/>
              </w:rPr>
            </w:pPr>
            <w:r w:rsidRPr="00E81CF9">
              <w:rPr>
                <w:color w:val="000000"/>
              </w:rPr>
              <w:t xml:space="preserve">The Commission agreed with CEJA’s recommendation to at least evaluate the costs of proposed procurement against </w:t>
            </w:r>
            <w:r w:rsidRPr="00E81CF9" w:rsidR="0066498C">
              <w:rPr>
                <w:color w:val="000000"/>
              </w:rPr>
              <w:t xml:space="preserve">all available cost benchmarks for similar projects worldwide. </w:t>
            </w:r>
          </w:p>
        </w:tc>
        <w:tc>
          <w:tcPr>
            <w:tcW w:w="4140" w:type="dxa"/>
            <w:shd w:val="clear" w:color="auto" w:fill="auto"/>
          </w:tcPr>
          <w:p w:rsidRPr="00E81CF9" w:rsidR="00037DD3" w:rsidP="00D6567C" w:rsidRDefault="000006FC" w14:paraId="5A8C703C" w14:textId="421D1B37">
            <w:pPr>
              <w:rPr>
                <w:color w:val="000000"/>
              </w:rPr>
            </w:pPr>
            <w:r w:rsidRPr="00E81CF9">
              <w:rPr>
                <w:color w:val="000000"/>
              </w:rPr>
              <w:t xml:space="preserve">D.24-08-064, </w:t>
            </w:r>
            <w:r w:rsidRPr="00E81CF9" w:rsidR="00BA280C">
              <w:rPr>
                <w:color w:val="000000"/>
              </w:rPr>
              <w:t xml:space="preserve">p. 76 (“At a minimum, similar to the CEJA and Sierra Club suggestions, we expect that cost reasonableness will be evaluated against all available cost benchmarks for similar projects worldwide, using </w:t>
            </w:r>
            <w:proofErr w:type="gramStart"/>
            <w:r w:rsidRPr="00E81CF9" w:rsidR="00BA280C">
              <w:rPr>
                <w:color w:val="000000"/>
              </w:rPr>
              <w:t>publicly-available</w:t>
            </w:r>
            <w:proofErr w:type="gramEnd"/>
            <w:r w:rsidRPr="00E81CF9" w:rsidR="00BA280C">
              <w:rPr>
                <w:color w:val="000000"/>
              </w:rPr>
              <w:t xml:space="preserve"> data such as the most recent NREL ATB data, as well as comparison against relevant similar California projects providing similar benefits.”).  </w:t>
            </w:r>
          </w:p>
          <w:p w:rsidRPr="00E81CF9" w:rsidR="00BF4843" w:rsidP="00D6567C" w:rsidRDefault="00BF4843" w14:paraId="0A33E463" w14:textId="77777777">
            <w:pPr>
              <w:rPr>
                <w:color w:val="000000"/>
              </w:rPr>
            </w:pPr>
          </w:p>
          <w:p w:rsidRPr="00E81CF9" w:rsidR="00BF4843" w:rsidP="00D6567C" w:rsidRDefault="00BF4843" w14:paraId="6D203A26" w14:textId="48B9BE35">
            <w:pPr>
              <w:rPr>
                <w:color w:val="000000"/>
              </w:rPr>
            </w:pPr>
            <w:r w:rsidRPr="00E81CF9">
              <w:rPr>
                <w:color w:val="000000"/>
              </w:rPr>
              <w:t xml:space="preserve">CEJA/SC August 8, </w:t>
            </w:r>
            <w:proofErr w:type="gramStart"/>
            <w:r w:rsidRPr="00E81CF9">
              <w:rPr>
                <w:color w:val="000000"/>
              </w:rPr>
              <w:t>2024</w:t>
            </w:r>
            <w:proofErr w:type="gramEnd"/>
            <w:r w:rsidRPr="00E81CF9">
              <w:rPr>
                <w:color w:val="000000"/>
              </w:rPr>
              <w:t xml:space="preserve"> Comments on the Proposed Decision, pp. 5-7. </w:t>
            </w:r>
          </w:p>
        </w:tc>
        <w:tc>
          <w:tcPr>
            <w:tcW w:w="2497" w:type="dxa"/>
            <w:shd w:val="clear" w:color="auto" w:fill="auto"/>
          </w:tcPr>
          <w:p w:rsidR="00037DD3" w:rsidP="00D6567C" w:rsidRDefault="006158A8" w14:paraId="0D6A54CF" w14:textId="213B36D3">
            <w:pPr>
              <w:rPr>
                <w:color w:val="000000"/>
              </w:rPr>
            </w:pPr>
            <w:r>
              <w:rPr>
                <w:color w:val="000000"/>
              </w:rPr>
              <w:t>Verified</w:t>
            </w:r>
          </w:p>
          <w:p w:rsidRPr="006158A8" w:rsidR="006158A8" w:rsidP="006158A8" w:rsidRDefault="006158A8" w14:paraId="2F5F21EA" w14:textId="77777777"/>
          <w:p w:rsidR="006158A8" w:rsidP="006158A8" w:rsidRDefault="006158A8" w14:paraId="201AF2A6" w14:textId="77777777">
            <w:pPr>
              <w:rPr>
                <w:color w:val="000000"/>
              </w:rPr>
            </w:pPr>
          </w:p>
          <w:p w:rsidRPr="006158A8" w:rsidR="006158A8" w:rsidP="006158A8" w:rsidRDefault="006158A8" w14:paraId="0863A298" w14:textId="77777777">
            <w:pPr>
              <w:jc w:val="center"/>
            </w:pPr>
          </w:p>
        </w:tc>
      </w:tr>
      <w:tr w:rsidRPr="007F620E" w:rsidR="00037DD3" w:rsidTr="00CE4462" w14:paraId="2C34098C" w14:textId="77777777">
        <w:tc>
          <w:tcPr>
            <w:tcW w:w="3258" w:type="dxa"/>
            <w:shd w:val="clear" w:color="auto" w:fill="auto"/>
          </w:tcPr>
          <w:p w:rsidRPr="00E81CF9" w:rsidR="00037DD3" w:rsidP="00D6567C" w:rsidRDefault="00552CFB" w14:paraId="39F2BD84" w14:textId="31A9AF2A">
            <w:pPr>
              <w:widowControl w:val="0"/>
              <w:snapToGrid w:val="0"/>
              <w:rPr>
                <w:b/>
                <w:bCs/>
                <w:color w:val="000000"/>
              </w:rPr>
            </w:pPr>
            <w:r w:rsidRPr="00E81CF9">
              <w:rPr>
                <w:b/>
                <w:bCs/>
                <w:color w:val="000000"/>
              </w:rPr>
              <w:t xml:space="preserve">Issue 3: </w:t>
            </w:r>
            <w:r w:rsidRPr="00E81CF9" w:rsidR="00331AD2">
              <w:rPr>
                <w:b/>
                <w:bCs/>
                <w:color w:val="000000"/>
              </w:rPr>
              <w:t>Procurement Process</w:t>
            </w:r>
            <w:r w:rsidRPr="00E81CF9" w:rsidR="000006FC">
              <w:rPr>
                <w:b/>
                <w:bCs/>
                <w:color w:val="000000"/>
              </w:rPr>
              <w:t xml:space="preserve">: </w:t>
            </w:r>
            <w:r w:rsidRPr="00E81CF9" w:rsidR="00331AD2">
              <w:rPr>
                <w:color w:val="000000"/>
              </w:rPr>
              <w:t xml:space="preserve">CEJA urged the Commission to consider DWR procurement in an application process and to utilize an independent evaluator to evaluate the contracts. </w:t>
            </w:r>
            <w:r w:rsidRPr="00E81CF9" w:rsidR="00BF4843">
              <w:rPr>
                <w:color w:val="000000"/>
              </w:rPr>
              <w:t xml:space="preserve"> CEJA also requested that the </w:t>
            </w:r>
            <w:r w:rsidRPr="00E81CF9" w:rsidR="00BF4843">
              <w:rPr>
                <w:color w:val="000000"/>
              </w:rPr>
              <w:lastRenderedPageBreak/>
              <w:t xml:space="preserve">independent evaluator ensure that DWR </w:t>
            </w:r>
            <w:proofErr w:type="gramStart"/>
            <w:r w:rsidRPr="00E81CF9" w:rsidR="00BF4843">
              <w:rPr>
                <w:color w:val="000000"/>
              </w:rPr>
              <w:t>seek</w:t>
            </w:r>
            <w:proofErr w:type="gramEnd"/>
            <w:r w:rsidRPr="00E81CF9" w:rsidR="00BF4843">
              <w:rPr>
                <w:color w:val="000000"/>
              </w:rPr>
              <w:t xml:space="preserve"> all available sources of funding.</w:t>
            </w:r>
            <w:r w:rsidRPr="00E81CF9" w:rsidR="00BF4843">
              <w:rPr>
                <w:b/>
                <w:bCs/>
                <w:color w:val="000000"/>
              </w:rPr>
              <w:t xml:space="preserve"> </w:t>
            </w:r>
          </w:p>
          <w:p w:rsidRPr="00E81CF9" w:rsidR="0066498C" w:rsidP="00D6567C" w:rsidRDefault="0066498C" w14:paraId="05110AAC" w14:textId="77777777">
            <w:pPr>
              <w:widowControl w:val="0"/>
              <w:snapToGrid w:val="0"/>
              <w:rPr>
                <w:b/>
                <w:bCs/>
                <w:color w:val="000000"/>
              </w:rPr>
            </w:pPr>
          </w:p>
          <w:p w:rsidRPr="00E81CF9" w:rsidR="0066498C" w:rsidP="00D6567C" w:rsidRDefault="0066498C" w14:paraId="75D854FC" w14:textId="30ED6050">
            <w:pPr>
              <w:widowControl w:val="0"/>
              <w:snapToGrid w:val="0"/>
              <w:rPr>
                <w:color w:val="000000"/>
              </w:rPr>
            </w:pPr>
            <w:r w:rsidRPr="00E81CF9">
              <w:rPr>
                <w:color w:val="000000"/>
              </w:rPr>
              <w:t xml:space="preserve">The Commission agreed with the process requested by CEJA and </w:t>
            </w:r>
            <w:proofErr w:type="gramStart"/>
            <w:r w:rsidRPr="00E81CF9">
              <w:rPr>
                <w:color w:val="000000"/>
              </w:rPr>
              <w:t>required</w:t>
            </w:r>
            <w:proofErr w:type="gramEnd"/>
            <w:r w:rsidRPr="00E81CF9">
              <w:rPr>
                <w:color w:val="000000"/>
              </w:rPr>
              <w:t xml:space="preserve"> that the DWR </w:t>
            </w:r>
            <w:proofErr w:type="gramStart"/>
            <w:r w:rsidRPr="00E81CF9">
              <w:rPr>
                <w:color w:val="000000"/>
              </w:rPr>
              <w:t>contracts would</w:t>
            </w:r>
            <w:proofErr w:type="gramEnd"/>
            <w:r w:rsidRPr="00E81CF9">
              <w:rPr>
                <w:color w:val="000000"/>
              </w:rPr>
              <w:t xml:space="preserve"> be evaluated in </w:t>
            </w:r>
            <w:proofErr w:type="gramStart"/>
            <w:r w:rsidRPr="00E81CF9">
              <w:rPr>
                <w:color w:val="000000"/>
              </w:rPr>
              <w:t>a proceeding</w:t>
            </w:r>
            <w:proofErr w:type="gramEnd"/>
            <w:r w:rsidRPr="00E81CF9">
              <w:rPr>
                <w:color w:val="000000"/>
              </w:rPr>
              <w:t xml:space="preserve"> and recommended that DWR hire an expert consultant.</w:t>
            </w:r>
          </w:p>
        </w:tc>
        <w:tc>
          <w:tcPr>
            <w:tcW w:w="4140" w:type="dxa"/>
            <w:shd w:val="clear" w:color="auto" w:fill="auto"/>
          </w:tcPr>
          <w:p w:rsidRPr="00E81CF9" w:rsidR="00037DD3" w:rsidP="00D6567C" w:rsidRDefault="00331AD2" w14:paraId="69776480" w14:textId="1EB10017">
            <w:pPr>
              <w:rPr>
                <w:color w:val="000000"/>
              </w:rPr>
            </w:pPr>
            <w:r w:rsidRPr="00E81CF9">
              <w:rPr>
                <w:color w:val="000000"/>
              </w:rPr>
              <w:lastRenderedPageBreak/>
              <w:t xml:space="preserve">D.24-08-064, p. 30 (describing how CEJA requested </w:t>
            </w:r>
            <w:r w:rsidRPr="00E81CF9" w:rsidR="0087372A">
              <w:rPr>
                <w:color w:val="000000"/>
              </w:rPr>
              <w:t xml:space="preserve">that the Commission consider DWR contracts in </w:t>
            </w:r>
            <w:r w:rsidRPr="00E81CF9">
              <w:rPr>
                <w:color w:val="000000"/>
              </w:rPr>
              <w:t>an application process</w:t>
            </w:r>
            <w:r w:rsidRPr="00E81CF9" w:rsidR="00524CF1">
              <w:rPr>
                <w:color w:val="000000"/>
              </w:rPr>
              <w:t xml:space="preserve">).  </w:t>
            </w:r>
          </w:p>
          <w:p w:rsidRPr="00E81CF9" w:rsidR="00524CF1" w:rsidP="00D6567C" w:rsidRDefault="00524CF1" w14:paraId="4C97210E" w14:textId="77777777">
            <w:pPr>
              <w:rPr>
                <w:color w:val="000000"/>
              </w:rPr>
            </w:pPr>
          </w:p>
          <w:p w:rsidRPr="00E81CF9" w:rsidR="00524CF1" w:rsidP="00D6567C" w:rsidRDefault="00524CF1" w14:paraId="54998B80" w14:textId="77777777">
            <w:pPr>
              <w:rPr>
                <w:color w:val="000000"/>
              </w:rPr>
            </w:pPr>
            <w:r w:rsidRPr="00E81CF9">
              <w:rPr>
                <w:color w:val="000000"/>
              </w:rPr>
              <w:t xml:space="preserve">D.24-08-064, p. 58 (“All proposed contracts should be submitted by DWR </w:t>
            </w:r>
            <w:r w:rsidRPr="00E81CF9">
              <w:rPr>
                <w:color w:val="000000"/>
              </w:rPr>
              <w:lastRenderedPageBreak/>
              <w:t xml:space="preserve">to the Commission for approval via an application.”).  </w:t>
            </w:r>
          </w:p>
          <w:p w:rsidRPr="00E81CF9" w:rsidR="00524CF1" w:rsidP="00D6567C" w:rsidRDefault="00524CF1" w14:paraId="36BD67E3" w14:textId="77777777">
            <w:pPr>
              <w:rPr>
                <w:color w:val="000000"/>
              </w:rPr>
            </w:pPr>
          </w:p>
          <w:p w:rsidRPr="00E81CF9" w:rsidR="00524CF1" w:rsidP="00D6567C" w:rsidRDefault="00524CF1" w14:paraId="6D60D93C" w14:textId="77777777">
            <w:pPr>
              <w:rPr>
                <w:color w:val="000000"/>
              </w:rPr>
            </w:pPr>
            <w:r w:rsidRPr="00E81CF9">
              <w:rPr>
                <w:color w:val="000000"/>
              </w:rPr>
              <w:t xml:space="preserve">D.24-08-064, p. 61 (“The ALJ Ruling also proposed that DWR be encouraged to retain an expert consultant to advise on the procurement as an independent evaluator and/or support for DWR staff procurement determinations…and therefore we will recommend this approach to DWR.”).  </w:t>
            </w:r>
          </w:p>
          <w:p w:rsidRPr="00E81CF9" w:rsidR="00BF4843" w:rsidP="00D6567C" w:rsidRDefault="00BF4843" w14:paraId="7DC3FB54" w14:textId="77777777">
            <w:pPr>
              <w:rPr>
                <w:color w:val="000000"/>
              </w:rPr>
            </w:pPr>
          </w:p>
          <w:p w:rsidRPr="00E81CF9" w:rsidR="00BF4843" w:rsidP="00D6567C" w:rsidRDefault="00BF4843" w14:paraId="58650CE5" w14:textId="77777777">
            <w:pPr>
              <w:rPr>
                <w:color w:val="000000"/>
              </w:rPr>
            </w:pPr>
            <w:r w:rsidRPr="00E81CF9">
              <w:rPr>
                <w:color w:val="000000"/>
              </w:rPr>
              <w:t xml:space="preserve">D.24-08-064, p. 84, COL 31 (describing future process for considering DWR procurement). </w:t>
            </w:r>
          </w:p>
          <w:p w:rsidRPr="00E81CF9" w:rsidR="00BF4843" w:rsidP="00D6567C" w:rsidRDefault="00BF4843" w14:paraId="7154C91C" w14:textId="77777777">
            <w:pPr>
              <w:rPr>
                <w:color w:val="000000"/>
              </w:rPr>
            </w:pPr>
          </w:p>
          <w:p w:rsidRPr="00E81CF9" w:rsidR="00BF4843" w:rsidP="00D6567C" w:rsidRDefault="00BF4843" w14:paraId="78589174" w14:textId="61DC77AE">
            <w:pPr>
              <w:rPr>
                <w:color w:val="000000"/>
              </w:rPr>
            </w:pPr>
            <w:r w:rsidRPr="00E81CF9">
              <w:rPr>
                <w:color w:val="000000"/>
              </w:rPr>
              <w:t xml:space="preserve">D.24-08-064, p. 85, COL 35 (requiring an expert consultant for DWR procurement). </w:t>
            </w:r>
          </w:p>
          <w:p w:rsidRPr="00E81CF9" w:rsidR="00BF4843" w:rsidP="00D6567C" w:rsidRDefault="00BF4843" w14:paraId="041BD930" w14:textId="77777777">
            <w:pPr>
              <w:rPr>
                <w:color w:val="000000"/>
              </w:rPr>
            </w:pPr>
          </w:p>
          <w:p w:rsidRPr="00E81CF9" w:rsidR="00BF4843" w:rsidP="00D6567C" w:rsidRDefault="00BF4843" w14:paraId="59C58FAA" w14:textId="075D442E">
            <w:pPr>
              <w:rPr>
                <w:color w:val="000000"/>
              </w:rPr>
            </w:pPr>
            <w:r w:rsidRPr="00E81CF9">
              <w:rPr>
                <w:color w:val="000000"/>
              </w:rPr>
              <w:t xml:space="preserve">D.24-08-064, p. 88, OP 9 (“The </w:t>
            </w:r>
            <w:r w:rsidRPr="00E81CF9" w:rsidR="00A92C1F">
              <w:rPr>
                <w:color w:val="000000"/>
              </w:rPr>
              <w:t>C</w:t>
            </w:r>
            <w:r w:rsidRPr="00E81CF9">
              <w:rPr>
                <w:color w:val="000000"/>
              </w:rPr>
              <w:t xml:space="preserve">ommission recommends that DWR pursue, through this consultant or another mechanism, any additional available sources of funding that may be applicable to the resources found needed for centralized procurement in this decision.”).  </w:t>
            </w:r>
          </w:p>
          <w:p w:rsidRPr="00E81CF9" w:rsidR="00FE1842" w:rsidP="00D6567C" w:rsidRDefault="00FE1842" w14:paraId="2EFDCED0" w14:textId="77777777">
            <w:pPr>
              <w:rPr>
                <w:color w:val="000000"/>
              </w:rPr>
            </w:pPr>
          </w:p>
          <w:p w:rsidRPr="00E81CF9" w:rsidR="00FE1842" w:rsidP="00D6567C" w:rsidRDefault="00FE1842" w14:paraId="77779B27" w14:textId="19DAB374">
            <w:pPr>
              <w:rPr>
                <w:color w:val="000000"/>
              </w:rPr>
            </w:pPr>
            <w:r w:rsidRPr="00E81CF9">
              <w:rPr>
                <w:color w:val="000000"/>
              </w:rPr>
              <w:t xml:space="preserve">CEJA/SC May 24, </w:t>
            </w:r>
            <w:proofErr w:type="gramStart"/>
            <w:r w:rsidRPr="00E81CF9">
              <w:rPr>
                <w:color w:val="000000"/>
              </w:rPr>
              <w:t>2024</w:t>
            </w:r>
            <w:proofErr w:type="gramEnd"/>
            <w:r w:rsidRPr="00E81CF9">
              <w:rPr>
                <w:color w:val="000000"/>
              </w:rPr>
              <w:t xml:space="preserve"> Opening Comments, pp. 6-7 (discussing concerns about DWR pursuing all incentives). </w:t>
            </w:r>
          </w:p>
          <w:p w:rsidRPr="00E81CF9" w:rsidR="00FE1842" w:rsidP="00D6567C" w:rsidRDefault="00FE1842" w14:paraId="34453CE3" w14:textId="77777777">
            <w:pPr>
              <w:rPr>
                <w:color w:val="000000"/>
              </w:rPr>
            </w:pPr>
          </w:p>
          <w:p w:rsidRPr="00E81CF9" w:rsidR="00FE1842" w:rsidP="00D6567C" w:rsidRDefault="00FE1842" w14:paraId="3AE7E452" w14:textId="77777777">
            <w:pPr>
              <w:rPr>
                <w:color w:val="000000"/>
              </w:rPr>
            </w:pPr>
            <w:r w:rsidRPr="00E81CF9">
              <w:rPr>
                <w:color w:val="000000"/>
              </w:rPr>
              <w:t xml:space="preserve">CEJA/SC June 5, </w:t>
            </w:r>
            <w:proofErr w:type="gramStart"/>
            <w:r w:rsidRPr="00E81CF9">
              <w:rPr>
                <w:color w:val="000000"/>
              </w:rPr>
              <w:t>2024</w:t>
            </w:r>
            <w:proofErr w:type="gramEnd"/>
            <w:r w:rsidRPr="00E81CF9">
              <w:rPr>
                <w:color w:val="000000"/>
              </w:rPr>
              <w:t xml:space="preserve"> Reply Comments, pp. 8-10. </w:t>
            </w:r>
          </w:p>
          <w:p w:rsidRPr="00E81CF9" w:rsidR="00FE1842" w:rsidP="00D6567C" w:rsidRDefault="00FE1842" w14:paraId="3C0182A1" w14:textId="77777777">
            <w:pPr>
              <w:rPr>
                <w:color w:val="000000"/>
              </w:rPr>
            </w:pPr>
          </w:p>
          <w:p w:rsidRPr="00E81CF9" w:rsidR="00FE1842" w:rsidP="00D6567C" w:rsidRDefault="00FE1842" w14:paraId="07413279" w14:textId="200D59AD">
            <w:pPr>
              <w:rPr>
                <w:color w:val="000000"/>
              </w:rPr>
            </w:pPr>
            <w:r w:rsidRPr="00E81CF9">
              <w:rPr>
                <w:color w:val="000000"/>
              </w:rPr>
              <w:t xml:space="preserve">CEJA/SC June 5, </w:t>
            </w:r>
            <w:proofErr w:type="gramStart"/>
            <w:r w:rsidRPr="00E81CF9">
              <w:rPr>
                <w:color w:val="000000"/>
              </w:rPr>
              <w:t>2024</w:t>
            </w:r>
            <w:proofErr w:type="gramEnd"/>
            <w:r w:rsidRPr="00E81CF9">
              <w:rPr>
                <w:color w:val="000000"/>
              </w:rPr>
              <w:t xml:space="preserve"> Reply Comments, p. 10 (requesting that the independent evaluator assesses </w:t>
            </w:r>
            <w:r w:rsidRPr="00E81CF9" w:rsidR="0087372A">
              <w:rPr>
                <w:color w:val="000000"/>
              </w:rPr>
              <w:t>DWR procurement</w:t>
            </w:r>
            <w:r w:rsidRPr="00E81CF9">
              <w:rPr>
                <w:color w:val="000000"/>
              </w:rPr>
              <w:t xml:space="preserve">).  </w:t>
            </w:r>
          </w:p>
        </w:tc>
        <w:tc>
          <w:tcPr>
            <w:tcW w:w="2497" w:type="dxa"/>
            <w:shd w:val="clear" w:color="auto" w:fill="auto"/>
          </w:tcPr>
          <w:p w:rsidRPr="007F620E" w:rsidR="00037DD3" w:rsidP="00D6567C" w:rsidRDefault="008E5B4F" w14:paraId="6B3A0739" w14:textId="3EA6EFFA">
            <w:pPr>
              <w:rPr>
                <w:color w:val="000000"/>
              </w:rPr>
            </w:pPr>
            <w:r>
              <w:rPr>
                <w:color w:val="000000"/>
              </w:rPr>
              <w:lastRenderedPageBreak/>
              <w:t>Ver</w:t>
            </w:r>
            <w:r w:rsidR="00962FB7">
              <w:rPr>
                <w:color w:val="000000"/>
              </w:rPr>
              <w:t>ified</w:t>
            </w:r>
          </w:p>
        </w:tc>
      </w:tr>
      <w:tr w:rsidRPr="007F620E" w:rsidR="00524CF1" w:rsidTr="00CE4462" w14:paraId="1D4CE529" w14:textId="77777777">
        <w:tc>
          <w:tcPr>
            <w:tcW w:w="3258" w:type="dxa"/>
            <w:shd w:val="clear" w:color="auto" w:fill="auto"/>
          </w:tcPr>
          <w:p w:rsidRPr="00E81CF9" w:rsidR="00524CF1" w:rsidP="00D6567C" w:rsidRDefault="00552CFB" w14:paraId="5BB40FEB" w14:textId="29F8E8CD">
            <w:pPr>
              <w:widowControl w:val="0"/>
              <w:snapToGrid w:val="0"/>
              <w:rPr>
                <w:color w:val="000000"/>
              </w:rPr>
            </w:pPr>
            <w:r w:rsidRPr="00E81CF9">
              <w:rPr>
                <w:b/>
                <w:bCs/>
                <w:color w:val="000000"/>
              </w:rPr>
              <w:t xml:space="preserve">Issue 3: </w:t>
            </w:r>
            <w:r w:rsidRPr="00E81CF9" w:rsidR="00524CF1">
              <w:rPr>
                <w:b/>
                <w:bCs/>
                <w:color w:val="000000"/>
              </w:rPr>
              <w:t>Procurement Process</w:t>
            </w:r>
            <w:r w:rsidRPr="00E81CF9" w:rsidR="000006FC">
              <w:rPr>
                <w:b/>
                <w:bCs/>
                <w:color w:val="000000"/>
              </w:rPr>
              <w:t xml:space="preserve">: </w:t>
            </w:r>
            <w:r w:rsidRPr="00E81CF9" w:rsidR="00524CF1">
              <w:rPr>
                <w:b/>
                <w:bCs/>
                <w:color w:val="000000"/>
              </w:rPr>
              <w:t>Inclusion of Local Communities</w:t>
            </w:r>
            <w:r w:rsidRPr="00E81CF9" w:rsidR="000006FC">
              <w:rPr>
                <w:b/>
                <w:bCs/>
                <w:color w:val="000000"/>
              </w:rPr>
              <w:t xml:space="preserve">: </w:t>
            </w:r>
            <w:r w:rsidRPr="00E81CF9" w:rsidR="0066498C">
              <w:rPr>
                <w:color w:val="000000"/>
              </w:rPr>
              <w:t xml:space="preserve">CEJA urged the Commission to require inclusion of local communities in the procurement review </w:t>
            </w:r>
            <w:r w:rsidRPr="00E81CF9" w:rsidR="0066498C">
              <w:rPr>
                <w:color w:val="000000"/>
              </w:rPr>
              <w:lastRenderedPageBreak/>
              <w:t>group.</w:t>
            </w:r>
          </w:p>
          <w:p w:rsidRPr="00E81CF9" w:rsidR="0066498C" w:rsidP="00D6567C" w:rsidRDefault="0066498C" w14:paraId="3E52FF7D" w14:textId="77777777">
            <w:pPr>
              <w:widowControl w:val="0"/>
              <w:snapToGrid w:val="0"/>
              <w:rPr>
                <w:color w:val="000000"/>
              </w:rPr>
            </w:pPr>
          </w:p>
          <w:p w:rsidRPr="00E81CF9" w:rsidR="0066498C" w:rsidP="00D6567C" w:rsidRDefault="0066498C" w14:paraId="5109A6B5" w14:textId="2D5FB9A8">
            <w:pPr>
              <w:widowControl w:val="0"/>
              <w:snapToGrid w:val="0"/>
              <w:rPr>
                <w:b/>
                <w:bCs/>
                <w:color w:val="000000"/>
              </w:rPr>
            </w:pPr>
            <w:r w:rsidRPr="00E81CF9">
              <w:rPr>
                <w:color w:val="000000"/>
              </w:rPr>
              <w:t>The Commission agreed that local communities should be included within the procurement review group.</w:t>
            </w:r>
            <w:r w:rsidRPr="00E81CF9">
              <w:rPr>
                <w:b/>
                <w:bCs/>
                <w:color w:val="000000"/>
              </w:rPr>
              <w:t xml:space="preserve"> </w:t>
            </w:r>
          </w:p>
        </w:tc>
        <w:tc>
          <w:tcPr>
            <w:tcW w:w="4140" w:type="dxa"/>
            <w:shd w:val="clear" w:color="auto" w:fill="auto"/>
          </w:tcPr>
          <w:p w:rsidRPr="00E81CF9" w:rsidR="00524CF1" w:rsidP="00D6567C" w:rsidRDefault="00524CF1" w14:paraId="55136CC2" w14:textId="77777777">
            <w:pPr>
              <w:rPr>
                <w:color w:val="000000"/>
              </w:rPr>
            </w:pPr>
            <w:r w:rsidRPr="00E81CF9">
              <w:rPr>
                <w:color w:val="000000"/>
              </w:rPr>
              <w:lastRenderedPageBreak/>
              <w:t xml:space="preserve">D.24-08-064, p. 33 (“CEJA and Sierra </w:t>
            </w:r>
            <w:proofErr w:type="gramStart"/>
            <w:r w:rsidRPr="00E81CF9">
              <w:rPr>
                <w:color w:val="000000"/>
              </w:rPr>
              <w:t>Club</w:t>
            </w:r>
            <w:proofErr w:type="gramEnd"/>
            <w:r w:rsidRPr="00E81CF9">
              <w:rPr>
                <w:color w:val="000000"/>
              </w:rPr>
              <w:t xml:space="preserve"> </w:t>
            </w:r>
            <w:proofErr w:type="gramStart"/>
            <w:r w:rsidRPr="00E81CF9">
              <w:rPr>
                <w:color w:val="000000"/>
              </w:rPr>
              <w:t>suggest</w:t>
            </w:r>
            <w:proofErr w:type="gramEnd"/>
            <w:r w:rsidRPr="00E81CF9">
              <w:rPr>
                <w:color w:val="000000"/>
              </w:rPr>
              <w:t xml:space="preserve"> that the PRG involve impacted communities, including an option where a community member or organization can participate without reviewing confidential information. </w:t>
            </w:r>
            <w:r w:rsidRPr="00E81CF9">
              <w:rPr>
                <w:color w:val="000000"/>
              </w:rPr>
              <w:lastRenderedPageBreak/>
              <w:t xml:space="preserve">Generally, CEJA and Sierra Club suggest that DWR should work with local communities for consideration of their input on contracts.”).  </w:t>
            </w:r>
          </w:p>
          <w:p w:rsidRPr="00E81CF9" w:rsidR="00524CF1" w:rsidP="00D6567C" w:rsidRDefault="00524CF1" w14:paraId="690CC075" w14:textId="77777777">
            <w:pPr>
              <w:rPr>
                <w:color w:val="000000"/>
              </w:rPr>
            </w:pPr>
          </w:p>
          <w:p w:rsidRPr="00E81CF9" w:rsidR="00524CF1" w:rsidP="00D6567C" w:rsidRDefault="00524CF1" w14:paraId="385C69EC" w14:textId="77777777">
            <w:pPr>
              <w:rPr>
                <w:color w:val="000000"/>
              </w:rPr>
            </w:pPr>
            <w:r w:rsidRPr="00E81CF9">
              <w:rPr>
                <w:color w:val="000000"/>
              </w:rPr>
              <w:t xml:space="preserve">D.24-08-064, p. 62 (“In addition, </w:t>
            </w:r>
            <w:proofErr w:type="gramStart"/>
            <w:r w:rsidRPr="00E81CF9">
              <w:rPr>
                <w:color w:val="000000"/>
              </w:rPr>
              <w:t>a number of</w:t>
            </w:r>
            <w:proofErr w:type="gramEnd"/>
            <w:r w:rsidRPr="00E81CF9">
              <w:rPr>
                <w:color w:val="000000"/>
              </w:rPr>
              <w:t xml:space="preserve"> parties recommend that DWR be encouraged to conduct outreach to and allow representation on the procurement group from community groups and Tribal Nations with vested interests in the procurement.  We </w:t>
            </w:r>
            <w:proofErr w:type="gramStart"/>
            <w:r w:rsidRPr="00E81CF9">
              <w:rPr>
                <w:color w:val="000000"/>
              </w:rPr>
              <w:t>agree, and</w:t>
            </w:r>
            <w:proofErr w:type="gramEnd"/>
            <w:r w:rsidRPr="00E81CF9">
              <w:rPr>
                <w:color w:val="000000"/>
              </w:rPr>
              <w:t xml:space="preserve"> encourage DWR to use the input from these groups as much as possible.”).  </w:t>
            </w:r>
          </w:p>
          <w:p w:rsidRPr="00E81CF9" w:rsidR="00BF4843" w:rsidP="00D6567C" w:rsidRDefault="00BF4843" w14:paraId="7673D318" w14:textId="77777777">
            <w:pPr>
              <w:rPr>
                <w:color w:val="000000"/>
              </w:rPr>
            </w:pPr>
          </w:p>
          <w:p w:rsidRPr="00E81CF9" w:rsidR="00BF4843" w:rsidP="00D6567C" w:rsidRDefault="00BF4843" w14:paraId="4E1316DE" w14:textId="77777777">
            <w:pPr>
              <w:rPr>
                <w:color w:val="000000"/>
              </w:rPr>
            </w:pPr>
            <w:r w:rsidRPr="00E81CF9">
              <w:rPr>
                <w:color w:val="000000"/>
              </w:rPr>
              <w:t xml:space="preserve">D.24-08-064, p. 85, COL 37. </w:t>
            </w:r>
          </w:p>
          <w:p w:rsidRPr="00E81CF9" w:rsidR="00FE1842" w:rsidP="00D6567C" w:rsidRDefault="00FE1842" w14:paraId="10E6CBB9" w14:textId="77777777">
            <w:pPr>
              <w:rPr>
                <w:color w:val="000000"/>
              </w:rPr>
            </w:pPr>
          </w:p>
          <w:p w:rsidRPr="00E81CF9" w:rsidR="00FE1842" w:rsidP="00D6567C" w:rsidRDefault="00FE1842" w14:paraId="1814FD30" w14:textId="51119EED">
            <w:pPr>
              <w:rPr>
                <w:color w:val="000000"/>
              </w:rPr>
            </w:pPr>
            <w:r w:rsidRPr="00E81CF9">
              <w:rPr>
                <w:color w:val="000000"/>
              </w:rPr>
              <w:t xml:space="preserve">CEJA/SC May 24, </w:t>
            </w:r>
            <w:proofErr w:type="gramStart"/>
            <w:r w:rsidRPr="00E81CF9">
              <w:rPr>
                <w:color w:val="000000"/>
              </w:rPr>
              <w:t>2024</w:t>
            </w:r>
            <w:proofErr w:type="gramEnd"/>
            <w:r w:rsidRPr="00E81CF9">
              <w:rPr>
                <w:color w:val="000000"/>
              </w:rPr>
              <w:t xml:space="preserve"> Opening Comments, pp. </w:t>
            </w:r>
            <w:r w:rsidRPr="00E81CF9" w:rsidR="007F75C2">
              <w:rPr>
                <w:color w:val="000000"/>
              </w:rPr>
              <w:t xml:space="preserve">20-21. </w:t>
            </w:r>
          </w:p>
          <w:p w:rsidRPr="00E81CF9" w:rsidR="00FE1842" w:rsidP="00D6567C" w:rsidRDefault="00FE1842" w14:paraId="238002B6" w14:textId="77777777">
            <w:pPr>
              <w:rPr>
                <w:color w:val="000000"/>
              </w:rPr>
            </w:pPr>
          </w:p>
          <w:p w:rsidRPr="00E81CF9" w:rsidR="00FE1842" w:rsidP="00D6567C" w:rsidRDefault="00FE1842" w14:paraId="7A4D4FE8" w14:textId="0E0E58CE">
            <w:pPr>
              <w:rPr>
                <w:color w:val="000000"/>
              </w:rPr>
            </w:pPr>
            <w:r w:rsidRPr="00E81CF9">
              <w:rPr>
                <w:color w:val="000000"/>
              </w:rPr>
              <w:t xml:space="preserve">CEJA/SC June 5, </w:t>
            </w:r>
            <w:proofErr w:type="gramStart"/>
            <w:r w:rsidRPr="00E81CF9">
              <w:rPr>
                <w:color w:val="000000"/>
              </w:rPr>
              <w:t>2024</w:t>
            </w:r>
            <w:proofErr w:type="gramEnd"/>
            <w:r w:rsidRPr="00E81CF9">
              <w:rPr>
                <w:color w:val="000000"/>
              </w:rPr>
              <w:t xml:space="preserve"> Reply Comments, pp. 8-9. </w:t>
            </w:r>
          </w:p>
        </w:tc>
        <w:tc>
          <w:tcPr>
            <w:tcW w:w="2497" w:type="dxa"/>
            <w:shd w:val="clear" w:color="auto" w:fill="auto"/>
          </w:tcPr>
          <w:p w:rsidRPr="007F620E" w:rsidR="00524CF1" w:rsidP="00D6567C" w:rsidRDefault="00A11F4E" w14:paraId="02FF758A" w14:textId="111B3FED">
            <w:pPr>
              <w:rPr>
                <w:color w:val="000000"/>
              </w:rPr>
            </w:pPr>
            <w:r>
              <w:rPr>
                <w:color w:val="000000"/>
              </w:rPr>
              <w:lastRenderedPageBreak/>
              <w:t>Verified</w:t>
            </w:r>
          </w:p>
        </w:tc>
      </w:tr>
      <w:tr w:rsidRPr="007F620E" w:rsidR="00D9432D" w:rsidTr="00CE4462" w14:paraId="55D69CEE" w14:textId="77777777">
        <w:tc>
          <w:tcPr>
            <w:tcW w:w="3258" w:type="dxa"/>
            <w:shd w:val="clear" w:color="auto" w:fill="auto"/>
          </w:tcPr>
          <w:p w:rsidRPr="00E81CF9" w:rsidR="00D9432D" w:rsidP="00D6567C" w:rsidRDefault="00552CFB" w14:paraId="075AD7AE" w14:textId="5920EC36">
            <w:pPr>
              <w:widowControl w:val="0"/>
              <w:snapToGrid w:val="0"/>
              <w:rPr>
                <w:color w:val="000000"/>
              </w:rPr>
            </w:pPr>
            <w:r w:rsidRPr="00E81CF9">
              <w:rPr>
                <w:b/>
                <w:bCs/>
                <w:color w:val="000000"/>
              </w:rPr>
              <w:t xml:space="preserve">Issue 4: </w:t>
            </w:r>
            <w:r w:rsidRPr="00E81CF9" w:rsidR="0060696E">
              <w:rPr>
                <w:b/>
                <w:bCs/>
                <w:color w:val="000000"/>
              </w:rPr>
              <w:t xml:space="preserve">Diablo Procurement Limitations: </w:t>
            </w:r>
            <w:r w:rsidRPr="00E81CF9" w:rsidR="00D9432D">
              <w:rPr>
                <w:b/>
                <w:bCs/>
                <w:color w:val="000000"/>
              </w:rPr>
              <w:t>Prohibition of Unspecified Resources</w:t>
            </w:r>
            <w:r w:rsidRPr="00E81CF9" w:rsidR="00135A27">
              <w:rPr>
                <w:b/>
                <w:bCs/>
                <w:color w:val="000000"/>
              </w:rPr>
              <w:t xml:space="preserve">: </w:t>
            </w:r>
            <w:r w:rsidRPr="00E81CF9" w:rsidR="00D9432D">
              <w:rPr>
                <w:b/>
                <w:bCs/>
                <w:color w:val="000000"/>
              </w:rPr>
              <w:t xml:space="preserve"> </w:t>
            </w:r>
            <w:r w:rsidRPr="00E81CF9" w:rsidR="00D9432D">
              <w:rPr>
                <w:color w:val="000000"/>
              </w:rPr>
              <w:t xml:space="preserve">CEJA urged the Commission to not allow unspecified </w:t>
            </w:r>
            <w:r w:rsidRPr="00E81CF9" w:rsidR="00135A27">
              <w:rPr>
                <w:color w:val="000000"/>
              </w:rPr>
              <w:t xml:space="preserve">import </w:t>
            </w:r>
            <w:r w:rsidRPr="00E81CF9" w:rsidR="00D9432D">
              <w:rPr>
                <w:color w:val="000000"/>
              </w:rPr>
              <w:t>resources</w:t>
            </w:r>
            <w:r w:rsidRPr="00E81CF9" w:rsidR="00135A27">
              <w:rPr>
                <w:color w:val="000000"/>
              </w:rPr>
              <w:t xml:space="preserve"> paired with Renewable Energy Credits (“RECs”)</w:t>
            </w:r>
            <w:r w:rsidRPr="00E81CF9" w:rsidR="00D9432D">
              <w:rPr>
                <w:color w:val="000000"/>
              </w:rPr>
              <w:t xml:space="preserve"> to qualify as bridge resources. </w:t>
            </w:r>
          </w:p>
          <w:p w:rsidRPr="00E81CF9" w:rsidR="00DA5577" w:rsidP="00D6567C" w:rsidRDefault="00DA5577" w14:paraId="7A24C94E" w14:textId="77777777">
            <w:pPr>
              <w:widowControl w:val="0"/>
              <w:snapToGrid w:val="0"/>
              <w:rPr>
                <w:color w:val="000000"/>
              </w:rPr>
            </w:pPr>
          </w:p>
          <w:p w:rsidRPr="00E81CF9" w:rsidR="00DA5577" w:rsidP="00D6567C" w:rsidRDefault="00DA5577" w14:paraId="34AC93DE" w14:textId="757C1478">
            <w:pPr>
              <w:widowControl w:val="0"/>
              <w:snapToGrid w:val="0"/>
              <w:rPr>
                <w:color w:val="000000"/>
              </w:rPr>
            </w:pPr>
            <w:r w:rsidRPr="00E81CF9">
              <w:rPr>
                <w:color w:val="000000"/>
              </w:rPr>
              <w:t xml:space="preserve">The Commission agreed to not allow unspecified </w:t>
            </w:r>
            <w:r w:rsidRPr="00E81CF9" w:rsidR="00135A27">
              <w:rPr>
                <w:color w:val="000000"/>
              </w:rPr>
              <w:t xml:space="preserve">import </w:t>
            </w:r>
            <w:r w:rsidRPr="00E81CF9">
              <w:rPr>
                <w:color w:val="000000"/>
              </w:rPr>
              <w:t>resources</w:t>
            </w:r>
            <w:r w:rsidRPr="00E81CF9" w:rsidR="00135A27">
              <w:rPr>
                <w:color w:val="000000"/>
              </w:rPr>
              <w:t xml:space="preserve"> paired with RECs</w:t>
            </w:r>
            <w:r w:rsidRPr="00E81CF9">
              <w:rPr>
                <w:color w:val="000000"/>
              </w:rPr>
              <w:t xml:space="preserve"> to qualify as bridge resources. </w:t>
            </w:r>
          </w:p>
        </w:tc>
        <w:tc>
          <w:tcPr>
            <w:tcW w:w="4140" w:type="dxa"/>
            <w:shd w:val="clear" w:color="auto" w:fill="auto"/>
          </w:tcPr>
          <w:p w:rsidRPr="00E81CF9" w:rsidR="00D9432D" w:rsidP="00D6567C" w:rsidRDefault="00617A80" w14:paraId="4B77B9B3" w14:textId="46FE85DF">
            <w:pPr>
              <w:rPr>
                <w:color w:val="000000"/>
              </w:rPr>
            </w:pPr>
            <w:r w:rsidRPr="00E81CF9">
              <w:rPr>
                <w:color w:val="000000"/>
              </w:rPr>
              <w:t>D.</w:t>
            </w:r>
            <w:r w:rsidRPr="00E81CF9" w:rsidR="00DA5577">
              <w:rPr>
                <w:color w:val="000000"/>
              </w:rPr>
              <w:t>24-09-006</w:t>
            </w:r>
            <w:r w:rsidRPr="00E81CF9">
              <w:rPr>
                <w:color w:val="000000"/>
              </w:rPr>
              <w:t>, p. 20 (discussing CEJA’s position).</w:t>
            </w:r>
          </w:p>
          <w:p w:rsidRPr="00E81CF9" w:rsidR="00617A80" w:rsidP="00D6567C" w:rsidRDefault="00617A80" w14:paraId="22A4ABAF" w14:textId="77777777">
            <w:pPr>
              <w:rPr>
                <w:color w:val="000000"/>
              </w:rPr>
            </w:pPr>
          </w:p>
          <w:p w:rsidRPr="00E81CF9" w:rsidR="00617A80" w:rsidP="00D6567C" w:rsidRDefault="00617A80" w14:paraId="1EC9A845" w14:textId="3C9EFA04">
            <w:pPr>
              <w:rPr>
                <w:color w:val="000000"/>
              </w:rPr>
            </w:pPr>
            <w:r w:rsidRPr="00E81CF9">
              <w:rPr>
                <w:color w:val="000000"/>
              </w:rPr>
              <w:t>D.</w:t>
            </w:r>
            <w:r w:rsidRPr="00E81CF9" w:rsidR="00DA5577">
              <w:rPr>
                <w:color w:val="000000"/>
              </w:rPr>
              <w:t>24-09-006</w:t>
            </w:r>
            <w:r w:rsidRPr="00E81CF9">
              <w:rPr>
                <w:color w:val="000000"/>
              </w:rPr>
              <w:t xml:space="preserve">, pp. 12-13 (not allowing the use of unspecified imports paired with RECs to count as Diablo bridge resources). </w:t>
            </w:r>
          </w:p>
          <w:p w:rsidRPr="00E81CF9" w:rsidR="00135A27" w:rsidP="00D6567C" w:rsidRDefault="00135A27" w14:paraId="4F4E235D" w14:textId="77777777">
            <w:pPr>
              <w:rPr>
                <w:color w:val="000000"/>
              </w:rPr>
            </w:pPr>
          </w:p>
          <w:p w:rsidRPr="00E81CF9" w:rsidR="00135A27" w:rsidP="00D6567C" w:rsidRDefault="00135A27" w14:paraId="7F732575" w14:textId="651A8EA6">
            <w:pPr>
              <w:rPr>
                <w:color w:val="000000"/>
              </w:rPr>
            </w:pPr>
            <w:r w:rsidRPr="00E81CF9">
              <w:rPr>
                <w:color w:val="000000"/>
              </w:rPr>
              <w:t xml:space="preserve">CEJA/SC September 3, </w:t>
            </w:r>
            <w:proofErr w:type="gramStart"/>
            <w:r w:rsidRPr="00E81CF9">
              <w:rPr>
                <w:color w:val="000000"/>
              </w:rPr>
              <w:t>2024</w:t>
            </w:r>
            <w:proofErr w:type="gramEnd"/>
            <w:r w:rsidRPr="00E81CF9">
              <w:rPr>
                <w:color w:val="000000"/>
              </w:rPr>
              <w:t xml:space="preserve"> Reply Comments on the Proposed Decision.  </w:t>
            </w:r>
          </w:p>
          <w:p w:rsidRPr="00E81CF9" w:rsidR="00617A80" w:rsidP="00D6567C" w:rsidRDefault="00617A80" w14:paraId="0ABCF068" w14:textId="77777777">
            <w:pPr>
              <w:rPr>
                <w:color w:val="000000"/>
              </w:rPr>
            </w:pPr>
          </w:p>
          <w:p w:rsidRPr="00E81CF9" w:rsidR="00617A80" w:rsidP="00D6567C" w:rsidRDefault="00617A80" w14:paraId="5BB173BA" w14:textId="17268D06">
            <w:pPr>
              <w:rPr>
                <w:color w:val="000000"/>
              </w:rPr>
            </w:pPr>
          </w:p>
        </w:tc>
        <w:tc>
          <w:tcPr>
            <w:tcW w:w="2497" w:type="dxa"/>
            <w:shd w:val="clear" w:color="auto" w:fill="auto"/>
          </w:tcPr>
          <w:p w:rsidRPr="007F620E" w:rsidR="00D9432D" w:rsidP="00D6567C" w:rsidRDefault="009530AF" w14:paraId="41B19CBC" w14:textId="475C5742">
            <w:pPr>
              <w:rPr>
                <w:color w:val="000000"/>
              </w:rPr>
            </w:pPr>
            <w:r>
              <w:rPr>
                <w:color w:val="000000"/>
              </w:rPr>
              <w:t>Verified</w:t>
            </w:r>
          </w:p>
        </w:tc>
      </w:tr>
      <w:tr w:rsidRPr="007F620E" w:rsidR="00135A27" w:rsidTr="00CE4462" w14:paraId="033046DD" w14:textId="77777777">
        <w:tc>
          <w:tcPr>
            <w:tcW w:w="3258" w:type="dxa"/>
            <w:shd w:val="clear" w:color="auto" w:fill="auto"/>
          </w:tcPr>
          <w:p w:rsidRPr="00E81CF9" w:rsidR="00135A27" w:rsidP="00D6567C" w:rsidRDefault="000006FC" w14:paraId="6E87700C" w14:textId="3B3607D5">
            <w:pPr>
              <w:widowControl w:val="0"/>
              <w:snapToGrid w:val="0"/>
              <w:rPr>
                <w:color w:val="000000"/>
              </w:rPr>
            </w:pPr>
            <w:r w:rsidRPr="00E81CF9">
              <w:rPr>
                <w:b/>
                <w:bCs/>
                <w:color w:val="000000"/>
              </w:rPr>
              <w:t>Issue 5: TPP Sensitivity</w:t>
            </w:r>
            <w:r w:rsidRPr="00E81CF9" w:rsidR="0011422A">
              <w:rPr>
                <w:b/>
                <w:bCs/>
                <w:color w:val="000000"/>
              </w:rPr>
              <w:t xml:space="preserve">: </w:t>
            </w:r>
            <w:r w:rsidRPr="00E81CF9" w:rsidR="00B01D1A">
              <w:rPr>
                <w:color w:val="000000"/>
              </w:rPr>
              <w:t xml:space="preserve">CEJA supported the inclusion of OSW in the TPP sensitivity, and CEJA supported the Commission choosing the staff-recommended sensitivity and not the alternative sensitivity.  </w:t>
            </w:r>
            <w:r w:rsidRPr="00E81CF9" w:rsidR="003B32FD">
              <w:rPr>
                <w:color w:val="000000"/>
              </w:rPr>
              <w:t xml:space="preserve">CEJA further </w:t>
            </w:r>
            <w:r w:rsidRPr="00E81CF9" w:rsidR="003B32FD">
              <w:rPr>
                <w:color w:val="000000"/>
              </w:rPr>
              <w:lastRenderedPageBreak/>
              <w:t>urged consideration of retirements in the sensitivity.</w:t>
            </w:r>
          </w:p>
          <w:p w:rsidRPr="00E81CF9" w:rsidR="003B32FD" w:rsidP="00D6567C" w:rsidRDefault="003B32FD" w14:paraId="7373444A" w14:textId="77777777">
            <w:pPr>
              <w:widowControl w:val="0"/>
              <w:snapToGrid w:val="0"/>
              <w:rPr>
                <w:color w:val="000000"/>
              </w:rPr>
            </w:pPr>
          </w:p>
          <w:p w:rsidRPr="00E81CF9" w:rsidR="003B32FD" w:rsidP="00D6567C" w:rsidRDefault="003B32FD" w14:paraId="67D3026D" w14:textId="4BCD771E">
            <w:pPr>
              <w:widowControl w:val="0"/>
              <w:snapToGrid w:val="0"/>
              <w:rPr>
                <w:color w:val="000000"/>
              </w:rPr>
            </w:pPr>
            <w:r w:rsidRPr="00E81CF9">
              <w:rPr>
                <w:color w:val="000000"/>
              </w:rPr>
              <w:t xml:space="preserve">The Commission included assumptions of OSW in the TPP sensitivity, and it </w:t>
            </w:r>
            <w:proofErr w:type="gramStart"/>
            <w:r w:rsidRPr="00E81CF9">
              <w:rPr>
                <w:color w:val="000000"/>
              </w:rPr>
              <w:t>choose</w:t>
            </w:r>
            <w:proofErr w:type="gramEnd"/>
            <w:r w:rsidRPr="00E81CF9">
              <w:rPr>
                <w:color w:val="000000"/>
              </w:rPr>
              <w:t xml:space="preserve"> the staff-recommended sensitivity.  While the Commission declined to include retirement assumptions in the sensitivity, it committed to fully consider this issue after it has the results of the High Retirement TPP sensitivity.  </w:t>
            </w:r>
          </w:p>
        </w:tc>
        <w:tc>
          <w:tcPr>
            <w:tcW w:w="4140" w:type="dxa"/>
            <w:shd w:val="clear" w:color="auto" w:fill="auto"/>
          </w:tcPr>
          <w:p w:rsidRPr="00E81CF9" w:rsidR="00135A27" w:rsidP="0011422A" w:rsidRDefault="001E481E" w14:paraId="41BBCF69" w14:textId="38B3FBC9">
            <w:pPr>
              <w:rPr>
                <w:color w:val="000000"/>
              </w:rPr>
            </w:pPr>
            <w:r w:rsidRPr="00E81CF9">
              <w:rPr>
                <w:color w:val="000000"/>
              </w:rPr>
              <w:lastRenderedPageBreak/>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0006FC">
              <w:rPr>
                <w:color w:val="000000"/>
              </w:rPr>
              <w:t>22 (“CEJA and Sierra Club agree with including 7.6 GW of OSW as an opportunity to signal unambiguously that California is strongly committed to OSW development.</w:t>
            </w:r>
            <w:r w:rsidRPr="00E81CF9" w:rsidR="00B01D1A">
              <w:rPr>
                <w:color w:val="000000"/>
              </w:rPr>
              <w:t>”</w:t>
            </w:r>
            <w:r w:rsidRPr="00E81CF9" w:rsidR="000006FC">
              <w:rPr>
                <w:color w:val="000000"/>
              </w:rPr>
              <w:t>)</w:t>
            </w:r>
          </w:p>
          <w:p w:rsidRPr="00E81CF9" w:rsidR="000006FC" w:rsidP="000006FC" w:rsidRDefault="000006FC" w14:paraId="239D1931" w14:textId="77777777">
            <w:pPr>
              <w:rPr>
                <w:color w:val="000000"/>
              </w:rPr>
            </w:pPr>
          </w:p>
          <w:p w:rsidRPr="00E81CF9" w:rsidR="000006FC" w:rsidP="000006FC" w:rsidRDefault="001E481E" w14:paraId="63B67D82" w14:textId="31E7C72F">
            <w:pPr>
              <w:rPr>
                <w:color w:val="000000"/>
              </w:rPr>
            </w:pPr>
            <w:r w:rsidRPr="00E81CF9">
              <w:rPr>
                <w:color w:val="000000"/>
              </w:rPr>
              <w:lastRenderedPageBreak/>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0006FC">
              <w:rPr>
                <w:color w:val="000000"/>
              </w:rPr>
              <w:t xml:space="preserve">32 (describing how CEJA supported the staff-recommended sensitivity that assumed OSW development). </w:t>
            </w:r>
          </w:p>
          <w:p w:rsidRPr="00E81CF9" w:rsidR="001E481E" w:rsidP="000006FC" w:rsidRDefault="001E481E" w14:paraId="1DC1978D" w14:textId="77777777">
            <w:pPr>
              <w:rPr>
                <w:color w:val="000000"/>
              </w:rPr>
            </w:pPr>
          </w:p>
          <w:p w:rsidRPr="00E81CF9" w:rsidR="00EF69C4" w:rsidP="000006FC" w:rsidRDefault="001E481E" w14:paraId="18749242" w14:textId="5260138C">
            <w:pPr>
              <w:rPr>
                <w:color w:val="000000"/>
              </w:rPr>
            </w:pPr>
            <w:r w:rsidRPr="00E81CF9">
              <w:rPr>
                <w:color w:val="000000"/>
              </w:rPr>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EF69C4">
              <w:rPr>
                <w:color w:val="000000"/>
              </w:rPr>
              <w:t xml:space="preserve">35 (“Once we have the full results of that analysis, we can consider whether and how to incorporate additional gas retirement planning into future TPP portfolios.”).  </w:t>
            </w:r>
          </w:p>
          <w:p w:rsidRPr="00E81CF9" w:rsidR="00B01D1A" w:rsidP="000006FC" w:rsidRDefault="00B01D1A" w14:paraId="0B5EF3F2" w14:textId="77777777">
            <w:pPr>
              <w:rPr>
                <w:color w:val="000000"/>
              </w:rPr>
            </w:pPr>
          </w:p>
          <w:p w:rsidRPr="00E81CF9" w:rsidR="007519D1" w:rsidP="000006FC" w:rsidRDefault="007519D1" w14:paraId="39ED20FE" w14:textId="62811884">
            <w:pPr>
              <w:rPr>
                <w:color w:val="000000"/>
              </w:rPr>
            </w:pPr>
            <w:r w:rsidRPr="00E81CF9">
              <w:rPr>
                <w:color w:val="000000"/>
              </w:rPr>
              <w:t xml:space="preserve">CEJA/SC Sept. 30, </w:t>
            </w:r>
            <w:proofErr w:type="gramStart"/>
            <w:r w:rsidRPr="00E81CF9">
              <w:rPr>
                <w:color w:val="000000"/>
              </w:rPr>
              <w:t>2024</w:t>
            </w:r>
            <w:proofErr w:type="gramEnd"/>
            <w:r w:rsidRPr="00E81CF9">
              <w:rPr>
                <w:color w:val="000000"/>
              </w:rPr>
              <w:t xml:space="preserve"> TPP Comments, pp. 2-9 (discussing why should consider retirements).</w:t>
            </w:r>
          </w:p>
          <w:p w:rsidRPr="00E81CF9" w:rsidR="007519D1" w:rsidP="000006FC" w:rsidRDefault="007519D1" w14:paraId="5C390FD4" w14:textId="77777777">
            <w:pPr>
              <w:rPr>
                <w:color w:val="000000"/>
              </w:rPr>
            </w:pPr>
          </w:p>
          <w:p w:rsidRPr="00E81CF9" w:rsidR="007519D1" w:rsidP="000006FC" w:rsidRDefault="007519D1" w14:paraId="588AD89E" w14:textId="1FA4A7A7">
            <w:pPr>
              <w:rPr>
                <w:color w:val="000000"/>
              </w:rPr>
            </w:pPr>
            <w:r w:rsidRPr="00E81CF9">
              <w:rPr>
                <w:color w:val="000000"/>
              </w:rPr>
              <w:t xml:space="preserve">CEJA/SC Sept. 30, </w:t>
            </w:r>
            <w:proofErr w:type="gramStart"/>
            <w:r w:rsidRPr="00E81CF9">
              <w:rPr>
                <w:color w:val="000000"/>
              </w:rPr>
              <w:t>2024</w:t>
            </w:r>
            <w:proofErr w:type="gramEnd"/>
            <w:r w:rsidRPr="00E81CF9">
              <w:rPr>
                <w:color w:val="000000"/>
              </w:rPr>
              <w:t xml:space="preserve"> TPP Comments, p. 11 (discussing support for considering DWR procurement in the sensitivity).  </w:t>
            </w:r>
          </w:p>
          <w:p w:rsidRPr="00E81CF9" w:rsidR="007519D1" w:rsidP="000006FC" w:rsidRDefault="007519D1" w14:paraId="779306C6" w14:textId="77777777">
            <w:pPr>
              <w:rPr>
                <w:color w:val="000000"/>
              </w:rPr>
            </w:pPr>
          </w:p>
          <w:p w:rsidRPr="00E81CF9" w:rsidR="00B01D1A" w:rsidP="000006FC" w:rsidRDefault="00B01D1A" w14:paraId="25110C5B" w14:textId="441199E2">
            <w:pPr>
              <w:rPr>
                <w:color w:val="000000"/>
              </w:rPr>
            </w:pPr>
            <w:r w:rsidRPr="00E81CF9">
              <w:rPr>
                <w:color w:val="000000"/>
              </w:rPr>
              <w:t xml:space="preserve">CEJA/SC </w:t>
            </w:r>
            <w:r w:rsidRPr="00E81CF9" w:rsidR="0010107A">
              <w:rPr>
                <w:color w:val="000000"/>
              </w:rPr>
              <w:t xml:space="preserve">Oct. 7, </w:t>
            </w:r>
            <w:proofErr w:type="gramStart"/>
            <w:r w:rsidRPr="00E81CF9" w:rsidR="0010107A">
              <w:rPr>
                <w:color w:val="000000"/>
              </w:rPr>
              <w:t>2024</w:t>
            </w:r>
            <w:proofErr w:type="gramEnd"/>
            <w:r w:rsidRPr="00E81CF9" w:rsidR="0010107A">
              <w:rPr>
                <w:color w:val="000000"/>
              </w:rPr>
              <w:t xml:space="preserve"> </w:t>
            </w:r>
            <w:r w:rsidRPr="00E81CF9">
              <w:rPr>
                <w:color w:val="000000"/>
              </w:rPr>
              <w:t>TPP Reply Comments, p</w:t>
            </w:r>
            <w:r w:rsidRPr="00E81CF9" w:rsidR="0010107A">
              <w:rPr>
                <w:color w:val="000000"/>
              </w:rPr>
              <w:t xml:space="preserve">p. 2-4 (urging prioritization of retirement planning).  </w:t>
            </w:r>
          </w:p>
        </w:tc>
        <w:tc>
          <w:tcPr>
            <w:tcW w:w="2497" w:type="dxa"/>
            <w:shd w:val="clear" w:color="auto" w:fill="auto"/>
          </w:tcPr>
          <w:p w:rsidRPr="007F620E" w:rsidR="00135A27" w:rsidP="00D6567C" w:rsidRDefault="00DD40AE" w14:paraId="1A13C319" w14:textId="1EAE963D">
            <w:pPr>
              <w:rPr>
                <w:color w:val="000000"/>
              </w:rPr>
            </w:pPr>
            <w:r>
              <w:rPr>
                <w:color w:val="000000"/>
              </w:rPr>
              <w:lastRenderedPageBreak/>
              <w:t>Verified</w:t>
            </w:r>
          </w:p>
        </w:tc>
      </w:tr>
      <w:tr w:rsidRPr="007F620E" w:rsidR="003B32FD" w:rsidTr="00CE4462" w14:paraId="3934F6A8" w14:textId="77777777">
        <w:tc>
          <w:tcPr>
            <w:tcW w:w="3258" w:type="dxa"/>
            <w:shd w:val="clear" w:color="auto" w:fill="auto"/>
          </w:tcPr>
          <w:p w:rsidRPr="00E81CF9" w:rsidR="003B32FD" w:rsidP="003B32FD" w:rsidRDefault="003B32FD" w14:paraId="2E39B173" w14:textId="533CB82B">
            <w:pPr>
              <w:widowControl w:val="0"/>
              <w:snapToGrid w:val="0"/>
              <w:rPr>
                <w:color w:val="000000"/>
              </w:rPr>
            </w:pPr>
            <w:r w:rsidRPr="00E81CF9">
              <w:rPr>
                <w:b/>
                <w:bCs/>
                <w:color w:val="000000"/>
              </w:rPr>
              <w:t xml:space="preserve">Issue 5: TPP Sensitivity: Consideration of OSW: </w:t>
            </w:r>
            <w:r w:rsidRPr="00E81CF9">
              <w:rPr>
                <w:color w:val="000000"/>
              </w:rPr>
              <w:t>CEJA urged the Commission to not change its OSW</w:t>
            </w:r>
            <w:r w:rsidRPr="00E81CF9" w:rsidR="0087372A">
              <w:rPr>
                <w:color w:val="000000"/>
              </w:rPr>
              <w:t xml:space="preserve"> assumption</w:t>
            </w:r>
            <w:r w:rsidRPr="00E81CF9">
              <w:rPr>
                <w:color w:val="000000"/>
              </w:rPr>
              <w:t xml:space="preserve"> due to recent federal actions.</w:t>
            </w:r>
          </w:p>
          <w:p w:rsidRPr="00E81CF9" w:rsidR="003B32FD" w:rsidP="003B32FD" w:rsidRDefault="003B32FD" w14:paraId="5C7CCC57" w14:textId="77777777">
            <w:pPr>
              <w:widowControl w:val="0"/>
              <w:snapToGrid w:val="0"/>
              <w:rPr>
                <w:color w:val="000000"/>
              </w:rPr>
            </w:pPr>
          </w:p>
          <w:p w:rsidRPr="00E81CF9" w:rsidR="003B32FD" w:rsidP="003B32FD" w:rsidRDefault="003B32FD" w14:paraId="40B35828" w14:textId="4B43AB56">
            <w:pPr>
              <w:widowControl w:val="0"/>
              <w:snapToGrid w:val="0"/>
              <w:rPr>
                <w:color w:val="000000"/>
              </w:rPr>
            </w:pPr>
            <w:r w:rsidRPr="00E81CF9">
              <w:rPr>
                <w:color w:val="000000"/>
              </w:rPr>
              <w:t xml:space="preserve">The Commission declined to change the OSW assumption due to recent federal actions, citing uncertainty.  </w:t>
            </w:r>
          </w:p>
        </w:tc>
        <w:tc>
          <w:tcPr>
            <w:tcW w:w="4140" w:type="dxa"/>
            <w:shd w:val="clear" w:color="auto" w:fill="auto"/>
          </w:tcPr>
          <w:p w:rsidRPr="00E81CF9" w:rsidR="003B32FD" w:rsidP="003B32FD" w:rsidRDefault="001E481E" w14:paraId="61F82811" w14:textId="60488086">
            <w:pPr>
              <w:rPr>
                <w:color w:val="000000"/>
              </w:rPr>
            </w:pPr>
            <w:r w:rsidRPr="00E81CF9">
              <w:rPr>
                <w:color w:val="000000"/>
              </w:rPr>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3B32FD">
              <w:rPr>
                <w:color w:val="000000"/>
              </w:rPr>
              <w:t>79 (</w:t>
            </w:r>
            <w:r w:rsidRPr="00E81CF9" w:rsidR="00F84755">
              <w:rPr>
                <w:color w:val="000000"/>
              </w:rPr>
              <w:t xml:space="preserve">explaining that </w:t>
            </w:r>
            <w:r w:rsidRPr="00E81CF9" w:rsidR="003B32FD">
              <w:rPr>
                <w:color w:val="000000"/>
              </w:rPr>
              <w:t>several parties discuss federal actions related to OSW).</w:t>
            </w:r>
          </w:p>
          <w:p w:rsidRPr="00E81CF9" w:rsidR="003B32FD" w:rsidP="003B32FD" w:rsidRDefault="003B32FD" w14:paraId="08260E8A" w14:textId="77777777">
            <w:pPr>
              <w:rPr>
                <w:color w:val="000000"/>
              </w:rPr>
            </w:pPr>
          </w:p>
          <w:p w:rsidRPr="00E81CF9" w:rsidR="003B32FD" w:rsidP="003B32FD" w:rsidRDefault="001E481E" w14:paraId="5DCFDC43" w14:textId="08DE3D53">
            <w:pPr>
              <w:rPr>
                <w:color w:val="000000"/>
              </w:rPr>
            </w:pPr>
            <w:r w:rsidRPr="00E81CF9">
              <w:rPr>
                <w:color w:val="000000"/>
              </w:rPr>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3B32FD">
              <w:rPr>
                <w:color w:val="000000"/>
              </w:rPr>
              <w:t xml:space="preserve">80 (“We will continue to monitor and assess the potential impacts in the future, but we do not make any changes to the current portfolio, because doing so would be speculative at this time.”). </w:t>
            </w:r>
          </w:p>
          <w:p w:rsidRPr="00E81CF9" w:rsidR="007519D1" w:rsidP="003B32FD" w:rsidRDefault="007519D1" w14:paraId="1AD93B01" w14:textId="77777777">
            <w:pPr>
              <w:rPr>
                <w:color w:val="000000"/>
              </w:rPr>
            </w:pPr>
          </w:p>
          <w:p w:rsidRPr="00E81CF9" w:rsidR="007519D1" w:rsidP="003B32FD" w:rsidRDefault="007519D1" w14:paraId="66AE6584" w14:textId="77777777">
            <w:pPr>
              <w:rPr>
                <w:color w:val="000000"/>
              </w:rPr>
            </w:pPr>
            <w:r w:rsidRPr="00E81CF9">
              <w:rPr>
                <w:color w:val="000000"/>
              </w:rPr>
              <w:t xml:space="preserve">CEJA/SC Jan. 30, </w:t>
            </w:r>
            <w:proofErr w:type="gramStart"/>
            <w:r w:rsidRPr="00E81CF9">
              <w:rPr>
                <w:color w:val="000000"/>
              </w:rPr>
              <w:t>2025</w:t>
            </w:r>
            <w:proofErr w:type="gramEnd"/>
            <w:r w:rsidRPr="00E81CF9">
              <w:rPr>
                <w:color w:val="000000"/>
              </w:rPr>
              <w:t xml:space="preserve"> TPP PD Comments, pp. 9-10. </w:t>
            </w:r>
          </w:p>
          <w:p w:rsidRPr="00E81CF9" w:rsidR="003E4A54" w:rsidP="003B32FD" w:rsidRDefault="003E4A54" w14:paraId="0AEB0A95" w14:textId="77777777">
            <w:pPr>
              <w:rPr>
                <w:color w:val="000000"/>
              </w:rPr>
            </w:pPr>
          </w:p>
          <w:p w:rsidRPr="00E81CF9" w:rsidR="003E4A54" w:rsidP="003B32FD" w:rsidRDefault="003E4A54" w14:paraId="3B49D877" w14:textId="38250156">
            <w:pPr>
              <w:rPr>
                <w:color w:val="000000"/>
              </w:rPr>
            </w:pPr>
            <w:r w:rsidRPr="00E81CF9">
              <w:rPr>
                <w:color w:val="000000"/>
              </w:rPr>
              <w:t xml:space="preserve">CEJA/SC Feb. 4, </w:t>
            </w:r>
            <w:proofErr w:type="gramStart"/>
            <w:r w:rsidRPr="00E81CF9">
              <w:rPr>
                <w:color w:val="000000"/>
              </w:rPr>
              <w:t>2025</w:t>
            </w:r>
            <w:proofErr w:type="gramEnd"/>
            <w:r w:rsidRPr="00E81CF9">
              <w:rPr>
                <w:color w:val="000000"/>
              </w:rPr>
              <w:t xml:space="preserve"> TPP PD Reply Comments, pp. 4-5. </w:t>
            </w:r>
          </w:p>
        </w:tc>
        <w:tc>
          <w:tcPr>
            <w:tcW w:w="2497" w:type="dxa"/>
            <w:shd w:val="clear" w:color="auto" w:fill="auto"/>
          </w:tcPr>
          <w:p w:rsidRPr="007F620E" w:rsidR="003B32FD" w:rsidP="003B32FD" w:rsidRDefault="00C6101A" w14:paraId="1B021038" w14:textId="757D8338">
            <w:pPr>
              <w:rPr>
                <w:color w:val="000000"/>
              </w:rPr>
            </w:pPr>
            <w:r>
              <w:rPr>
                <w:color w:val="000000"/>
              </w:rPr>
              <w:t>Verified</w:t>
            </w:r>
          </w:p>
        </w:tc>
      </w:tr>
      <w:tr w:rsidRPr="007F620E" w:rsidR="003B32FD" w:rsidTr="00CE4462" w14:paraId="16C74C30" w14:textId="77777777">
        <w:tc>
          <w:tcPr>
            <w:tcW w:w="3258" w:type="dxa"/>
            <w:shd w:val="clear" w:color="auto" w:fill="auto"/>
          </w:tcPr>
          <w:p w:rsidRPr="00E81CF9" w:rsidR="003B32FD" w:rsidP="003B32FD" w:rsidRDefault="003B32FD" w14:paraId="5BDAA108" w14:textId="77777777">
            <w:pPr>
              <w:widowControl w:val="0"/>
              <w:snapToGrid w:val="0"/>
              <w:rPr>
                <w:color w:val="000000"/>
              </w:rPr>
            </w:pPr>
            <w:r w:rsidRPr="00E81CF9">
              <w:rPr>
                <w:b/>
                <w:bCs/>
                <w:color w:val="000000"/>
              </w:rPr>
              <w:t xml:space="preserve">Issue 6: Busbar Mapping </w:t>
            </w:r>
            <w:r w:rsidRPr="00E81CF9" w:rsidR="003E4A54">
              <w:rPr>
                <w:b/>
                <w:bCs/>
                <w:color w:val="000000"/>
              </w:rPr>
              <w:t>Improvements</w:t>
            </w:r>
            <w:r w:rsidRPr="00E81CF9">
              <w:rPr>
                <w:b/>
                <w:bCs/>
                <w:color w:val="000000"/>
              </w:rPr>
              <w:t xml:space="preserve">: </w:t>
            </w:r>
            <w:r w:rsidRPr="00E81CF9" w:rsidR="001B784D">
              <w:rPr>
                <w:color w:val="000000"/>
              </w:rPr>
              <w:t xml:space="preserve">CEJA urged the Commission to improve busbar mapping in several different ways, including by refining the criteria for </w:t>
            </w:r>
            <w:r w:rsidRPr="00E81CF9" w:rsidR="001B784D">
              <w:rPr>
                <w:color w:val="000000"/>
              </w:rPr>
              <w:lastRenderedPageBreak/>
              <w:t>consideration of gas plant retirements, refining consideration of commercial interest, improving consideration of biofuel facilities, and improving overall transparency and accessibility.</w:t>
            </w:r>
          </w:p>
          <w:p w:rsidRPr="00E81CF9" w:rsidR="001B784D" w:rsidP="003B32FD" w:rsidRDefault="001B784D" w14:paraId="2F234CEF" w14:textId="77777777">
            <w:pPr>
              <w:widowControl w:val="0"/>
              <w:snapToGrid w:val="0"/>
              <w:rPr>
                <w:color w:val="000000"/>
              </w:rPr>
            </w:pPr>
          </w:p>
          <w:p w:rsidRPr="00E81CF9" w:rsidR="001B784D" w:rsidP="003B32FD" w:rsidRDefault="001B784D" w14:paraId="1E8D1476" w14:textId="1C027EE1">
            <w:pPr>
              <w:widowControl w:val="0"/>
              <w:snapToGrid w:val="0"/>
              <w:rPr>
                <w:b/>
                <w:bCs/>
                <w:color w:val="000000"/>
              </w:rPr>
            </w:pPr>
            <w:r w:rsidRPr="00E81CF9">
              <w:rPr>
                <w:color w:val="000000"/>
              </w:rPr>
              <w:t xml:space="preserve">The Commission agreed that it was reasonable to update the busbar mapping related to bioenergy mapping, </w:t>
            </w:r>
            <w:r w:rsidRPr="00E81CF9" w:rsidR="001E481E">
              <w:rPr>
                <w:color w:val="000000"/>
              </w:rPr>
              <w:t>criteria related to gas plant retirement, and consideration of commercial interest.  The Commission also agreed to improve the transparency of the busbar mapping process.</w:t>
            </w:r>
            <w:r w:rsidRPr="00E81CF9" w:rsidR="001E481E">
              <w:rPr>
                <w:b/>
                <w:bCs/>
                <w:color w:val="000000"/>
              </w:rPr>
              <w:t xml:space="preserve"> </w:t>
            </w:r>
          </w:p>
        </w:tc>
        <w:tc>
          <w:tcPr>
            <w:tcW w:w="4140" w:type="dxa"/>
            <w:shd w:val="clear" w:color="auto" w:fill="auto"/>
          </w:tcPr>
          <w:p w:rsidRPr="00E81CF9" w:rsidR="003B32FD" w:rsidP="003B32FD" w:rsidRDefault="001E481E" w14:paraId="63C797C9" w14:textId="56D9C6F3">
            <w:pPr>
              <w:rPr>
                <w:color w:val="000000"/>
              </w:rPr>
            </w:pPr>
            <w:r w:rsidRPr="00E81CF9">
              <w:rPr>
                <w:color w:val="000000"/>
              </w:rPr>
              <w:lastRenderedPageBreak/>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3B32FD">
              <w:rPr>
                <w:color w:val="000000"/>
              </w:rPr>
              <w:t>39 (“CEJA and Sierra Club suggest that the local reliability factor should not be counted against a facility for gas plant retirement.”)</w:t>
            </w:r>
          </w:p>
          <w:p w:rsidRPr="00E81CF9" w:rsidR="007519D1" w:rsidP="003B32FD" w:rsidRDefault="007519D1" w14:paraId="03B8EA3A" w14:textId="77777777">
            <w:pPr>
              <w:rPr>
                <w:color w:val="000000"/>
              </w:rPr>
            </w:pPr>
          </w:p>
          <w:p w:rsidRPr="00E81CF9" w:rsidR="007519D1" w:rsidP="007519D1" w:rsidRDefault="001E481E" w14:paraId="2630B045" w14:textId="625941E0">
            <w:pPr>
              <w:rPr>
                <w:color w:val="000000"/>
              </w:rPr>
            </w:pPr>
            <w:r w:rsidRPr="00E81CF9">
              <w:rPr>
                <w:color w:val="000000"/>
              </w:rPr>
              <w:lastRenderedPageBreak/>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 </w:t>
            </w:r>
            <w:r w:rsidRPr="00E81CF9" w:rsidR="007519D1">
              <w:rPr>
                <w:color w:val="000000"/>
              </w:rPr>
              <w:t xml:space="preserve">48 (discussing how CEJA and Sierra Club urge the Commission to not map bioenergy facilities to already-burdened disadvantaged communities).  </w:t>
            </w:r>
          </w:p>
          <w:p w:rsidRPr="00E81CF9" w:rsidR="001B784D" w:rsidP="007519D1" w:rsidRDefault="001B784D" w14:paraId="7C418699" w14:textId="77777777">
            <w:pPr>
              <w:rPr>
                <w:color w:val="000000"/>
              </w:rPr>
            </w:pPr>
          </w:p>
          <w:p w:rsidRPr="00E81CF9" w:rsidR="001B784D" w:rsidP="001B784D" w:rsidRDefault="001E481E" w14:paraId="63219962" w14:textId="79135102">
            <w:pPr>
              <w:rPr>
                <w:color w:val="000000"/>
              </w:rPr>
            </w:pPr>
            <w:r w:rsidRPr="00E81CF9">
              <w:rPr>
                <w:color w:val="000000"/>
              </w:rPr>
              <w:t>D.25-02-046</w:t>
            </w:r>
            <w:r w:rsidR="00182E80">
              <w:rPr>
                <w:color w:val="000000"/>
              </w:rPr>
              <w:fldChar w:fldCharType="begin"/>
            </w:r>
            <w:r w:rsidR="00182E80">
              <w:rPr>
                <w:color w:val="000000"/>
              </w:rPr>
              <w:instrText xml:space="preserve"> NOTEREF _Ref197600805 \f \h </w:instrText>
            </w:r>
            <w:r w:rsidR="00182E80">
              <w:rPr>
                <w:color w:val="000000"/>
              </w:rPr>
            </w:r>
            <w:r w:rsidR="00182E80">
              <w:rPr>
                <w:color w:val="000000"/>
              </w:rPr>
              <w:fldChar w:fldCharType="separate"/>
            </w:r>
            <w:r w:rsidRPr="00182E80" w:rsidR="00182E80">
              <w:rPr>
                <w:rStyle w:val="FootnoteReference"/>
              </w:rPr>
              <w:t>1</w:t>
            </w:r>
            <w:r w:rsidR="00182E80">
              <w:rPr>
                <w:color w:val="000000"/>
              </w:rPr>
              <w:fldChar w:fldCharType="end"/>
            </w:r>
            <w:r w:rsidRPr="00E81CF9">
              <w:rPr>
                <w:color w:val="000000"/>
              </w:rPr>
              <w:t xml:space="preserve">, pp. </w:t>
            </w:r>
            <w:r w:rsidRPr="00E81CF9" w:rsidR="001B784D">
              <w:rPr>
                <w:color w:val="000000"/>
              </w:rPr>
              <w:t xml:space="preserve">63-64 (“Turning to the comments from parties, as many parties acknowledged when making their comments, there are many good ideas from parties that can and should be considered when Commission staff update the criteria for the next round of busbar mapping. There are several good land-use criteria and other general criteria improvements, as well as improvements to commercial interest </w:t>
            </w:r>
          </w:p>
          <w:p w:rsidRPr="00E81CF9" w:rsidR="001B784D" w:rsidP="001B784D" w:rsidRDefault="001B784D" w14:paraId="36F6F20F" w14:textId="2E9470CA">
            <w:pPr>
              <w:rPr>
                <w:color w:val="000000"/>
              </w:rPr>
            </w:pPr>
            <w:r w:rsidRPr="00E81CF9">
              <w:rPr>
                <w:color w:val="000000"/>
              </w:rPr>
              <w:t xml:space="preserve">criteria and data. These recommendations and improvements will be considered for implementation in next year’s TPP process, which will also provide further opportunities for stakeholder review and engagement.”).  </w:t>
            </w:r>
          </w:p>
          <w:p w:rsidRPr="00E81CF9" w:rsidR="007519D1" w:rsidP="003B32FD" w:rsidRDefault="007519D1" w14:paraId="26911072" w14:textId="77777777">
            <w:pPr>
              <w:rPr>
                <w:color w:val="000000"/>
              </w:rPr>
            </w:pPr>
          </w:p>
          <w:p w:rsidRPr="00E81CF9" w:rsidR="007519D1" w:rsidP="003B32FD" w:rsidRDefault="001E481E" w14:paraId="5E0B57F7" w14:textId="0EADD90E">
            <w:pPr>
              <w:rPr>
                <w:color w:val="000000"/>
              </w:rPr>
            </w:pPr>
            <w:r w:rsidRPr="00E81CF9">
              <w:rPr>
                <w:color w:val="000000"/>
              </w:rPr>
              <w:t>D.25-02-046</w:t>
            </w:r>
            <w:r w:rsidR="00C81724">
              <w:rPr>
                <w:color w:val="000000"/>
              </w:rPr>
              <w:fldChar w:fldCharType="begin"/>
            </w:r>
            <w:r w:rsidR="00C81724">
              <w:rPr>
                <w:color w:val="000000"/>
              </w:rPr>
              <w:instrText xml:space="preserve"> NOTEREF _Ref197600805 \f \h </w:instrText>
            </w:r>
            <w:r w:rsidR="00C81724">
              <w:rPr>
                <w:color w:val="000000"/>
              </w:rPr>
            </w:r>
            <w:r w:rsidR="00C81724">
              <w:rPr>
                <w:color w:val="000000"/>
              </w:rPr>
              <w:fldChar w:fldCharType="separate"/>
            </w:r>
            <w:r w:rsidRPr="00C81724" w:rsidR="00C81724">
              <w:rPr>
                <w:rStyle w:val="FootnoteReference"/>
              </w:rPr>
              <w:t>1</w:t>
            </w:r>
            <w:r w:rsidR="00C81724">
              <w:rPr>
                <w:color w:val="000000"/>
              </w:rPr>
              <w:fldChar w:fldCharType="end"/>
            </w:r>
            <w:r w:rsidRPr="00E81CF9">
              <w:rPr>
                <w:color w:val="000000"/>
              </w:rPr>
              <w:t xml:space="preserve">, p. </w:t>
            </w:r>
            <w:r w:rsidRPr="00E81CF9" w:rsidR="007519D1">
              <w:rPr>
                <w:color w:val="000000"/>
              </w:rPr>
              <w:t>64</w:t>
            </w:r>
            <w:r w:rsidRPr="00E81CF9" w:rsidR="00BB4CA3">
              <w:rPr>
                <w:color w:val="000000"/>
              </w:rPr>
              <w:t xml:space="preserve"> </w:t>
            </w:r>
            <w:r w:rsidRPr="00E81CF9" w:rsidR="007519D1">
              <w:rPr>
                <w:color w:val="000000"/>
              </w:rPr>
              <w:t>(“With respect to bioenergy mapping, we will ask Commission staff to improve the datasets and analysis for future cycles. Some biomass will also be re-mapped in this portfolio, to improve criteria alignment, which is consistent with improvements Commission staff typically make during the analysis process.”)</w:t>
            </w:r>
          </w:p>
          <w:p w:rsidRPr="00E81CF9" w:rsidR="003B32FD" w:rsidP="003B32FD" w:rsidRDefault="003B32FD" w14:paraId="310D9DE6" w14:textId="77777777">
            <w:pPr>
              <w:rPr>
                <w:color w:val="000000"/>
              </w:rPr>
            </w:pPr>
          </w:p>
          <w:p w:rsidRPr="00E81CF9" w:rsidR="003B32FD" w:rsidP="003B32FD" w:rsidRDefault="001E481E" w14:paraId="3042BC09" w14:textId="52467FD7">
            <w:pPr>
              <w:rPr>
                <w:color w:val="000000"/>
              </w:rPr>
            </w:pPr>
            <w:r w:rsidRPr="00E81CF9">
              <w:rPr>
                <w:color w:val="000000"/>
              </w:rPr>
              <w:t>D.25-02-046</w:t>
            </w:r>
            <w:r w:rsidR="00C81724">
              <w:rPr>
                <w:color w:val="000000"/>
              </w:rPr>
              <w:fldChar w:fldCharType="begin"/>
            </w:r>
            <w:r w:rsidR="00C81724">
              <w:rPr>
                <w:color w:val="000000"/>
              </w:rPr>
              <w:instrText xml:space="preserve"> NOTEREF _Ref197600805 \f \h </w:instrText>
            </w:r>
            <w:r w:rsidR="00C81724">
              <w:rPr>
                <w:color w:val="000000"/>
              </w:rPr>
            </w:r>
            <w:r w:rsidR="00C81724">
              <w:rPr>
                <w:color w:val="000000"/>
              </w:rPr>
              <w:fldChar w:fldCharType="separate"/>
            </w:r>
            <w:r w:rsidRPr="00C81724" w:rsidR="00C81724">
              <w:rPr>
                <w:rStyle w:val="FootnoteReference"/>
              </w:rPr>
              <w:t>1</w:t>
            </w:r>
            <w:r w:rsidR="00C81724">
              <w:rPr>
                <w:color w:val="000000"/>
              </w:rPr>
              <w:fldChar w:fldCharType="end"/>
            </w:r>
            <w:r w:rsidRPr="00E81CF9">
              <w:rPr>
                <w:color w:val="000000"/>
              </w:rPr>
              <w:t xml:space="preserve">, p. </w:t>
            </w:r>
            <w:r w:rsidRPr="00E81CF9" w:rsidR="007519D1">
              <w:rPr>
                <w:color w:val="000000"/>
              </w:rPr>
              <w:t>68 (</w:t>
            </w:r>
            <w:r w:rsidRPr="00E81CF9" w:rsidR="003B32FD">
              <w:rPr>
                <w:color w:val="000000"/>
              </w:rPr>
              <w:t>“Overall, we also agree with many of the suggestions of stakeholders to improve transparency of the busbar mapping process and allow for more and earlier engagement with stakeholders.”</w:t>
            </w:r>
            <w:r w:rsidRPr="00E81CF9" w:rsidR="007519D1">
              <w:rPr>
                <w:color w:val="000000"/>
              </w:rPr>
              <w:t>).</w:t>
            </w:r>
          </w:p>
          <w:p w:rsidRPr="00E81CF9" w:rsidR="001B784D" w:rsidP="003B32FD" w:rsidRDefault="001B784D" w14:paraId="1B213BD5" w14:textId="77777777">
            <w:pPr>
              <w:rPr>
                <w:color w:val="000000"/>
              </w:rPr>
            </w:pPr>
          </w:p>
          <w:p w:rsidRPr="00E81CF9" w:rsidR="001B784D" w:rsidP="001B784D" w:rsidRDefault="001E481E" w14:paraId="350EEB82" w14:textId="452E5EB1">
            <w:pPr>
              <w:rPr>
                <w:color w:val="000000"/>
              </w:rPr>
            </w:pPr>
            <w:r w:rsidRPr="00E81CF9">
              <w:rPr>
                <w:color w:val="000000"/>
              </w:rPr>
              <w:t>D.25-02-046</w:t>
            </w:r>
            <w:r w:rsidR="00C81724">
              <w:rPr>
                <w:color w:val="000000"/>
              </w:rPr>
              <w:fldChar w:fldCharType="begin"/>
            </w:r>
            <w:r w:rsidR="00C81724">
              <w:rPr>
                <w:color w:val="000000"/>
              </w:rPr>
              <w:instrText xml:space="preserve"> NOTEREF _Ref197600805 \f \h </w:instrText>
            </w:r>
            <w:r w:rsidR="00C81724">
              <w:rPr>
                <w:color w:val="000000"/>
              </w:rPr>
            </w:r>
            <w:r w:rsidR="00C81724">
              <w:rPr>
                <w:color w:val="000000"/>
              </w:rPr>
              <w:fldChar w:fldCharType="separate"/>
            </w:r>
            <w:r w:rsidRPr="00C81724" w:rsidR="00C81724">
              <w:rPr>
                <w:rStyle w:val="FootnoteReference"/>
              </w:rPr>
              <w:t>1</w:t>
            </w:r>
            <w:r w:rsidR="00C81724">
              <w:rPr>
                <w:color w:val="000000"/>
              </w:rPr>
              <w:fldChar w:fldCharType="end"/>
            </w:r>
            <w:r w:rsidRPr="00E81CF9">
              <w:rPr>
                <w:color w:val="000000"/>
              </w:rPr>
              <w:t xml:space="preserve">, p. </w:t>
            </w:r>
            <w:r w:rsidRPr="00E81CF9" w:rsidR="001B784D">
              <w:rPr>
                <w:color w:val="000000"/>
              </w:rPr>
              <w:t xml:space="preserve">87, COL 7 (“It is reasonable to update the busbar mapping methodology for this year’s TPP to incorporate the items discussed </w:t>
            </w:r>
            <w:r w:rsidRPr="00E81CF9" w:rsidR="001B784D">
              <w:rPr>
                <w:color w:val="000000"/>
              </w:rPr>
              <w:lastRenderedPageBreak/>
              <w:t xml:space="preserve">in further detail in Section 5 of this decision, including but not limited to criteria for fossil-fueled thermal plants not retained, additional of environmental impact criteria for PSH, clarification of incorporation of in-development resources, updating of commercial development interest criteria, updating of societal environmental impacts analysis, and updating of sources of land-use and environmental criteria.”) </w:t>
            </w:r>
          </w:p>
          <w:p w:rsidRPr="00E81CF9" w:rsidR="007519D1" w:rsidP="003B32FD" w:rsidRDefault="007519D1" w14:paraId="15228984" w14:textId="77777777">
            <w:pPr>
              <w:rPr>
                <w:color w:val="000000"/>
              </w:rPr>
            </w:pPr>
          </w:p>
          <w:p w:rsidRPr="00E81CF9" w:rsidR="007519D1" w:rsidP="003B32FD" w:rsidRDefault="007519D1" w14:paraId="19CFC6B5" w14:textId="6F90F8D7">
            <w:pPr>
              <w:rPr>
                <w:color w:val="000000"/>
              </w:rPr>
            </w:pPr>
            <w:r w:rsidRPr="00E81CF9">
              <w:rPr>
                <w:color w:val="000000"/>
              </w:rPr>
              <w:t xml:space="preserve">CEJA/SC Sept. 30, </w:t>
            </w:r>
            <w:proofErr w:type="gramStart"/>
            <w:r w:rsidRPr="00E81CF9">
              <w:rPr>
                <w:color w:val="000000"/>
              </w:rPr>
              <w:t>2025</w:t>
            </w:r>
            <w:proofErr w:type="gramEnd"/>
            <w:r w:rsidRPr="00E81CF9">
              <w:rPr>
                <w:color w:val="000000"/>
              </w:rPr>
              <w:t xml:space="preserve"> TPP Comments</w:t>
            </w:r>
            <w:r w:rsidRPr="00E81CF9" w:rsidR="008E06FB">
              <w:rPr>
                <w:rStyle w:val="FootnoteReference"/>
                <w:color w:val="000000"/>
              </w:rPr>
              <w:footnoteReference w:id="5"/>
            </w:r>
            <w:r w:rsidRPr="00E81CF9">
              <w:rPr>
                <w:color w:val="000000"/>
              </w:rPr>
              <w:t>, p. 12 (“CEJA and Sierra Club are concerned that the [busbar] information is not in an accessible and transparent format.”)</w:t>
            </w:r>
          </w:p>
          <w:p w:rsidRPr="00E81CF9" w:rsidR="0010107A" w:rsidP="003B32FD" w:rsidRDefault="0010107A" w14:paraId="0439ABF5" w14:textId="77777777">
            <w:pPr>
              <w:rPr>
                <w:color w:val="000000"/>
              </w:rPr>
            </w:pPr>
          </w:p>
          <w:p w:rsidRPr="00E81CF9" w:rsidR="003B32FD" w:rsidP="003B32FD" w:rsidRDefault="0010107A" w14:paraId="2556A632" w14:textId="6BEE404D">
            <w:pPr>
              <w:rPr>
                <w:color w:val="000000"/>
              </w:rPr>
            </w:pPr>
            <w:r w:rsidRPr="00E81CF9">
              <w:rPr>
                <w:color w:val="000000"/>
              </w:rPr>
              <w:t xml:space="preserve">CEJA/SC Nov. 19, </w:t>
            </w:r>
            <w:proofErr w:type="gramStart"/>
            <w:r w:rsidRPr="00E81CF9">
              <w:rPr>
                <w:color w:val="000000"/>
              </w:rPr>
              <w:t>2024</w:t>
            </w:r>
            <w:proofErr w:type="gramEnd"/>
            <w:r w:rsidRPr="00E81CF9">
              <w:rPr>
                <w:color w:val="000000"/>
              </w:rPr>
              <w:t xml:space="preserve"> Comments on Busbar Mapping, </w:t>
            </w:r>
            <w:r w:rsidRPr="00E81CF9" w:rsidR="001B784D">
              <w:rPr>
                <w:color w:val="000000"/>
              </w:rPr>
              <w:t xml:space="preserve">pp. 2-3 (discussing need to reconsider criteria for prioritizing gas plant retirements); </w:t>
            </w:r>
            <w:r w:rsidRPr="00E81CF9">
              <w:rPr>
                <w:color w:val="000000"/>
              </w:rPr>
              <w:t xml:space="preserve">pp. 4-5 (discussing </w:t>
            </w:r>
            <w:r w:rsidRPr="00E81CF9" w:rsidR="001B784D">
              <w:rPr>
                <w:color w:val="000000"/>
              </w:rPr>
              <w:t xml:space="preserve">concerns related to </w:t>
            </w:r>
            <w:r w:rsidRPr="00E81CF9">
              <w:rPr>
                <w:color w:val="000000"/>
              </w:rPr>
              <w:t xml:space="preserve">commercial criteria); pp. 5-6 (discussing consideration of biomass); pp. 6-7 (discussing need to increase transparency).  </w:t>
            </w:r>
          </w:p>
        </w:tc>
        <w:tc>
          <w:tcPr>
            <w:tcW w:w="2497" w:type="dxa"/>
            <w:shd w:val="clear" w:color="auto" w:fill="auto"/>
          </w:tcPr>
          <w:p w:rsidRPr="007F620E" w:rsidR="003B32FD" w:rsidP="003B32FD" w:rsidRDefault="00CD4C17" w14:paraId="08328FE7" w14:textId="7F627D57">
            <w:pPr>
              <w:rPr>
                <w:color w:val="000000"/>
              </w:rPr>
            </w:pPr>
            <w:r>
              <w:rPr>
                <w:color w:val="000000"/>
              </w:rPr>
              <w:lastRenderedPageBreak/>
              <w:t>Verified</w:t>
            </w:r>
          </w:p>
        </w:tc>
      </w:tr>
    </w:tbl>
    <w:p w:rsidRPr="007F620E" w:rsidR="00A92D0B" w:rsidP="005B5B44" w:rsidRDefault="00A92D0B" w14:paraId="0D4BCD3A" w14:textId="77777777">
      <w:pPr>
        <w:keepNext/>
        <w:numPr>
          <w:ilvl w:val="0"/>
          <w:numId w:val="8"/>
        </w:numPr>
        <w:spacing w:before="240" w:after="240"/>
        <w:rPr>
          <w:b/>
          <w:color w:val="000000"/>
        </w:rPr>
      </w:pPr>
      <w:r w:rsidRPr="007F620E">
        <w:rPr>
          <w:b/>
          <w:color w:val="000000"/>
        </w:rPr>
        <w:lastRenderedPageBreak/>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25"/>
        <w:gridCol w:w="23"/>
        <w:gridCol w:w="1710"/>
        <w:gridCol w:w="2137"/>
      </w:tblGrid>
      <w:tr w:rsidRPr="007F620E" w:rsidR="00A92D0B" w:rsidTr="00CE4462" w14:paraId="76F3266C" w14:textId="77777777">
        <w:tc>
          <w:tcPr>
            <w:tcW w:w="6025" w:type="dxa"/>
            <w:shd w:val="clear" w:color="auto" w:fill="D9D9D9" w:themeFill="background1" w:themeFillShade="D9"/>
          </w:tcPr>
          <w:p w:rsidRPr="007F620E" w:rsidR="00A92D0B" w:rsidP="00073262" w:rsidRDefault="00A92D0B" w14:paraId="300CEDBC" w14:textId="77777777">
            <w:pPr>
              <w:keepNext/>
              <w:keepLines/>
              <w:rPr>
                <w:color w:val="000000"/>
              </w:rPr>
            </w:pPr>
          </w:p>
        </w:tc>
        <w:tc>
          <w:tcPr>
            <w:tcW w:w="1733" w:type="dxa"/>
            <w:gridSpan w:val="2"/>
            <w:tcBorders>
              <w:bottom w:val="single" w:color="auto" w:sz="4" w:space="0"/>
            </w:tcBorders>
            <w:shd w:val="clear" w:color="auto" w:fill="D9D9D9" w:themeFill="background1" w:themeFillShade="D9"/>
          </w:tcPr>
          <w:p w:rsidRPr="007F620E" w:rsidR="00A92D0B" w:rsidP="00073262" w:rsidRDefault="005A63D4" w14:paraId="7B091096" w14:textId="77777777">
            <w:pPr>
              <w:keepNext/>
              <w:keepLines/>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2137" w:type="dxa"/>
            <w:shd w:val="clear" w:color="auto" w:fill="D9D9D9" w:themeFill="background1" w:themeFillShade="D9"/>
          </w:tcPr>
          <w:p w:rsidRPr="007F620E" w:rsidR="00A92D0B" w:rsidP="00073262" w:rsidRDefault="00A92D0B" w14:paraId="25CE5081" w14:textId="77777777">
            <w:pPr>
              <w:keepNext/>
              <w:keepLines/>
              <w:jc w:val="center"/>
              <w:rPr>
                <w:b/>
                <w:color w:val="000000"/>
              </w:rPr>
            </w:pPr>
            <w:r w:rsidRPr="007F620E">
              <w:rPr>
                <w:b/>
                <w:color w:val="000000"/>
              </w:rPr>
              <w:t xml:space="preserve">CPUC </w:t>
            </w:r>
            <w:r w:rsidRPr="007F620E" w:rsidR="00D075B1">
              <w:rPr>
                <w:b/>
                <w:color w:val="000000"/>
              </w:rPr>
              <w:t>Discussion</w:t>
            </w:r>
          </w:p>
        </w:tc>
      </w:tr>
      <w:tr w:rsidRPr="007F620E" w:rsidR="00A92D0B" w:rsidTr="00CE4462" w14:paraId="24A12BE1" w14:textId="77777777">
        <w:tc>
          <w:tcPr>
            <w:tcW w:w="6025" w:type="dxa"/>
            <w:shd w:val="clear" w:color="auto" w:fill="auto"/>
          </w:tcPr>
          <w:p w:rsidRPr="007F620E" w:rsidR="00A92D0B" w:rsidP="00073262" w:rsidRDefault="00A92D0B" w14:paraId="6915FAF6" w14:textId="20165202">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33" w:type="dxa"/>
            <w:gridSpan w:val="2"/>
            <w:shd w:val="clear" w:color="auto" w:fill="auto"/>
          </w:tcPr>
          <w:p w:rsidRPr="00E25078" w:rsidR="00A92D0B" w:rsidP="00073262" w:rsidRDefault="003B7550" w14:paraId="0B49A7C8" w14:textId="11B69667">
            <w:pPr>
              <w:keepNext/>
              <w:keepLines/>
              <w:rPr>
                <w:color w:val="000000"/>
              </w:rPr>
            </w:pPr>
            <w:r>
              <w:rPr>
                <w:color w:val="000000"/>
              </w:rPr>
              <w:t>Yes</w:t>
            </w:r>
          </w:p>
        </w:tc>
        <w:tc>
          <w:tcPr>
            <w:tcW w:w="2137" w:type="dxa"/>
            <w:shd w:val="clear" w:color="auto" w:fill="auto"/>
          </w:tcPr>
          <w:p w:rsidRPr="00E25078" w:rsidR="00A92D0B" w:rsidP="00073262" w:rsidRDefault="00CB316D" w14:paraId="23B6532A" w14:textId="22FD1FAF">
            <w:pPr>
              <w:keepNext/>
              <w:keepLines/>
              <w:rPr>
                <w:color w:val="000000"/>
              </w:rPr>
            </w:pPr>
            <w:r>
              <w:rPr>
                <w:color w:val="000000"/>
              </w:rPr>
              <w:t>Verified</w:t>
            </w:r>
          </w:p>
        </w:tc>
      </w:tr>
      <w:tr w:rsidRPr="007F620E" w:rsidR="00A92D0B" w:rsidTr="00CE4462" w14:paraId="3317BD71" w14:textId="77777777">
        <w:tc>
          <w:tcPr>
            <w:tcW w:w="6048" w:type="dxa"/>
            <w:gridSpan w:val="2"/>
            <w:shd w:val="clear" w:color="auto" w:fill="auto"/>
          </w:tcPr>
          <w:p w:rsidRPr="007F620E" w:rsidR="00A92D0B" w:rsidP="00073262"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w:t>
            </w:r>
            <w:proofErr w:type="gramStart"/>
            <w:r w:rsidRPr="007F620E">
              <w:rPr>
                <w:b/>
                <w:color w:val="000000"/>
              </w:rPr>
              <w:t>the proceeding</w:t>
            </w:r>
            <w:proofErr w:type="gramEnd"/>
            <w:r w:rsidRPr="007F620E">
              <w:rPr>
                <w:b/>
                <w:color w:val="000000"/>
              </w:rPr>
              <w:t xml:space="preserve"> with positions </w:t>
            </w:r>
            <w:proofErr w:type="gramStart"/>
            <w:r w:rsidRPr="007F620E">
              <w:rPr>
                <w:b/>
                <w:color w:val="000000"/>
              </w:rPr>
              <w:t>similar to</w:t>
            </w:r>
            <w:proofErr w:type="gramEnd"/>
            <w:r w:rsidRPr="007F620E">
              <w:rPr>
                <w:b/>
                <w:color w:val="000000"/>
              </w:rPr>
              <w:t xml:space="preserve"> yours? </w:t>
            </w:r>
          </w:p>
        </w:tc>
        <w:tc>
          <w:tcPr>
            <w:tcW w:w="1710" w:type="dxa"/>
            <w:shd w:val="clear" w:color="auto" w:fill="auto"/>
          </w:tcPr>
          <w:p w:rsidRPr="00E25078" w:rsidR="00A92D0B" w:rsidP="00073262" w:rsidRDefault="003B7550" w14:paraId="3708E485" w14:textId="6EBD9244">
            <w:pPr>
              <w:rPr>
                <w:color w:val="000000"/>
              </w:rPr>
            </w:pPr>
            <w:r>
              <w:rPr>
                <w:color w:val="000000"/>
              </w:rPr>
              <w:t>Yes</w:t>
            </w:r>
          </w:p>
        </w:tc>
        <w:tc>
          <w:tcPr>
            <w:tcW w:w="2137" w:type="dxa"/>
            <w:shd w:val="clear" w:color="auto" w:fill="auto"/>
          </w:tcPr>
          <w:p w:rsidRPr="00E25078" w:rsidR="00A92D0B" w:rsidP="00073262" w:rsidRDefault="00943F39" w14:paraId="6B3388E6" w14:textId="3E87E9DA">
            <w:pPr>
              <w:rPr>
                <w:color w:val="000000"/>
              </w:rPr>
            </w:pPr>
            <w:r>
              <w:rPr>
                <w:color w:val="000000"/>
              </w:rPr>
              <w:t>Verified</w:t>
            </w:r>
          </w:p>
        </w:tc>
      </w:tr>
      <w:tr w:rsidRPr="007F620E" w:rsidR="00A92D0B" w:rsidTr="00CE4462" w14:paraId="0A51B7D4" w14:textId="77777777">
        <w:tc>
          <w:tcPr>
            <w:tcW w:w="7758" w:type="dxa"/>
            <w:gridSpan w:val="3"/>
            <w:shd w:val="clear" w:color="auto" w:fill="auto"/>
          </w:tcPr>
          <w:p w:rsidR="00A92D0B" w:rsidP="00073262" w:rsidRDefault="00A92D0B" w14:paraId="30CB6275" w14:textId="7D63B4F2">
            <w:pPr>
              <w:ind w:left="360" w:hanging="360"/>
              <w:rPr>
                <w:color w:val="000000"/>
              </w:rPr>
            </w:pPr>
            <w:proofErr w:type="gramStart"/>
            <w:r w:rsidRPr="00E25078">
              <w:rPr>
                <w:b/>
                <w:color w:val="000000"/>
              </w:rPr>
              <w:t>c.</w:t>
            </w:r>
            <w:r w:rsidRPr="00E25078">
              <w:rPr>
                <w:b/>
                <w:color w:val="000000"/>
              </w:rPr>
              <w:tab/>
              <w:t>If</w:t>
            </w:r>
            <w:proofErr w:type="gramEnd"/>
            <w:r w:rsidRPr="00E25078">
              <w:rPr>
                <w:b/>
                <w:color w:val="000000"/>
              </w:rPr>
              <w:t xml:space="preserve"> so, provide </w:t>
            </w:r>
            <w:proofErr w:type="gramStart"/>
            <w:r w:rsidRPr="00E25078">
              <w:rPr>
                <w:b/>
                <w:color w:val="000000"/>
              </w:rPr>
              <w:t>name</w:t>
            </w:r>
            <w:proofErr w:type="gramEnd"/>
            <w:r w:rsidRPr="00E25078">
              <w:rPr>
                <w:b/>
                <w:color w:val="000000"/>
              </w:rPr>
              <w:t xml:space="preserve"> of other parties:</w:t>
            </w:r>
            <w:r w:rsidRPr="00E25078" w:rsidR="00E25078">
              <w:rPr>
                <w:color w:val="000000"/>
              </w:rPr>
              <w:t xml:space="preserve"> </w:t>
            </w:r>
          </w:p>
          <w:p w:rsidRPr="00E25078" w:rsidR="000237F2" w:rsidP="00073262" w:rsidRDefault="000237F2" w14:paraId="5684078E" w14:textId="77777777">
            <w:pPr>
              <w:ind w:left="360" w:hanging="360"/>
              <w:rPr>
                <w:color w:val="000000"/>
              </w:rPr>
            </w:pPr>
          </w:p>
          <w:p w:rsidR="00524CF1" w:rsidP="000237F2" w:rsidRDefault="003B7550" w14:paraId="3B16EAD7" w14:textId="38BA491F">
            <w:pPr>
              <w:rPr>
                <w:color w:val="000000"/>
              </w:rPr>
            </w:pPr>
            <w:r>
              <w:rPr>
                <w:color w:val="000000"/>
              </w:rPr>
              <w:lastRenderedPageBreak/>
              <w:t xml:space="preserve">The Sierra Club was the primary intervenor taking positions </w:t>
            </w:r>
            <w:proofErr w:type="gramStart"/>
            <w:r>
              <w:rPr>
                <w:color w:val="000000"/>
              </w:rPr>
              <w:t>similar to</w:t>
            </w:r>
            <w:proofErr w:type="gramEnd"/>
            <w:r>
              <w:rPr>
                <w:color w:val="000000"/>
              </w:rPr>
              <w:t xml:space="preserve"> CEJA. </w:t>
            </w:r>
            <w:r w:rsidR="00524CF1">
              <w:rPr>
                <w:color w:val="000000"/>
              </w:rPr>
              <w:t xml:space="preserve"> Given the similarity of positions, CEJA worked with Sierra Club on all the filings related to these decisions. </w:t>
            </w:r>
          </w:p>
          <w:p w:rsidR="00524CF1" w:rsidP="000237F2" w:rsidRDefault="00524CF1" w14:paraId="0EA855AE" w14:textId="77777777">
            <w:pPr>
              <w:rPr>
                <w:color w:val="000000"/>
              </w:rPr>
            </w:pPr>
          </w:p>
          <w:p w:rsidRPr="00E25078" w:rsidR="00691528" w:rsidP="000237F2" w:rsidRDefault="003B7550" w14:paraId="058CE425" w14:textId="4D70A9D6">
            <w:pPr>
              <w:rPr>
                <w:color w:val="000000"/>
              </w:rPr>
            </w:pPr>
            <w:r>
              <w:rPr>
                <w:color w:val="000000"/>
              </w:rPr>
              <w:t xml:space="preserve">Other parties that took similar positions include: </w:t>
            </w:r>
            <w:r w:rsidR="00552CFB">
              <w:rPr>
                <w:color w:val="000000"/>
              </w:rPr>
              <w:t xml:space="preserve">CEERT, Environmental Defense Fund, and Protect Our Communities Foundation.  </w:t>
            </w:r>
            <w:r>
              <w:rPr>
                <w:color w:val="000000"/>
              </w:rPr>
              <w:t xml:space="preserve">  </w:t>
            </w:r>
          </w:p>
          <w:p w:rsidRPr="00E25078" w:rsidR="00A92D0B" w:rsidP="00073262" w:rsidRDefault="00A92D0B" w14:paraId="0919176B" w14:textId="77777777">
            <w:pPr>
              <w:ind w:left="360" w:hanging="360"/>
              <w:rPr>
                <w:color w:val="000000"/>
              </w:rPr>
            </w:pPr>
          </w:p>
        </w:tc>
        <w:tc>
          <w:tcPr>
            <w:tcW w:w="2137" w:type="dxa"/>
            <w:shd w:val="clear" w:color="auto" w:fill="auto"/>
          </w:tcPr>
          <w:p w:rsidRPr="00E25078" w:rsidR="00A92D0B" w:rsidP="00073262" w:rsidRDefault="001129F6" w14:paraId="22A40B49" w14:textId="137D5C18">
            <w:pPr>
              <w:rPr>
                <w:color w:val="000000"/>
              </w:rPr>
            </w:pPr>
            <w:r>
              <w:rPr>
                <w:color w:val="000000"/>
              </w:rPr>
              <w:lastRenderedPageBreak/>
              <w:t>Noted</w:t>
            </w:r>
          </w:p>
        </w:tc>
      </w:tr>
      <w:tr w:rsidRPr="007F620E" w:rsidR="00A92D0B" w:rsidTr="00CE4462" w14:paraId="744830F5" w14:textId="77777777">
        <w:tc>
          <w:tcPr>
            <w:tcW w:w="7758" w:type="dxa"/>
            <w:gridSpan w:val="3"/>
            <w:shd w:val="clear" w:color="auto" w:fill="auto"/>
          </w:tcPr>
          <w:p w:rsidR="00A92D0B" w:rsidP="00073262" w:rsidRDefault="00A92D0B" w14:paraId="7C05FE5A" w14:textId="7521972E">
            <w:pPr>
              <w:tabs>
                <w:tab w:val="left" w:pos="360"/>
              </w:tabs>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Pr="00E25078" w:rsidR="000237F2" w:rsidP="00073262" w:rsidRDefault="000237F2" w14:paraId="2B6DEA09" w14:textId="77777777">
            <w:pPr>
              <w:tabs>
                <w:tab w:val="left" w:pos="360"/>
              </w:tabs>
              <w:ind w:left="360" w:hanging="360"/>
              <w:rPr>
                <w:color w:val="000000"/>
              </w:rPr>
            </w:pPr>
          </w:p>
          <w:p w:rsidRPr="00EE2646" w:rsidR="003B7550" w:rsidP="003B7550" w:rsidRDefault="003B7550" w14:paraId="120A1398" w14:textId="2E25C89A">
            <w:pPr>
              <w:pStyle w:val="Default"/>
            </w:pPr>
            <w:r w:rsidRPr="00EE2646">
              <w:t>Throughout the proceeding, CEJA and Sierra Club coordinated their eff</w:t>
            </w:r>
            <w:r>
              <w:t xml:space="preserve">orts to avoid duplication. CEJA and </w:t>
            </w:r>
            <w:r w:rsidRPr="00EE2646">
              <w:t xml:space="preserve">Sierra Club drafted and filed joint comments on all matters when their positions were aligned, which was for nearly every set of formal and informal comments in the proceeding.  </w:t>
            </w:r>
          </w:p>
          <w:p w:rsidR="003B7550" w:rsidP="003B7550" w:rsidRDefault="003B7550" w14:paraId="279E5D93" w14:textId="77777777">
            <w:pPr>
              <w:pStyle w:val="Default"/>
            </w:pPr>
          </w:p>
          <w:p w:rsidRPr="00EE2646" w:rsidR="003B7550" w:rsidP="003B7550" w:rsidRDefault="003B7550" w14:paraId="0178A274" w14:textId="77777777">
            <w:pPr>
              <w:pStyle w:val="Default"/>
            </w:pPr>
            <w:r>
              <w:t xml:space="preserve">CEJA and </w:t>
            </w:r>
            <w:r w:rsidRPr="00EE2646">
              <w:t>Sierra Club communicated to coordinate strategy, share resources,</w:t>
            </w:r>
            <w:r>
              <w:t xml:space="preserve"> </w:t>
            </w:r>
            <w:r w:rsidRPr="00EE2646">
              <w:t xml:space="preserve">and complete filings in the proceeding. Collaborating significantly </w:t>
            </w:r>
          </w:p>
          <w:p w:rsidRPr="00EE2646" w:rsidR="003B7550" w:rsidP="003B7550" w:rsidRDefault="003B7550" w14:paraId="0BFCEBA6" w14:textId="77777777">
            <w:pPr>
              <w:pStyle w:val="Default"/>
            </w:pPr>
            <w:r w:rsidRPr="00EE2646">
              <w:t>minimized time spent drafting, researching, and analyzing issues. The coordinated</w:t>
            </w:r>
            <w:r>
              <w:t xml:space="preserve"> </w:t>
            </w:r>
            <w:r w:rsidRPr="00EE2646">
              <w:t>efforts of CEJA and Sierra Club also avoided the potential for duplication.</w:t>
            </w:r>
          </w:p>
          <w:p w:rsidRPr="00EE2646" w:rsidR="003B7550" w:rsidP="003B7550" w:rsidRDefault="003B7550" w14:paraId="00E8F8EE" w14:textId="77777777">
            <w:pPr>
              <w:pStyle w:val="Default"/>
            </w:pPr>
          </w:p>
          <w:p w:rsidRPr="00EE2646" w:rsidR="003B7550" w:rsidP="003B7550" w:rsidRDefault="003B7550" w14:paraId="04A2753B" w14:textId="44EA7996">
            <w:pPr>
              <w:pStyle w:val="Default"/>
            </w:pPr>
            <w:r w:rsidRPr="00EE2646">
              <w:t xml:space="preserve">CEJA focused </w:t>
            </w:r>
            <w:r>
              <w:t>many of</w:t>
            </w:r>
            <w:r w:rsidRPr="00EE2646">
              <w:t xml:space="preserve"> its comments on </w:t>
            </w:r>
            <w:r>
              <w:t xml:space="preserve">issues that impact disadvantaged community </w:t>
            </w:r>
            <w:r w:rsidRPr="00EE2646">
              <w:t>within this proceeding because CEJA was one of the main parties focused primarily on these issues</w:t>
            </w:r>
            <w:r>
              <w:t xml:space="preserve">, and CEJA was the only active party directly representing environmental justice communities.  </w:t>
            </w:r>
            <w:r w:rsidRPr="00EE2646">
              <w:t xml:space="preserve">CEJA/Sierra Club’s comments provided analysis, research and data </w:t>
            </w:r>
            <w:r>
              <w:t>that</w:t>
            </w:r>
            <w:r w:rsidRPr="00EE2646">
              <w:t xml:space="preserve"> highlighted their own arguments from the perspectives of an alliance of environmental justice organizations and an environmental protection organization. </w:t>
            </w:r>
            <w:r>
              <w:t xml:space="preserve">For example, CEJA </w:t>
            </w:r>
            <w:r w:rsidR="00621ED5">
              <w:t>was one of the main advocates for increasing community participation within the DWR process.</w:t>
            </w:r>
          </w:p>
          <w:p w:rsidRPr="00EE2646" w:rsidR="003B7550" w:rsidP="003B7550" w:rsidRDefault="003B7550" w14:paraId="6777FB16" w14:textId="77777777">
            <w:pPr>
              <w:pStyle w:val="Default"/>
            </w:pPr>
          </w:p>
          <w:p w:rsidRPr="00E25078" w:rsidR="003B7550" w:rsidP="003B7550" w:rsidRDefault="003B7550" w14:paraId="00E873DB" w14:textId="7BFFEE40">
            <w:pPr>
              <w:pStyle w:val="Default"/>
            </w:pPr>
            <w:r w:rsidRPr="00DA5577">
              <w:t xml:space="preserve">CEJA also participated in discussions with CCAs </w:t>
            </w:r>
            <w:r w:rsidR="00552CFB">
              <w:t xml:space="preserve">and other parties, including EDF, </w:t>
            </w:r>
            <w:r w:rsidRPr="00DA5577">
              <w:t xml:space="preserve">about </w:t>
            </w:r>
            <w:r w:rsidR="00DA5577">
              <w:t>the issues addressed in these decisions</w:t>
            </w:r>
            <w:r w:rsidRPr="00DA5577">
              <w:t>.</w:t>
            </w:r>
          </w:p>
          <w:p w:rsidRPr="00E25078" w:rsidR="00A92D0B" w:rsidP="00552CFB" w:rsidRDefault="00A92D0B" w14:paraId="3228BB07" w14:textId="77777777">
            <w:pPr>
              <w:tabs>
                <w:tab w:val="left" w:pos="360"/>
              </w:tabs>
              <w:rPr>
                <w:color w:val="000000"/>
              </w:rPr>
            </w:pPr>
          </w:p>
        </w:tc>
        <w:tc>
          <w:tcPr>
            <w:tcW w:w="2137" w:type="dxa"/>
            <w:shd w:val="clear" w:color="auto" w:fill="auto"/>
          </w:tcPr>
          <w:p w:rsidRPr="00E25078" w:rsidR="00A92D0B" w:rsidP="00073262" w:rsidRDefault="00430E48" w14:paraId="5F9BBA55" w14:textId="70FE1698">
            <w:pPr>
              <w:tabs>
                <w:tab w:val="left" w:pos="360"/>
              </w:tabs>
              <w:ind w:left="360" w:hanging="360"/>
              <w:rPr>
                <w:color w:val="000000"/>
              </w:rPr>
            </w:pPr>
            <w:r>
              <w:rPr>
                <w:color w:val="000000"/>
              </w:rPr>
              <w:t>Noted</w:t>
            </w:r>
          </w:p>
        </w:tc>
      </w:tr>
    </w:tbl>
    <w:p w:rsidRPr="007F620E" w:rsidR="00B312DA" w:rsidP="005B5B44" w:rsidRDefault="00A92D0B" w14:paraId="175C3F89" w14:textId="064545C7">
      <w:pPr>
        <w:keepNext/>
        <w:tabs>
          <w:tab w:val="left" w:pos="1260"/>
        </w:tabs>
        <w:spacing w:before="480"/>
        <w:ind w:left="1267" w:hanging="1267"/>
        <w:jc w:val="center"/>
        <w:rPr>
          <w:b/>
          <w:color w:val="000000"/>
        </w:rPr>
      </w:pPr>
      <w:r w:rsidRPr="007F620E">
        <w:rPr>
          <w:b/>
          <w:color w:val="000000"/>
        </w:rPr>
        <w:t>PART III</w:t>
      </w:r>
      <w:r w:rsidRPr="007F620E" w:rsidR="009851A5">
        <w:rPr>
          <w:b/>
          <w:color w:val="000000"/>
        </w:rPr>
        <w:t>:</w:t>
      </w:r>
      <w:r w:rsidR="009851A5">
        <w:rPr>
          <w:b/>
          <w:color w:val="000000"/>
        </w:rPr>
        <w:t xml:space="preserve"> REASONABLENESS</w:t>
      </w:r>
      <w:r w:rsidRPr="007F620E">
        <w:rPr>
          <w:b/>
          <w:color w:val="000000"/>
        </w:rPr>
        <w:t xml:space="preserve">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587"/>
      </w:tblGrid>
      <w:tr w:rsidRPr="007F620E" w:rsidR="00FE3BAE" w:rsidTr="00CE4462"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587"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FE3BAE" w:rsidTr="00CE4462" w14:paraId="5708510E" w14:textId="77777777">
        <w:tc>
          <w:tcPr>
            <w:tcW w:w="7488" w:type="dxa"/>
            <w:tcBorders>
              <w:bottom w:val="single" w:color="auto" w:sz="4" w:space="0"/>
            </w:tcBorders>
            <w:shd w:val="clear" w:color="auto" w:fill="auto"/>
          </w:tcPr>
          <w:p w:rsidR="00621ED5" w:rsidP="003B7550" w:rsidRDefault="00FE3BAE" w14:paraId="7465289D" w14:textId="77777777">
            <w:pPr>
              <w:rPr>
                <w:color w:val="000000"/>
              </w:rPr>
            </w:pPr>
            <w:r w:rsidRPr="007F620E">
              <w:rPr>
                <w:b/>
                <w:color w:val="000000"/>
              </w:rPr>
              <w:t>a. Intervenor’s claim of cost reasonableness:</w:t>
            </w:r>
            <w:r w:rsidRPr="00E25078" w:rsidR="00E25078">
              <w:rPr>
                <w:color w:val="000000"/>
              </w:rPr>
              <w:t xml:space="preserve"> </w:t>
            </w:r>
          </w:p>
          <w:p w:rsidR="00621ED5" w:rsidP="003B7550" w:rsidRDefault="00621ED5" w14:paraId="2107535F" w14:textId="77777777">
            <w:pPr>
              <w:rPr>
                <w:color w:val="000000"/>
              </w:rPr>
            </w:pPr>
          </w:p>
          <w:p w:rsidR="003B7550" w:rsidP="003B7550" w:rsidRDefault="003B7550" w14:paraId="041B0C56" w14:textId="68F930FD">
            <w:pPr>
              <w:rPr>
                <w:color w:val="000000"/>
              </w:rPr>
            </w:pPr>
            <w:r w:rsidRPr="00E3209D">
              <w:rPr>
                <w:color w:val="000000"/>
              </w:rPr>
              <w:t xml:space="preserve">CEJA </w:t>
            </w:r>
            <w:r w:rsidR="00621ED5">
              <w:rPr>
                <w:color w:val="000000"/>
              </w:rPr>
              <w:t xml:space="preserve">has </w:t>
            </w:r>
            <w:r w:rsidRPr="00E3209D">
              <w:rPr>
                <w:color w:val="000000"/>
              </w:rPr>
              <w:t>participated in all</w:t>
            </w:r>
            <w:r>
              <w:rPr>
                <w:color w:val="000000"/>
              </w:rPr>
              <w:t xml:space="preserve"> major aspects of this time-intensive, complicated </w:t>
            </w:r>
            <w:r w:rsidRPr="00E3209D">
              <w:rPr>
                <w:color w:val="000000"/>
              </w:rPr>
              <w:t>proceeding, including filing multiple comments related to the</w:t>
            </w:r>
            <w:r>
              <w:rPr>
                <w:color w:val="000000"/>
              </w:rPr>
              <w:t xml:space="preserve"> issues described above. </w:t>
            </w:r>
          </w:p>
          <w:p w:rsidR="003B7550" w:rsidP="003B7550" w:rsidRDefault="003B7550" w14:paraId="1CB4E2B0" w14:textId="77777777">
            <w:pPr>
              <w:rPr>
                <w:color w:val="000000"/>
              </w:rPr>
            </w:pPr>
          </w:p>
          <w:p w:rsidR="00621ED5" w:rsidP="003B7550" w:rsidRDefault="003B7550" w14:paraId="3FDE4828" w14:textId="65768C98">
            <w:pPr>
              <w:rPr>
                <w:color w:val="000000"/>
              </w:rPr>
            </w:pPr>
            <w:r w:rsidRPr="00E3209D">
              <w:rPr>
                <w:color w:val="000000"/>
              </w:rPr>
              <w:t>CEJA’s filings reflected detailed substantive analysis.</w:t>
            </w:r>
            <w:r>
              <w:rPr>
                <w:color w:val="000000"/>
              </w:rPr>
              <w:t xml:space="preserve"> CEJA took the lead drafting the filings that were joined </w:t>
            </w:r>
            <w:r w:rsidR="00621ED5">
              <w:rPr>
                <w:color w:val="000000"/>
              </w:rPr>
              <w:t>by Sierra Club for the DWR decision, and Sierra Club took the lead on most filings for the issues</w:t>
            </w:r>
            <w:r w:rsidR="00DA5577">
              <w:rPr>
                <w:color w:val="000000"/>
              </w:rPr>
              <w:t xml:space="preserve"> related to the Diablo decision</w:t>
            </w:r>
            <w:r>
              <w:rPr>
                <w:color w:val="000000"/>
              </w:rPr>
              <w:t>.</w:t>
            </w:r>
            <w:r w:rsidR="00621ED5">
              <w:rPr>
                <w:color w:val="000000"/>
              </w:rPr>
              <w:t xml:space="preserve"> </w:t>
            </w:r>
            <w:r w:rsidR="00552CFB">
              <w:rPr>
                <w:color w:val="000000"/>
              </w:rPr>
              <w:t>CEJA led the analysis and drafting for the comments related to the TPP decision.</w:t>
            </w:r>
            <w:r w:rsidR="00621ED5">
              <w:rPr>
                <w:color w:val="000000"/>
              </w:rPr>
              <w:t xml:space="preserve"> Details related to how CEJA and Sierra Club split responsibilities are detailed in CEJA’s timesheet for Ms. Behles, who led </w:t>
            </w:r>
            <w:proofErr w:type="gramStart"/>
            <w:r w:rsidR="00621ED5">
              <w:rPr>
                <w:color w:val="000000"/>
              </w:rPr>
              <w:t>the majority of</w:t>
            </w:r>
            <w:proofErr w:type="gramEnd"/>
            <w:r w:rsidR="00621ED5">
              <w:rPr>
                <w:color w:val="000000"/>
              </w:rPr>
              <w:t xml:space="preserve"> filings in this proceeding.  When CEJA took the lead, it analyzed the materials, presented a detailed outline, and drafted the comments.  </w:t>
            </w:r>
            <w:proofErr w:type="gramStart"/>
            <w:r w:rsidR="00621ED5">
              <w:rPr>
                <w:color w:val="000000"/>
              </w:rPr>
              <w:t>Sierra</w:t>
            </w:r>
            <w:proofErr w:type="gramEnd"/>
            <w:r w:rsidR="00621ED5">
              <w:rPr>
                <w:color w:val="000000"/>
              </w:rPr>
              <w:t xml:space="preserve"> Club helped provide </w:t>
            </w:r>
            <w:r w:rsidR="00552CFB">
              <w:rPr>
                <w:color w:val="000000"/>
              </w:rPr>
              <w:t xml:space="preserve">substantive </w:t>
            </w:r>
            <w:r w:rsidR="00621ED5">
              <w:rPr>
                <w:color w:val="000000"/>
              </w:rPr>
              <w:t xml:space="preserve">feedback as well as additional resources to support core positions.  When Sierra Club took the lead, CEJA provided </w:t>
            </w:r>
            <w:r w:rsidR="00552CFB">
              <w:rPr>
                <w:color w:val="000000"/>
              </w:rPr>
              <w:t xml:space="preserve">substantive </w:t>
            </w:r>
            <w:r w:rsidR="00621ED5">
              <w:rPr>
                <w:color w:val="000000"/>
              </w:rPr>
              <w:t xml:space="preserve">feedback on the outline of issues, and CEJA read through initial party comments to provide feedback on the scope of reply comments. CEJA also provided feedback on the </w:t>
            </w:r>
            <w:r w:rsidR="00DA5577">
              <w:rPr>
                <w:color w:val="000000"/>
              </w:rPr>
              <w:t>initial</w:t>
            </w:r>
            <w:r w:rsidR="00621ED5">
              <w:rPr>
                <w:color w:val="000000"/>
              </w:rPr>
              <w:t xml:space="preserve"> drafts of comments. </w:t>
            </w:r>
            <w:r>
              <w:rPr>
                <w:color w:val="000000"/>
              </w:rPr>
              <w:t xml:space="preserve"> </w:t>
            </w:r>
          </w:p>
          <w:p w:rsidR="00621ED5" w:rsidP="003B7550" w:rsidRDefault="00621ED5" w14:paraId="352254A7" w14:textId="77777777">
            <w:pPr>
              <w:rPr>
                <w:color w:val="000000"/>
              </w:rPr>
            </w:pPr>
          </w:p>
          <w:p w:rsidR="003B7550" w:rsidP="003B7550" w:rsidRDefault="003B7550" w14:paraId="62692A31" w14:textId="4D82FCA0">
            <w:pPr>
              <w:rPr>
                <w:color w:val="000000"/>
              </w:rPr>
            </w:pPr>
            <w:r>
              <w:rPr>
                <w:color w:val="000000"/>
              </w:rPr>
              <w:t xml:space="preserve">The </w:t>
            </w:r>
            <w:r w:rsidRPr="00E3209D">
              <w:rPr>
                <w:color w:val="000000"/>
              </w:rPr>
              <w:t xml:space="preserve">comments CEJA submitted in this </w:t>
            </w:r>
            <w:r>
              <w:rPr>
                <w:color w:val="000000"/>
              </w:rPr>
              <w:t xml:space="preserve">portion of the </w:t>
            </w:r>
            <w:r w:rsidRPr="00E3209D">
              <w:rPr>
                <w:color w:val="000000"/>
              </w:rPr>
              <w:t>proceeding included significant legal,</w:t>
            </w:r>
            <w:r w:rsidRPr="00E3209D">
              <w:t xml:space="preserve"> </w:t>
            </w:r>
            <w:r w:rsidRPr="00E3209D">
              <w:rPr>
                <w:color w:val="000000"/>
              </w:rPr>
              <w:t>policy, and technical research on the many topics raised by the Commission’s</w:t>
            </w:r>
            <w:r>
              <w:rPr>
                <w:color w:val="000000"/>
              </w:rPr>
              <w:t xml:space="preserve"> </w:t>
            </w:r>
            <w:r w:rsidRPr="00E3209D">
              <w:rPr>
                <w:color w:val="000000"/>
              </w:rPr>
              <w:t>r</w:t>
            </w:r>
            <w:r>
              <w:rPr>
                <w:color w:val="000000"/>
              </w:rPr>
              <w:t xml:space="preserve">ulings, workshops, and </w:t>
            </w:r>
            <w:proofErr w:type="gramStart"/>
            <w:r>
              <w:rPr>
                <w:color w:val="000000"/>
              </w:rPr>
              <w:t>decision</w:t>
            </w:r>
            <w:proofErr w:type="gramEnd"/>
            <w:r w:rsidRPr="00E3209D">
              <w:rPr>
                <w:color w:val="000000"/>
              </w:rPr>
              <w:t>. CEJA’s extensive participation and detailed</w:t>
            </w:r>
            <w:r>
              <w:rPr>
                <w:color w:val="000000"/>
              </w:rPr>
              <w:t xml:space="preserve"> </w:t>
            </w:r>
            <w:r w:rsidRPr="00E3209D">
              <w:rPr>
                <w:color w:val="000000"/>
              </w:rPr>
              <w:t xml:space="preserve">filings ensured the Commission had sufficient information to </w:t>
            </w:r>
            <w:proofErr w:type="gramStart"/>
            <w:r w:rsidRPr="00E3209D">
              <w:rPr>
                <w:color w:val="000000"/>
              </w:rPr>
              <w:t>make</w:t>
            </w:r>
            <w:r>
              <w:rPr>
                <w:color w:val="000000"/>
              </w:rPr>
              <w:t xml:space="preserve"> </w:t>
            </w:r>
            <w:r w:rsidRPr="00E3209D">
              <w:rPr>
                <w:color w:val="000000"/>
              </w:rPr>
              <w:t>a determination</w:t>
            </w:r>
            <w:proofErr w:type="gramEnd"/>
            <w:r w:rsidRPr="00E3209D">
              <w:rPr>
                <w:color w:val="000000"/>
              </w:rPr>
              <w:t xml:space="preserve"> from the record. </w:t>
            </w:r>
            <w:r>
              <w:rPr>
                <w:color w:val="000000"/>
              </w:rPr>
              <w:t xml:space="preserve"> Importantly, the Commission was tasked with making determinations of requirements related to planning and procurement, both of which are of great concern to the communities CEJA represents. </w:t>
            </w:r>
            <w:proofErr w:type="gramStart"/>
            <w:r>
              <w:rPr>
                <w:color w:val="000000"/>
              </w:rPr>
              <w:t>The majority of</w:t>
            </w:r>
            <w:proofErr w:type="gramEnd"/>
            <w:r>
              <w:rPr>
                <w:color w:val="000000"/>
              </w:rPr>
              <w:t xml:space="preserve"> the work that CEJA performed in the </w:t>
            </w:r>
            <w:proofErr w:type="gramStart"/>
            <w:r>
              <w:rPr>
                <w:color w:val="000000"/>
              </w:rPr>
              <w:t>proceeding</w:t>
            </w:r>
            <w:proofErr w:type="gramEnd"/>
            <w:r>
              <w:rPr>
                <w:color w:val="000000"/>
              </w:rPr>
              <w:t xml:space="preserve"> was focused on how the proposed actions would impact these communities.  Many of the collaboration hours were spent discussing the importance of aspects of the proposals with other parties in </w:t>
            </w:r>
            <w:proofErr w:type="gramStart"/>
            <w:r>
              <w:rPr>
                <w:color w:val="000000"/>
              </w:rPr>
              <w:t>the proceeding</w:t>
            </w:r>
            <w:proofErr w:type="gramEnd"/>
            <w:r>
              <w:rPr>
                <w:color w:val="000000"/>
              </w:rPr>
              <w:t xml:space="preserve"> to develop alignment on these issues that are critical to the communities CEJA represents.  </w:t>
            </w:r>
          </w:p>
          <w:p w:rsidR="003B7550" w:rsidP="003B7550" w:rsidRDefault="003B7550" w14:paraId="778472BD" w14:textId="77777777">
            <w:pPr>
              <w:rPr>
                <w:color w:val="000000"/>
              </w:rPr>
            </w:pPr>
          </w:p>
          <w:p w:rsidRPr="00726F3D" w:rsidR="003B7550" w:rsidP="003B7550" w:rsidRDefault="003B7550" w14:paraId="2F32ADCE" w14:textId="77777777">
            <w:pPr>
              <w:rPr>
                <w:color w:val="000000"/>
                <w:highlight w:val="yellow"/>
              </w:rPr>
            </w:pPr>
            <w:r>
              <w:rPr>
                <w:color w:val="000000"/>
              </w:rPr>
              <w:t xml:space="preserve">CEJA spent significant time writing detailed comments to ensure that the Commission and the Energy Division staff had the information needed to make informed decisions. Developing these detailed comments required significant research and an analysis of technical information and filings by dozens of parties.  </w:t>
            </w:r>
          </w:p>
          <w:p w:rsidR="003B7550" w:rsidP="003B7550" w:rsidRDefault="003B7550" w14:paraId="464275F4" w14:textId="77777777">
            <w:pPr>
              <w:rPr>
                <w:color w:val="000000"/>
              </w:rPr>
            </w:pPr>
          </w:p>
          <w:p w:rsidR="003B7550" w:rsidP="003B7550" w:rsidRDefault="003B7550" w14:paraId="7EB3DB5E" w14:textId="02CA8CBF">
            <w:pPr>
              <w:rPr>
                <w:color w:val="000000"/>
              </w:rPr>
            </w:pPr>
            <w:r>
              <w:rPr>
                <w:color w:val="000000"/>
              </w:rPr>
              <w:t xml:space="preserve">CEJA’s core positions were adopted in the Decision.  The core considerations related to </w:t>
            </w:r>
            <w:r w:rsidR="00621ED5">
              <w:rPr>
                <w:color w:val="000000"/>
              </w:rPr>
              <w:t>centralized procurement</w:t>
            </w:r>
            <w:r w:rsidR="0060696E">
              <w:rPr>
                <w:color w:val="000000"/>
              </w:rPr>
              <w:t xml:space="preserve">, </w:t>
            </w:r>
            <w:r w:rsidR="00621ED5">
              <w:rPr>
                <w:color w:val="000000"/>
              </w:rPr>
              <w:t>Diablo-related procurement</w:t>
            </w:r>
            <w:r w:rsidR="0060696E">
              <w:rPr>
                <w:color w:val="000000"/>
              </w:rPr>
              <w:t>, the TPP portfolios and busbar mapping</w:t>
            </w:r>
            <w:r w:rsidR="00621ED5">
              <w:rPr>
                <w:color w:val="000000"/>
              </w:rPr>
              <w:t xml:space="preserve"> are difficult to quantify.</w:t>
            </w:r>
          </w:p>
          <w:p w:rsidR="003B7550" w:rsidP="003B7550" w:rsidRDefault="003B7550" w14:paraId="54F39B29" w14:textId="77777777">
            <w:pPr>
              <w:rPr>
                <w:color w:val="000000"/>
              </w:rPr>
            </w:pPr>
          </w:p>
          <w:p w:rsidRPr="00E25078" w:rsidR="00FE3BAE" w:rsidP="00EC6387" w:rsidRDefault="003B7550" w14:paraId="707F9932" w14:textId="75671688">
            <w:pPr>
              <w:rPr>
                <w:color w:val="000000"/>
              </w:rPr>
            </w:pPr>
            <w:r w:rsidRPr="00E3209D">
              <w:rPr>
                <w:color w:val="000000"/>
              </w:rPr>
              <w:t>CEJA’s request for fees and costs is likely to be a</w:t>
            </w:r>
            <w:r>
              <w:rPr>
                <w:color w:val="000000"/>
              </w:rPr>
              <w:t xml:space="preserve"> </w:t>
            </w:r>
            <w:r w:rsidRPr="00E3209D">
              <w:rPr>
                <w:color w:val="000000"/>
              </w:rPr>
              <w:t>very small portion of the benefits that utility customers are likely to ultimately</w:t>
            </w:r>
            <w:r>
              <w:rPr>
                <w:color w:val="000000"/>
              </w:rPr>
              <w:t xml:space="preserve"> </w:t>
            </w:r>
            <w:r w:rsidRPr="00E3209D">
              <w:rPr>
                <w:color w:val="000000"/>
              </w:rPr>
              <w:t>realize due to</w:t>
            </w:r>
            <w:r>
              <w:rPr>
                <w:color w:val="000000"/>
              </w:rPr>
              <w:t xml:space="preserve"> the improvements in planning and procurement</w:t>
            </w:r>
            <w:r w:rsidRPr="00E3209D">
              <w:rPr>
                <w:color w:val="000000"/>
              </w:rPr>
              <w:t>.</w:t>
            </w:r>
          </w:p>
          <w:p w:rsidRPr="003D4455" w:rsidR="00FE3BAE" w:rsidP="00EC6387" w:rsidRDefault="00FE3BAE" w14:paraId="2B1A1242" w14:textId="77777777">
            <w:pPr>
              <w:rPr>
                <w:color w:val="000000"/>
              </w:rPr>
            </w:pPr>
          </w:p>
        </w:tc>
        <w:tc>
          <w:tcPr>
            <w:tcW w:w="2587" w:type="dxa"/>
            <w:shd w:val="clear" w:color="auto" w:fill="auto"/>
          </w:tcPr>
          <w:p w:rsidRPr="00FE3BAE" w:rsidR="00FE3BAE" w:rsidP="00EC6387" w:rsidRDefault="00BA0664" w14:paraId="223B4665" w14:textId="3B2EA403">
            <w:pPr>
              <w:rPr>
                <w:color w:val="000000"/>
              </w:rPr>
            </w:pPr>
            <w:r>
              <w:rPr>
                <w:color w:val="000000"/>
              </w:rPr>
              <w:lastRenderedPageBreak/>
              <w:t xml:space="preserve"> </w:t>
            </w:r>
            <w:r w:rsidR="00806DC0">
              <w:rPr>
                <w:color w:val="000000"/>
              </w:rPr>
              <w:t>Verified</w:t>
            </w:r>
          </w:p>
        </w:tc>
      </w:tr>
      <w:tr w:rsidRPr="007F620E" w:rsidR="00FE3BAE" w:rsidTr="00CE4462" w14:paraId="5548029C" w14:textId="77777777">
        <w:tc>
          <w:tcPr>
            <w:tcW w:w="7488" w:type="dxa"/>
            <w:shd w:val="clear" w:color="auto" w:fill="auto"/>
          </w:tcPr>
          <w:p w:rsidR="00FE3BAE" w:rsidP="00EC6387" w:rsidRDefault="00FE3BAE" w14:paraId="751A610C" w14:textId="509B1715">
            <w:pPr>
              <w:rPr>
                <w:color w:val="000000"/>
              </w:rPr>
            </w:pPr>
            <w:r w:rsidRPr="007F620E">
              <w:rPr>
                <w:b/>
                <w:color w:val="000000"/>
              </w:rPr>
              <w:lastRenderedPageBreak/>
              <w:t>b. Reasonableness of hours claimed:</w:t>
            </w:r>
            <w:r w:rsidRPr="00E25078" w:rsidR="00E25078">
              <w:rPr>
                <w:color w:val="000000"/>
              </w:rPr>
              <w:t xml:space="preserve"> </w:t>
            </w:r>
          </w:p>
          <w:p w:rsidR="003B7550" w:rsidP="00EC6387" w:rsidRDefault="003B7550" w14:paraId="0C63D69C" w14:textId="77777777">
            <w:pPr>
              <w:rPr>
                <w:color w:val="000000"/>
              </w:rPr>
            </w:pPr>
          </w:p>
          <w:p w:rsidRPr="005768D7" w:rsidR="003B7550" w:rsidP="003B7550" w:rsidRDefault="003B7550" w14:paraId="122A732D" w14:textId="77777777">
            <w:pPr>
              <w:rPr>
                <w:color w:val="000000"/>
              </w:rPr>
            </w:pPr>
            <w:r w:rsidRPr="005768D7">
              <w:rPr>
                <w:color w:val="000000"/>
              </w:rPr>
              <w:t>As mentioned above, CEJA participated in all major aspects of the</w:t>
            </w:r>
          </w:p>
          <w:p w:rsidRPr="005768D7" w:rsidR="003B7550" w:rsidP="003B7550" w:rsidRDefault="003B7550" w14:paraId="01914F3B" w14:textId="1B0BE6B0">
            <w:pPr>
              <w:rPr>
                <w:color w:val="000000"/>
              </w:rPr>
            </w:pPr>
            <w:r w:rsidRPr="005768D7">
              <w:rPr>
                <w:color w:val="000000"/>
              </w:rPr>
              <w:t>proceeding, including filing multiple</w:t>
            </w:r>
            <w:r>
              <w:rPr>
                <w:color w:val="000000"/>
              </w:rPr>
              <w:t xml:space="preserve"> comments</w:t>
            </w:r>
            <w:r w:rsidR="0011422A">
              <w:rPr>
                <w:color w:val="000000"/>
              </w:rPr>
              <w:t xml:space="preserve"> </w:t>
            </w:r>
            <w:r>
              <w:rPr>
                <w:color w:val="000000"/>
              </w:rPr>
              <w:t xml:space="preserve">and coordinating with multiple parties. </w:t>
            </w:r>
            <w:r w:rsidRPr="005768D7">
              <w:rPr>
                <w:color w:val="000000"/>
              </w:rPr>
              <w:t>CEJA’s</w:t>
            </w:r>
            <w:r>
              <w:rPr>
                <w:color w:val="000000"/>
              </w:rPr>
              <w:t xml:space="preserve"> </w:t>
            </w:r>
            <w:r w:rsidRPr="005768D7">
              <w:rPr>
                <w:color w:val="000000"/>
              </w:rPr>
              <w:t>total filings are reflected i</w:t>
            </w:r>
            <w:r>
              <w:rPr>
                <w:color w:val="000000"/>
              </w:rPr>
              <w:t xml:space="preserve">n many pages of detailed </w:t>
            </w:r>
            <w:r w:rsidRPr="005768D7">
              <w:rPr>
                <w:color w:val="000000"/>
              </w:rPr>
              <w:t>substantive analysis.</w:t>
            </w:r>
            <w:r>
              <w:rPr>
                <w:color w:val="000000"/>
              </w:rPr>
              <w:t xml:space="preserve"> CEJA often had to analyze dozens and dozens of filings to develop comments and critiques of other parties.  </w:t>
            </w:r>
            <w:r w:rsidRPr="005768D7">
              <w:rPr>
                <w:color w:val="000000"/>
              </w:rPr>
              <w:t xml:space="preserve">The </w:t>
            </w:r>
            <w:r>
              <w:rPr>
                <w:color w:val="000000"/>
              </w:rPr>
              <w:t>amount of time CEJA spent on this portion of the</w:t>
            </w:r>
            <w:r w:rsidRPr="005768D7">
              <w:rPr>
                <w:color w:val="000000"/>
              </w:rPr>
              <w:t xml:space="preserve"> proceeding is reasonable considering</w:t>
            </w:r>
            <w:r>
              <w:rPr>
                <w:color w:val="000000"/>
              </w:rPr>
              <w:t xml:space="preserve"> </w:t>
            </w:r>
            <w:r w:rsidRPr="005768D7">
              <w:rPr>
                <w:color w:val="000000"/>
              </w:rPr>
              <w:t>CEJA’s extensive participation in and contribution to a wide range of outcomes.</w:t>
            </w:r>
            <w:r>
              <w:rPr>
                <w:color w:val="000000"/>
              </w:rPr>
              <w:t xml:space="preserve"> Furthermore, CEJA’s hours are likely very low considering the number of filings, meetings, wide range of issues, and parties in this proceeding. </w:t>
            </w:r>
          </w:p>
          <w:p w:rsidR="003B7550" w:rsidP="003B7550" w:rsidRDefault="003B7550" w14:paraId="3E9941A8" w14:textId="77777777">
            <w:pPr>
              <w:rPr>
                <w:color w:val="000000"/>
              </w:rPr>
            </w:pPr>
          </w:p>
          <w:p w:rsidR="003B7550" w:rsidP="003B7550" w:rsidRDefault="003B7550" w14:paraId="18789EDB" w14:textId="77777777">
            <w:pPr>
              <w:rPr>
                <w:color w:val="000000"/>
              </w:rPr>
            </w:pPr>
            <w:r w:rsidRPr="005768D7">
              <w:rPr>
                <w:color w:val="000000"/>
              </w:rPr>
              <w:t xml:space="preserve">CEJA’s submitted significant legal, policy, and technical research on the topics raised by the Commission’s </w:t>
            </w:r>
            <w:r>
              <w:rPr>
                <w:color w:val="000000"/>
              </w:rPr>
              <w:t>ultimate decision</w:t>
            </w:r>
            <w:r w:rsidRPr="005768D7">
              <w:rPr>
                <w:color w:val="000000"/>
              </w:rPr>
              <w:t xml:space="preserve">. </w:t>
            </w:r>
            <w:r>
              <w:rPr>
                <w:color w:val="000000"/>
              </w:rPr>
              <w:t xml:space="preserve">CEJA often took the lead </w:t>
            </w:r>
            <w:proofErr w:type="gramStart"/>
            <w:r>
              <w:rPr>
                <w:color w:val="000000"/>
              </w:rPr>
              <w:t>on</w:t>
            </w:r>
            <w:proofErr w:type="gramEnd"/>
            <w:r>
              <w:rPr>
                <w:color w:val="000000"/>
              </w:rPr>
              <w:t xml:space="preserve"> drafting many of the issues covered in joint comments. As one of the only parties directly representing disadvantaged communities, CEJA took the lead on all issues that directly impacted the communities we represent.</w:t>
            </w:r>
          </w:p>
          <w:p w:rsidR="003B7550" w:rsidP="003B7550" w:rsidRDefault="003B7550" w14:paraId="6672E7CF" w14:textId="77777777">
            <w:pPr>
              <w:rPr>
                <w:color w:val="000000"/>
              </w:rPr>
            </w:pPr>
          </w:p>
          <w:p w:rsidRPr="005768D7" w:rsidR="003B7550" w:rsidP="003B7550" w:rsidRDefault="003B7550" w14:paraId="6133EF80" w14:textId="77777777">
            <w:pPr>
              <w:rPr>
                <w:color w:val="000000"/>
              </w:rPr>
            </w:pPr>
            <w:r w:rsidRPr="005768D7">
              <w:rPr>
                <w:color w:val="000000"/>
              </w:rPr>
              <w:t xml:space="preserve">CEJA </w:t>
            </w:r>
            <w:r>
              <w:rPr>
                <w:color w:val="000000"/>
              </w:rPr>
              <w:t>was</w:t>
            </w:r>
            <w:r w:rsidRPr="005768D7">
              <w:rPr>
                <w:color w:val="000000"/>
              </w:rPr>
              <w:t xml:space="preserve"> conscious of</w:t>
            </w:r>
            <w:r>
              <w:rPr>
                <w:color w:val="000000"/>
              </w:rPr>
              <w:t xml:space="preserve"> limiting hours and time </w:t>
            </w:r>
            <w:proofErr w:type="gramStart"/>
            <w:r>
              <w:rPr>
                <w:color w:val="000000"/>
              </w:rPr>
              <w:t>spent on the</w:t>
            </w:r>
            <w:proofErr w:type="gramEnd"/>
            <w:r>
              <w:rPr>
                <w:color w:val="000000"/>
              </w:rPr>
              <w:t xml:space="preserve"> proceeding</w:t>
            </w:r>
            <w:r w:rsidRPr="005768D7">
              <w:rPr>
                <w:color w:val="000000"/>
              </w:rPr>
              <w:t>. Deborah Behles, an experienced attorney and CPUC practitioner,</w:t>
            </w:r>
          </w:p>
          <w:p w:rsidR="003B7550" w:rsidP="003B7550" w:rsidRDefault="003B7550" w14:paraId="2077F2A5" w14:textId="77777777">
            <w:pPr>
              <w:rPr>
                <w:color w:val="000000"/>
              </w:rPr>
            </w:pPr>
            <w:r w:rsidRPr="005768D7">
              <w:rPr>
                <w:color w:val="000000"/>
              </w:rPr>
              <w:t xml:space="preserve">took on the lead role in the </w:t>
            </w:r>
            <w:r>
              <w:rPr>
                <w:color w:val="000000"/>
              </w:rPr>
              <w:t>proceeding</w:t>
            </w:r>
            <w:r w:rsidRPr="005768D7">
              <w:rPr>
                <w:color w:val="000000"/>
              </w:rPr>
              <w:t>. She coordinated with co-counsel, Shana</w:t>
            </w:r>
            <w:r>
              <w:rPr>
                <w:color w:val="000000"/>
              </w:rPr>
              <w:t xml:space="preserve"> </w:t>
            </w:r>
            <w:proofErr w:type="spellStart"/>
            <w:r w:rsidRPr="005768D7">
              <w:rPr>
                <w:color w:val="000000"/>
              </w:rPr>
              <w:t>Lazerow</w:t>
            </w:r>
            <w:proofErr w:type="spellEnd"/>
            <w:r w:rsidRPr="005768D7">
              <w:rPr>
                <w:color w:val="000000"/>
              </w:rPr>
              <w:t xml:space="preserve">, to assure that internal duplication was avoided. </w:t>
            </w:r>
            <w:r>
              <w:rPr>
                <w:color w:val="000000"/>
              </w:rPr>
              <w:t xml:space="preserve">Shana </w:t>
            </w:r>
            <w:proofErr w:type="spellStart"/>
            <w:r>
              <w:rPr>
                <w:color w:val="000000"/>
              </w:rPr>
              <w:t>Lazerow</w:t>
            </w:r>
            <w:proofErr w:type="spellEnd"/>
            <w:r>
              <w:rPr>
                <w:color w:val="000000"/>
              </w:rPr>
              <w:t xml:space="preserve"> also analyzed filings and issues to help develop positions in the proceeding and as an employee of one of CEJA’s members, Ms. </w:t>
            </w:r>
            <w:proofErr w:type="spellStart"/>
            <w:r>
              <w:rPr>
                <w:color w:val="000000"/>
              </w:rPr>
              <w:t>Lazerow</w:t>
            </w:r>
            <w:proofErr w:type="spellEnd"/>
            <w:r>
              <w:rPr>
                <w:color w:val="000000"/>
              </w:rPr>
              <w:t xml:space="preserve"> was instrumental in ensuring that positions represented the goals of the alliance’s members.  Working together, Ms. Behles and Ms. </w:t>
            </w:r>
            <w:proofErr w:type="spellStart"/>
            <w:r>
              <w:rPr>
                <w:color w:val="000000"/>
              </w:rPr>
              <w:t>Lazerow</w:t>
            </w:r>
            <w:proofErr w:type="spellEnd"/>
            <w:r>
              <w:rPr>
                <w:color w:val="000000"/>
              </w:rPr>
              <w:t xml:space="preserve"> avoided duplication. </w:t>
            </w:r>
            <w:r w:rsidRPr="005768D7">
              <w:rPr>
                <w:color w:val="000000"/>
              </w:rPr>
              <w:t xml:space="preserve">When Ms. Behles was not lead, Ms. </w:t>
            </w:r>
            <w:proofErr w:type="spellStart"/>
            <w:r w:rsidRPr="005768D7">
              <w:rPr>
                <w:color w:val="000000"/>
              </w:rPr>
              <w:t>Lazerow</w:t>
            </w:r>
            <w:proofErr w:type="spellEnd"/>
            <w:r w:rsidRPr="005768D7">
              <w:rPr>
                <w:color w:val="000000"/>
              </w:rPr>
              <w:t>,</w:t>
            </w:r>
            <w:r>
              <w:rPr>
                <w:color w:val="000000"/>
              </w:rPr>
              <w:t xml:space="preserve"> who </w:t>
            </w:r>
            <w:proofErr w:type="gramStart"/>
            <w:r>
              <w:rPr>
                <w:color w:val="000000"/>
              </w:rPr>
              <w:t>also</w:t>
            </w:r>
            <w:proofErr w:type="gramEnd"/>
            <w:r w:rsidRPr="005768D7">
              <w:rPr>
                <w:color w:val="000000"/>
              </w:rPr>
              <w:t xml:space="preserve"> an</w:t>
            </w:r>
            <w:r>
              <w:rPr>
                <w:color w:val="000000"/>
              </w:rPr>
              <w:t xml:space="preserve"> </w:t>
            </w:r>
            <w:r w:rsidRPr="005768D7">
              <w:rPr>
                <w:color w:val="000000"/>
              </w:rPr>
              <w:t>experienced attorney and CPUC practitioner, assumed the role of lead attorney.</w:t>
            </w:r>
            <w:r>
              <w:rPr>
                <w:color w:val="000000"/>
              </w:rPr>
              <w:t xml:space="preserve"> </w:t>
            </w:r>
          </w:p>
          <w:p w:rsidR="003B7550" w:rsidP="003B7550" w:rsidRDefault="003B7550" w14:paraId="34A4620F" w14:textId="77777777">
            <w:pPr>
              <w:rPr>
                <w:color w:val="000000"/>
              </w:rPr>
            </w:pPr>
          </w:p>
          <w:p w:rsidRPr="005768D7" w:rsidR="003B7550" w:rsidP="003B7550" w:rsidRDefault="003B7550" w14:paraId="2152A32E" w14:textId="77777777">
            <w:pPr>
              <w:rPr>
                <w:color w:val="000000"/>
              </w:rPr>
            </w:pPr>
            <w:r w:rsidRPr="005768D7">
              <w:rPr>
                <w:color w:val="000000"/>
              </w:rPr>
              <w:t xml:space="preserve">Ms. Behles’ and Ms. </w:t>
            </w:r>
            <w:proofErr w:type="spellStart"/>
            <w:r w:rsidRPr="005768D7">
              <w:rPr>
                <w:color w:val="000000"/>
              </w:rPr>
              <w:t>Lazerow’s</w:t>
            </w:r>
            <w:proofErr w:type="spellEnd"/>
            <w:r w:rsidRPr="005768D7">
              <w:rPr>
                <w:color w:val="000000"/>
              </w:rPr>
              <w:t xml:space="preserve"> extensive CPUC experience and leadership</w:t>
            </w:r>
          </w:p>
          <w:p w:rsidRPr="005768D7" w:rsidR="003B7550" w:rsidP="003B7550" w:rsidRDefault="003B7550" w14:paraId="7A4AEB5B" w14:textId="77777777">
            <w:pPr>
              <w:rPr>
                <w:color w:val="000000"/>
              </w:rPr>
            </w:pPr>
            <w:r w:rsidRPr="005768D7">
              <w:rPr>
                <w:color w:val="000000"/>
              </w:rPr>
              <w:t xml:space="preserve">reduced the number of hours required to develop </w:t>
            </w:r>
            <w:r>
              <w:rPr>
                <w:color w:val="000000"/>
              </w:rPr>
              <w:t>briefs</w:t>
            </w:r>
            <w:r w:rsidRPr="005768D7">
              <w:rPr>
                <w:color w:val="000000"/>
              </w:rPr>
              <w:t xml:space="preserve"> and comments</w:t>
            </w:r>
          </w:p>
          <w:p w:rsidRPr="005768D7" w:rsidR="003B7550" w:rsidP="003B7550" w:rsidRDefault="003B7550" w14:paraId="2734057C" w14:textId="77777777">
            <w:pPr>
              <w:rPr>
                <w:color w:val="000000"/>
              </w:rPr>
            </w:pPr>
            <w:r w:rsidRPr="005768D7">
              <w:rPr>
                <w:color w:val="000000"/>
              </w:rPr>
              <w:t>for their own work</w:t>
            </w:r>
            <w:r>
              <w:rPr>
                <w:color w:val="000000"/>
              </w:rPr>
              <w:t xml:space="preserve">.  </w:t>
            </w:r>
          </w:p>
          <w:p w:rsidR="003B7550" w:rsidP="003B7550" w:rsidRDefault="003B7550" w14:paraId="11C33074" w14:textId="77777777">
            <w:pPr>
              <w:rPr>
                <w:color w:val="000000"/>
              </w:rPr>
            </w:pPr>
          </w:p>
          <w:p w:rsidRPr="00E25078" w:rsidR="003B7550" w:rsidP="003B7550" w:rsidRDefault="003B7550" w14:paraId="082693C8" w14:textId="329D9E7E">
            <w:pPr>
              <w:rPr>
                <w:color w:val="000000"/>
              </w:rPr>
            </w:pPr>
            <w:r w:rsidRPr="005768D7">
              <w:rPr>
                <w:color w:val="000000"/>
              </w:rPr>
              <w:t xml:space="preserve">CEJA </w:t>
            </w:r>
            <w:proofErr w:type="gramStart"/>
            <w:r>
              <w:rPr>
                <w:color w:val="000000"/>
              </w:rPr>
              <w:t>is</w:t>
            </w:r>
            <w:r w:rsidRPr="005768D7">
              <w:rPr>
                <w:color w:val="000000"/>
              </w:rPr>
              <w:t xml:space="preserve"> not requesting</w:t>
            </w:r>
            <w:proofErr w:type="gramEnd"/>
            <w:r w:rsidRPr="005768D7">
              <w:rPr>
                <w:color w:val="000000"/>
              </w:rPr>
              <w:t xml:space="preserve"> hours that </w:t>
            </w:r>
            <w:r>
              <w:rPr>
                <w:color w:val="000000"/>
              </w:rPr>
              <w:t xml:space="preserve">its attorneys </w:t>
            </w:r>
            <w:r w:rsidRPr="005768D7">
              <w:rPr>
                <w:color w:val="000000"/>
              </w:rPr>
              <w:t>found to be duplicative or</w:t>
            </w:r>
            <w:r>
              <w:rPr>
                <w:color w:val="000000"/>
              </w:rPr>
              <w:t xml:space="preserve"> </w:t>
            </w:r>
            <w:r w:rsidRPr="005768D7">
              <w:rPr>
                <w:color w:val="000000"/>
              </w:rPr>
              <w:t>excessive, and they performed a thorough and detailed review of hours to ensure</w:t>
            </w:r>
            <w:r>
              <w:rPr>
                <w:color w:val="000000"/>
              </w:rPr>
              <w:t xml:space="preserve"> </w:t>
            </w:r>
            <w:r w:rsidRPr="005768D7">
              <w:rPr>
                <w:color w:val="000000"/>
              </w:rPr>
              <w:t>there is no unnecessary duplication or excessiveness</w:t>
            </w:r>
            <w:r w:rsidRPr="003977A9">
              <w:rPr>
                <w:color w:val="000000"/>
              </w:rPr>
              <w:t>. For example,</w:t>
            </w:r>
            <w:r>
              <w:rPr>
                <w:color w:val="000000"/>
              </w:rPr>
              <w:t xml:space="preserve"> CEJA removed all the hours discussing the issue internally with CEJA’s Energy Equity Committee and committee members. CEJA also removed all hours related to discussions with CEJA members related to the </w:t>
            </w:r>
            <w:proofErr w:type="gramStart"/>
            <w:r>
              <w:rPr>
                <w:color w:val="000000"/>
              </w:rPr>
              <w:t>proceeding</w:t>
            </w:r>
            <w:proofErr w:type="gramEnd"/>
            <w:r>
              <w:rPr>
                <w:color w:val="000000"/>
              </w:rPr>
              <w:t xml:space="preserve"> and its decision.</w:t>
            </w:r>
          </w:p>
          <w:p w:rsidRPr="007F620E" w:rsidR="00691528" w:rsidP="00EC6387" w:rsidRDefault="00691528" w14:paraId="694F0B63" w14:textId="77777777">
            <w:pPr>
              <w:rPr>
                <w:color w:val="000000"/>
              </w:rPr>
            </w:pPr>
          </w:p>
        </w:tc>
        <w:tc>
          <w:tcPr>
            <w:tcW w:w="2587" w:type="dxa"/>
            <w:shd w:val="clear" w:color="auto" w:fill="auto"/>
          </w:tcPr>
          <w:p w:rsidRPr="007F620E" w:rsidR="00FE3BAE" w:rsidP="00EC6387" w:rsidRDefault="0098747F" w14:paraId="1874D625" w14:textId="771BA2D6">
            <w:pPr>
              <w:rPr>
                <w:color w:val="000000"/>
              </w:rPr>
            </w:pPr>
            <w:r>
              <w:rPr>
                <w:color w:val="000000"/>
              </w:rPr>
              <w:t>Verified</w:t>
            </w:r>
          </w:p>
        </w:tc>
      </w:tr>
      <w:tr w:rsidRPr="007F620E" w:rsidR="00FE3BAE" w:rsidTr="00CE4462" w14:paraId="3FD38B74" w14:textId="77777777">
        <w:tc>
          <w:tcPr>
            <w:tcW w:w="7488" w:type="dxa"/>
            <w:shd w:val="clear" w:color="auto" w:fill="auto"/>
          </w:tcPr>
          <w:p w:rsidR="00FE3BAE" w:rsidP="00EC6387" w:rsidRDefault="00FE3BAE" w14:paraId="46990B37" w14:textId="569E5E0F">
            <w:pPr>
              <w:rPr>
                <w:color w:val="000000"/>
              </w:rPr>
            </w:pPr>
            <w:r w:rsidRPr="007F620E">
              <w:rPr>
                <w:b/>
                <w:color w:val="000000"/>
              </w:rPr>
              <w:lastRenderedPageBreak/>
              <w:t>c. Allocation of hours by issue:</w:t>
            </w:r>
            <w:r w:rsidRPr="00E25078" w:rsidR="00E25078">
              <w:rPr>
                <w:color w:val="000000"/>
              </w:rPr>
              <w:t xml:space="preserve"> </w:t>
            </w:r>
          </w:p>
          <w:p w:rsidR="003B7550" w:rsidP="00EC6387" w:rsidRDefault="003B7550" w14:paraId="6660DB33" w14:textId="77777777">
            <w:pPr>
              <w:rPr>
                <w:color w:val="000000"/>
              </w:rPr>
            </w:pPr>
          </w:p>
          <w:p w:rsidR="003B7550" w:rsidP="003B7550" w:rsidRDefault="003B7550" w14:paraId="09CBE3A9" w14:textId="7A8D94BB">
            <w:pPr>
              <w:rPr>
                <w:color w:val="000000"/>
              </w:rPr>
            </w:pPr>
            <w:r>
              <w:rPr>
                <w:color w:val="000000"/>
              </w:rPr>
              <w:t>CEJA has allocated all its attorney and expert time by issue area or activity, as eviden</w:t>
            </w:r>
            <w:r w:rsidR="002F70E6">
              <w:rPr>
                <w:color w:val="000000"/>
              </w:rPr>
              <w:t>ced</w:t>
            </w:r>
            <w:r>
              <w:rPr>
                <w:color w:val="000000"/>
              </w:rPr>
              <w:t xml:space="preserve"> by the attached timesheets.  The following issues allocate hours by specific substantive issues and activity areas addressed by CEJA.  CEJA also provides an approximate breakdown of the number of hours spent on each task and the percentage of total hours devoted to each category.</w:t>
            </w:r>
          </w:p>
          <w:p w:rsidR="003B7550" w:rsidP="003B7550" w:rsidRDefault="003B7550" w14:paraId="6DE97EB1" w14:textId="77777777">
            <w:pPr>
              <w:rPr>
                <w:color w:val="000000"/>
              </w:rPr>
            </w:pPr>
          </w:p>
          <w:p w:rsidR="00765896" w:rsidP="00765896" w:rsidRDefault="003B7550" w14:paraId="1ADAF82C" w14:textId="141D367C">
            <w:pPr>
              <w:rPr>
                <w:color w:val="000000"/>
              </w:rPr>
            </w:pPr>
            <w:r>
              <w:rPr>
                <w:color w:val="000000"/>
              </w:rPr>
              <w:t xml:space="preserve">Issue </w:t>
            </w:r>
            <w:r w:rsidR="0060696E">
              <w:rPr>
                <w:color w:val="000000"/>
              </w:rPr>
              <w:t>1</w:t>
            </w:r>
            <w:r>
              <w:rPr>
                <w:color w:val="000000"/>
              </w:rPr>
              <w:t xml:space="preserve">: </w:t>
            </w:r>
            <w:r w:rsidR="0060696E">
              <w:rPr>
                <w:color w:val="000000"/>
              </w:rPr>
              <w:t>Eligible Resources for Central Procurement</w:t>
            </w:r>
            <w:r w:rsidR="00372E5B">
              <w:rPr>
                <w:color w:val="000000"/>
              </w:rPr>
              <w:t xml:space="preserve">, </w:t>
            </w:r>
            <w:r w:rsidR="0087372A">
              <w:rPr>
                <w:color w:val="000000"/>
              </w:rPr>
              <w:t>12% of hours</w:t>
            </w:r>
          </w:p>
          <w:p w:rsidR="00765896" w:rsidP="00765896" w:rsidRDefault="00765896" w14:paraId="5D6F6E19" w14:textId="77777777">
            <w:pPr>
              <w:rPr>
                <w:color w:val="000000"/>
              </w:rPr>
            </w:pPr>
          </w:p>
          <w:p w:rsidR="00765896" w:rsidP="003B7550" w:rsidRDefault="00765896" w14:paraId="2EE1DF19" w14:textId="5AB5A84A">
            <w:pPr>
              <w:rPr>
                <w:color w:val="000000"/>
              </w:rPr>
            </w:pPr>
            <w:r>
              <w:rPr>
                <w:color w:val="000000"/>
              </w:rPr>
              <w:t>Work on issues related to resource</w:t>
            </w:r>
            <w:r w:rsidR="0060696E">
              <w:rPr>
                <w:color w:val="000000"/>
              </w:rPr>
              <w:t xml:space="preserve"> eligibility</w:t>
            </w:r>
            <w:r>
              <w:rPr>
                <w:color w:val="000000"/>
              </w:rPr>
              <w:t xml:space="preserve"> considerations </w:t>
            </w:r>
            <w:proofErr w:type="gramStart"/>
            <w:r>
              <w:rPr>
                <w:color w:val="000000"/>
              </w:rPr>
              <w:t>includes</w:t>
            </w:r>
            <w:proofErr w:type="gramEnd"/>
            <w:r>
              <w:rPr>
                <w:color w:val="000000"/>
              </w:rPr>
              <w:t xml:space="preserve"> researching legal and factual issues, analyzing modeling, drafting technical and legal comments, and responding to critiques raised by other parties.  </w:t>
            </w:r>
          </w:p>
          <w:p w:rsidR="00765896" w:rsidP="003B7550" w:rsidRDefault="00765896" w14:paraId="465434B4" w14:textId="77777777">
            <w:pPr>
              <w:rPr>
                <w:color w:val="000000"/>
              </w:rPr>
            </w:pPr>
          </w:p>
          <w:p w:rsidR="00765896" w:rsidP="00765896" w:rsidRDefault="00765896" w14:paraId="790D60CC" w14:textId="48E1D052">
            <w:pPr>
              <w:rPr>
                <w:color w:val="000000"/>
              </w:rPr>
            </w:pPr>
            <w:r>
              <w:rPr>
                <w:color w:val="000000"/>
              </w:rPr>
              <w:t xml:space="preserve">Issue </w:t>
            </w:r>
            <w:r w:rsidR="0060696E">
              <w:rPr>
                <w:color w:val="000000"/>
              </w:rPr>
              <w:t>2</w:t>
            </w:r>
            <w:proofErr w:type="gramStart"/>
            <w:r>
              <w:rPr>
                <w:color w:val="000000"/>
              </w:rPr>
              <w:t xml:space="preserve">:  </w:t>
            </w:r>
            <w:r w:rsidR="0060696E">
              <w:rPr>
                <w:color w:val="000000"/>
              </w:rPr>
              <w:t>Need</w:t>
            </w:r>
            <w:proofErr w:type="gramEnd"/>
            <w:r w:rsidR="0060696E">
              <w:rPr>
                <w:color w:val="000000"/>
              </w:rPr>
              <w:t xml:space="preserve"> Determination for Central Procurement</w:t>
            </w:r>
            <w:r w:rsidR="00372E5B">
              <w:rPr>
                <w:color w:val="000000"/>
              </w:rPr>
              <w:t>,</w:t>
            </w:r>
            <w:r w:rsidR="0087372A">
              <w:rPr>
                <w:color w:val="000000"/>
              </w:rPr>
              <w:t xml:space="preserve"> 9% of hours</w:t>
            </w:r>
          </w:p>
          <w:p w:rsidR="00765896" w:rsidP="003B7550" w:rsidRDefault="00765896" w14:paraId="0E9158EE" w14:textId="77777777">
            <w:pPr>
              <w:rPr>
                <w:color w:val="000000"/>
              </w:rPr>
            </w:pPr>
          </w:p>
          <w:p w:rsidRPr="006D0B93" w:rsidR="00765896" w:rsidP="003B7550" w:rsidRDefault="00765896" w14:paraId="5413D456" w14:textId="123880FD">
            <w:pPr>
              <w:rPr>
                <w:color w:val="000000"/>
              </w:rPr>
            </w:pPr>
            <w:r>
              <w:rPr>
                <w:color w:val="000000"/>
              </w:rPr>
              <w:t xml:space="preserve">Work on issues related to developing the </w:t>
            </w:r>
            <w:proofErr w:type="gramStart"/>
            <w:r w:rsidR="0060696E">
              <w:rPr>
                <w:color w:val="000000"/>
              </w:rPr>
              <w:t>need</w:t>
            </w:r>
            <w:proofErr w:type="gramEnd"/>
            <w:r w:rsidR="0060696E">
              <w:rPr>
                <w:color w:val="000000"/>
              </w:rPr>
              <w:t xml:space="preserve"> determination for central procurement</w:t>
            </w:r>
            <w:r w:rsidR="00DA5577">
              <w:rPr>
                <w:color w:val="000000"/>
              </w:rPr>
              <w:t xml:space="preserve"> </w:t>
            </w:r>
            <w:r>
              <w:rPr>
                <w:color w:val="000000"/>
              </w:rPr>
              <w:t xml:space="preserve">includes time spent researching legal and factual issues, </w:t>
            </w:r>
            <w:r w:rsidRPr="006D0B93">
              <w:rPr>
                <w:color w:val="000000"/>
              </w:rPr>
              <w:t xml:space="preserve">discussions with other groups, research of other agencies’ findings and documents, analyzing modeling, drafting technical and legal comments, and responding to critiques raised by other parties.  </w:t>
            </w:r>
          </w:p>
          <w:p w:rsidRPr="006D0B93" w:rsidR="00765896" w:rsidP="003B7550" w:rsidRDefault="00765896" w14:paraId="537DEF2F" w14:textId="77777777">
            <w:pPr>
              <w:rPr>
                <w:color w:val="000000"/>
              </w:rPr>
            </w:pPr>
          </w:p>
          <w:p w:rsidRPr="006D0B93" w:rsidR="003B7550" w:rsidP="003B7550" w:rsidRDefault="00765896" w14:paraId="31AE4443" w14:textId="3936A4FC">
            <w:pPr>
              <w:rPr>
                <w:color w:val="000000"/>
              </w:rPr>
            </w:pPr>
            <w:r w:rsidRPr="006D0B93">
              <w:rPr>
                <w:color w:val="000000"/>
              </w:rPr>
              <w:t xml:space="preserve">Issues </w:t>
            </w:r>
            <w:r w:rsidRPr="006D0B93" w:rsidR="0060696E">
              <w:rPr>
                <w:color w:val="000000"/>
              </w:rPr>
              <w:t>3</w:t>
            </w:r>
            <w:r w:rsidRPr="006D0B93">
              <w:rPr>
                <w:color w:val="000000"/>
              </w:rPr>
              <w:t xml:space="preserve">: </w:t>
            </w:r>
            <w:r w:rsidRPr="006D0B93" w:rsidR="0060696E">
              <w:rPr>
                <w:color w:val="000000"/>
              </w:rPr>
              <w:t>Process for Central Procurement</w:t>
            </w:r>
            <w:r w:rsidRPr="006D0B93" w:rsidR="00372E5B">
              <w:rPr>
                <w:color w:val="000000"/>
              </w:rPr>
              <w:t>,</w:t>
            </w:r>
            <w:r w:rsidRPr="006D0B93" w:rsidR="0087372A">
              <w:rPr>
                <w:color w:val="000000"/>
              </w:rPr>
              <w:t xml:space="preserve"> 12% of hours</w:t>
            </w:r>
          </w:p>
          <w:p w:rsidRPr="006D0B93" w:rsidR="003B7550" w:rsidP="003B7550" w:rsidRDefault="003B7550" w14:paraId="057D90D7" w14:textId="77777777">
            <w:pPr>
              <w:rPr>
                <w:color w:val="000000"/>
              </w:rPr>
            </w:pPr>
          </w:p>
          <w:p w:rsidRPr="006D0B93" w:rsidR="003B7550" w:rsidP="003B7550" w:rsidRDefault="003B7550" w14:paraId="3D2A3B0F" w14:textId="3D048E43">
            <w:pPr>
              <w:rPr>
                <w:color w:val="000000"/>
              </w:rPr>
            </w:pPr>
            <w:r w:rsidRPr="006D0B93">
              <w:rPr>
                <w:color w:val="000000"/>
              </w:rPr>
              <w:t xml:space="preserve">Work on issues related to </w:t>
            </w:r>
            <w:r w:rsidRPr="006D0B93" w:rsidR="0060696E">
              <w:rPr>
                <w:color w:val="000000"/>
              </w:rPr>
              <w:t>the process for central procurement</w:t>
            </w:r>
            <w:r w:rsidRPr="006D0B93">
              <w:rPr>
                <w:color w:val="000000"/>
              </w:rPr>
              <w:t xml:space="preserve"> includes time spent researching legal and factual issues, discussions with other groups, research of other agencies’ findings and documents, analyzing modeling, drafting technical and legal comments, and responding to critiques raised by other parties.  </w:t>
            </w:r>
          </w:p>
          <w:p w:rsidRPr="006D0B93" w:rsidR="003B7550" w:rsidP="003B7550" w:rsidRDefault="003B7550" w14:paraId="182875B5" w14:textId="77777777">
            <w:pPr>
              <w:rPr>
                <w:color w:val="000000"/>
              </w:rPr>
            </w:pPr>
          </w:p>
          <w:p w:rsidRPr="006D0B93" w:rsidR="003B7550" w:rsidP="003B7550" w:rsidRDefault="003B7550" w14:paraId="633870A0" w14:textId="36C82C0F">
            <w:pPr>
              <w:rPr>
                <w:color w:val="000000"/>
              </w:rPr>
            </w:pPr>
            <w:r w:rsidRPr="006D0B93">
              <w:rPr>
                <w:color w:val="000000"/>
              </w:rPr>
              <w:t xml:space="preserve">Issue </w:t>
            </w:r>
            <w:r w:rsidRPr="006D0B93" w:rsidR="0060696E">
              <w:rPr>
                <w:color w:val="000000"/>
              </w:rPr>
              <w:t>4</w:t>
            </w:r>
            <w:proofErr w:type="gramStart"/>
            <w:r w:rsidRPr="006D0B93">
              <w:rPr>
                <w:color w:val="000000"/>
              </w:rPr>
              <w:t xml:space="preserve">: </w:t>
            </w:r>
            <w:r w:rsidRPr="006D0B93" w:rsidR="0060696E">
              <w:rPr>
                <w:color w:val="000000"/>
              </w:rPr>
              <w:t xml:space="preserve"> Diablo</w:t>
            </w:r>
            <w:proofErr w:type="gramEnd"/>
            <w:r w:rsidRPr="006D0B93" w:rsidR="0060696E">
              <w:rPr>
                <w:color w:val="000000"/>
              </w:rPr>
              <w:t xml:space="preserve"> Procurement Limitations</w:t>
            </w:r>
            <w:r w:rsidRPr="006D0B93" w:rsidR="00372E5B">
              <w:rPr>
                <w:color w:val="000000"/>
              </w:rPr>
              <w:t>,</w:t>
            </w:r>
            <w:r w:rsidRPr="006D0B93" w:rsidR="0087372A">
              <w:rPr>
                <w:color w:val="000000"/>
              </w:rPr>
              <w:t xml:space="preserve"> 9% of hours</w:t>
            </w:r>
          </w:p>
          <w:p w:rsidRPr="006D0B93" w:rsidR="003B7550" w:rsidP="003B7550" w:rsidRDefault="003B7550" w14:paraId="07459C18" w14:textId="77777777">
            <w:pPr>
              <w:rPr>
                <w:color w:val="000000"/>
              </w:rPr>
            </w:pPr>
          </w:p>
          <w:p w:rsidRPr="006D0B93" w:rsidR="003B7550" w:rsidP="003B7550" w:rsidRDefault="003B7550" w14:paraId="148202C3" w14:textId="53B760AC">
            <w:pPr>
              <w:rPr>
                <w:color w:val="000000"/>
              </w:rPr>
            </w:pPr>
            <w:r w:rsidRPr="006D0B93">
              <w:rPr>
                <w:color w:val="000000"/>
              </w:rPr>
              <w:t xml:space="preserve">Work on issues related to the </w:t>
            </w:r>
            <w:r w:rsidRPr="006D0B93" w:rsidR="0060696E">
              <w:rPr>
                <w:color w:val="000000"/>
              </w:rPr>
              <w:t>Diablo procurement limitations</w:t>
            </w:r>
            <w:r w:rsidRPr="006D0B93">
              <w:rPr>
                <w:color w:val="000000"/>
              </w:rPr>
              <w:t xml:space="preserve"> includes researching legal and factual issues, analyzing modeling, drafting technical and legal comments, and responding to critiques raised by other parties.  Much of this work focused on issues related to the overall GHG target. </w:t>
            </w:r>
          </w:p>
          <w:p w:rsidRPr="006D0B93" w:rsidR="0060696E" w:rsidP="003B7550" w:rsidRDefault="0060696E" w14:paraId="5DBB3DBA" w14:textId="77777777">
            <w:pPr>
              <w:rPr>
                <w:color w:val="000000"/>
              </w:rPr>
            </w:pPr>
          </w:p>
          <w:p w:rsidRPr="006D0B93" w:rsidR="0060696E" w:rsidP="003B7550" w:rsidRDefault="0060696E" w14:paraId="6009F288" w14:textId="1600AFC2">
            <w:pPr>
              <w:rPr>
                <w:color w:val="000000"/>
              </w:rPr>
            </w:pPr>
            <w:r w:rsidRPr="006D0B93">
              <w:rPr>
                <w:color w:val="000000"/>
              </w:rPr>
              <w:t>Issue 5: TPP Portfolios</w:t>
            </w:r>
            <w:r w:rsidRPr="006D0B93" w:rsidR="00372E5B">
              <w:rPr>
                <w:color w:val="000000"/>
              </w:rPr>
              <w:t xml:space="preserve">, </w:t>
            </w:r>
            <w:r w:rsidRPr="006D0B93" w:rsidR="0087372A">
              <w:rPr>
                <w:color w:val="000000"/>
              </w:rPr>
              <w:t>22% of hours</w:t>
            </w:r>
          </w:p>
          <w:p w:rsidRPr="006D0B93" w:rsidR="0060696E" w:rsidP="003B7550" w:rsidRDefault="0060696E" w14:paraId="195FDB03" w14:textId="77777777">
            <w:pPr>
              <w:rPr>
                <w:color w:val="000000"/>
              </w:rPr>
            </w:pPr>
          </w:p>
          <w:p w:rsidRPr="006D0B93" w:rsidR="0060696E" w:rsidP="003B7550" w:rsidRDefault="0060696E" w14:paraId="7CC0BC54" w14:textId="5D16F2AB">
            <w:pPr>
              <w:rPr>
                <w:color w:val="000000"/>
              </w:rPr>
            </w:pPr>
            <w:r w:rsidRPr="006D0B93">
              <w:rPr>
                <w:color w:val="000000"/>
              </w:rPr>
              <w:t xml:space="preserve">Work on issues related to the TPP portfolios includes time spent researching legal and factual issues, discussions with other groups, research of other agencies’ findings and documents, analyzing modeling, drafting technical and legal comments, and responding to critiques raised by other parties.  </w:t>
            </w:r>
          </w:p>
          <w:p w:rsidRPr="006D0B93" w:rsidR="0060696E" w:rsidP="003B7550" w:rsidRDefault="0060696E" w14:paraId="1261A63F" w14:textId="77777777">
            <w:pPr>
              <w:rPr>
                <w:color w:val="000000"/>
              </w:rPr>
            </w:pPr>
          </w:p>
          <w:p w:rsidRPr="006D0B93" w:rsidR="0060696E" w:rsidP="003B7550" w:rsidRDefault="0060696E" w14:paraId="1A023F1E" w14:textId="248FD381">
            <w:pPr>
              <w:rPr>
                <w:color w:val="000000"/>
              </w:rPr>
            </w:pPr>
            <w:r w:rsidRPr="006D0B93">
              <w:rPr>
                <w:color w:val="000000"/>
              </w:rPr>
              <w:t>Issue 6: Busbar Mapping Improvements</w:t>
            </w:r>
            <w:r w:rsidRPr="006D0B93" w:rsidR="00372E5B">
              <w:rPr>
                <w:color w:val="000000"/>
              </w:rPr>
              <w:t>,</w:t>
            </w:r>
            <w:r w:rsidRPr="006D0B93" w:rsidR="0087372A">
              <w:rPr>
                <w:color w:val="000000"/>
              </w:rPr>
              <w:t xml:space="preserve"> 27% of hours</w:t>
            </w:r>
          </w:p>
          <w:p w:rsidRPr="006D0B93" w:rsidR="0060696E" w:rsidP="003B7550" w:rsidRDefault="0060696E" w14:paraId="6B1A95C8" w14:textId="77777777">
            <w:pPr>
              <w:rPr>
                <w:color w:val="000000"/>
              </w:rPr>
            </w:pPr>
          </w:p>
          <w:p w:rsidRPr="006D0B93" w:rsidR="0060696E" w:rsidP="003B7550" w:rsidRDefault="0060696E" w14:paraId="3BB0D328" w14:textId="71EAD88B">
            <w:pPr>
              <w:rPr>
                <w:color w:val="000000"/>
              </w:rPr>
            </w:pPr>
            <w:r w:rsidRPr="006D0B93">
              <w:rPr>
                <w:color w:val="000000"/>
              </w:rPr>
              <w:t xml:space="preserve">Work on issues related to the busbar mapping improvements includes time spent researching legal and factual issues, discussions with other groups, research of other agencies’ findings and documents, analyzing modeling, drafting technical and legal comments, and responding to critiques raised by other parties.  </w:t>
            </w:r>
          </w:p>
          <w:p w:rsidRPr="006D0B93" w:rsidR="003B7550" w:rsidP="003B7550" w:rsidRDefault="003B7550" w14:paraId="10424D1B" w14:textId="77777777">
            <w:pPr>
              <w:rPr>
                <w:color w:val="000000"/>
              </w:rPr>
            </w:pPr>
          </w:p>
          <w:p w:rsidRPr="006D0B93" w:rsidR="003B7550" w:rsidP="003B7550" w:rsidRDefault="0060696E" w14:paraId="5A94C668" w14:textId="706218BA">
            <w:pPr>
              <w:rPr>
                <w:color w:val="000000"/>
              </w:rPr>
            </w:pPr>
            <w:r w:rsidRPr="006D0B93">
              <w:rPr>
                <w:color w:val="000000"/>
              </w:rPr>
              <w:t>Issue 7</w:t>
            </w:r>
            <w:r w:rsidRPr="006D0B93" w:rsidR="003B7550">
              <w:rPr>
                <w:color w:val="000000"/>
              </w:rPr>
              <w:t xml:space="preserve">: General Participation, </w:t>
            </w:r>
            <w:r w:rsidRPr="006D0B93" w:rsidR="0087372A">
              <w:rPr>
                <w:color w:val="000000"/>
              </w:rPr>
              <w:t>1</w:t>
            </w:r>
            <w:r w:rsidRPr="006D0B93" w:rsidR="003B7550">
              <w:rPr>
                <w:color w:val="000000"/>
              </w:rPr>
              <w:t>% of hours</w:t>
            </w:r>
          </w:p>
          <w:p w:rsidRPr="006D0B93" w:rsidR="003B7550" w:rsidP="003B7550" w:rsidRDefault="003B7550" w14:paraId="188C71D1" w14:textId="77777777">
            <w:pPr>
              <w:rPr>
                <w:color w:val="000000"/>
              </w:rPr>
            </w:pPr>
          </w:p>
          <w:p w:rsidRPr="006D0B93" w:rsidR="003B7550" w:rsidP="003B7550" w:rsidRDefault="003B7550" w14:paraId="5EF71B9E" w14:textId="6095E0DE">
            <w:pPr>
              <w:rPr>
                <w:color w:val="000000"/>
              </w:rPr>
            </w:pPr>
            <w:r w:rsidRPr="006D0B93">
              <w:rPr>
                <w:color w:val="000000"/>
              </w:rPr>
              <w:t xml:space="preserve">General participation work is work that is essential to participation in the proceeding that typically spans multiple issues and/or is necessary for participating in the proceeding.  This includes reviewing the initial Commission rulings, initial review of proposals by Staff, meetings, and work coordinating with other parties on general issues.  If discussions with other parties </w:t>
            </w:r>
            <w:proofErr w:type="gramStart"/>
            <w:r w:rsidRPr="006D0B93">
              <w:rPr>
                <w:color w:val="000000"/>
              </w:rPr>
              <w:t>were focused</w:t>
            </w:r>
            <w:proofErr w:type="gramEnd"/>
            <w:r w:rsidRPr="006D0B93">
              <w:rPr>
                <w:color w:val="000000"/>
              </w:rPr>
              <w:t xml:space="preserve"> on a particular issue, those hours are allocated under that issue.  </w:t>
            </w:r>
          </w:p>
          <w:p w:rsidRPr="006D0B93" w:rsidR="003B7550" w:rsidP="003B7550" w:rsidRDefault="003B7550" w14:paraId="48EB5B2F" w14:textId="77777777">
            <w:pPr>
              <w:rPr>
                <w:color w:val="000000"/>
              </w:rPr>
            </w:pPr>
          </w:p>
          <w:p w:rsidRPr="006D0B93" w:rsidR="003B7550" w:rsidP="003B7550" w:rsidRDefault="003B7550" w14:paraId="0815EB4D" w14:textId="149F546A">
            <w:pPr>
              <w:rPr>
                <w:color w:val="000000"/>
              </w:rPr>
            </w:pPr>
            <w:r w:rsidRPr="006D0B93">
              <w:rPr>
                <w:color w:val="000000"/>
              </w:rPr>
              <w:t xml:space="preserve">Issue </w:t>
            </w:r>
            <w:r w:rsidRPr="006D0B93" w:rsidR="0060696E">
              <w:rPr>
                <w:color w:val="000000"/>
              </w:rPr>
              <w:t>8</w:t>
            </w:r>
            <w:r w:rsidRPr="006D0B93">
              <w:rPr>
                <w:color w:val="000000"/>
              </w:rPr>
              <w:t xml:space="preserve">: Intervenor Compensation, </w:t>
            </w:r>
            <w:r w:rsidRPr="006D0B93" w:rsidR="0087372A">
              <w:rPr>
                <w:color w:val="000000"/>
              </w:rPr>
              <w:t>9</w:t>
            </w:r>
            <w:r w:rsidRPr="006D0B93">
              <w:rPr>
                <w:color w:val="000000"/>
              </w:rPr>
              <w:t>%</w:t>
            </w:r>
            <w:r w:rsidRPr="006D0B93" w:rsidR="0087372A">
              <w:rPr>
                <w:color w:val="000000"/>
              </w:rPr>
              <w:t xml:space="preserve"> </w:t>
            </w:r>
            <w:r w:rsidRPr="006D0B93">
              <w:rPr>
                <w:color w:val="000000"/>
              </w:rPr>
              <w:t>of hours</w:t>
            </w:r>
          </w:p>
          <w:p w:rsidRPr="006D0B93" w:rsidR="003B7550" w:rsidP="003B7550" w:rsidRDefault="003B7550" w14:paraId="4BF0988D" w14:textId="77777777">
            <w:pPr>
              <w:rPr>
                <w:color w:val="000000"/>
              </w:rPr>
            </w:pPr>
          </w:p>
          <w:p w:rsidRPr="006D0B93" w:rsidR="00DA5577" w:rsidP="00EC6387" w:rsidRDefault="003B7550" w14:paraId="2012FD03" w14:textId="0A74CDB1">
            <w:pPr>
              <w:rPr>
                <w:color w:val="000000"/>
              </w:rPr>
            </w:pPr>
            <w:r w:rsidRPr="006D0B93">
              <w:rPr>
                <w:color w:val="000000"/>
              </w:rPr>
              <w:t>Work preparing this request for compensation</w:t>
            </w:r>
            <w:r w:rsidRPr="006D0B93" w:rsidR="0070234C">
              <w:rPr>
                <w:color w:val="000000"/>
              </w:rPr>
              <w:t xml:space="preserve">, responding to </w:t>
            </w:r>
            <w:r w:rsidRPr="006D0B93" w:rsidR="0087372A">
              <w:rPr>
                <w:color w:val="000000"/>
              </w:rPr>
              <w:t>Intervenor Compensation</w:t>
            </w:r>
            <w:r w:rsidRPr="006D0B93" w:rsidR="0070234C">
              <w:rPr>
                <w:color w:val="000000"/>
              </w:rPr>
              <w:t xml:space="preserve"> office information requests in this proceeding,</w:t>
            </w:r>
            <w:r w:rsidRPr="006D0B93">
              <w:rPr>
                <w:color w:val="000000"/>
              </w:rPr>
              <w:t xml:space="preserve"> and analyzing the initial Commission decision related to compensation. CEJA submits that given the broad and extensive nature of this proceeding, this information should suffice to address the allocation requirement under the Commission’s rules.  </w:t>
            </w:r>
          </w:p>
          <w:p w:rsidRPr="006D0B93" w:rsidR="00DA5577" w:rsidP="00EC6387" w:rsidRDefault="00DA5577" w14:paraId="5C585BA7" w14:textId="77777777">
            <w:pPr>
              <w:rPr>
                <w:color w:val="000000"/>
              </w:rPr>
            </w:pPr>
          </w:p>
          <w:p w:rsidRPr="00691528" w:rsidR="00FE3BAE" w:rsidP="00EC6387" w:rsidRDefault="003B7550" w14:paraId="78501013" w14:textId="13812440">
            <w:pPr>
              <w:rPr>
                <w:color w:val="000000"/>
              </w:rPr>
            </w:pPr>
            <w:r w:rsidRPr="006D0B93">
              <w:rPr>
                <w:color w:val="000000"/>
              </w:rPr>
              <w:t xml:space="preserve">If the Commission wishes to see additional or different information at this point, CEJA requests that the Commission inform it and </w:t>
            </w:r>
            <w:proofErr w:type="gramStart"/>
            <w:r w:rsidRPr="006D0B93">
              <w:rPr>
                <w:color w:val="000000"/>
              </w:rPr>
              <w:t>provide</w:t>
            </w:r>
            <w:proofErr w:type="gramEnd"/>
            <w:r w:rsidRPr="006D0B93">
              <w:rPr>
                <w:color w:val="000000"/>
              </w:rPr>
              <w:t xml:space="preserve"> a reasonable opportunity to supplement this showing accordingly.</w:t>
            </w:r>
            <w:r>
              <w:rPr>
                <w:color w:val="000000"/>
              </w:rPr>
              <w:t xml:space="preserve"> </w:t>
            </w:r>
          </w:p>
          <w:p w:rsidRPr="003D4455" w:rsidR="00691528" w:rsidP="00EC6387" w:rsidRDefault="00691528" w14:paraId="3285939A" w14:textId="77777777">
            <w:pPr>
              <w:rPr>
                <w:color w:val="000000"/>
              </w:rPr>
            </w:pPr>
          </w:p>
        </w:tc>
        <w:tc>
          <w:tcPr>
            <w:tcW w:w="2587" w:type="dxa"/>
            <w:shd w:val="clear" w:color="auto" w:fill="auto"/>
          </w:tcPr>
          <w:p w:rsidRPr="007F620E" w:rsidR="00FE3BAE" w:rsidP="00EC6387" w:rsidRDefault="00180482" w14:paraId="497C4799" w14:textId="025FA0F7">
            <w:pPr>
              <w:rPr>
                <w:color w:val="000000"/>
              </w:rPr>
            </w:pPr>
            <w:r>
              <w:rPr>
                <w:color w:val="000000"/>
              </w:rPr>
              <w:lastRenderedPageBreak/>
              <w:t xml:space="preserve">Noted; </w:t>
            </w:r>
            <w:r w:rsidR="005249C9">
              <w:rPr>
                <w:color w:val="000000"/>
              </w:rPr>
              <w:t>totals 101%.</w:t>
            </w:r>
          </w:p>
        </w:tc>
      </w:tr>
    </w:tbl>
    <w:p w:rsidRPr="007F620E" w:rsidR="00A92D0B" w:rsidP="005B5B44" w:rsidRDefault="00A92D0B" w14:paraId="710BC7D6" w14:textId="19A9F114">
      <w:pPr>
        <w:keepNext/>
        <w:numPr>
          <w:ilvl w:val="0"/>
          <w:numId w:val="9"/>
        </w:numPr>
        <w:spacing w:before="240" w:after="240"/>
        <w:rPr>
          <w:b/>
          <w:color w:val="000000"/>
        </w:rPr>
      </w:pPr>
      <w:r w:rsidRPr="007F620E">
        <w:rPr>
          <w:b/>
          <w:color w:val="000000"/>
        </w:rPr>
        <w:t xml:space="preserve">Specific </w:t>
      </w:r>
      <w:r w:rsidRPr="007F620E" w:rsidR="009851A5">
        <w:rPr>
          <w:b/>
          <w:color w:val="000000"/>
        </w:rPr>
        <w:t>Claim</w:t>
      </w:r>
      <w:r w:rsidR="009851A5">
        <w:rPr>
          <w:b/>
          <w:color w:val="000000"/>
        </w:rPr>
        <w:t>:</w:t>
      </w:r>
      <w:r w:rsidRPr="007F620E" w:rsidR="009851A5">
        <w:rPr>
          <w:b/>
          <w:color w:val="000000"/>
        </w:rPr>
        <w:t xml:space="preserve"> *</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477"/>
        <w:gridCol w:w="1244"/>
        <w:gridCol w:w="1047"/>
        <w:gridCol w:w="286"/>
        <w:gridCol w:w="955"/>
        <w:gridCol w:w="1146"/>
        <w:gridCol w:w="1881"/>
      </w:tblGrid>
      <w:tr w:rsidRPr="007F620E" w:rsidR="00A92D0B" w:rsidTr="00EC6387" w14:paraId="780664A2" w14:textId="77777777">
        <w:trPr>
          <w:tblHeader/>
          <w:jc w:val="center"/>
        </w:trPr>
        <w:tc>
          <w:tcPr>
            <w:tcW w:w="7178" w:type="dxa"/>
            <w:gridSpan w:val="9"/>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982" w:type="dxa"/>
            <w:gridSpan w:val="3"/>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763797" w14:paraId="5A70C962" w14:textId="77777777">
        <w:trPr>
          <w:jc w:val="center"/>
        </w:trPr>
        <w:tc>
          <w:tcPr>
            <w:tcW w:w="1489"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881"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C370A6" w:rsidTr="006D0B93" w14:paraId="38E0B4EA" w14:textId="77777777">
        <w:trPr>
          <w:jc w:val="center"/>
        </w:trPr>
        <w:tc>
          <w:tcPr>
            <w:tcW w:w="1489" w:type="dxa"/>
            <w:shd w:val="clear" w:color="auto" w:fill="auto"/>
          </w:tcPr>
          <w:p w:rsidRPr="007F620E" w:rsidR="00C370A6" w:rsidP="00C370A6" w:rsidRDefault="00C370A6" w14:paraId="1F980DF3" w14:textId="76FDA641">
            <w:pPr>
              <w:spacing w:before="60" w:after="60"/>
              <w:rPr>
                <w:color w:val="000000"/>
              </w:rPr>
            </w:pPr>
            <w:r>
              <w:rPr>
                <w:color w:val="000000"/>
              </w:rPr>
              <w:t>Deborah Behles</w:t>
            </w:r>
          </w:p>
        </w:tc>
        <w:tc>
          <w:tcPr>
            <w:tcW w:w="821" w:type="dxa"/>
            <w:shd w:val="clear" w:color="auto" w:fill="auto"/>
          </w:tcPr>
          <w:p w:rsidRPr="007F620E" w:rsidR="00C370A6" w:rsidP="00C370A6" w:rsidRDefault="00C370A6" w14:paraId="275BF57A" w14:textId="0DBB3DDE">
            <w:pPr>
              <w:spacing w:before="60" w:after="60"/>
              <w:jc w:val="center"/>
              <w:rPr>
                <w:color w:val="000000"/>
              </w:rPr>
            </w:pPr>
            <w:r>
              <w:rPr>
                <w:color w:val="000000"/>
              </w:rPr>
              <w:t>2024</w:t>
            </w:r>
          </w:p>
        </w:tc>
        <w:tc>
          <w:tcPr>
            <w:tcW w:w="884" w:type="dxa"/>
            <w:gridSpan w:val="2"/>
            <w:shd w:val="clear" w:color="auto" w:fill="auto"/>
          </w:tcPr>
          <w:p w:rsidRPr="008C752A" w:rsidR="00C370A6" w:rsidP="00C370A6" w:rsidRDefault="00C370A6" w14:paraId="6ED45C79" w14:textId="77777777">
            <w:pPr>
              <w:spacing w:before="60" w:after="60"/>
              <w:jc w:val="center"/>
              <w:rPr>
                <w:color w:val="000000"/>
              </w:rPr>
            </w:pPr>
            <w:r w:rsidRPr="008C752A">
              <w:rPr>
                <w:color w:val="000000"/>
              </w:rPr>
              <w:t>95.2</w:t>
            </w:r>
          </w:p>
          <w:p w:rsidRPr="007F620E" w:rsidR="00C370A6" w:rsidP="00C370A6" w:rsidRDefault="00C370A6" w14:paraId="0DE506C4" w14:textId="21BFA3C0">
            <w:pPr>
              <w:spacing w:before="60" w:after="60"/>
              <w:jc w:val="center"/>
              <w:rPr>
                <w:color w:val="000000"/>
              </w:rPr>
            </w:pPr>
          </w:p>
        </w:tc>
        <w:tc>
          <w:tcPr>
            <w:tcW w:w="930" w:type="dxa"/>
            <w:shd w:val="clear" w:color="auto" w:fill="auto"/>
          </w:tcPr>
          <w:p w:rsidRPr="007F620E" w:rsidR="00C370A6" w:rsidP="00C370A6" w:rsidRDefault="00C370A6" w14:paraId="26413E95" w14:textId="75877043">
            <w:pPr>
              <w:spacing w:before="60" w:after="60"/>
              <w:jc w:val="right"/>
              <w:rPr>
                <w:color w:val="000000"/>
              </w:rPr>
            </w:pPr>
            <w:r>
              <w:rPr>
                <w:color w:val="000000"/>
              </w:rPr>
              <w:t>$670</w:t>
            </w:r>
          </w:p>
        </w:tc>
        <w:tc>
          <w:tcPr>
            <w:tcW w:w="1721" w:type="dxa"/>
            <w:gridSpan w:val="2"/>
            <w:tcBorders>
              <w:right w:val="single" w:color="auto" w:sz="4" w:space="0"/>
            </w:tcBorders>
            <w:shd w:val="clear" w:color="auto" w:fill="auto"/>
          </w:tcPr>
          <w:p w:rsidRPr="007F620E" w:rsidR="00C370A6" w:rsidP="00C370A6" w:rsidRDefault="00C370A6" w14:paraId="300AA881" w14:textId="585219A4">
            <w:pPr>
              <w:spacing w:before="60" w:after="60"/>
              <w:rPr>
                <w:color w:val="000000"/>
              </w:rPr>
            </w:pPr>
            <w:r>
              <w:rPr>
                <w:color w:val="000000"/>
              </w:rPr>
              <w:t>D.25-01-051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C370A6" w:rsidP="00C370A6" w:rsidRDefault="00F4342C" w14:paraId="23EF368E" w14:textId="3E1DF3D4">
            <w:pPr>
              <w:spacing w:before="60" w:after="60"/>
              <w:jc w:val="right"/>
              <w:rPr>
                <w:color w:val="000000"/>
              </w:rPr>
            </w:pPr>
            <w:r w:rsidRPr="00F4342C">
              <w:rPr>
                <w:color w:val="000000"/>
              </w:rPr>
              <w:t>$63,784.00</w:t>
            </w:r>
          </w:p>
        </w:tc>
        <w:tc>
          <w:tcPr>
            <w:tcW w:w="955" w:type="dxa"/>
            <w:tcBorders>
              <w:left w:val="single" w:color="auto" w:sz="4" w:space="0"/>
            </w:tcBorders>
            <w:shd w:val="clear" w:color="auto" w:fill="auto"/>
          </w:tcPr>
          <w:p w:rsidRPr="007F620E" w:rsidR="00C370A6" w:rsidP="00576CCE" w:rsidRDefault="00E61B07" w14:paraId="2B0CA953" w14:textId="5F5D0B2B">
            <w:pPr>
              <w:spacing w:before="60" w:after="60"/>
              <w:jc w:val="center"/>
              <w:rPr>
                <w:color w:val="000000"/>
              </w:rPr>
            </w:pPr>
            <w:r>
              <w:rPr>
                <w:color w:val="000000"/>
              </w:rPr>
              <w:t>85.12</w:t>
            </w:r>
            <w:r w:rsidR="00CE71AF">
              <w:rPr>
                <w:color w:val="000000"/>
              </w:rPr>
              <w:t xml:space="preserve"> [1]</w:t>
            </w:r>
          </w:p>
        </w:tc>
        <w:tc>
          <w:tcPr>
            <w:tcW w:w="1146" w:type="dxa"/>
            <w:shd w:val="clear" w:color="auto" w:fill="auto"/>
          </w:tcPr>
          <w:p w:rsidR="00C370A6" w:rsidP="00576CCE" w:rsidRDefault="008A0F19" w14:paraId="4B53EF9E" w14:textId="77777777">
            <w:pPr>
              <w:spacing w:before="60" w:after="60"/>
              <w:jc w:val="center"/>
              <w:rPr>
                <w:color w:val="000000"/>
              </w:rPr>
            </w:pPr>
            <w:r>
              <w:rPr>
                <w:color w:val="000000"/>
              </w:rPr>
              <w:t>$67</w:t>
            </w:r>
            <w:r w:rsidR="00AD085D">
              <w:rPr>
                <w:color w:val="000000"/>
              </w:rPr>
              <w:t>0.00</w:t>
            </w:r>
          </w:p>
          <w:p w:rsidRPr="007F620E" w:rsidR="00897340" w:rsidP="00576CCE" w:rsidRDefault="00897340" w14:paraId="1FC8906C" w14:textId="2F736E41">
            <w:pPr>
              <w:spacing w:before="60" w:after="60"/>
              <w:jc w:val="center"/>
              <w:rPr>
                <w:color w:val="000000"/>
              </w:rPr>
            </w:pPr>
            <w:r>
              <w:rPr>
                <w:color w:val="000000"/>
              </w:rPr>
              <w:t>[4]</w:t>
            </w:r>
            <w:r w:rsidR="008A2F08">
              <w:rPr>
                <w:color w:val="000000"/>
              </w:rPr>
              <w:t xml:space="preserve"> [6]</w:t>
            </w:r>
          </w:p>
        </w:tc>
        <w:tc>
          <w:tcPr>
            <w:tcW w:w="1881" w:type="dxa"/>
            <w:shd w:val="clear" w:color="auto" w:fill="auto"/>
          </w:tcPr>
          <w:p w:rsidRPr="007F620E" w:rsidR="00C370A6" w:rsidP="00576CCE" w:rsidRDefault="00203B07" w14:paraId="6C594CB5" w14:textId="5FF38165">
            <w:pPr>
              <w:spacing w:before="60" w:after="60"/>
              <w:jc w:val="center"/>
              <w:rPr>
                <w:color w:val="000000"/>
              </w:rPr>
            </w:pPr>
            <w:r w:rsidRPr="00203B07">
              <w:rPr>
                <w:color w:val="000000"/>
              </w:rPr>
              <w:t>$57,030.40</w:t>
            </w:r>
          </w:p>
        </w:tc>
      </w:tr>
      <w:tr w:rsidRPr="007F620E" w:rsidR="00C370A6" w:rsidTr="006D0B93" w14:paraId="487BD1AA" w14:textId="77777777">
        <w:trPr>
          <w:jc w:val="center"/>
        </w:trPr>
        <w:tc>
          <w:tcPr>
            <w:tcW w:w="1489" w:type="dxa"/>
            <w:shd w:val="clear" w:color="auto" w:fill="auto"/>
          </w:tcPr>
          <w:p w:rsidR="00C370A6" w:rsidP="00C370A6" w:rsidRDefault="00C370A6" w14:paraId="339DCB31" w14:textId="42BD2FF5">
            <w:pPr>
              <w:spacing w:before="60" w:after="60"/>
              <w:rPr>
                <w:color w:val="000000"/>
              </w:rPr>
            </w:pPr>
            <w:r>
              <w:rPr>
                <w:color w:val="000000"/>
              </w:rPr>
              <w:lastRenderedPageBreak/>
              <w:t>Deborah Behles</w:t>
            </w:r>
          </w:p>
        </w:tc>
        <w:tc>
          <w:tcPr>
            <w:tcW w:w="821" w:type="dxa"/>
            <w:shd w:val="clear" w:color="auto" w:fill="auto"/>
          </w:tcPr>
          <w:p w:rsidR="00C370A6" w:rsidP="00C370A6" w:rsidRDefault="00C370A6" w14:paraId="4788DF8E" w14:textId="51E72380">
            <w:pPr>
              <w:spacing w:before="60" w:after="60"/>
              <w:jc w:val="center"/>
              <w:rPr>
                <w:color w:val="000000"/>
              </w:rPr>
            </w:pPr>
            <w:r>
              <w:rPr>
                <w:color w:val="000000"/>
              </w:rPr>
              <w:t>2025</w:t>
            </w:r>
          </w:p>
        </w:tc>
        <w:tc>
          <w:tcPr>
            <w:tcW w:w="884" w:type="dxa"/>
            <w:gridSpan w:val="2"/>
            <w:shd w:val="clear" w:color="auto" w:fill="auto"/>
          </w:tcPr>
          <w:p w:rsidRPr="007F620E" w:rsidR="00C370A6" w:rsidP="00C370A6" w:rsidRDefault="00C370A6" w14:paraId="68F532BC" w14:textId="61432085">
            <w:pPr>
              <w:spacing w:before="60" w:after="60"/>
              <w:jc w:val="center"/>
              <w:rPr>
                <w:color w:val="000000"/>
              </w:rPr>
            </w:pPr>
            <w:r>
              <w:rPr>
                <w:color w:val="000000"/>
              </w:rPr>
              <w:t>20.5</w:t>
            </w:r>
          </w:p>
        </w:tc>
        <w:tc>
          <w:tcPr>
            <w:tcW w:w="930" w:type="dxa"/>
            <w:shd w:val="clear" w:color="auto" w:fill="auto"/>
          </w:tcPr>
          <w:p w:rsidR="00C370A6" w:rsidP="00C370A6" w:rsidRDefault="00C370A6" w14:paraId="21A84292" w14:textId="2E759366">
            <w:pPr>
              <w:spacing w:before="60" w:after="60"/>
              <w:jc w:val="right"/>
              <w:rPr>
                <w:color w:val="000000"/>
              </w:rPr>
            </w:pPr>
            <w:r>
              <w:rPr>
                <w:color w:val="000000"/>
              </w:rPr>
              <w:t>$693</w:t>
            </w:r>
          </w:p>
        </w:tc>
        <w:tc>
          <w:tcPr>
            <w:tcW w:w="1721" w:type="dxa"/>
            <w:gridSpan w:val="2"/>
            <w:tcBorders>
              <w:right w:val="single" w:color="auto" w:sz="4" w:space="0"/>
            </w:tcBorders>
            <w:shd w:val="clear" w:color="auto" w:fill="auto"/>
          </w:tcPr>
          <w:p w:rsidR="00C370A6" w:rsidP="00C370A6" w:rsidRDefault="00C370A6" w14:paraId="4F0EA092" w14:textId="6FA476B6">
            <w:pPr>
              <w:spacing w:before="60" w:after="60"/>
              <w:rPr>
                <w:color w:val="000000"/>
              </w:rPr>
            </w:pPr>
            <w:r>
              <w:rPr>
                <w:color w:val="000000"/>
              </w:rPr>
              <w:t>D.25-01-051 (plus 3.46% 2025 escalation), see Comment 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C370A6" w:rsidP="00C370A6" w:rsidRDefault="00C370A6" w14:paraId="7F32F074" w14:textId="53BC9FAF">
            <w:pPr>
              <w:spacing w:before="60" w:after="60"/>
              <w:jc w:val="right"/>
              <w:rPr>
                <w:color w:val="000000"/>
              </w:rPr>
            </w:pPr>
            <w:r>
              <w:rPr>
                <w:color w:val="000000"/>
              </w:rPr>
              <w:t>$14,207</w:t>
            </w:r>
            <w:r w:rsidR="00C34703">
              <w:rPr>
                <w:rStyle w:val="FootnoteReference"/>
                <w:color w:val="000000"/>
              </w:rPr>
              <w:footnoteReference w:id="6"/>
            </w:r>
            <w:r>
              <w:rPr>
                <w:color w:val="000000"/>
              </w:rPr>
              <w:t xml:space="preserve"> </w:t>
            </w:r>
          </w:p>
        </w:tc>
        <w:tc>
          <w:tcPr>
            <w:tcW w:w="955" w:type="dxa"/>
            <w:tcBorders>
              <w:left w:val="single" w:color="auto" w:sz="4" w:space="0"/>
            </w:tcBorders>
            <w:shd w:val="clear" w:color="auto" w:fill="auto"/>
          </w:tcPr>
          <w:p w:rsidRPr="007F620E" w:rsidR="00C370A6" w:rsidP="00576CCE" w:rsidRDefault="00E61B07" w14:paraId="603F962A" w14:textId="0412E53C">
            <w:pPr>
              <w:spacing w:before="60" w:after="60"/>
              <w:jc w:val="center"/>
              <w:rPr>
                <w:color w:val="000000"/>
              </w:rPr>
            </w:pPr>
            <w:r>
              <w:rPr>
                <w:color w:val="000000"/>
              </w:rPr>
              <w:t>20.50</w:t>
            </w:r>
          </w:p>
        </w:tc>
        <w:tc>
          <w:tcPr>
            <w:tcW w:w="1146" w:type="dxa"/>
            <w:shd w:val="clear" w:color="auto" w:fill="auto"/>
          </w:tcPr>
          <w:p w:rsidR="00C370A6" w:rsidP="00576CCE" w:rsidRDefault="00CE62A0" w14:paraId="23A6DF9A" w14:textId="77777777">
            <w:pPr>
              <w:spacing w:before="60" w:after="60"/>
              <w:jc w:val="center"/>
              <w:rPr>
                <w:color w:val="000000"/>
              </w:rPr>
            </w:pPr>
            <w:r>
              <w:rPr>
                <w:color w:val="000000"/>
              </w:rPr>
              <w:t>$695.00</w:t>
            </w:r>
          </w:p>
          <w:p w:rsidRPr="007F620E" w:rsidR="00897340" w:rsidP="00576CCE" w:rsidRDefault="00897340" w14:paraId="0270A50D" w14:textId="2A5D2326">
            <w:pPr>
              <w:spacing w:before="60" w:after="60"/>
              <w:jc w:val="center"/>
              <w:rPr>
                <w:color w:val="000000"/>
              </w:rPr>
            </w:pPr>
            <w:r>
              <w:rPr>
                <w:color w:val="000000"/>
              </w:rPr>
              <w:t>[4]</w:t>
            </w:r>
            <w:r w:rsidR="008A2F08">
              <w:rPr>
                <w:color w:val="000000"/>
              </w:rPr>
              <w:t xml:space="preserve"> [6]</w:t>
            </w:r>
          </w:p>
        </w:tc>
        <w:tc>
          <w:tcPr>
            <w:tcW w:w="1881" w:type="dxa"/>
            <w:shd w:val="clear" w:color="auto" w:fill="auto"/>
          </w:tcPr>
          <w:p w:rsidRPr="007F620E" w:rsidR="00C370A6" w:rsidP="00576CCE" w:rsidRDefault="00C17A88" w14:paraId="36788464" w14:textId="6FABEC42">
            <w:pPr>
              <w:spacing w:before="60" w:after="60"/>
              <w:jc w:val="center"/>
              <w:rPr>
                <w:color w:val="000000"/>
              </w:rPr>
            </w:pPr>
            <w:r w:rsidRPr="00C17A88">
              <w:rPr>
                <w:color w:val="000000"/>
              </w:rPr>
              <w:t>$14,247.50</w:t>
            </w:r>
          </w:p>
        </w:tc>
      </w:tr>
      <w:tr w:rsidRPr="007F620E" w:rsidR="00C370A6" w:rsidTr="006D0B93" w14:paraId="541B1A43" w14:textId="77777777">
        <w:trPr>
          <w:jc w:val="center"/>
        </w:trPr>
        <w:tc>
          <w:tcPr>
            <w:tcW w:w="1489" w:type="dxa"/>
            <w:shd w:val="clear" w:color="auto" w:fill="auto"/>
          </w:tcPr>
          <w:p w:rsidRPr="007F620E" w:rsidR="00C370A6" w:rsidP="00C370A6" w:rsidRDefault="00C370A6" w14:paraId="41A7BE4B" w14:textId="51EF03C3">
            <w:pPr>
              <w:spacing w:before="60" w:after="60"/>
              <w:rPr>
                <w:color w:val="000000"/>
              </w:rPr>
            </w:pPr>
            <w:r>
              <w:rPr>
                <w:color w:val="000000"/>
              </w:rPr>
              <w:t xml:space="preserve">Shana </w:t>
            </w:r>
            <w:proofErr w:type="spellStart"/>
            <w:r>
              <w:rPr>
                <w:color w:val="000000"/>
              </w:rPr>
              <w:t>Lazerow</w:t>
            </w:r>
            <w:proofErr w:type="spellEnd"/>
          </w:p>
        </w:tc>
        <w:tc>
          <w:tcPr>
            <w:tcW w:w="821" w:type="dxa"/>
            <w:shd w:val="clear" w:color="auto" w:fill="auto"/>
          </w:tcPr>
          <w:p w:rsidRPr="007F620E" w:rsidR="00C370A6" w:rsidP="00C370A6" w:rsidRDefault="00C370A6" w14:paraId="5B3C2ADF" w14:textId="54262619">
            <w:pPr>
              <w:spacing w:before="60" w:after="60"/>
              <w:jc w:val="center"/>
              <w:rPr>
                <w:color w:val="000000"/>
              </w:rPr>
            </w:pPr>
            <w:r>
              <w:rPr>
                <w:color w:val="000000"/>
              </w:rPr>
              <w:t>2024</w:t>
            </w:r>
          </w:p>
        </w:tc>
        <w:tc>
          <w:tcPr>
            <w:tcW w:w="884" w:type="dxa"/>
            <w:gridSpan w:val="2"/>
            <w:shd w:val="clear" w:color="auto" w:fill="auto"/>
          </w:tcPr>
          <w:p w:rsidRPr="007F620E" w:rsidR="00C370A6" w:rsidP="00C370A6" w:rsidRDefault="00C370A6" w14:paraId="2E458EDF" w14:textId="63ABB568">
            <w:pPr>
              <w:spacing w:before="60" w:after="60"/>
              <w:jc w:val="center"/>
              <w:rPr>
                <w:color w:val="000000"/>
              </w:rPr>
            </w:pPr>
            <w:r>
              <w:rPr>
                <w:color w:val="000000"/>
              </w:rPr>
              <w:t>21.8</w:t>
            </w:r>
          </w:p>
        </w:tc>
        <w:tc>
          <w:tcPr>
            <w:tcW w:w="930" w:type="dxa"/>
            <w:shd w:val="clear" w:color="auto" w:fill="auto"/>
          </w:tcPr>
          <w:p w:rsidRPr="007F620E" w:rsidR="00C370A6" w:rsidP="00C370A6" w:rsidRDefault="00C370A6" w14:paraId="3D86BD08" w14:textId="1884C6C9">
            <w:pPr>
              <w:spacing w:before="60" w:after="60"/>
              <w:jc w:val="right"/>
              <w:rPr>
                <w:color w:val="000000"/>
              </w:rPr>
            </w:pPr>
            <w:r>
              <w:rPr>
                <w:color w:val="000000"/>
              </w:rPr>
              <w:t>$730</w:t>
            </w:r>
          </w:p>
        </w:tc>
        <w:tc>
          <w:tcPr>
            <w:tcW w:w="1721" w:type="dxa"/>
            <w:gridSpan w:val="2"/>
            <w:tcBorders>
              <w:right w:val="single" w:color="auto" w:sz="4" w:space="0"/>
            </w:tcBorders>
            <w:shd w:val="clear" w:color="auto" w:fill="auto"/>
          </w:tcPr>
          <w:p w:rsidRPr="007F620E" w:rsidR="00C370A6" w:rsidP="00C370A6" w:rsidRDefault="00C370A6" w14:paraId="750EA256" w14:textId="737023C5">
            <w:pPr>
              <w:spacing w:before="60" w:after="60"/>
              <w:rPr>
                <w:color w:val="000000"/>
              </w:rPr>
            </w:pPr>
            <w:r>
              <w:rPr>
                <w:color w:val="000000"/>
              </w:rPr>
              <w:t>D.25-01-051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C370A6" w:rsidP="00C370A6" w:rsidRDefault="00C370A6" w14:paraId="4D76B38E" w14:textId="6663BCEF">
            <w:pPr>
              <w:spacing w:before="60" w:after="60"/>
              <w:jc w:val="right"/>
              <w:rPr>
                <w:color w:val="000000"/>
              </w:rPr>
            </w:pPr>
            <w:r>
              <w:rPr>
                <w:color w:val="000000"/>
              </w:rPr>
              <w:t>$15,914.00</w:t>
            </w:r>
          </w:p>
        </w:tc>
        <w:tc>
          <w:tcPr>
            <w:tcW w:w="955" w:type="dxa"/>
            <w:tcBorders>
              <w:left w:val="single" w:color="auto" w:sz="4" w:space="0"/>
            </w:tcBorders>
            <w:shd w:val="clear" w:color="auto" w:fill="auto"/>
          </w:tcPr>
          <w:p w:rsidR="00C370A6" w:rsidP="00576CCE" w:rsidRDefault="003C75AC" w14:paraId="242854B8" w14:textId="77777777">
            <w:pPr>
              <w:spacing w:before="60" w:after="60"/>
              <w:jc w:val="center"/>
              <w:rPr>
                <w:color w:val="000000"/>
              </w:rPr>
            </w:pPr>
            <w:r>
              <w:rPr>
                <w:color w:val="000000"/>
              </w:rPr>
              <w:t>21.65</w:t>
            </w:r>
          </w:p>
          <w:p w:rsidR="00741A9D" w:rsidP="00576CCE" w:rsidRDefault="00741A9D" w14:paraId="389C8ACD" w14:textId="1E62057F">
            <w:pPr>
              <w:spacing w:before="60" w:after="60"/>
              <w:jc w:val="center"/>
              <w:rPr>
                <w:color w:val="000000"/>
              </w:rPr>
            </w:pPr>
            <w:r>
              <w:rPr>
                <w:color w:val="000000"/>
              </w:rPr>
              <w:t>[1]</w:t>
            </w:r>
          </w:p>
          <w:p w:rsidRPr="007F620E" w:rsidR="00CE71AF" w:rsidP="00576CCE" w:rsidRDefault="00CE71AF" w14:paraId="5DD3213B" w14:textId="0DA5BBE7">
            <w:pPr>
              <w:spacing w:before="60" w:after="60"/>
              <w:jc w:val="center"/>
              <w:rPr>
                <w:color w:val="000000"/>
              </w:rPr>
            </w:pPr>
          </w:p>
        </w:tc>
        <w:tc>
          <w:tcPr>
            <w:tcW w:w="1146" w:type="dxa"/>
            <w:shd w:val="clear" w:color="auto" w:fill="auto"/>
          </w:tcPr>
          <w:p w:rsidR="00C370A6" w:rsidP="00576CCE" w:rsidRDefault="0094247D" w14:paraId="46C09801" w14:textId="77777777">
            <w:pPr>
              <w:spacing w:before="60" w:after="60"/>
              <w:jc w:val="center"/>
              <w:rPr>
                <w:color w:val="000000"/>
              </w:rPr>
            </w:pPr>
            <w:r>
              <w:rPr>
                <w:color w:val="000000"/>
              </w:rPr>
              <w:t>$</w:t>
            </w:r>
            <w:r w:rsidR="008D1340">
              <w:rPr>
                <w:color w:val="000000"/>
              </w:rPr>
              <w:t>730.00</w:t>
            </w:r>
          </w:p>
          <w:p w:rsidRPr="007F620E" w:rsidR="00897340" w:rsidP="00897340" w:rsidRDefault="00897340" w14:paraId="07AEBBB0" w14:textId="77B82AD8">
            <w:pPr>
              <w:spacing w:before="60" w:after="60"/>
              <w:jc w:val="center"/>
              <w:rPr>
                <w:color w:val="000000"/>
              </w:rPr>
            </w:pPr>
            <w:r>
              <w:rPr>
                <w:color w:val="000000"/>
              </w:rPr>
              <w:t>[5]</w:t>
            </w:r>
            <w:r w:rsidR="008A2F08">
              <w:rPr>
                <w:color w:val="000000"/>
              </w:rPr>
              <w:t xml:space="preserve"> [6]</w:t>
            </w:r>
          </w:p>
        </w:tc>
        <w:tc>
          <w:tcPr>
            <w:tcW w:w="1881" w:type="dxa"/>
            <w:shd w:val="clear" w:color="auto" w:fill="auto"/>
          </w:tcPr>
          <w:p w:rsidRPr="007F620E" w:rsidR="00C370A6" w:rsidP="00576CCE" w:rsidRDefault="00C17A88" w14:paraId="55630DF4" w14:textId="51665DAC">
            <w:pPr>
              <w:spacing w:before="60" w:after="60"/>
              <w:jc w:val="center"/>
              <w:rPr>
                <w:color w:val="000000"/>
              </w:rPr>
            </w:pPr>
            <w:r w:rsidRPr="00C17A88">
              <w:rPr>
                <w:color w:val="000000"/>
              </w:rPr>
              <w:t>$15,804.50</w:t>
            </w:r>
          </w:p>
        </w:tc>
      </w:tr>
      <w:tr w:rsidRPr="007F620E" w:rsidR="00C370A6" w:rsidTr="006D0B93" w14:paraId="6283CABD" w14:textId="77777777">
        <w:trPr>
          <w:jc w:val="center"/>
        </w:trPr>
        <w:tc>
          <w:tcPr>
            <w:tcW w:w="1489" w:type="dxa"/>
            <w:shd w:val="clear" w:color="auto" w:fill="auto"/>
          </w:tcPr>
          <w:p w:rsidR="00C370A6" w:rsidP="00C370A6" w:rsidRDefault="00C370A6" w14:paraId="2F7D021D" w14:textId="415661A7">
            <w:pPr>
              <w:spacing w:before="60" w:after="60"/>
              <w:rPr>
                <w:color w:val="000000"/>
              </w:rPr>
            </w:pPr>
            <w:r>
              <w:rPr>
                <w:color w:val="000000"/>
              </w:rPr>
              <w:t xml:space="preserve">Shana </w:t>
            </w:r>
            <w:proofErr w:type="spellStart"/>
            <w:r>
              <w:rPr>
                <w:color w:val="000000"/>
              </w:rPr>
              <w:t>Lazerow</w:t>
            </w:r>
            <w:proofErr w:type="spellEnd"/>
          </w:p>
        </w:tc>
        <w:tc>
          <w:tcPr>
            <w:tcW w:w="821" w:type="dxa"/>
            <w:shd w:val="clear" w:color="auto" w:fill="auto"/>
          </w:tcPr>
          <w:p w:rsidR="00C370A6" w:rsidP="00C370A6" w:rsidRDefault="00C370A6" w14:paraId="69C6ED0C" w14:textId="362ADE46">
            <w:pPr>
              <w:spacing w:before="60" w:after="60"/>
              <w:jc w:val="center"/>
              <w:rPr>
                <w:color w:val="000000"/>
              </w:rPr>
            </w:pPr>
            <w:r>
              <w:rPr>
                <w:color w:val="000000"/>
              </w:rPr>
              <w:t>2025</w:t>
            </w:r>
          </w:p>
        </w:tc>
        <w:tc>
          <w:tcPr>
            <w:tcW w:w="884" w:type="dxa"/>
            <w:gridSpan w:val="2"/>
            <w:shd w:val="clear" w:color="auto" w:fill="auto"/>
          </w:tcPr>
          <w:p w:rsidRPr="007F620E" w:rsidR="00C370A6" w:rsidP="00C370A6" w:rsidRDefault="00C370A6" w14:paraId="0F80CF63" w14:textId="71BEE3D1">
            <w:pPr>
              <w:spacing w:before="60" w:after="60"/>
              <w:jc w:val="center"/>
              <w:rPr>
                <w:color w:val="000000"/>
              </w:rPr>
            </w:pPr>
            <w:r>
              <w:rPr>
                <w:color w:val="000000"/>
              </w:rPr>
              <w:t>2.1</w:t>
            </w:r>
          </w:p>
        </w:tc>
        <w:tc>
          <w:tcPr>
            <w:tcW w:w="930" w:type="dxa"/>
            <w:shd w:val="clear" w:color="auto" w:fill="auto"/>
          </w:tcPr>
          <w:p w:rsidR="00C370A6" w:rsidP="00C370A6" w:rsidRDefault="00C370A6" w14:paraId="5BA0BD43" w14:textId="0C43FEAB">
            <w:pPr>
              <w:spacing w:before="60" w:after="60"/>
              <w:jc w:val="right"/>
              <w:rPr>
                <w:color w:val="000000"/>
              </w:rPr>
            </w:pPr>
            <w:r>
              <w:rPr>
                <w:color w:val="000000"/>
              </w:rPr>
              <w:t>$755</w:t>
            </w:r>
          </w:p>
        </w:tc>
        <w:tc>
          <w:tcPr>
            <w:tcW w:w="1721" w:type="dxa"/>
            <w:gridSpan w:val="2"/>
            <w:tcBorders>
              <w:right w:val="single" w:color="auto" w:sz="4" w:space="0"/>
            </w:tcBorders>
            <w:shd w:val="clear" w:color="auto" w:fill="auto"/>
          </w:tcPr>
          <w:p w:rsidR="00C370A6" w:rsidP="00C370A6" w:rsidRDefault="00C370A6" w14:paraId="4089AB4D" w14:textId="278DA12B">
            <w:pPr>
              <w:spacing w:before="60" w:after="60"/>
              <w:rPr>
                <w:color w:val="000000"/>
              </w:rPr>
            </w:pPr>
            <w:r>
              <w:rPr>
                <w:color w:val="000000"/>
              </w:rPr>
              <w:t>D.25-01-051 (plus 3.46% 2025 escalation), see Comment 2</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C370A6" w:rsidP="00C370A6" w:rsidRDefault="00C370A6" w14:paraId="7C7D7B64" w14:textId="1B5404C1">
            <w:pPr>
              <w:spacing w:before="60" w:after="60"/>
              <w:jc w:val="right"/>
              <w:rPr>
                <w:color w:val="000000"/>
              </w:rPr>
            </w:pPr>
            <w:r>
              <w:rPr>
                <w:color w:val="000000"/>
              </w:rPr>
              <w:t>$1,585.50</w:t>
            </w:r>
          </w:p>
        </w:tc>
        <w:tc>
          <w:tcPr>
            <w:tcW w:w="955" w:type="dxa"/>
            <w:tcBorders>
              <w:left w:val="single" w:color="auto" w:sz="4" w:space="0"/>
            </w:tcBorders>
            <w:shd w:val="clear" w:color="auto" w:fill="auto"/>
          </w:tcPr>
          <w:p w:rsidR="00DE4AA8" w:rsidP="00576CCE" w:rsidRDefault="00F26039" w14:paraId="1015273A" w14:textId="77777777">
            <w:pPr>
              <w:spacing w:before="60" w:after="60"/>
              <w:jc w:val="center"/>
              <w:rPr>
                <w:color w:val="000000"/>
              </w:rPr>
            </w:pPr>
            <w:r>
              <w:rPr>
                <w:color w:val="000000"/>
              </w:rPr>
              <w:t>1.60</w:t>
            </w:r>
          </w:p>
          <w:p w:rsidRPr="007F620E" w:rsidR="00741A9D" w:rsidP="00576CCE" w:rsidRDefault="00741A9D" w14:paraId="74F3A409" w14:textId="533DD948">
            <w:pPr>
              <w:spacing w:before="60" w:after="60"/>
              <w:jc w:val="center"/>
              <w:rPr>
                <w:color w:val="000000"/>
              </w:rPr>
            </w:pPr>
            <w:r>
              <w:rPr>
                <w:color w:val="000000"/>
              </w:rPr>
              <w:t>[2]</w:t>
            </w:r>
          </w:p>
        </w:tc>
        <w:tc>
          <w:tcPr>
            <w:tcW w:w="1146" w:type="dxa"/>
            <w:shd w:val="clear" w:color="auto" w:fill="auto"/>
          </w:tcPr>
          <w:p w:rsidR="00C370A6" w:rsidP="00576CCE" w:rsidRDefault="007452D4" w14:paraId="145D1A5E" w14:textId="77777777">
            <w:pPr>
              <w:spacing w:before="60" w:after="60"/>
              <w:jc w:val="center"/>
              <w:rPr>
                <w:color w:val="000000"/>
              </w:rPr>
            </w:pPr>
            <w:r>
              <w:rPr>
                <w:color w:val="000000"/>
              </w:rPr>
              <w:t>$7</w:t>
            </w:r>
            <w:r w:rsidR="00005AD3">
              <w:rPr>
                <w:color w:val="000000"/>
              </w:rPr>
              <w:t>5</w:t>
            </w:r>
            <w:r>
              <w:rPr>
                <w:color w:val="000000"/>
              </w:rPr>
              <w:t>5.00</w:t>
            </w:r>
          </w:p>
          <w:p w:rsidRPr="007F620E" w:rsidR="00897340" w:rsidP="00576CCE" w:rsidRDefault="00897340" w14:paraId="41E8DF16" w14:textId="07135FF3">
            <w:pPr>
              <w:spacing w:before="60" w:after="60"/>
              <w:jc w:val="center"/>
              <w:rPr>
                <w:color w:val="000000"/>
              </w:rPr>
            </w:pPr>
            <w:r>
              <w:rPr>
                <w:color w:val="000000"/>
              </w:rPr>
              <w:t>[5]</w:t>
            </w:r>
            <w:r w:rsidR="008A2F08">
              <w:rPr>
                <w:color w:val="000000"/>
              </w:rPr>
              <w:t xml:space="preserve"> [6]</w:t>
            </w:r>
          </w:p>
        </w:tc>
        <w:tc>
          <w:tcPr>
            <w:tcW w:w="1881" w:type="dxa"/>
            <w:shd w:val="clear" w:color="auto" w:fill="auto"/>
          </w:tcPr>
          <w:p w:rsidRPr="007F620E" w:rsidR="00C370A6" w:rsidP="00576CCE" w:rsidRDefault="00C17A88" w14:paraId="1DC32589" w14:textId="1E66EF98">
            <w:pPr>
              <w:spacing w:before="60" w:after="60"/>
              <w:jc w:val="center"/>
              <w:rPr>
                <w:color w:val="000000"/>
              </w:rPr>
            </w:pPr>
            <w:r w:rsidRPr="00C17A88">
              <w:rPr>
                <w:color w:val="000000"/>
              </w:rPr>
              <w:t>$1,208.00</w:t>
            </w:r>
          </w:p>
        </w:tc>
      </w:tr>
      <w:tr w:rsidRPr="007F620E" w:rsidR="00E3786F" w:rsidTr="00EC6387" w14:paraId="1B237C11" w14:textId="77777777">
        <w:trPr>
          <w:jc w:val="center"/>
        </w:trPr>
        <w:tc>
          <w:tcPr>
            <w:tcW w:w="7178" w:type="dxa"/>
            <w:gridSpan w:val="9"/>
            <w:tcBorders>
              <w:bottom w:val="single" w:color="auto" w:sz="4" w:space="0"/>
              <w:right w:val="single" w:color="auto" w:sz="24" w:space="0"/>
            </w:tcBorders>
            <w:shd w:val="clear" w:color="auto" w:fill="auto"/>
            <w:vAlign w:val="bottom"/>
          </w:tcPr>
          <w:p w:rsidRPr="00374FD1" w:rsidR="00E3786F" w:rsidP="00691528" w:rsidRDefault="00E3786F" w14:paraId="2ECB6744" w14:textId="08FFEC7A">
            <w:pPr>
              <w:tabs>
                <w:tab w:val="left" w:pos="957"/>
              </w:tabs>
              <w:spacing w:before="60" w:after="60"/>
              <w:ind w:right="162"/>
              <w:jc w:val="right"/>
              <w:rPr>
                <w:b/>
                <w:i/>
                <w:color w:val="000000"/>
              </w:rPr>
            </w:pPr>
            <w:r w:rsidRPr="007F620E">
              <w:rPr>
                <w:b/>
                <w:i/>
                <w:color w:val="000000"/>
              </w:rPr>
              <w:t xml:space="preserve">Subtotal: </w:t>
            </w:r>
            <w:r w:rsidRPr="00422035" w:rsidR="00422035">
              <w:rPr>
                <w:b/>
                <w:i/>
                <w:color w:val="000000"/>
              </w:rPr>
              <w:t>$95,490.00</w:t>
            </w:r>
          </w:p>
        </w:tc>
        <w:tc>
          <w:tcPr>
            <w:tcW w:w="3982" w:type="dxa"/>
            <w:gridSpan w:val="3"/>
            <w:tcBorders>
              <w:left w:val="single" w:color="auto" w:sz="24" w:space="0"/>
              <w:bottom w:val="single" w:color="auto" w:sz="4" w:space="0"/>
            </w:tcBorders>
            <w:shd w:val="clear" w:color="auto" w:fill="auto"/>
            <w:vAlign w:val="bottom"/>
          </w:tcPr>
          <w:p w:rsidRPr="0079351A" w:rsidR="00E3786F" w:rsidP="003B6A1B" w:rsidRDefault="00E3786F" w14:paraId="4C4556E5" w14:textId="3BB5F5B9">
            <w:pPr>
              <w:tabs>
                <w:tab w:val="left" w:pos="957"/>
              </w:tabs>
              <w:spacing w:before="60" w:after="60"/>
              <w:ind w:right="162"/>
              <w:jc w:val="right"/>
              <w:rPr>
                <w:i/>
                <w:color w:val="000000"/>
              </w:rPr>
            </w:pPr>
            <w:r w:rsidRPr="006D43D2">
              <w:rPr>
                <w:b/>
                <w:i/>
                <w:color w:val="000000"/>
              </w:rPr>
              <w:t xml:space="preserve">Subtotal: </w:t>
            </w:r>
            <w:r w:rsidRPr="0079351A" w:rsidR="00E7460D">
              <w:rPr>
                <w:b/>
                <w:i/>
                <w:color w:val="000000"/>
              </w:rPr>
              <w:t>$88,290.40</w:t>
            </w:r>
          </w:p>
        </w:tc>
      </w:tr>
      <w:tr w:rsidRPr="007F620E" w:rsidR="00A92D0B"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4A6FD4" w:rsidRDefault="00A92D0B" w14:paraId="41FE304C" w14:textId="279EFD55">
            <w:pPr>
              <w:keepNext/>
              <w:spacing w:before="60" w:after="60"/>
              <w:jc w:val="center"/>
              <w:rPr>
                <w:color w:val="000000"/>
              </w:rPr>
            </w:pPr>
            <w:r w:rsidRPr="007F620E">
              <w:rPr>
                <w:b/>
                <w:color w:val="000000"/>
              </w:rPr>
              <w:t xml:space="preserve">INTERVENOR COMPENSATION CLAIM </w:t>
            </w:r>
            <w:r w:rsidRPr="007F620E" w:rsidR="009851A5">
              <w:rPr>
                <w:b/>
                <w:color w:val="000000"/>
              </w:rPr>
              <w:t xml:space="preserve">PREPARATION </w:t>
            </w:r>
            <w:r w:rsidRPr="007F620E" w:rsidR="009851A5">
              <w:rPr>
                <w:b/>
                <w:smallCaps/>
                <w:color w:val="000000"/>
              </w:rPr>
              <w:t>*</w:t>
            </w:r>
            <w:r w:rsidRPr="007F620E">
              <w:rPr>
                <w:b/>
                <w:smallCaps/>
                <w:color w:val="000000"/>
              </w:rPr>
              <w:t>*</w:t>
            </w:r>
          </w:p>
        </w:tc>
      </w:tr>
      <w:tr w:rsidRPr="00260518" w:rsidR="00A92D0B" w:rsidTr="00763797" w14:paraId="48B3E535" w14:textId="77777777">
        <w:trPr>
          <w:jc w:val="center"/>
        </w:trPr>
        <w:tc>
          <w:tcPr>
            <w:tcW w:w="1489" w:type="dxa"/>
            <w:tcBorders>
              <w:top w:val="single" w:color="auto" w:sz="4" w:space="0"/>
              <w:bottom w:val="single" w:color="auto" w:sz="4" w:space="0"/>
            </w:tcBorders>
            <w:shd w:val="clear" w:color="auto" w:fill="auto"/>
            <w:vAlign w:val="bottom"/>
          </w:tcPr>
          <w:p w:rsidRPr="00260518" w:rsidR="00A92D0B" w:rsidP="004A6FD4" w:rsidRDefault="00A92D0B" w14:paraId="563A43BB" w14:textId="77777777">
            <w:pPr>
              <w:keepNext/>
              <w:spacing w:before="60" w:after="60"/>
              <w:jc w:val="center"/>
              <w:rPr>
                <w:b/>
                <w:color w:val="000000"/>
                <w:sz w:val="22"/>
                <w:szCs w:val="22"/>
              </w:rPr>
            </w:pPr>
            <w:r w:rsidRPr="00260518">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260518" w:rsidR="00A92D0B" w:rsidP="004A6FD4" w:rsidRDefault="00A92D0B" w14:paraId="144552E0" w14:textId="77777777">
            <w:pPr>
              <w:keepNext/>
              <w:spacing w:before="60" w:after="60"/>
              <w:jc w:val="center"/>
              <w:rPr>
                <w:b/>
                <w:color w:val="000000"/>
                <w:sz w:val="22"/>
                <w:szCs w:val="22"/>
              </w:rPr>
            </w:pPr>
            <w:r w:rsidRPr="00260518">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260518" w:rsidR="00A92D0B" w:rsidP="004A6FD4" w:rsidRDefault="00A92D0B" w14:paraId="42890B1B" w14:textId="77777777">
            <w:pPr>
              <w:keepNext/>
              <w:spacing w:before="60" w:after="60"/>
              <w:jc w:val="center"/>
              <w:rPr>
                <w:b/>
                <w:color w:val="000000"/>
                <w:sz w:val="22"/>
                <w:szCs w:val="22"/>
              </w:rPr>
            </w:pPr>
            <w:r w:rsidRPr="00260518">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260518" w:rsidR="00A92D0B" w:rsidP="004A6FD4" w:rsidRDefault="00A92D0B" w14:paraId="1E7BD956" w14:textId="243077B9">
            <w:pPr>
              <w:keepNext/>
              <w:spacing w:before="60" w:after="60"/>
              <w:jc w:val="center"/>
              <w:rPr>
                <w:b/>
                <w:color w:val="000000"/>
                <w:sz w:val="22"/>
                <w:szCs w:val="22"/>
              </w:rPr>
            </w:pPr>
            <w:r w:rsidRPr="00260518">
              <w:rPr>
                <w:b/>
                <w:color w:val="000000"/>
                <w:sz w:val="22"/>
                <w:szCs w:val="22"/>
              </w:rPr>
              <w:t>Rate</w:t>
            </w:r>
            <w:r w:rsidRPr="00260518" w:rsidR="00380703">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60518" w:rsidR="00A92D0B" w:rsidP="004A6FD4" w:rsidRDefault="00A92D0B" w14:paraId="104D7982" w14:textId="77777777">
            <w:pPr>
              <w:keepNext/>
              <w:spacing w:before="60" w:after="60"/>
              <w:jc w:val="center"/>
              <w:rPr>
                <w:b/>
                <w:color w:val="000000"/>
                <w:sz w:val="22"/>
                <w:szCs w:val="22"/>
              </w:rPr>
            </w:pPr>
            <w:r w:rsidRPr="00260518">
              <w:rPr>
                <w:b/>
                <w:color w:val="000000"/>
                <w:sz w:val="22"/>
                <w:szCs w:val="22"/>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4A6FD4" w:rsidRDefault="00A92D0B" w14:paraId="073B2BB9" w14:textId="77777777">
            <w:pPr>
              <w:keepNext/>
              <w:spacing w:before="60" w:after="60"/>
              <w:jc w:val="center"/>
              <w:rPr>
                <w:b/>
                <w:color w:val="000000"/>
                <w:sz w:val="22"/>
                <w:szCs w:val="22"/>
              </w:rPr>
            </w:pPr>
            <w:r w:rsidRPr="00260518">
              <w:rPr>
                <w:b/>
                <w:color w:val="000000"/>
                <w:sz w:val="22"/>
                <w:szCs w:val="22"/>
              </w:rPr>
              <w:t>Total $</w:t>
            </w:r>
          </w:p>
        </w:tc>
        <w:tc>
          <w:tcPr>
            <w:tcW w:w="955" w:type="dxa"/>
            <w:tcBorders>
              <w:top w:val="single" w:color="auto" w:sz="4" w:space="0"/>
              <w:left w:val="single" w:color="auto" w:sz="4" w:space="0"/>
            </w:tcBorders>
            <w:shd w:val="clear" w:color="auto" w:fill="auto"/>
            <w:vAlign w:val="bottom"/>
          </w:tcPr>
          <w:p w:rsidRPr="00260518" w:rsidR="00A92D0B" w:rsidP="004A6FD4" w:rsidRDefault="00A92D0B" w14:paraId="0409143B" w14:textId="77777777">
            <w:pPr>
              <w:keepNext/>
              <w:spacing w:before="60" w:after="60"/>
              <w:jc w:val="center"/>
              <w:rPr>
                <w:b/>
                <w:color w:val="000000"/>
                <w:sz w:val="22"/>
                <w:szCs w:val="22"/>
              </w:rPr>
            </w:pPr>
            <w:r w:rsidRPr="00260518">
              <w:rPr>
                <w:b/>
                <w:color w:val="000000"/>
                <w:sz w:val="22"/>
                <w:szCs w:val="22"/>
              </w:rPr>
              <w:t>Hours</w:t>
            </w:r>
          </w:p>
        </w:tc>
        <w:tc>
          <w:tcPr>
            <w:tcW w:w="1146" w:type="dxa"/>
            <w:tcBorders>
              <w:top w:val="single" w:color="auto" w:sz="4" w:space="0"/>
            </w:tcBorders>
            <w:shd w:val="clear" w:color="auto" w:fill="auto"/>
            <w:vAlign w:val="bottom"/>
          </w:tcPr>
          <w:p w:rsidRPr="00260518" w:rsidR="00A92D0B" w:rsidP="004A6FD4" w:rsidRDefault="00A92D0B" w14:paraId="6B59BB80" w14:textId="2C791D8E">
            <w:pPr>
              <w:keepNext/>
              <w:spacing w:before="60" w:after="60"/>
              <w:jc w:val="center"/>
              <w:rPr>
                <w:b/>
                <w:color w:val="000000"/>
                <w:sz w:val="22"/>
                <w:szCs w:val="22"/>
              </w:rPr>
            </w:pPr>
            <w:r w:rsidRPr="00260518">
              <w:rPr>
                <w:b/>
                <w:color w:val="000000"/>
                <w:sz w:val="22"/>
                <w:szCs w:val="22"/>
              </w:rPr>
              <w:t xml:space="preserve">Rate </w:t>
            </w:r>
            <w:r w:rsidR="00B17005">
              <w:rPr>
                <w:b/>
                <w:color w:val="000000"/>
                <w:sz w:val="22"/>
                <w:szCs w:val="22"/>
              </w:rPr>
              <w:t>$</w:t>
            </w:r>
          </w:p>
        </w:tc>
        <w:tc>
          <w:tcPr>
            <w:tcW w:w="1881" w:type="dxa"/>
            <w:tcBorders>
              <w:top w:val="single" w:color="auto" w:sz="4" w:space="0"/>
            </w:tcBorders>
            <w:shd w:val="clear" w:color="auto" w:fill="auto"/>
            <w:vAlign w:val="bottom"/>
          </w:tcPr>
          <w:p w:rsidRPr="00260518" w:rsidR="00A92D0B" w:rsidP="004A6FD4" w:rsidRDefault="00A92D0B" w14:paraId="6C7B13CF" w14:textId="77777777">
            <w:pPr>
              <w:keepNext/>
              <w:spacing w:before="60" w:after="60"/>
              <w:jc w:val="center"/>
              <w:rPr>
                <w:b/>
                <w:color w:val="000000"/>
                <w:sz w:val="22"/>
                <w:szCs w:val="22"/>
              </w:rPr>
            </w:pPr>
            <w:r w:rsidRPr="00260518">
              <w:rPr>
                <w:b/>
                <w:color w:val="000000"/>
                <w:sz w:val="22"/>
                <w:szCs w:val="22"/>
              </w:rPr>
              <w:t>Total $</w:t>
            </w:r>
          </w:p>
        </w:tc>
      </w:tr>
      <w:tr w:rsidRPr="007F620E" w:rsidR="00A8352C" w:rsidTr="006D0B93" w14:paraId="25086E67" w14:textId="77777777">
        <w:trPr>
          <w:jc w:val="center"/>
        </w:trPr>
        <w:tc>
          <w:tcPr>
            <w:tcW w:w="1489" w:type="dxa"/>
            <w:shd w:val="clear" w:color="auto" w:fill="auto"/>
          </w:tcPr>
          <w:p w:rsidRPr="007F620E" w:rsidR="00A8352C" w:rsidP="00A8352C" w:rsidRDefault="00A8352C" w14:paraId="386D0995" w14:textId="2F83AC73">
            <w:pPr>
              <w:spacing w:before="60" w:after="60"/>
              <w:rPr>
                <w:color w:val="000000"/>
              </w:rPr>
            </w:pPr>
            <w:r>
              <w:rPr>
                <w:color w:val="000000"/>
              </w:rPr>
              <w:t>Deborah Behles</w:t>
            </w:r>
          </w:p>
        </w:tc>
        <w:tc>
          <w:tcPr>
            <w:tcW w:w="821" w:type="dxa"/>
            <w:shd w:val="clear" w:color="auto" w:fill="auto"/>
          </w:tcPr>
          <w:p w:rsidRPr="007F620E" w:rsidR="00A8352C" w:rsidP="00A8352C" w:rsidRDefault="00A8352C" w14:paraId="4A155F1D" w14:textId="5B276E88">
            <w:pPr>
              <w:spacing w:before="60" w:after="60"/>
              <w:jc w:val="center"/>
              <w:rPr>
                <w:color w:val="000000"/>
              </w:rPr>
            </w:pPr>
            <w:r>
              <w:rPr>
                <w:color w:val="000000"/>
              </w:rPr>
              <w:t>2025</w:t>
            </w:r>
          </w:p>
        </w:tc>
        <w:tc>
          <w:tcPr>
            <w:tcW w:w="884" w:type="dxa"/>
            <w:gridSpan w:val="2"/>
            <w:shd w:val="clear" w:color="auto" w:fill="auto"/>
          </w:tcPr>
          <w:p w:rsidRPr="007F620E" w:rsidR="00A8352C" w:rsidP="00A8352C" w:rsidRDefault="00A8352C" w14:paraId="30EEA80A" w14:textId="43ED1779">
            <w:pPr>
              <w:spacing w:before="60" w:after="60"/>
              <w:jc w:val="center"/>
              <w:rPr>
                <w:color w:val="000000"/>
              </w:rPr>
            </w:pPr>
            <w:r>
              <w:rPr>
                <w:color w:val="000000"/>
              </w:rPr>
              <w:t>6</w:t>
            </w:r>
          </w:p>
        </w:tc>
        <w:tc>
          <w:tcPr>
            <w:tcW w:w="930" w:type="dxa"/>
            <w:shd w:val="clear" w:color="auto" w:fill="auto"/>
          </w:tcPr>
          <w:p w:rsidRPr="007F620E" w:rsidR="00A8352C" w:rsidP="00A8352C" w:rsidRDefault="00A8352C" w14:paraId="4EB14C91" w14:textId="7F6CA730">
            <w:pPr>
              <w:spacing w:before="60" w:after="60"/>
              <w:rPr>
                <w:color w:val="000000"/>
              </w:rPr>
            </w:pPr>
            <w:r>
              <w:rPr>
                <w:color w:val="000000"/>
              </w:rPr>
              <w:t>$346</w:t>
            </w:r>
          </w:p>
        </w:tc>
        <w:tc>
          <w:tcPr>
            <w:tcW w:w="1721" w:type="dxa"/>
            <w:gridSpan w:val="2"/>
            <w:tcBorders>
              <w:right w:val="single" w:color="auto" w:sz="4" w:space="0"/>
            </w:tcBorders>
            <w:shd w:val="clear" w:color="auto" w:fill="auto"/>
          </w:tcPr>
          <w:p w:rsidRPr="007F620E" w:rsidR="00A8352C" w:rsidP="00A8352C" w:rsidRDefault="00A8352C" w14:paraId="02D334B7" w14:textId="269FDDD8">
            <w:pPr>
              <w:spacing w:before="60" w:after="60"/>
              <w:rPr>
                <w:color w:val="000000"/>
              </w:rPr>
            </w:pPr>
            <w:r>
              <w:rPr>
                <w:color w:val="000000"/>
              </w:rPr>
              <w:t>½ of 2025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7F620E" w:rsidR="00A8352C" w:rsidP="00A8352C" w:rsidRDefault="00A8352C" w14:paraId="7B9A0261" w14:textId="426565F0">
            <w:pPr>
              <w:spacing w:before="60" w:after="60"/>
              <w:jc w:val="right"/>
              <w:rPr>
                <w:color w:val="000000"/>
              </w:rPr>
            </w:pPr>
            <w:r>
              <w:rPr>
                <w:rFonts w:ascii="Aptos Narrow" w:hAnsi="Aptos Narrow"/>
                <w:color w:val="000000"/>
              </w:rPr>
              <w:t xml:space="preserve">$2,076 </w:t>
            </w:r>
          </w:p>
        </w:tc>
        <w:tc>
          <w:tcPr>
            <w:tcW w:w="955" w:type="dxa"/>
            <w:tcBorders>
              <w:left w:val="single" w:color="auto" w:sz="4" w:space="0"/>
              <w:right w:val="single" w:color="auto" w:sz="4" w:space="0"/>
            </w:tcBorders>
            <w:shd w:val="clear" w:color="auto" w:fill="auto"/>
          </w:tcPr>
          <w:p w:rsidRPr="007F620E" w:rsidR="00A8352C" w:rsidP="00115DBC" w:rsidRDefault="00386A4A" w14:paraId="5E5A4264" w14:textId="43EB2A55">
            <w:pPr>
              <w:spacing w:before="60" w:after="60"/>
              <w:jc w:val="center"/>
              <w:rPr>
                <w:color w:val="000000"/>
              </w:rPr>
            </w:pPr>
            <w:r>
              <w:rPr>
                <w:color w:val="000000"/>
              </w:rPr>
              <w:t>6.00</w:t>
            </w:r>
          </w:p>
        </w:tc>
        <w:tc>
          <w:tcPr>
            <w:tcW w:w="1146" w:type="dxa"/>
            <w:tcBorders>
              <w:left w:val="single" w:color="auto" w:sz="4" w:space="0"/>
            </w:tcBorders>
            <w:shd w:val="clear" w:color="auto" w:fill="auto"/>
          </w:tcPr>
          <w:p w:rsidR="00A8352C" w:rsidP="00115DBC" w:rsidRDefault="00FD1FFF" w14:paraId="35F2C0DC" w14:textId="77777777">
            <w:pPr>
              <w:spacing w:before="60" w:after="60"/>
              <w:jc w:val="center"/>
              <w:rPr>
                <w:color w:val="000000"/>
              </w:rPr>
            </w:pPr>
            <w:r>
              <w:rPr>
                <w:color w:val="000000"/>
              </w:rPr>
              <w:t>$3</w:t>
            </w:r>
            <w:r w:rsidR="00B63DC4">
              <w:rPr>
                <w:color w:val="000000"/>
              </w:rPr>
              <w:t>4</w:t>
            </w:r>
            <w:r>
              <w:rPr>
                <w:color w:val="000000"/>
              </w:rPr>
              <w:t>7.50</w:t>
            </w:r>
          </w:p>
          <w:p w:rsidRPr="007F620E" w:rsidR="00610974" w:rsidP="00115DBC" w:rsidRDefault="00610974" w14:paraId="47B1F089" w14:textId="7CEBFEA8">
            <w:pPr>
              <w:spacing w:before="60" w:after="60"/>
              <w:jc w:val="center"/>
              <w:rPr>
                <w:color w:val="000000"/>
              </w:rPr>
            </w:pPr>
            <w:r>
              <w:rPr>
                <w:color w:val="000000"/>
              </w:rPr>
              <w:t>[4]</w:t>
            </w:r>
          </w:p>
        </w:tc>
        <w:tc>
          <w:tcPr>
            <w:tcW w:w="1881" w:type="dxa"/>
            <w:shd w:val="clear" w:color="auto" w:fill="auto"/>
          </w:tcPr>
          <w:p w:rsidRPr="007F620E" w:rsidR="00A8352C" w:rsidP="00115DBC" w:rsidRDefault="0025536F" w14:paraId="10659B6D" w14:textId="69B27B72">
            <w:pPr>
              <w:spacing w:before="60" w:after="60"/>
              <w:jc w:val="center"/>
              <w:rPr>
                <w:color w:val="000000"/>
              </w:rPr>
            </w:pPr>
            <w:r w:rsidRPr="0025536F">
              <w:rPr>
                <w:color w:val="000000"/>
              </w:rPr>
              <w:t>$2,085.00</w:t>
            </w:r>
          </w:p>
        </w:tc>
      </w:tr>
      <w:tr w:rsidRPr="007F620E" w:rsidR="00A8352C" w:rsidTr="006D0B93" w14:paraId="7AB9EF54" w14:textId="77777777">
        <w:trPr>
          <w:jc w:val="center"/>
        </w:trPr>
        <w:tc>
          <w:tcPr>
            <w:tcW w:w="1489" w:type="dxa"/>
            <w:shd w:val="clear" w:color="auto" w:fill="auto"/>
          </w:tcPr>
          <w:p w:rsidRPr="007F620E" w:rsidR="00A8352C" w:rsidP="00A8352C" w:rsidRDefault="00A8352C" w14:paraId="4F803C09" w14:textId="48AF71FE">
            <w:pPr>
              <w:spacing w:before="60" w:after="60"/>
              <w:rPr>
                <w:color w:val="000000"/>
              </w:rPr>
            </w:pPr>
            <w:r>
              <w:rPr>
                <w:color w:val="000000"/>
              </w:rPr>
              <w:t xml:space="preserve">Shana </w:t>
            </w:r>
            <w:proofErr w:type="spellStart"/>
            <w:r>
              <w:rPr>
                <w:color w:val="000000"/>
              </w:rPr>
              <w:t>Lazerow</w:t>
            </w:r>
            <w:proofErr w:type="spellEnd"/>
          </w:p>
        </w:tc>
        <w:tc>
          <w:tcPr>
            <w:tcW w:w="821" w:type="dxa"/>
            <w:shd w:val="clear" w:color="auto" w:fill="auto"/>
          </w:tcPr>
          <w:p w:rsidRPr="007F620E" w:rsidR="00A8352C" w:rsidP="00A8352C" w:rsidRDefault="00A8352C" w14:paraId="058BFE37" w14:textId="7B679E82">
            <w:pPr>
              <w:spacing w:before="60" w:after="60"/>
              <w:jc w:val="center"/>
              <w:rPr>
                <w:color w:val="000000"/>
              </w:rPr>
            </w:pPr>
            <w:r>
              <w:rPr>
                <w:color w:val="000000"/>
              </w:rPr>
              <w:t>2025</w:t>
            </w:r>
          </w:p>
        </w:tc>
        <w:tc>
          <w:tcPr>
            <w:tcW w:w="884" w:type="dxa"/>
            <w:gridSpan w:val="2"/>
            <w:shd w:val="clear" w:color="auto" w:fill="auto"/>
          </w:tcPr>
          <w:p w:rsidRPr="007F620E" w:rsidR="00A8352C" w:rsidP="00A8352C" w:rsidRDefault="00A8352C" w14:paraId="66A42865" w14:textId="6FA74FBA">
            <w:pPr>
              <w:spacing w:before="60" w:after="60"/>
              <w:jc w:val="center"/>
              <w:rPr>
                <w:color w:val="000000"/>
              </w:rPr>
            </w:pPr>
            <w:r>
              <w:rPr>
                <w:color w:val="000000"/>
              </w:rPr>
              <w:t>5.7</w:t>
            </w:r>
          </w:p>
        </w:tc>
        <w:tc>
          <w:tcPr>
            <w:tcW w:w="930" w:type="dxa"/>
            <w:shd w:val="clear" w:color="auto" w:fill="auto"/>
          </w:tcPr>
          <w:p w:rsidRPr="007F620E" w:rsidR="00A8352C" w:rsidP="00A8352C" w:rsidRDefault="00A8352C" w14:paraId="42AE8F2C" w14:textId="0656E1F7">
            <w:pPr>
              <w:spacing w:before="60" w:after="60"/>
              <w:rPr>
                <w:color w:val="000000"/>
              </w:rPr>
            </w:pPr>
            <w:r>
              <w:rPr>
                <w:color w:val="000000"/>
              </w:rPr>
              <w:t>$378</w:t>
            </w:r>
          </w:p>
        </w:tc>
        <w:tc>
          <w:tcPr>
            <w:tcW w:w="1721" w:type="dxa"/>
            <w:gridSpan w:val="2"/>
            <w:tcBorders>
              <w:right w:val="single" w:color="auto" w:sz="4" w:space="0"/>
            </w:tcBorders>
            <w:shd w:val="clear" w:color="auto" w:fill="auto"/>
          </w:tcPr>
          <w:p w:rsidRPr="007F620E" w:rsidR="00A8352C" w:rsidP="00A8352C" w:rsidRDefault="00A8352C" w14:paraId="3DB754B7" w14:textId="6953559B">
            <w:pPr>
              <w:spacing w:before="60" w:after="60"/>
              <w:rPr>
                <w:color w:val="000000"/>
              </w:rPr>
            </w:pPr>
            <w:r>
              <w:rPr>
                <w:color w:val="000000"/>
              </w:rPr>
              <w:t>½ of 2025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7F620E" w:rsidR="00A8352C" w:rsidP="00A8352C" w:rsidRDefault="00A8352C" w14:paraId="3D39C021" w14:textId="2AD9A4BB">
            <w:pPr>
              <w:spacing w:before="60" w:after="60"/>
              <w:jc w:val="right"/>
              <w:rPr>
                <w:color w:val="000000"/>
              </w:rPr>
            </w:pPr>
            <w:r>
              <w:rPr>
                <w:rFonts w:ascii="Aptos Narrow" w:hAnsi="Aptos Narrow"/>
                <w:color w:val="000000"/>
              </w:rPr>
              <w:t>$2,155</w:t>
            </w:r>
            <w:r w:rsidR="00931E98">
              <w:rPr>
                <w:rStyle w:val="FootnoteReference"/>
                <w:rFonts w:ascii="Aptos Narrow" w:hAnsi="Aptos Narrow"/>
                <w:color w:val="000000"/>
              </w:rPr>
              <w:footnoteReference w:id="7"/>
            </w:r>
            <w:r>
              <w:rPr>
                <w:rFonts w:ascii="Aptos Narrow" w:hAnsi="Aptos Narrow"/>
                <w:color w:val="000000"/>
              </w:rPr>
              <w:t xml:space="preserve"> </w:t>
            </w:r>
          </w:p>
        </w:tc>
        <w:tc>
          <w:tcPr>
            <w:tcW w:w="955" w:type="dxa"/>
            <w:tcBorders>
              <w:left w:val="single" w:color="auto" w:sz="4" w:space="0"/>
              <w:right w:val="single" w:color="auto" w:sz="4" w:space="0"/>
            </w:tcBorders>
            <w:shd w:val="clear" w:color="auto" w:fill="auto"/>
          </w:tcPr>
          <w:p w:rsidR="00A8352C" w:rsidP="00115DBC" w:rsidRDefault="00E806C3" w14:paraId="629B3EB9" w14:textId="77777777">
            <w:pPr>
              <w:spacing w:before="60" w:after="60"/>
              <w:jc w:val="center"/>
              <w:rPr>
                <w:color w:val="000000"/>
              </w:rPr>
            </w:pPr>
            <w:r>
              <w:rPr>
                <w:color w:val="000000"/>
              </w:rPr>
              <w:t>2.50</w:t>
            </w:r>
          </w:p>
          <w:p w:rsidRPr="007F620E" w:rsidR="00983C98" w:rsidP="00115DBC" w:rsidRDefault="00983C98" w14:paraId="6B8C8F0C" w14:textId="429FE247">
            <w:pPr>
              <w:spacing w:before="60" w:after="60"/>
              <w:jc w:val="center"/>
              <w:rPr>
                <w:color w:val="000000"/>
              </w:rPr>
            </w:pPr>
            <w:r>
              <w:rPr>
                <w:color w:val="000000"/>
              </w:rPr>
              <w:t>[3]</w:t>
            </w:r>
          </w:p>
        </w:tc>
        <w:tc>
          <w:tcPr>
            <w:tcW w:w="1146" w:type="dxa"/>
            <w:tcBorders>
              <w:left w:val="single" w:color="auto" w:sz="4" w:space="0"/>
            </w:tcBorders>
            <w:shd w:val="clear" w:color="auto" w:fill="auto"/>
          </w:tcPr>
          <w:p w:rsidR="00A8352C" w:rsidP="00115DBC" w:rsidRDefault="00B63DC4" w14:paraId="78EA9B81" w14:textId="77777777">
            <w:pPr>
              <w:spacing w:before="60" w:after="60"/>
              <w:jc w:val="center"/>
              <w:rPr>
                <w:color w:val="000000"/>
              </w:rPr>
            </w:pPr>
            <w:r>
              <w:rPr>
                <w:color w:val="000000"/>
              </w:rPr>
              <w:t>$</w:t>
            </w:r>
            <w:r w:rsidR="001E72C7">
              <w:rPr>
                <w:color w:val="000000"/>
              </w:rPr>
              <w:t>377.50</w:t>
            </w:r>
          </w:p>
          <w:p w:rsidRPr="007F620E" w:rsidR="00897340" w:rsidP="00115DBC" w:rsidRDefault="00610974" w14:paraId="0A58B021" w14:textId="60FD48FB">
            <w:pPr>
              <w:spacing w:before="60" w:after="60"/>
              <w:jc w:val="center"/>
              <w:rPr>
                <w:color w:val="000000"/>
              </w:rPr>
            </w:pPr>
            <w:r>
              <w:rPr>
                <w:color w:val="000000"/>
              </w:rPr>
              <w:t>[5]</w:t>
            </w:r>
          </w:p>
        </w:tc>
        <w:tc>
          <w:tcPr>
            <w:tcW w:w="1881" w:type="dxa"/>
            <w:shd w:val="clear" w:color="auto" w:fill="auto"/>
          </w:tcPr>
          <w:p w:rsidRPr="007F620E" w:rsidR="00A8352C" w:rsidP="00115DBC" w:rsidRDefault="0025536F" w14:paraId="0769A3B4" w14:textId="608F90ED">
            <w:pPr>
              <w:spacing w:before="60" w:after="60"/>
              <w:jc w:val="center"/>
              <w:rPr>
                <w:color w:val="000000"/>
              </w:rPr>
            </w:pPr>
            <w:r w:rsidRPr="0025536F">
              <w:rPr>
                <w:color w:val="000000"/>
              </w:rPr>
              <w:t>$943.75</w:t>
            </w:r>
          </w:p>
        </w:tc>
      </w:tr>
      <w:tr w:rsidRPr="007F620E" w:rsidR="00E15DC3" w:rsidTr="00EC6387"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374FD1" w:rsidR="00E15DC3" w:rsidP="00F42EA1" w:rsidRDefault="00E15DC3" w14:paraId="4A1F5988" w14:textId="290939DF">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501EAC">
              <w:rPr>
                <w:b/>
                <w:i/>
                <w:color w:val="000000"/>
              </w:rPr>
              <w:t>4,231</w:t>
            </w:r>
            <w:r w:rsidR="004A51A6">
              <w:rPr>
                <w:b/>
                <w:i/>
                <w:color w:val="000000"/>
              </w:rPr>
              <w:t>.00</w:t>
            </w:r>
            <w:r w:rsidR="00501EAC">
              <w:rPr>
                <w:rFonts w:ascii="Aptos Narrow" w:hAnsi="Aptos Narrow"/>
                <w:color w:val="000000"/>
              </w:rPr>
              <w:t xml:space="preserve"> </w:t>
            </w:r>
            <w:r w:rsidR="00D32F39">
              <w:rPr>
                <w:rStyle w:val="FootnoteReference"/>
                <w:rFonts w:ascii="Aptos Narrow" w:hAnsi="Aptos Narrow"/>
                <w:color w:val="000000"/>
              </w:rPr>
              <w:footnoteReference w:id="8"/>
            </w:r>
          </w:p>
        </w:tc>
        <w:tc>
          <w:tcPr>
            <w:tcW w:w="3982" w:type="dxa"/>
            <w:gridSpan w:val="3"/>
            <w:tcBorders>
              <w:left w:val="single" w:color="auto" w:sz="24" w:space="0"/>
              <w:bottom w:val="single" w:color="auto" w:sz="4" w:space="0"/>
            </w:tcBorders>
            <w:shd w:val="clear" w:color="auto" w:fill="auto"/>
            <w:vAlign w:val="bottom"/>
          </w:tcPr>
          <w:p w:rsidRPr="00374FD1" w:rsidR="00E15DC3" w:rsidP="00691528" w:rsidRDefault="00E15DC3" w14:paraId="2FBAA587" w14:textId="6D20DD79">
            <w:pPr>
              <w:tabs>
                <w:tab w:val="left" w:pos="957"/>
              </w:tabs>
              <w:spacing w:before="60" w:after="60"/>
              <w:ind w:right="162"/>
              <w:jc w:val="right"/>
              <w:rPr>
                <w:b/>
                <w:i/>
                <w:color w:val="000000"/>
              </w:rPr>
            </w:pPr>
            <w:r w:rsidRPr="007F620E">
              <w:rPr>
                <w:b/>
                <w:i/>
                <w:color w:val="000000"/>
              </w:rPr>
              <w:t xml:space="preserve">Subtotal: </w:t>
            </w:r>
            <w:r w:rsidRPr="00617CF0" w:rsidR="00617CF0">
              <w:rPr>
                <w:b/>
                <w:i/>
                <w:color w:val="000000"/>
              </w:rPr>
              <w:t>$3,028.75</w:t>
            </w:r>
          </w:p>
        </w:tc>
      </w:tr>
      <w:tr w:rsidRPr="007F620E" w:rsidR="003B6A1B" w:rsidTr="00EC6387"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FE3BAE" w:rsidR="003B6A1B" w:rsidP="00FE3BAE" w:rsidRDefault="003B6A1B" w14:paraId="11B3B704" w14:textId="39D7F44E">
            <w:pPr>
              <w:tabs>
                <w:tab w:val="left" w:pos="957"/>
              </w:tabs>
              <w:spacing w:before="60" w:after="60"/>
              <w:ind w:right="72"/>
              <w:jc w:val="right"/>
              <w:rPr>
                <w:b/>
                <w:color w:val="000000"/>
              </w:rPr>
            </w:pPr>
            <w:r w:rsidRPr="00374FD1">
              <w:rPr>
                <w:b/>
                <w:i/>
                <w:color w:val="000000"/>
              </w:rPr>
              <w:t xml:space="preserve">TOTAL REQUEST: </w:t>
            </w:r>
            <w:r w:rsidRPr="007978B6" w:rsidR="007978B6">
              <w:rPr>
                <w:b/>
                <w:i/>
                <w:color w:val="000000"/>
              </w:rPr>
              <w:t>$99,720.60</w:t>
            </w:r>
          </w:p>
        </w:tc>
        <w:tc>
          <w:tcPr>
            <w:tcW w:w="3982" w:type="dxa"/>
            <w:gridSpan w:val="3"/>
            <w:tcBorders>
              <w:left w:val="single" w:color="auto" w:sz="24" w:space="0"/>
            </w:tcBorders>
            <w:shd w:val="clear" w:color="auto" w:fill="E6E6E6"/>
            <w:vAlign w:val="bottom"/>
          </w:tcPr>
          <w:p w:rsidRPr="0079351A" w:rsidR="003B6A1B" w:rsidP="00FE3BAE" w:rsidRDefault="003B6A1B" w14:paraId="3680D139" w14:textId="426AA206">
            <w:pPr>
              <w:tabs>
                <w:tab w:val="left" w:pos="957"/>
              </w:tabs>
              <w:spacing w:before="60" w:after="60"/>
              <w:ind w:right="72"/>
              <w:jc w:val="right"/>
              <w:rPr>
                <w:b/>
                <w:i/>
                <w:color w:val="000000"/>
              </w:rPr>
            </w:pPr>
            <w:r w:rsidRPr="00810558">
              <w:rPr>
                <w:b/>
                <w:i/>
                <w:color w:val="000000"/>
              </w:rPr>
              <w:t xml:space="preserve">TOTAL AWARD: </w:t>
            </w:r>
            <w:r w:rsidRPr="00810558" w:rsidR="00102045">
              <w:rPr>
                <w:b/>
                <w:i/>
                <w:color w:val="000000"/>
              </w:rPr>
              <w:t>$91,319.15</w:t>
            </w:r>
          </w:p>
        </w:tc>
      </w:tr>
      <w:tr w:rsidRPr="007F620E" w:rsidR="003B6A1B"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7F620E" w:rsidR="003B6A1B" w:rsidP="00D075B1" w:rsidRDefault="003B6A1B"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w:t>
            </w:r>
            <w:proofErr w:type="gramStart"/>
            <w:r w:rsidRPr="007F620E">
              <w:rPr>
                <w:color w:val="000000"/>
              </w:rPr>
              <w:t>Intervenor’s</w:t>
            </w:r>
            <w:proofErr w:type="gramEnd"/>
            <w:r w:rsidRPr="007F620E">
              <w:rPr>
                <w:color w:val="000000"/>
              </w:rPr>
              <w:t xml:space="preserve">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3B6A1B" w:rsidP="00963EEF" w:rsidRDefault="003B6A1B"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3B6A1B"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B6A1B" w:rsidP="004A6FD4" w:rsidRDefault="003B6A1B" w14:paraId="48B43CBD" w14:textId="77777777">
            <w:pPr>
              <w:keepNext/>
              <w:spacing w:before="60" w:after="60"/>
              <w:jc w:val="center"/>
              <w:rPr>
                <w:b/>
                <w:smallCaps/>
                <w:color w:val="000000"/>
              </w:rPr>
            </w:pPr>
            <w:r w:rsidRPr="007F620E">
              <w:rPr>
                <w:b/>
                <w:smallCaps/>
                <w:color w:val="000000"/>
              </w:rPr>
              <w:lastRenderedPageBreak/>
              <w:t>ATTORNEY INFORMATION</w:t>
            </w:r>
          </w:p>
        </w:tc>
      </w:tr>
      <w:tr w:rsidRPr="00C16981" w:rsidR="003B6A1B"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3B6A1B" w:rsidP="00E775D0" w:rsidRDefault="003B6A1B"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3B6A1B" w:rsidP="00E775D0" w:rsidRDefault="003B6A1B"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9"/>
            </w:r>
          </w:p>
        </w:tc>
        <w:tc>
          <w:tcPr>
            <w:tcW w:w="2291" w:type="dxa"/>
            <w:gridSpan w:val="2"/>
            <w:tcBorders>
              <w:top w:val="single" w:color="auto" w:sz="4" w:space="0"/>
              <w:bottom w:val="single" w:color="auto" w:sz="4" w:space="0"/>
            </w:tcBorders>
            <w:shd w:val="clear" w:color="auto" w:fill="FFFFFF"/>
            <w:vAlign w:val="bottom"/>
          </w:tcPr>
          <w:p w:rsidRPr="00C16981" w:rsidR="003B6A1B" w:rsidP="00E775D0" w:rsidRDefault="003B6A1B" w14:paraId="27E64ED7" w14:textId="77777777">
            <w:pPr>
              <w:keepNext/>
              <w:keepLines/>
              <w:spacing w:before="60" w:after="60"/>
              <w:jc w:val="center"/>
              <w:rPr>
                <w:b/>
                <w:color w:val="000000"/>
                <w:sz w:val="22"/>
                <w:szCs w:val="22"/>
              </w:rPr>
            </w:pPr>
            <w:r w:rsidRPr="00C16981">
              <w:rPr>
                <w:b/>
                <w:sz w:val="22"/>
                <w:szCs w:val="22"/>
              </w:rPr>
              <w:t>Member Number</w:t>
            </w:r>
          </w:p>
        </w:tc>
        <w:tc>
          <w:tcPr>
            <w:tcW w:w="4268" w:type="dxa"/>
            <w:gridSpan w:val="4"/>
            <w:tcBorders>
              <w:top w:val="single" w:color="auto" w:sz="4" w:space="0"/>
              <w:bottom w:val="single" w:color="auto" w:sz="4" w:space="0"/>
            </w:tcBorders>
            <w:shd w:val="clear" w:color="auto" w:fill="FFFFFF"/>
            <w:vAlign w:val="bottom"/>
          </w:tcPr>
          <w:p w:rsidRPr="00C16981" w:rsidR="003B6A1B" w:rsidP="00E775D0" w:rsidRDefault="003B6A1B" w14:paraId="496B5DC1" w14:textId="77777777">
            <w:pPr>
              <w:keepNext/>
              <w:keepLines/>
              <w:spacing w:before="60" w:after="60"/>
              <w:jc w:val="center"/>
              <w:rPr>
                <w:b/>
                <w:sz w:val="22"/>
                <w:szCs w:val="22"/>
              </w:rPr>
            </w:pPr>
            <w:r w:rsidRPr="00C16981">
              <w:rPr>
                <w:b/>
                <w:sz w:val="22"/>
                <w:szCs w:val="22"/>
              </w:rPr>
              <w:t>Actions Affecting Eligibility (Yes/No?)</w:t>
            </w:r>
          </w:p>
          <w:p w:rsidRPr="00C16981" w:rsidR="003B6A1B" w:rsidP="00E775D0" w:rsidRDefault="003B6A1B"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3B6A1B" w:rsidTr="00884C90"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884C90" w:rsidR="003B6A1B" w:rsidP="001A3CF3" w:rsidRDefault="004F3DA4" w14:paraId="7266B7BF" w14:textId="5FD206BD">
            <w:pPr>
              <w:keepLines/>
              <w:spacing w:before="60" w:after="60"/>
              <w:jc w:val="center"/>
              <w:rPr>
                <w:color w:val="000000"/>
              </w:rPr>
            </w:pPr>
            <w:r w:rsidRPr="00884C90">
              <w:rPr>
                <w:color w:val="000000"/>
              </w:rPr>
              <w:t>Deborah Behles</w:t>
            </w:r>
          </w:p>
        </w:tc>
        <w:tc>
          <w:tcPr>
            <w:tcW w:w="1909" w:type="dxa"/>
            <w:gridSpan w:val="3"/>
            <w:tcBorders>
              <w:top w:val="single" w:color="auto" w:sz="4" w:space="0"/>
              <w:bottom w:val="single" w:color="auto" w:sz="4" w:space="0"/>
            </w:tcBorders>
            <w:shd w:val="clear" w:color="auto" w:fill="auto"/>
          </w:tcPr>
          <w:p w:rsidRPr="00884C90" w:rsidR="003B6A1B" w:rsidP="001A3CF3" w:rsidRDefault="004F3DA4" w14:paraId="69A41F15" w14:textId="70F26F31">
            <w:pPr>
              <w:keepLines/>
              <w:spacing w:before="60" w:after="60"/>
              <w:jc w:val="center"/>
              <w:rPr>
                <w:color w:val="000000"/>
              </w:rPr>
            </w:pPr>
            <w:r w:rsidRPr="00884C90">
              <w:rPr>
                <w:color w:val="000000"/>
              </w:rPr>
              <w:t>December 2001</w:t>
            </w:r>
          </w:p>
        </w:tc>
        <w:tc>
          <w:tcPr>
            <w:tcW w:w="2291" w:type="dxa"/>
            <w:gridSpan w:val="2"/>
            <w:tcBorders>
              <w:top w:val="single" w:color="auto" w:sz="4" w:space="0"/>
              <w:bottom w:val="single" w:color="auto" w:sz="4" w:space="0"/>
            </w:tcBorders>
            <w:shd w:val="clear" w:color="auto" w:fill="auto"/>
          </w:tcPr>
          <w:p w:rsidRPr="00884C90" w:rsidR="003B6A1B" w:rsidP="001A3CF3" w:rsidRDefault="004F3DA4" w14:paraId="58495CD7" w14:textId="0A3A0057">
            <w:pPr>
              <w:keepLines/>
              <w:spacing w:before="60" w:after="60"/>
              <w:jc w:val="center"/>
              <w:rPr>
                <w:color w:val="000000"/>
              </w:rPr>
            </w:pPr>
            <w:r w:rsidRPr="00884C90">
              <w:rPr>
                <w:color w:val="000000"/>
              </w:rPr>
              <w:t>218281</w:t>
            </w:r>
          </w:p>
        </w:tc>
        <w:tc>
          <w:tcPr>
            <w:tcW w:w="4268" w:type="dxa"/>
            <w:gridSpan w:val="4"/>
            <w:tcBorders>
              <w:top w:val="single" w:color="auto" w:sz="4" w:space="0"/>
              <w:bottom w:val="single" w:color="auto" w:sz="4" w:space="0"/>
            </w:tcBorders>
            <w:shd w:val="clear" w:color="auto" w:fill="auto"/>
          </w:tcPr>
          <w:p w:rsidRPr="00884C90" w:rsidR="003B6A1B" w:rsidP="001A3CF3" w:rsidRDefault="004F3DA4" w14:paraId="117B99BF" w14:textId="3DCD99E5">
            <w:pPr>
              <w:keepLines/>
              <w:spacing w:before="60" w:after="60"/>
              <w:jc w:val="center"/>
              <w:rPr>
                <w:color w:val="000000"/>
              </w:rPr>
            </w:pPr>
            <w:r w:rsidRPr="00884C90">
              <w:rPr>
                <w:color w:val="000000"/>
              </w:rPr>
              <w:t>No</w:t>
            </w:r>
          </w:p>
        </w:tc>
      </w:tr>
      <w:tr w:rsidRPr="007F620E" w:rsidR="003B6A1B" w:rsidTr="00884C90"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884C90" w:rsidR="003B6A1B" w:rsidP="00E17B34" w:rsidRDefault="004F3DA4" w14:paraId="3D5F8F51" w14:textId="389134DA">
            <w:pPr>
              <w:spacing w:before="60" w:after="60"/>
              <w:jc w:val="center"/>
              <w:rPr>
                <w:color w:val="000000"/>
              </w:rPr>
            </w:pPr>
            <w:r w:rsidRPr="00884C90">
              <w:rPr>
                <w:color w:val="000000"/>
              </w:rPr>
              <w:t xml:space="preserve">Shana </w:t>
            </w:r>
            <w:proofErr w:type="spellStart"/>
            <w:r w:rsidRPr="00884C90">
              <w:rPr>
                <w:color w:val="000000"/>
              </w:rPr>
              <w:t>Lazerow</w:t>
            </w:r>
            <w:proofErr w:type="spellEnd"/>
          </w:p>
        </w:tc>
        <w:tc>
          <w:tcPr>
            <w:tcW w:w="1909" w:type="dxa"/>
            <w:gridSpan w:val="3"/>
            <w:tcBorders>
              <w:top w:val="single" w:color="auto" w:sz="4" w:space="0"/>
              <w:bottom w:val="single" w:color="auto" w:sz="4" w:space="0"/>
            </w:tcBorders>
            <w:shd w:val="clear" w:color="auto" w:fill="auto"/>
          </w:tcPr>
          <w:p w:rsidRPr="00884C90" w:rsidR="003B6A1B" w:rsidP="00E17B34" w:rsidRDefault="004F3DA4" w14:paraId="1609FC8E" w14:textId="7227B554">
            <w:pPr>
              <w:spacing w:before="60" w:after="60"/>
              <w:jc w:val="center"/>
              <w:rPr>
                <w:color w:val="000000"/>
              </w:rPr>
            </w:pPr>
            <w:r w:rsidRPr="00884C90">
              <w:rPr>
                <w:color w:val="000000"/>
              </w:rPr>
              <w:t>June 1998</w:t>
            </w:r>
          </w:p>
        </w:tc>
        <w:tc>
          <w:tcPr>
            <w:tcW w:w="2291" w:type="dxa"/>
            <w:gridSpan w:val="2"/>
            <w:tcBorders>
              <w:top w:val="single" w:color="auto" w:sz="4" w:space="0"/>
              <w:bottom w:val="single" w:color="auto" w:sz="4" w:space="0"/>
            </w:tcBorders>
            <w:shd w:val="clear" w:color="auto" w:fill="auto"/>
          </w:tcPr>
          <w:p w:rsidRPr="00884C90" w:rsidR="003B6A1B" w:rsidP="00E17B34" w:rsidRDefault="004F3DA4" w14:paraId="182A9D2B" w14:textId="3C0ED68B">
            <w:pPr>
              <w:spacing w:before="60" w:after="60"/>
              <w:jc w:val="center"/>
              <w:rPr>
                <w:color w:val="000000"/>
              </w:rPr>
            </w:pPr>
            <w:r w:rsidRPr="00884C90">
              <w:rPr>
                <w:color w:val="000000"/>
              </w:rPr>
              <w:t>195491</w:t>
            </w:r>
          </w:p>
        </w:tc>
        <w:tc>
          <w:tcPr>
            <w:tcW w:w="4268" w:type="dxa"/>
            <w:gridSpan w:val="4"/>
            <w:tcBorders>
              <w:top w:val="single" w:color="auto" w:sz="4" w:space="0"/>
              <w:bottom w:val="single" w:color="auto" w:sz="4" w:space="0"/>
            </w:tcBorders>
            <w:shd w:val="clear" w:color="auto" w:fill="auto"/>
          </w:tcPr>
          <w:p w:rsidRPr="00884C90" w:rsidR="003B6A1B" w:rsidP="00E17B34" w:rsidRDefault="004F3DA4" w14:paraId="35DC3C56" w14:textId="72314D5F">
            <w:pPr>
              <w:spacing w:before="60" w:after="60"/>
              <w:jc w:val="center"/>
              <w:rPr>
                <w:color w:val="000000"/>
              </w:rPr>
            </w:pPr>
            <w:r w:rsidRPr="00884C90">
              <w:rPr>
                <w:color w:val="000000"/>
              </w:rPr>
              <w:t>No</w:t>
            </w:r>
          </w:p>
        </w:tc>
      </w:tr>
    </w:tbl>
    <w:p w:rsidRPr="00116241" w:rsidR="00A92D0B" w:rsidP="00FA624F" w:rsidRDefault="00A92D0B" w14:paraId="04BC309E" w14:textId="630329A0">
      <w:pPr>
        <w:keepNext/>
        <w:numPr>
          <w:ilvl w:val="0"/>
          <w:numId w:val="9"/>
        </w:numPr>
        <w:spacing w:before="240"/>
        <w:rPr>
          <w:b/>
          <w:color w:val="000000"/>
        </w:rPr>
      </w:pPr>
      <w:r w:rsidRPr="005B5B44">
        <w:rPr>
          <w:b/>
          <w:color w:val="000000"/>
        </w:rPr>
        <w:t>Attachments</w:t>
      </w:r>
      <w:r w:rsidRPr="007F620E">
        <w:rPr>
          <w:b/>
        </w:rPr>
        <w:t xml:space="preserve"> Documenting Specific Claim and Comments on Part III</w:t>
      </w:r>
      <w:r w:rsidR="00FA624F">
        <w:rPr>
          <w:rStyle w:val="FootnoteReference"/>
          <w:b/>
        </w:rPr>
        <w:footnoteReference w:id="10"/>
      </w:r>
      <w:r w:rsidR="00C02649">
        <w:rPr>
          <w:b/>
        </w:rPr>
        <w:t>:</w:t>
      </w:r>
    </w:p>
    <w:p w:rsidRPr="00FA624F" w:rsidR="00116241" w:rsidP="00116241" w:rsidRDefault="00116241" w14:paraId="6F12A12E" w14:textId="77777777">
      <w:pPr>
        <w:keepNext/>
        <w:ind w:left="360"/>
        <w:rPr>
          <w:b/>
          <w:color w:val="00000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920"/>
      </w:tblGrid>
      <w:tr w:rsidRPr="007F620E" w:rsidR="00A92D0B" w:rsidTr="00CE4462"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E10B620">
            <w:pPr>
              <w:tabs>
                <w:tab w:val="left" w:pos="1260"/>
              </w:tabs>
              <w:jc w:val="center"/>
              <w:rPr>
                <w:b/>
                <w:color w:val="000000"/>
              </w:rPr>
            </w:pPr>
            <w:r w:rsidRPr="007F620E">
              <w:rPr>
                <w:b/>
                <w:color w:val="000000"/>
              </w:rPr>
              <w:t xml:space="preserve">Attachment or </w:t>
            </w:r>
            <w:r w:rsidRPr="007F620E" w:rsidR="009851A5">
              <w:rPr>
                <w:b/>
                <w:color w:val="000000"/>
              </w:rPr>
              <w:t>Comment #</w:t>
            </w:r>
          </w:p>
        </w:tc>
        <w:tc>
          <w:tcPr>
            <w:tcW w:w="7920"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A92D0B" w:rsidTr="00CE4462" w14:paraId="71F47148" w14:textId="77777777">
        <w:tc>
          <w:tcPr>
            <w:tcW w:w="1795" w:type="dxa"/>
            <w:tcBorders>
              <w:bottom w:val="single" w:color="auto" w:sz="4" w:space="0"/>
            </w:tcBorders>
            <w:shd w:val="clear" w:color="auto" w:fill="auto"/>
          </w:tcPr>
          <w:p w:rsidRPr="007F620E" w:rsidR="00A92D0B" w:rsidP="001A3CF3" w:rsidRDefault="004F3DA4" w14:paraId="7A5C03D8" w14:textId="66C19A13">
            <w:pPr>
              <w:tabs>
                <w:tab w:val="left" w:pos="1260"/>
              </w:tabs>
              <w:rPr>
                <w:color w:val="000000"/>
              </w:rPr>
            </w:pPr>
            <w:r>
              <w:rPr>
                <w:color w:val="000000"/>
              </w:rPr>
              <w:t xml:space="preserve">Attachment </w:t>
            </w:r>
            <w:r w:rsidRPr="007F620E" w:rsidR="00A92D0B">
              <w:rPr>
                <w:color w:val="000000"/>
              </w:rPr>
              <w:t>1</w:t>
            </w:r>
          </w:p>
        </w:tc>
        <w:tc>
          <w:tcPr>
            <w:tcW w:w="7920" w:type="dxa"/>
            <w:tcBorders>
              <w:bottom w:val="single" w:color="auto" w:sz="4" w:space="0"/>
            </w:tcBorders>
            <w:shd w:val="clear" w:color="auto" w:fill="auto"/>
          </w:tcPr>
          <w:p w:rsidRPr="001C0DD1" w:rsidR="00A92D0B" w:rsidP="001A3CF3" w:rsidRDefault="00A92D0B" w14:paraId="370C67BC" w14:textId="77777777">
            <w:pPr>
              <w:tabs>
                <w:tab w:val="left" w:pos="1260"/>
              </w:tabs>
              <w:rPr>
                <w:color w:val="000000"/>
              </w:rPr>
            </w:pPr>
            <w:r w:rsidRPr="001C0DD1">
              <w:rPr>
                <w:color w:val="000000"/>
              </w:rPr>
              <w:t>Certificate of Service</w:t>
            </w:r>
          </w:p>
        </w:tc>
      </w:tr>
      <w:tr w:rsidRPr="007F620E" w:rsidR="00A92D0B" w:rsidTr="00CE4462" w14:paraId="72C869B0" w14:textId="77777777">
        <w:tc>
          <w:tcPr>
            <w:tcW w:w="1795" w:type="dxa"/>
            <w:shd w:val="clear" w:color="auto" w:fill="auto"/>
          </w:tcPr>
          <w:p w:rsidRPr="007F620E" w:rsidR="00A92D0B" w:rsidP="001A3CF3" w:rsidRDefault="004F3DA4" w14:paraId="49AADD21" w14:textId="543D4FF2">
            <w:pPr>
              <w:tabs>
                <w:tab w:val="left" w:pos="1260"/>
              </w:tabs>
              <w:rPr>
                <w:color w:val="000000"/>
              </w:rPr>
            </w:pPr>
            <w:r>
              <w:rPr>
                <w:color w:val="000000"/>
              </w:rPr>
              <w:t xml:space="preserve">Attachment </w:t>
            </w:r>
            <w:r w:rsidR="0022302F">
              <w:rPr>
                <w:color w:val="000000"/>
              </w:rPr>
              <w:t>2</w:t>
            </w:r>
          </w:p>
        </w:tc>
        <w:tc>
          <w:tcPr>
            <w:tcW w:w="7920" w:type="dxa"/>
            <w:shd w:val="clear" w:color="auto" w:fill="auto"/>
          </w:tcPr>
          <w:p w:rsidRPr="007F620E" w:rsidR="00A92D0B" w:rsidP="001A3CF3" w:rsidRDefault="004F3DA4" w14:paraId="3AF20C23" w14:textId="38A9AD10">
            <w:pPr>
              <w:tabs>
                <w:tab w:val="left" w:pos="1260"/>
              </w:tabs>
              <w:rPr>
                <w:b/>
                <w:color w:val="000000"/>
              </w:rPr>
            </w:pPr>
            <w:r>
              <w:rPr>
                <w:b/>
                <w:color w:val="000000"/>
              </w:rPr>
              <w:t>Timesheets</w:t>
            </w:r>
          </w:p>
        </w:tc>
      </w:tr>
      <w:tr w:rsidRPr="007F620E" w:rsidR="004F3DA4" w:rsidTr="00CE4462" w14:paraId="376A8EBA" w14:textId="77777777">
        <w:tc>
          <w:tcPr>
            <w:tcW w:w="1795" w:type="dxa"/>
            <w:shd w:val="clear" w:color="auto" w:fill="auto"/>
          </w:tcPr>
          <w:p w:rsidR="004F3DA4" w:rsidP="001A3CF3" w:rsidRDefault="004F3DA4" w14:paraId="6022F802" w14:textId="19F17DDA">
            <w:pPr>
              <w:tabs>
                <w:tab w:val="left" w:pos="1260"/>
              </w:tabs>
              <w:rPr>
                <w:color w:val="000000"/>
              </w:rPr>
            </w:pPr>
            <w:r>
              <w:rPr>
                <w:color w:val="000000"/>
              </w:rPr>
              <w:t>Comment 1</w:t>
            </w:r>
          </w:p>
        </w:tc>
        <w:tc>
          <w:tcPr>
            <w:tcW w:w="7920" w:type="dxa"/>
            <w:shd w:val="clear" w:color="auto" w:fill="auto"/>
          </w:tcPr>
          <w:p w:rsidRPr="00DC5B3F" w:rsidR="00D01E49" w:rsidP="00D01E49" w:rsidRDefault="00D01E49" w14:paraId="74FED30A" w14:textId="77777777">
            <w:pPr>
              <w:tabs>
                <w:tab w:val="left" w:pos="1260"/>
              </w:tabs>
              <w:spacing w:before="120"/>
              <w:rPr>
                <w:color w:val="000000"/>
              </w:rPr>
            </w:pPr>
            <w:r w:rsidRPr="00DC5B3F">
              <w:rPr>
                <w:color w:val="000000"/>
              </w:rPr>
              <w:t xml:space="preserve">Deborah Behles has been practicing environmental law since 2001. Ms. Behles received a B.S. in civil engineering with an environmental and structural engineering emphasis from Purdue University and her J.D. from the University of Minnesota. She has served as a trial attorney for the U.S. Department of Justice in the Environmental Enforcement Section and as an associate professor and a staff attorney with the Environmental Law and Justice Clinic at Golden Gate University School of Law.  Since 2016, Ms. Behles </w:t>
            </w:r>
            <w:proofErr w:type="gramStart"/>
            <w:r w:rsidRPr="00DC5B3F">
              <w:rPr>
                <w:color w:val="000000"/>
              </w:rPr>
              <w:t>is</w:t>
            </w:r>
            <w:proofErr w:type="gramEnd"/>
            <w:r w:rsidRPr="00DC5B3F">
              <w:rPr>
                <w:color w:val="000000"/>
              </w:rPr>
              <w:t xml:space="preserve"> a sole practitioner specializing in environmental law and policy.</w:t>
            </w:r>
          </w:p>
          <w:p w:rsidR="00D01E49" w:rsidP="00D01E49" w:rsidRDefault="00D01E49" w14:paraId="6EF32CD4" w14:textId="77777777">
            <w:pPr>
              <w:tabs>
                <w:tab w:val="left" w:pos="1260"/>
              </w:tabs>
              <w:rPr>
                <w:color w:val="000000"/>
              </w:rPr>
            </w:pPr>
            <w:r w:rsidRPr="00DC5B3F">
              <w:rPr>
                <w:color w:val="000000"/>
              </w:rPr>
              <w:t>CEJA provided Deborah Behles’ CV and the justification for Ms. Behles</w:t>
            </w:r>
            <w:r>
              <w:rPr>
                <w:color w:val="000000"/>
              </w:rPr>
              <w:t>’ hourly rate</w:t>
            </w:r>
            <w:r w:rsidRPr="00DC5B3F">
              <w:rPr>
                <w:color w:val="000000"/>
              </w:rPr>
              <w:t>, pursuant to the directions in Res. ALJ-393 to CEJA’s request filed in R.20-05-003 on July 15, 2021.</w:t>
            </w:r>
          </w:p>
          <w:p w:rsidR="00D01E49" w:rsidP="00D01E49" w:rsidRDefault="00D01E49" w14:paraId="020BA726" w14:textId="77777777">
            <w:pPr>
              <w:tabs>
                <w:tab w:val="left" w:pos="1260"/>
              </w:tabs>
              <w:rPr>
                <w:b/>
                <w:color w:val="000000"/>
              </w:rPr>
            </w:pPr>
          </w:p>
          <w:p w:rsidR="00D01E49" w:rsidP="00D01E49" w:rsidRDefault="00D01E49" w14:paraId="14180019" w14:textId="70F0CE6F">
            <w:pPr>
              <w:tabs>
                <w:tab w:val="left" w:pos="1260"/>
              </w:tabs>
              <w:rPr>
                <w:bCs/>
                <w:color w:val="000000"/>
              </w:rPr>
            </w:pPr>
            <w:r w:rsidRPr="001B6543">
              <w:rPr>
                <w:bCs/>
                <w:color w:val="000000"/>
              </w:rPr>
              <w:t xml:space="preserve">Ms. Behles is an independent consultant working on a contingency basis. Ms. Behles’ contract with CEJA to provide her services on a contingency basis </w:t>
            </w:r>
            <w:r>
              <w:rPr>
                <w:bCs/>
                <w:color w:val="000000"/>
              </w:rPr>
              <w:t>was</w:t>
            </w:r>
            <w:r w:rsidRPr="001B6543">
              <w:rPr>
                <w:bCs/>
                <w:color w:val="000000"/>
              </w:rPr>
              <w:t xml:space="preserve"> filed in Rulemaking 22-07-005</w:t>
            </w:r>
            <w:r w:rsidR="0011422A">
              <w:rPr>
                <w:bCs/>
                <w:color w:val="000000"/>
              </w:rPr>
              <w:t xml:space="preserve">, and it is available here: </w:t>
            </w:r>
            <w:r w:rsidRPr="00F45695" w:rsidR="0011422A">
              <w:rPr>
                <w:sz w:val="22"/>
                <w:szCs w:val="22"/>
              </w:rPr>
              <w:t>https://docs.cpuc.ca.gov/PublishedDocs/Efile/G000/M539/K999/539999236.PDF</w:t>
            </w:r>
            <w:r w:rsidRPr="001B6543">
              <w:rPr>
                <w:bCs/>
                <w:color w:val="000000"/>
              </w:rPr>
              <w:t xml:space="preserve">.  </w:t>
            </w:r>
            <w:r>
              <w:rPr>
                <w:bCs/>
                <w:color w:val="000000"/>
              </w:rPr>
              <w:t>Since</w:t>
            </w:r>
            <w:r w:rsidRPr="001B6543">
              <w:rPr>
                <w:bCs/>
                <w:color w:val="000000"/>
              </w:rPr>
              <w:t xml:space="preserve"> Ms. Behles works solely on contingency, CEJA is requesting </w:t>
            </w:r>
            <w:proofErr w:type="gramStart"/>
            <w:r w:rsidRPr="001B6543">
              <w:rPr>
                <w:bCs/>
                <w:color w:val="000000"/>
              </w:rPr>
              <w:t>market</w:t>
            </w:r>
            <w:proofErr w:type="gramEnd"/>
            <w:r w:rsidRPr="001B6543">
              <w:rPr>
                <w:bCs/>
                <w:color w:val="000000"/>
              </w:rPr>
              <w:t xml:space="preserve"> rate for her work. </w:t>
            </w:r>
          </w:p>
          <w:p w:rsidR="0011422A" w:rsidP="00D01E49" w:rsidRDefault="0011422A" w14:paraId="320FB3B3" w14:textId="77777777">
            <w:pPr>
              <w:tabs>
                <w:tab w:val="left" w:pos="1260"/>
              </w:tabs>
              <w:rPr>
                <w:bCs/>
                <w:color w:val="000000"/>
              </w:rPr>
            </w:pPr>
          </w:p>
          <w:p w:rsidR="0011422A" w:rsidP="0011422A" w:rsidRDefault="0011422A" w14:paraId="3D25FEDF" w14:textId="54D5AE1A">
            <w:pPr>
              <w:spacing w:line="360" w:lineRule="auto"/>
            </w:pPr>
            <w:r>
              <w:t xml:space="preserve">Notably, in Decision 25-01-051, the Commission found that:  </w:t>
            </w:r>
          </w:p>
          <w:p w:rsidR="0011422A" w:rsidP="0011422A" w:rsidRDefault="0011422A" w14:paraId="75AF824E" w14:textId="77777777">
            <w:pPr>
              <w:ind w:left="360"/>
            </w:pPr>
            <w:r w:rsidRPr="00783060">
              <w:t>CEJA has</w:t>
            </w:r>
            <w:r>
              <w:t xml:space="preserve"> </w:t>
            </w:r>
            <w:r w:rsidRPr="00783060">
              <w:t>confirmed that Behles serves CEJA under contract on a contingency basis</w:t>
            </w:r>
            <w:r>
              <w:t xml:space="preserve"> </w:t>
            </w:r>
            <w:r w:rsidRPr="00783060">
              <w:t xml:space="preserve">where the consultant has not </w:t>
            </w:r>
            <w:proofErr w:type="gramStart"/>
            <w:r w:rsidRPr="00783060">
              <w:t>billed</w:t>
            </w:r>
            <w:proofErr w:type="gramEnd"/>
            <w:r w:rsidRPr="00783060">
              <w:t xml:space="preserve"> or collected full compensation for the work</w:t>
            </w:r>
            <w:r>
              <w:t xml:space="preserve"> </w:t>
            </w:r>
            <w:r w:rsidRPr="00783060">
              <w:t xml:space="preserve">performed until </w:t>
            </w:r>
            <w:proofErr w:type="gramStart"/>
            <w:r w:rsidRPr="00783060">
              <w:t>final</w:t>
            </w:r>
            <w:proofErr w:type="gramEnd"/>
            <w:r w:rsidRPr="00783060">
              <w:t xml:space="preserve"> award is given. We </w:t>
            </w:r>
            <w:r w:rsidRPr="00783060">
              <w:lastRenderedPageBreak/>
              <w:t>therefore utilize the reasonable rates</w:t>
            </w:r>
            <w:r>
              <w:t xml:space="preserve"> </w:t>
            </w:r>
            <w:r w:rsidRPr="00783060">
              <w:t>established by Resolution ALJ-393 based on Behles’ experience.</w:t>
            </w:r>
            <w:r>
              <w:rPr>
                <w:rStyle w:val="FootnoteReference"/>
              </w:rPr>
              <w:footnoteReference w:id="11"/>
            </w:r>
          </w:p>
          <w:p w:rsidR="00D01E49" w:rsidP="00D01E49" w:rsidRDefault="00D01E49" w14:paraId="77C887C3" w14:textId="77777777">
            <w:pPr>
              <w:tabs>
                <w:tab w:val="left" w:pos="1260"/>
              </w:tabs>
              <w:rPr>
                <w:bCs/>
                <w:color w:val="000000"/>
              </w:rPr>
            </w:pPr>
          </w:p>
          <w:p w:rsidRPr="007F620E" w:rsidR="004F3DA4" w:rsidP="00C41322" w:rsidRDefault="0011422A" w14:paraId="389140AA" w14:textId="108B0F51">
            <w:pPr>
              <w:tabs>
                <w:tab w:val="left" w:pos="1260"/>
              </w:tabs>
              <w:rPr>
                <w:b/>
                <w:color w:val="000000"/>
              </w:rPr>
            </w:pPr>
            <w:r>
              <w:rPr>
                <w:bCs/>
                <w:color w:val="000000"/>
              </w:rPr>
              <w:t xml:space="preserve">CEJA requests the same finding here. </w:t>
            </w:r>
            <w:r w:rsidR="00D01E49">
              <w:rPr>
                <w:bCs/>
                <w:color w:val="000000"/>
              </w:rPr>
              <w:t>Ms. Behles’ 202</w:t>
            </w:r>
            <w:r>
              <w:rPr>
                <w:bCs/>
                <w:color w:val="000000"/>
              </w:rPr>
              <w:t>4</w:t>
            </w:r>
            <w:r w:rsidR="00D01E49">
              <w:rPr>
                <w:bCs/>
                <w:color w:val="000000"/>
              </w:rPr>
              <w:t xml:space="preserve"> rate of $6</w:t>
            </w:r>
            <w:r>
              <w:rPr>
                <w:bCs/>
                <w:color w:val="000000"/>
              </w:rPr>
              <w:t>70</w:t>
            </w:r>
            <w:r w:rsidR="00D01E49">
              <w:rPr>
                <w:bCs/>
                <w:color w:val="000000"/>
              </w:rPr>
              <w:t xml:space="preserve"> was approved by the Commission </w:t>
            </w:r>
            <w:proofErr w:type="gramStart"/>
            <w:r w:rsidR="00D01E49">
              <w:rPr>
                <w:bCs/>
                <w:color w:val="000000"/>
              </w:rPr>
              <w:t>in</w:t>
            </w:r>
            <w:proofErr w:type="gramEnd"/>
            <w:r w:rsidR="00D01E49">
              <w:rPr>
                <w:bCs/>
                <w:color w:val="000000"/>
              </w:rPr>
              <w:t xml:space="preserve"> D.</w:t>
            </w:r>
            <w:r>
              <w:rPr>
                <w:bCs/>
                <w:color w:val="000000"/>
              </w:rPr>
              <w:t xml:space="preserve">25-01-051.  CEJA requests that the 2025 escalation </w:t>
            </w:r>
            <w:r w:rsidR="00372E5B">
              <w:rPr>
                <w:bCs/>
                <w:color w:val="000000"/>
              </w:rPr>
              <w:t xml:space="preserve">of 3.46% </w:t>
            </w:r>
            <w:r w:rsidR="00C41322">
              <w:rPr>
                <w:bCs/>
                <w:color w:val="000000"/>
              </w:rPr>
              <w:t>be</w:t>
            </w:r>
            <w:r w:rsidR="00B01D1A">
              <w:rPr>
                <w:bCs/>
                <w:color w:val="000000"/>
              </w:rPr>
              <w:t xml:space="preserve"> included in the 2025 rate. </w:t>
            </w:r>
          </w:p>
        </w:tc>
      </w:tr>
      <w:tr w:rsidRPr="007F620E" w:rsidR="004F3DA4" w:rsidTr="00CE4462" w14:paraId="3871F8BB" w14:textId="77777777">
        <w:tc>
          <w:tcPr>
            <w:tcW w:w="1795" w:type="dxa"/>
            <w:shd w:val="clear" w:color="auto" w:fill="auto"/>
          </w:tcPr>
          <w:p w:rsidR="004F3DA4" w:rsidP="001A3CF3" w:rsidRDefault="004F3DA4" w14:paraId="2B4C4869" w14:textId="17BF24CC">
            <w:pPr>
              <w:tabs>
                <w:tab w:val="left" w:pos="1260"/>
              </w:tabs>
              <w:rPr>
                <w:color w:val="000000"/>
              </w:rPr>
            </w:pPr>
            <w:r>
              <w:rPr>
                <w:color w:val="000000"/>
              </w:rPr>
              <w:lastRenderedPageBreak/>
              <w:t>Comment 2</w:t>
            </w:r>
          </w:p>
        </w:tc>
        <w:tc>
          <w:tcPr>
            <w:tcW w:w="7920" w:type="dxa"/>
            <w:shd w:val="clear" w:color="auto" w:fill="auto"/>
          </w:tcPr>
          <w:p w:rsidR="00D01E49" w:rsidP="00D01E49" w:rsidRDefault="00D01E49" w14:paraId="188AA7B9" w14:textId="3382562D">
            <w:pPr>
              <w:tabs>
                <w:tab w:val="left" w:pos="1260"/>
              </w:tabs>
              <w:spacing w:before="120"/>
              <w:rPr>
                <w:color w:val="000000"/>
              </w:rPr>
            </w:pPr>
            <w:r w:rsidRPr="00650D29">
              <w:rPr>
                <w:color w:val="000000"/>
              </w:rPr>
              <w:t xml:space="preserve">Shana </w:t>
            </w:r>
            <w:proofErr w:type="spellStart"/>
            <w:r w:rsidRPr="00650D29">
              <w:rPr>
                <w:color w:val="000000"/>
              </w:rPr>
              <w:t>Lazerow</w:t>
            </w:r>
            <w:proofErr w:type="spellEnd"/>
            <w:r w:rsidRPr="00650D29">
              <w:rPr>
                <w:color w:val="000000"/>
              </w:rPr>
              <w:t xml:space="preserve"> is </w:t>
            </w:r>
            <w:r>
              <w:rPr>
                <w:color w:val="000000"/>
              </w:rPr>
              <w:t xml:space="preserve">Legal </w:t>
            </w:r>
            <w:r w:rsidR="003A6C48">
              <w:rPr>
                <w:color w:val="000000"/>
              </w:rPr>
              <w:t>Co-</w:t>
            </w:r>
            <w:r>
              <w:rPr>
                <w:color w:val="000000"/>
              </w:rPr>
              <w:t xml:space="preserve">Director </w:t>
            </w:r>
            <w:r w:rsidRPr="00650D29">
              <w:rPr>
                <w:color w:val="000000"/>
              </w:rPr>
              <w:t xml:space="preserve">at </w:t>
            </w:r>
            <w:r>
              <w:rPr>
                <w:color w:val="000000"/>
              </w:rPr>
              <w:t>Communities for a Better Environment</w:t>
            </w:r>
            <w:r w:rsidRPr="00650D29">
              <w:rPr>
                <w:color w:val="000000"/>
              </w:rPr>
              <w:t>. She graduated from law school at</w:t>
            </w:r>
            <w:r>
              <w:rPr>
                <w:color w:val="000000"/>
              </w:rPr>
              <w:t xml:space="preserve"> </w:t>
            </w:r>
            <w:r w:rsidRPr="00650D29">
              <w:rPr>
                <w:color w:val="000000"/>
              </w:rPr>
              <w:t>the University of California, Los Angeles in 1997. She has practiced environmental</w:t>
            </w:r>
            <w:r>
              <w:rPr>
                <w:color w:val="000000"/>
              </w:rPr>
              <w:t xml:space="preserve"> </w:t>
            </w:r>
            <w:r w:rsidRPr="00650D29">
              <w:rPr>
                <w:color w:val="000000"/>
              </w:rPr>
              <w:t xml:space="preserve">and administrative law for more than </w:t>
            </w:r>
            <w:r>
              <w:rPr>
                <w:color w:val="000000"/>
              </w:rPr>
              <w:t>2</w:t>
            </w:r>
            <w:r w:rsidR="00F91388">
              <w:rPr>
                <w:color w:val="000000"/>
              </w:rPr>
              <w:t>5</w:t>
            </w:r>
            <w:r>
              <w:rPr>
                <w:color w:val="000000"/>
              </w:rPr>
              <w:t xml:space="preserve"> </w:t>
            </w:r>
            <w:r w:rsidRPr="00650D29">
              <w:rPr>
                <w:color w:val="000000"/>
              </w:rPr>
              <w:t xml:space="preserve">years, and </w:t>
            </w:r>
            <w:r>
              <w:rPr>
                <w:color w:val="000000"/>
              </w:rPr>
              <w:t xml:space="preserve">she </w:t>
            </w:r>
            <w:r w:rsidRPr="00650D29">
              <w:rPr>
                <w:color w:val="000000"/>
              </w:rPr>
              <w:t>has held the position of Chief of</w:t>
            </w:r>
            <w:r>
              <w:rPr>
                <w:color w:val="000000"/>
              </w:rPr>
              <w:t xml:space="preserve"> </w:t>
            </w:r>
            <w:r w:rsidRPr="00650D29">
              <w:rPr>
                <w:color w:val="000000"/>
              </w:rPr>
              <w:t xml:space="preserve">Litigation </w:t>
            </w:r>
            <w:r>
              <w:rPr>
                <w:color w:val="000000"/>
              </w:rPr>
              <w:t xml:space="preserve">/ Legal Director </w:t>
            </w:r>
            <w:r w:rsidRPr="00650D29">
              <w:rPr>
                <w:color w:val="000000"/>
              </w:rPr>
              <w:t xml:space="preserve">at CBE since 2005. </w:t>
            </w:r>
          </w:p>
          <w:p w:rsidR="00B01D1A" w:rsidP="00D01E49" w:rsidRDefault="00B01D1A" w14:paraId="53DA938B" w14:textId="77777777">
            <w:pPr>
              <w:tabs>
                <w:tab w:val="left" w:pos="1260"/>
              </w:tabs>
              <w:rPr>
                <w:bCs/>
                <w:color w:val="000000"/>
              </w:rPr>
            </w:pPr>
          </w:p>
          <w:p w:rsidRPr="00E25FC9" w:rsidR="00D01E49" w:rsidP="00D01E49" w:rsidRDefault="00D01E49" w14:paraId="356DB615" w14:textId="65F5EBB9">
            <w:pPr>
              <w:tabs>
                <w:tab w:val="left" w:pos="1260"/>
              </w:tabs>
              <w:rPr>
                <w:bCs/>
                <w:color w:val="000000"/>
              </w:rPr>
            </w:pPr>
            <w:r w:rsidRPr="001B6543">
              <w:rPr>
                <w:bCs/>
                <w:color w:val="000000"/>
              </w:rPr>
              <w:t xml:space="preserve">Ms. </w:t>
            </w:r>
            <w:proofErr w:type="spellStart"/>
            <w:r>
              <w:rPr>
                <w:bCs/>
                <w:color w:val="000000"/>
              </w:rPr>
              <w:t>Lazerow</w:t>
            </w:r>
            <w:proofErr w:type="spellEnd"/>
            <w:r>
              <w:rPr>
                <w:bCs/>
                <w:color w:val="000000"/>
              </w:rPr>
              <w:t xml:space="preserve"> represents CEJA</w:t>
            </w:r>
            <w:r w:rsidRPr="001B6543">
              <w:rPr>
                <w:bCs/>
                <w:color w:val="000000"/>
              </w:rPr>
              <w:t xml:space="preserve"> on a contingency basis. </w:t>
            </w:r>
            <w:r>
              <w:rPr>
                <w:bCs/>
                <w:color w:val="000000"/>
              </w:rPr>
              <w:t xml:space="preserve">A discussion of Ms. </w:t>
            </w:r>
            <w:proofErr w:type="spellStart"/>
            <w:r>
              <w:rPr>
                <w:bCs/>
                <w:color w:val="000000"/>
              </w:rPr>
              <w:t>Lazerow’s</w:t>
            </w:r>
            <w:proofErr w:type="spellEnd"/>
            <w:r>
              <w:rPr>
                <w:bCs/>
                <w:color w:val="000000"/>
              </w:rPr>
              <w:t xml:space="preserve"> representation </w:t>
            </w:r>
            <w:r w:rsidRPr="001B6543">
              <w:rPr>
                <w:bCs/>
                <w:color w:val="000000"/>
              </w:rPr>
              <w:t xml:space="preserve">on a contingency basis </w:t>
            </w:r>
            <w:r>
              <w:rPr>
                <w:bCs/>
                <w:color w:val="000000"/>
              </w:rPr>
              <w:t>was</w:t>
            </w:r>
            <w:r w:rsidRPr="001B6543">
              <w:rPr>
                <w:bCs/>
                <w:color w:val="000000"/>
              </w:rPr>
              <w:t xml:space="preserve"> filed in Rulemaking 22-07-005.  </w:t>
            </w:r>
            <w:r>
              <w:rPr>
                <w:bCs/>
                <w:color w:val="000000"/>
              </w:rPr>
              <w:t>Since</w:t>
            </w:r>
            <w:r w:rsidRPr="001B6543">
              <w:rPr>
                <w:bCs/>
                <w:color w:val="000000"/>
              </w:rPr>
              <w:t xml:space="preserve"> </w:t>
            </w:r>
            <w:r>
              <w:rPr>
                <w:bCs/>
                <w:color w:val="000000"/>
              </w:rPr>
              <w:t xml:space="preserve">Ms. </w:t>
            </w:r>
            <w:proofErr w:type="spellStart"/>
            <w:r>
              <w:rPr>
                <w:bCs/>
                <w:color w:val="000000"/>
              </w:rPr>
              <w:t>Lazerow</w:t>
            </w:r>
            <w:proofErr w:type="spellEnd"/>
            <w:r w:rsidRPr="001B6543">
              <w:rPr>
                <w:bCs/>
                <w:color w:val="000000"/>
              </w:rPr>
              <w:t xml:space="preserve"> works solely on contingency, CEJA is requesting </w:t>
            </w:r>
            <w:proofErr w:type="gramStart"/>
            <w:r w:rsidRPr="001B6543">
              <w:rPr>
                <w:bCs/>
                <w:color w:val="000000"/>
              </w:rPr>
              <w:t>market</w:t>
            </w:r>
            <w:proofErr w:type="gramEnd"/>
            <w:r w:rsidRPr="001B6543">
              <w:rPr>
                <w:bCs/>
                <w:color w:val="000000"/>
              </w:rPr>
              <w:t xml:space="preserve"> rate for her work. </w:t>
            </w:r>
            <w:r w:rsidR="00B01D1A">
              <w:rPr>
                <w:bCs/>
                <w:color w:val="000000"/>
              </w:rPr>
              <w:t xml:space="preserve">Notably, in D.25-01-051, the Commission found that Ms. </w:t>
            </w:r>
            <w:proofErr w:type="spellStart"/>
            <w:r w:rsidR="00B01D1A">
              <w:rPr>
                <w:bCs/>
                <w:color w:val="000000"/>
              </w:rPr>
              <w:t>Lazerow</w:t>
            </w:r>
            <w:proofErr w:type="spellEnd"/>
            <w:r w:rsidR="00B01D1A">
              <w:rPr>
                <w:bCs/>
                <w:color w:val="000000"/>
              </w:rPr>
              <w:t xml:space="preserve"> </w:t>
            </w:r>
            <w:r w:rsidR="00B01D1A">
              <w:t>serves on a “contingency basis where the consultant has not billed or collected full compensation for the work performed until the final award is given.”</w:t>
            </w:r>
            <w:r w:rsidR="00B01D1A">
              <w:rPr>
                <w:rStyle w:val="FootnoteReference"/>
              </w:rPr>
              <w:footnoteReference w:id="12"/>
            </w:r>
            <w:r w:rsidR="00B01D1A">
              <w:t xml:space="preserve">  CEJA is asking for the same findings here.</w:t>
            </w:r>
          </w:p>
          <w:p w:rsidR="00D01E49" w:rsidP="00D01E49" w:rsidRDefault="00D01E49" w14:paraId="4CEF0C9C" w14:textId="77777777">
            <w:pPr>
              <w:tabs>
                <w:tab w:val="left" w:pos="1260"/>
              </w:tabs>
              <w:rPr>
                <w:color w:val="000000"/>
              </w:rPr>
            </w:pPr>
          </w:p>
          <w:p w:rsidR="004F3DA4" w:rsidP="00D01E49" w:rsidRDefault="00D01E49" w14:paraId="2F7B69E6" w14:textId="77777777">
            <w:pPr>
              <w:tabs>
                <w:tab w:val="left" w:pos="1260"/>
              </w:tabs>
              <w:rPr>
                <w:color w:val="000000"/>
              </w:rPr>
            </w:pPr>
            <w:r>
              <w:rPr>
                <w:color w:val="000000"/>
              </w:rPr>
              <w:t xml:space="preserve">CEJA provided Shana </w:t>
            </w:r>
            <w:proofErr w:type="spellStart"/>
            <w:r>
              <w:rPr>
                <w:color w:val="000000"/>
              </w:rPr>
              <w:t>Lazerow’s</w:t>
            </w:r>
            <w:proofErr w:type="spellEnd"/>
            <w:r>
              <w:rPr>
                <w:color w:val="000000"/>
              </w:rPr>
              <w:t xml:space="preserve"> CV and the justification for the requested hourly rate</w:t>
            </w:r>
            <w:r w:rsidR="00DA5577">
              <w:rPr>
                <w:color w:val="000000"/>
              </w:rPr>
              <w:t xml:space="preserve">s </w:t>
            </w:r>
            <w:r>
              <w:rPr>
                <w:color w:val="000000"/>
              </w:rPr>
              <w:t xml:space="preserve">for Ms. </w:t>
            </w:r>
            <w:proofErr w:type="spellStart"/>
            <w:r>
              <w:rPr>
                <w:color w:val="000000"/>
              </w:rPr>
              <w:t>Lazerow</w:t>
            </w:r>
            <w:proofErr w:type="spellEnd"/>
            <w:r>
              <w:rPr>
                <w:color w:val="000000"/>
              </w:rPr>
              <w:t>, pursuant to the directions in Res. ALJ-393 in CEJA’s request filed in R.20-05-003 on July 15, 2021.</w:t>
            </w:r>
          </w:p>
          <w:p w:rsidR="00B01D1A" w:rsidP="00D01E49" w:rsidRDefault="00B01D1A" w14:paraId="3A55AE0A" w14:textId="77777777">
            <w:pPr>
              <w:tabs>
                <w:tab w:val="left" w:pos="1260"/>
              </w:tabs>
              <w:rPr>
                <w:b/>
                <w:color w:val="000000"/>
              </w:rPr>
            </w:pPr>
          </w:p>
          <w:p w:rsidRPr="007F620E" w:rsidR="00B01D1A" w:rsidP="00D01E49" w:rsidRDefault="00B01D1A" w14:paraId="2882AEA0" w14:textId="727D742F">
            <w:pPr>
              <w:tabs>
                <w:tab w:val="left" w:pos="1260"/>
              </w:tabs>
              <w:rPr>
                <w:b/>
                <w:color w:val="000000"/>
              </w:rPr>
            </w:pPr>
            <w:r>
              <w:rPr>
                <w:bCs/>
                <w:color w:val="000000"/>
              </w:rPr>
              <w:t xml:space="preserve">Ms. </w:t>
            </w:r>
            <w:proofErr w:type="spellStart"/>
            <w:r>
              <w:rPr>
                <w:bCs/>
                <w:color w:val="000000"/>
              </w:rPr>
              <w:t>Lazerow’s</w:t>
            </w:r>
            <w:proofErr w:type="spellEnd"/>
            <w:r>
              <w:rPr>
                <w:bCs/>
                <w:color w:val="000000"/>
              </w:rPr>
              <w:t xml:space="preserve"> 2024 rate of $730 was approved by the Commission </w:t>
            </w:r>
            <w:proofErr w:type="gramStart"/>
            <w:r>
              <w:rPr>
                <w:bCs/>
                <w:color w:val="000000"/>
              </w:rPr>
              <w:t>in</w:t>
            </w:r>
            <w:proofErr w:type="gramEnd"/>
            <w:r>
              <w:rPr>
                <w:bCs/>
                <w:color w:val="000000"/>
              </w:rPr>
              <w:t xml:space="preserve"> D.25-01-051.  CEJA requests that the 2025 escalation</w:t>
            </w:r>
            <w:r w:rsidR="00372E5B">
              <w:rPr>
                <w:bCs/>
                <w:color w:val="000000"/>
              </w:rPr>
              <w:t xml:space="preserve"> of 3.46%</w:t>
            </w:r>
            <w:r>
              <w:rPr>
                <w:bCs/>
                <w:color w:val="000000"/>
              </w:rPr>
              <w:t xml:space="preserve"> </w:t>
            </w:r>
            <w:r w:rsidR="00C41322">
              <w:rPr>
                <w:bCs/>
                <w:color w:val="000000"/>
              </w:rPr>
              <w:t>be</w:t>
            </w:r>
            <w:r>
              <w:rPr>
                <w:bCs/>
                <w:color w:val="000000"/>
              </w:rPr>
              <w:t xml:space="preserve"> included in the 2025 rate.</w:t>
            </w:r>
          </w:p>
        </w:tc>
      </w:tr>
    </w:tbl>
    <w:p w:rsidRPr="007F620E" w:rsidR="00A92D0B" w:rsidP="005B5B44" w:rsidRDefault="00A92D0B" w14:paraId="0D8B7003" w14:textId="32202041">
      <w:pPr>
        <w:keepNext/>
        <w:numPr>
          <w:ilvl w:val="0"/>
          <w:numId w:val="9"/>
        </w:numPr>
        <w:spacing w:before="240" w:after="240"/>
        <w:rPr>
          <w:b/>
          <w:color w:val="000000"/>
        </w:rPr>
      </w:pPr>
      <w:r w:rsidRPr="007F620E">
        <w:rPr>
          <w:b/>
          <w:color w:val="000000"/>
        </w:rPr>
        <w:t xml:space="preserve">CPUC </w:t>
      </w:r>
      <w:r w:rsidR="008C09F7">
        <w:rPr>
          <w:b/>
          <w:color w:val="000000"/>
        </w:rPr>
        <w:t xml:space="preserve">Comments, </w:t>
      </w:r>
      <w:r w:rsidRPr="007F620E">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Pr>
          <w:b/>
          <w:color w:val="000000"/>
        </w:rPr>
        <w:t>Adjustments</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24"/>
        <w:gridCol w:w="8191"/>
      </w:tblGrid>
      <w:tr w:rsidRPr="007F620E" w:rsidR="00A92D0B" w:rsidTr="00CE4462" w14:paraId="52CD0603" w14:textId="77777777">
        <w:trPr>
          <w:tblHeader/>
        </w:trPr>
        <w:tc>
          <w:tcPr>
            <w:tcW w:w="1524"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8191"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CE4462" w14:paraId="69DEE01C" w14:textId="77777777">
        <w:tc>
          <w:tcPr>
            <w:tcW w:w="1524" w:type="dxa"/>
            <w:shd w:val="clear" w:color="auto" w:fill="auto"/>
          </w:tcPr>
          <w:p w:rsidRPr="007F620E" w:rsidR="00A92D0B" w:rsidP="00EB64CF" w:rsidRDefault="00E77FBD" w14:paraId="1E6C8F3D" w14:textId="27073110">
            <w:pPr>
              <w:tabs>
                <w:tab w:val="left" w:pos="1440"/>
              </w:tabs>
              <w:rPr>
                <w:color w:val="000000"/>
              </w:rPr>
            </w:pPr>
            <w:r>
              <w:rPr>
                <w:color w:val="000000"/>
              </w:rPr>
              <w:t xml:space="preserve">[1] </w:t>
            </w:r>
            <w:r w:rsidR="0083540E">
              <w:rPr>
                <w:color w:val="000000"/>
              </w:rPr>
              <w:t>Behle</w:t>
            </w:r>
            <w:r w:rsidR="00926C00">
              <w:rPr>
                <w:color w:val="000000"/>
              </w:rPr>
              <w:t>s</w:t>
            </w:r>
            <w:r w:rsidR="009C1739">
              <w:rPr>
                <w:color w:val="000000"/>
              </w:rPr>
              <w:t xml:space="preserve"> &amp; </w:t>
            </w:r>
            <w:proofErr w:type="spellStart"/>
            <w:r w:rsidR="009C1739">
              <w:rPr>
                <w:color w:val="000000"/>
              </w:rPr>
              <w:t>Lazerow’s</w:t>
            </w:r>
            <w:proofErr w:type="spellEnd"/>
            <w:r w:rsidR="009C1739">
              <w:rPr>
                <w:color w:val="000000"/>
              </w:rPr>
              <w:t xml:space="preserve"> </w:t>
            </w:r>
            <w:r w:rsidR="00926C00">
              <w:rPr>
                <w:color w:val="000000"/>
              </w:rPr>
              <w:t>2024 Disallowance</w:t>
            </w:r>
            <w:r w:rsidR="00592E0D">
              <w:rPr>
                <w:color w:val="000000"/>
              </w:rPr>
              <w:t xml:space="preserve"> for Lack of Substantial Contribution</w:t>
            </w:r>
          </w:p>
        </w:tc>
        <w:tc>
          <w:tcPr>
            <w:tcW w:w="8191" w:type="dxa"/>
            <w:shd w:val="clear" w:color="auto" w:fill="auto"/>
          </w:tcPr>
          <w:p w:rsidRPr="00F71FAF" w:rsidR="00407B7B" w:rsidP="00EB64CF" w:rsidRDefault="00407B7B" w14:paraId="052FE5B7" w14:textId="148D8CAF">
            <w:pPr>
              <w:tabs>
                <w:tab w:val="left" w:pos="1440"/>
              </w:tabs>
              <w:rPr>
                <w:b/>
                <w:bCs/>
                <w:color w:val="000000"/>
              </w:rPr>
            </w:pPr>
            <w:r w:rsidRPr="00D32960">
              <w:rPr>
                <w:b/>
                <w:bCs/>
                <w:color w:val="000000"/>
              </w:rPr>
              <w:t>Behles’ 2024 hours are reduced by 10.08 hours</w:t>
            </w:r>
            <w:r w:rsidR="00B067E6">
              <w:rPr>
                <w:b/>
                <w:bCs/>
                <w:color w:val="000000"/>
              </w:rPr>
              <w:t xml:space="preserve">, and </w:t>
            </w:r>
            <w:proofErr w:type="spellStart"/>
            <w:r w:rsidRPr="00B067E6" w:rsidR="00B067E6">
              <w:rPr>
                <w:b/>
                <w:bCs/>
                <w:color w:val="000000"/>
              </w:rPr>
              <w:t>Lazerow’s</w:t>
            </w:r>
            <w:proofErr w:type="spellEnd"/>
            <w:r w:rsidRPr="00B067E6" w:rsidR="00B067E6">
              <w:rPr>
                <w:b/>
                <w:bCs/>
                <w:color w:val="000000"/>
              </w:rPr>
              <w:t xml:space="preserve"> 2024 hours are reduced by 0.15 </w:t>
            </w:r>
            <w:r w:rsidRPr="00B067E6" w:rsidR="00741A9D">
              <w:rPr>
                <w:b/>
                <w:bCs/>
                <w:color w:val="000000"/>
              </w:rPr>
              <w:t>hours</w:t>
            </w:r>
            <w:r w:rsidRPr="00D32960" w:rsidR="00741A9D">
              <w:rPr>
                <w:b/>
                <w:bCs/>
                <w:color w:val="000000"/>
              </w:rPr>
              <w:t xml:space="preserve"> for</w:t>
            </w:r>
            <w:r w:rsidRPr="00D32960">
              <w:rPr>
                <w:b/>
                <w:bCs/>
                <w:color w:val="000000"/>
              </w:rPr>
              <w:t xml:space="preserve"> the activities below:</w:t>
            </w:r>
          </w:p>
          <w:p w:rsidRPr="00C96F6F" w:rsidR="00C96F6F" w:rsidP="00F71FAF" w:rsidRDefault="00C96F6F" w14:paraId="36380B23" w14:textId="4437B7B2">
            <w:pPr>
              <w:tabs>
                <w:tab w:val="left" w:pos="1440"/>
              </w:tabs>
              <w:spacing w:before="120"/>
              <w:rPr>
                <w:color w:val="000000"/>
                <w:u w:val="single"/>
              </w:rPr>
            </w:pPr>
            <w:r w:rsidRPr="00C96F6F">
              <w:rPr>
                <w:color w:val="000000"/>
                <w:u w:val="single"/>
              </w:rPr>
              <w:t>Lack of Substantial Contribution</w:t>
            </w:r>
            <w:r w:rsidR="006E36EF">
              <w:rPr>
                <w:color w:val="000000"/>
                <w:u w:val="single"/>
              </w:rPr>
              <w:t xml:space="preserve"> (</w:t>
            </w:r>
            <w:r w:rsidR="009C1739">
              <w:rPr>
                <w:color w:val="000000"/>
                <w:u w:val="single"/>
              </w:rPr>
              <w:t xml:space="preserve">Behles: </w:t>
            </w:r>
            <w:r w:rsidR="006E36EF">
              <w:rPr>
                <w:color w:val="000000"/>
                <w:u w:val="single"/>
              </w:rPr>
              <w:t>10.08 hours</w:t>
            </w:r>
            <w:r w:rsidR="009C1739">
              <w:rPr>
                <w:color w:val="000000"/>
                <w:u w:val="single"/>
              </w:rPr>
              <w:t xml:space="preserve">; </w:t>
            </w:r>
            <w:proofErr w:type="spellStart"/>
            <w:r w:rsidR="009C1739">
              <w:rPr>
                <w:color w:val="000000"/>
                <w:u w:val="single"/>
              </w:rPr>
              <w:t>Lazerow</w:t>
            </w:r>
            <w:proofErr w:type="spellEnd"/>
            <w:r w:rsidR="009C1739">
              <w:rPr>
                <w:color w:val="000000"/>
                <w:u w:val="single"/>
              </w:rPr>
              <w:t>: 0.15</w:t>
            </w:r>
            <w:r w:rsidR="000F6034">
              <w:rPr>
                <w:color w:val="000000"/>
                <w:u w:val="single"/>
              </w:rPr>
              <w:t xml:space="preserve"> hours</w:t>
            </w:r>
            <w:r w:rsidR="006E36EF">
              <w:rPr>
                <w:color w:val="000000"/>
                <w:u w:val="single"/>
              </w:rPr>
              <w:t>)</w:t>
            </w:r>
            <w:r w:rsidRPr="00C96F6F">
              <w:rPr>
                <w:color w:val="000000"/>
                <w:u w:val="single"/>
              </w:rPr>
              <w:t>:</w:t>
            </w:r>
          </w:p>
          <w:p w:rsidR="001710E2" w:rsidP="00E57AC3" w:rsidRDefault="00CE3FA5" w14:paraId="53AB3DB3" w14:textId="19CE6E9B">
            <w:pPr>
              <w:tabs>
                <w:tab w:val="left" w:pos="1440"/>
              </w:tabs>
              <w:rPr>
                <w:color w:val="000000"/>
              </w:rPr>
            </w:pPr>
            <w:r>
              <w:rPr>
                <w:color w:val="000000"/>
              </w:rPr>
              <w:t xml:space="preserve">CEJA </w:t>
            </w:r>
            <w:r w:rsidR="00136A9D">
              <w:rPr>
                <w:color w:val="000000"/>
              </w:rPr>
              <w:t>is seeking compensation for the Commission’s decision to require DWR procurement of OSW up to 7.6</w:t>
            </w:r>
            <w:r w:rsidR="00A2292A">
              <w:rPr>
                <w:color w:val="000000"/>
              </w:rPr>
              <w:t xml:space="preserve"> GW. However, </w:t>
            </w:r>
            <w:r w:rsidR="0099296E">
              <w:rPr>
                <w:color w:val="000000"/>
              </w:rPr>
              <w:t xml:space="preserve">the </w:t>
            </w:r>
            <w:r w:rsidR="00EE2FE7">
              <w:rPr>
                <w:color w:val="000000"/>
              </w:rPr>
              <w:t>decision was based on the Commission</w:t>
            </w:r>
            <w:r w:rsidR="00EF0731">
              <w:rPr>
                <w:color w:val="000000"/>
              </w:rPr>
              <w:t>’</w:t>
            </w:r>
            <w:r w:rsidR="00FC4573">
              <w:rPr>
                <w:color w:val="000000"/>
              </w:rPr>
              <w:t>s</w:t>
            </w:r>
            <w:r w:rsidR="00EF0731">
              <w:rPr>
                <w:color w:val="000000"/>
              </w:rPr>
              <w:t xml:space="preserve"> own</w:t>
            </w:r>
            <w:r w:rsidR="00EE2FE7">
              <w:rPr>
                <w:color w:val="000000"/>
              </w:rPr>
              <w:t xml:space="preserve"> staff</w:t>
            </w:r>
            <w:r w:rsidR="00EF0731">
              <w:rPr>
                <w:color w:val="000000"/>
              </w:rPr>
              <w:t xml:space="preserve"> </w:t>
            </w:r>
            <w:r w:rsidR="00EE2FE7">
              <w:rPr>
                <w:color w:val="000000"/>
              </w:rPr>
              <w:t>analysis</w:t>
            </w:r>
            <w:r w:rsidR="00EF0731">
              <w:rPr>
                <w:color w:val="000000"/>
              </w:rPr>
              <w:t xml:space="preserve">, not </w:t>
            </w:r>
            <w:r w:rsidR="00B62B75">
              <w:rPr>
                <w:color w:val="000000"/>
              </w:rPr>
              <w:t xml:space="preserve">party proposals. </w:t>
            </w:r>
            <w:r w:rsidR="00394E66">
              <w:rPr>
                <w:color w:val="000000"/>
              </w:rPr>
              <w:t>See D.24-08-064 where the Decision states, “</w:t>
            </w:r>
            <w:r w:rsidRPr="005D544E" w:rsidR="005D544E">
              <w:rPr>
                <w:color w:val="000000"/>
              </w:rPr>
              <w:t xml:space="preserve">Looking at the cost-benefit analysis conducted by Commission </w:t>
            </w:r>
            <w:r w:rsidRPr="005D544E" w:rsidR="005D544E">
              <w:rPr>
                <w:color w:val="000000"/>
              </w:rPr>
              <w:lastRenderedPageBreak/>
              <w:t>staff, which considers the likelihood that benefits will exceed costs at particular levels of capacity procurement, the 7.6 GW scenario analyzed appears to be the level beyond which, based on current assumptions, it becomes more likely that the costs of procuring the OSW will exceed benefits in cost savings to electricity ratepayers. Beyond that level, net benefits currently appear to be lower, largely due to more expensive transmission upgrade costs and declining marginal benefits.</w:t>
            </w:r>
            <w:r w:rsidR="001710E2">
              <w:rPr>
                <w:color w:val="000000"/>
              </w:rPr>
              <w:t>”</w:t>
            </w:r>
          </w:p>
          <w:p w:rsidRPr="007F620E" w:rsidR="001710E2" w:rsidP="00E57AC3" w:rsidRDefault="00D216B0" w14:paraId="45BFCB16" w14:textId="13237D89">
            <w:pPr>
              <w:tabs>
                <w:tab w:val="left" w:pos="1440"/>
              </w:tabs>
              <w:spacing w:before="120"/>
              <w:rPr>
                <w:color w:val="000000"/>
              </w:rPr>
            </w:pPr>
            <w:r>
              <w:rPr>
                <w:color w:val="000000"/>
              </w:rPr>
              <w:t xml:space="preserve">CEJA did </w:t>
            </w:r>
            <w:r w:rsidR="00A80FC5">
              <w:rPr>
                <w:color w:val="000000"/>
              </w:rPr>
              <w:t>provide supporting arguments</w:t>
            </w:r>
            <w:r w:rsidR="00A47FF6">
              <w:rPr>
                <w:color w:val="000000"/>
              </w:rPr>
              <w:t xml:space="preserve">, </w:t>
            </w:r>
            <w:r w:rsidR="007F05FD">
              <w:rPr>
                <w:color w:val="000000"/>
              </w:rPr>
              <w:t xml:space="preserve">however their </w:t>
            </w:r>
            <w:r w:rsidRPr="007F05FD" w:rsidR="007F05FD">
              <w:rPr>
                <w:color w:val="000000"/>
              </w:rPr>
              <w:t xml:space="preserve">input had </w:t>
            </w:r>
            <w:proofErr w:type="gramStart"/>
            <w:r w:rsidRPr="007F05FD" w:rsidR="007F05FD">
              <w:rPr>
                <w:color w:val="000000"/>
              </w:rPr>
              <w:t>minimal</w:t>
            </w:r>
            <w:proofErr w:type="gramEnd"/>
            <w:r w:rsidRPr="007F05FD" w:rsidR="007F05FD">
              <w:rPr>
                <w:color w:val="000000"/>
              </w:rPr>
              <w:t xml:space="preserve"> influence on the decision-making process</w:t>
            </w:r>
            <w:r w:rsidR="007F05FD">
              <w:rPr>
                <w:color w:val="000000"/>
              </w:rPr>
              <w:t xml:space="preserve">. </w:t>
            </w:r>
            <w:r w:rsidRPr="008D263B" w:rsidR="007F05FD">
              <w:rPr>
                <w:color w:val="000000"/>
              </w:rPr>
              <w:t xml:space="preserve"> </w:t>
            </w:r>
            <w:r w:rsidR="007F05FD">
              <w:rPr>
                <w:color w:val="000000"/>
              </w:rPr>
              <w:t>Therefore</w:t>
            </w:r>
            <w:r w:rsidR="00450BDC">
              <w:rPr>
                <w:color w:val="000000"/>
              </w:rPr>
              <w:t>,</w:t>
            </w:r>
            <w:r w:rsidR="007F05FD">
              <w:rPr>
                <w:color w:val="000000"/>
              </w:rPr>
              <w:t xml:space="preserve"> </w:t>
            </w:r>
            <w:r w:rsidRPr="008D263B" w:rsidR="008D263B">
              <w:rPr>
                <w:color w:val="000000"/>
              </w:rPr>
              <w:t>we find 75% of the</w:t>
            </w:r>
            <w:r w:rsidR="00B4530C">
              <w:rPr>
                <w:color w:val="000000"/>
              </w:rPr>
              <w:t xml:space="preserve"> total</w:t>
            </w:r>
            <w:r w:rsidRPr="008D263B" w:rsidR="008D263B">
              <w:rPr>
                <w:color w:val="000000"/>
              </w:rPr>
              <w:t xml:space="preserve"> hours reasonable, as </w:t>
            </w:r>
            <w:r w:rsidR="007F05FD">
              <w:rPr>
                <w:color w:val="000000"/>
              </w:rPr>
              <w:t xml:space="preserve">this </w:t>
            </w:r>
            <w:r w:rsidRPr="007F05FD" w:rsidR="007F05FD">
              <w:rPr>
                <w:color w:val="000000"/>
              </w:rPr>
              <w:t>is commensurate</w:t>
            </w:r>
            <w:r w:rsidR="007F05FD">
              <w:rPr>
                <w:color w:val="000000"/>
              </w:rPr>
              <w:t xml:space="preserve"> with</w:t>
            </w:r>
            <w:r w:rsidRPr="008D263B" w:rsidR="008D263B">
              <w:rPr>
                <w:color w:val="000000"/>
              </w:rPr>
              <w:t xml:space="preserve"> the value of </w:t>
            </w:r>
            <w:r w:rsidR="008D263B">
              <w:rPr>
                <w:color w:val="000000"/>
              </w:rPr>
              <w:t>CEJA</w:t>
            </w:r>
            <w:r w:rsidRPr="008D263B" w:rsidR="008D263B">
              <w:rPr>
                <w:color w:val="000000"/>
              </w:rPr>
              <w:t xml:space="preserve">’s contributions </w:t>
            </w:r>
            <w:r w:rsidR="008D263B">
              <w:rPr>
                <w:color w:val="000000"/>
              </w:rPr>
              <w:t>regarding this issue</w:t>
            </w:r>
            <w:r w:rsidRPr="008D263B" w:rsidR="008D263B">
              <w:rPr>
                <w:color w:val="000000"/>
              </w:rPr>
              <w:t xml:space="preserve"> </w:t>
            </w:r>
            <w:proofErr w:type="gramStart"/>
            <w:r w:rsidRPr="008D263B" w:rsidR="008D263B">
              <w:rPr>
                <w:color w:val="000000"/>
              </w:rPr>
              <w:t>in</w:t>
            </w:r>
            <w:proofErr w:type="gramEnd"/>
            <w:r w:rsidRPr="008D263B" w:rsidR="008D263B">
              <w:rPr>
                <w:color w:val="000000"/>
              </w:rPr>
              <w:t xml:space="preserve"> </w:t>
            </w:r>
            <w:r w:rsidRPr="005622A2" w:rsidR="005622A2">
              <w:rPr>
                <w:color w:val="000000"/>
              </w:rPr>
              <w:t>D.24-08-064</w:t>
            </w:r>
            <w:r w:rsidRPr="008D263B" w:rsidR="008D263B">
              <w:rPr>
                <w:color w:val="000000"/>
              </w:rPr>
              <w:t>.</w:t>
            </w:r>
          </w:p>
        </w:tc>
      </w:tr>
      <w:tr w:rsidRPr="007F620E" w:rsidR="008A6108" w:rsidTr="00CE4462" w14:paraId="6C45D45B" w14:textId="77777777">
        <w:tc>
          <w:tcPr>
            <w:tcW w:w="1524" w:type="dxa"/>
            <w:shd w:val="clear" w:color="auto" w:fill="auto"/>
          </w:tcPr>
          <w:p w:rsidR="008A6108" w:rsidP="00EB64CF" w:rsidRDefault="00D27D90" w14:paraId="655F00EE" w14:textId="2F8EA674">
            <w:pPr>
              <w:tabs>
                <w:tab w:val="left" w:pos="1440"/>
              </w:tabs>
              <w:rPr>
                <w:color w:val="000000"/>
              </w:rPr>
            </w:pPr>
            <w:r>
              <w:rPr>
                <w:color w:val="000000"/>
              </w:rPr>
              <w:lastRenderedPageBreak/>
              <w:t>[</w:t>
            </w:r>
            <w:r w:rsidR="009D3411">
              <w:rPr>
                <w:color w:val="000000"/>
              </w:rPr>
              <w:t>2</w:t>
            </w:r>
            <w:r>
              <w:rPr>
                <w:color w:val="000000"/>
              </w:rPr>
              <w:t xml:space="preserve">] </w:t>
            </w:r>
            <w:proofErr w:type="spellStart"/>
            <w:r w:rsidR="008A6108">
              <w:rPr>
                <w:color w:val="000000"/>
              </w:rPr>
              <w:t>Lazerow’s</w:t>
            </w:r>
            <w:proofErr w:type="spellEnd"/>
            <w:r w:rsidR="008A6108">
              <w:rPr>
                <w:color w:val="000000"/>
              </w:rPr>
              <w:t xml:space="preserve"> 2025 Disallowance</w:t>
            </w:r>
          </w:p>
        </w:tc>
        <w:tc>
          <w:tcPr>
            <w:tcW w:w="8191" w:type="dxa"/>
            <w:shd w:val="clear" w:color="auto" w:fill="auto"/>
          </w:tcPr>
          <w:p w:rsidRPr="00F71FAF" w:rsidR="00E27657" w:rsidP="008A6108" w:rsidRDefault="00E27657" w14:paraId="30F05200" w14:textId="73681C9F">
            <w:pPr>
              <w:tabs>
                <w:tab w:val="left" w:pos="1440"/>
              </w:tabs>
              <w:rPr>
                <w:b/>
                <w:bCs/>
                <w:color w:val="000000"/>
              </w:rPr>
            </w:pPr>
            <w:proofErr w:type="spellStart"/>
            <w:r>
              <w:rPr>
                <w:b/>
                <w:bCs/>
                <w:color w:val="000000"/>
              </w:rPr>
              <w:t>Lazerow’s</w:t>
            </w:r>
            <w:proofErr w:type="spellEnd"/>
            <w:r w:rsidRPr="00E27657">
              <w:rPr>
                <w:b/>
                <w:bCs/>
                <w:color w:val="000000"/>
              </w:rPr>
              <w:t xml:space="preserve"> 202</w:t>
            </w:r>
            <w:r>
              <w:rPr>
                <w:b/>
                <w:bCs/>
                <w:color w:val="000000"/>
              </w:rPr>
              <w:t>5</w:t>
            </w:r>
            <w:r w:rsidRPr="00E27657">
              <w:rPr>
                <w:b/>
                <w:bCs/>
                <w:color w:val="000000"/>
              </w:rPr>
              <w:t xml:space="preserve"> hours are reduced by </w:t>
            </w:r>
            <w:r>
              <w:rPr>
                <w:b/>
                <w:bCs/>
                <w:color w:val="000000"/>
              </w:rPr>
              <w:t>0.50</w:t>
            </w:r>
            <w:r w:rsidRPr="00E27657">
              <w:rPr>
                <w:b/>
                <w:bCs/>
                <w:color w:val="000000"/>
              </w:rPr>
              <w:t xml:space="preserve"> hour</w:t>
            </w:r>
            <w:r w:rsidR="000F6034">
              <w:rPr>
                <w:b/>
                <w:bCs/>
                <w:color w:val="000000"/>
              </w:rPr>
              <w:t>s</w:t>
            </w:r>
            <w:r w:rsidRPr="00E27657">
              <w:rPr>
                <w:b/>
                <w:bCs/>
                <w:color w:val="000000"/>
              </w:rPr>
              <w:t xml:space="preserve"> for the activities below:</w:t>
            </w:r>
          </w:p>
          <w:p w:rsidRPr="00C96F6F" w:rsidR="008A6108" w:rsidP="00F71FAF" w:rsidRDefault="00B04CE4" w14:paraId="1A10D2A7" w14:textId="61B1FAD3">
            <w:pPr>
              <w:tabs>
                <w:tab w:val="left" w:pos="1440"/>
              </w:tabs>
              <w:spacing w:before="120"/>
              <w:rPr>
                <w:color w:val="000000"/>
                <w:u w:val="single"/>
              </w:rPr>
            </w:pPr>
            <w:r w:rsidRPr="00C96F6F">
              <w:rPr>
                <w:color w:val="000000"/>
                <w:u w:val="single"/>
              </w:rPr>
              <w:t>Lack of Substantial Contribution</w:t>
            </w:r>
            <w:r>
              <w:rPr>
                <w:color w:val="000000"/>
                <w:u w:val="single"/>
              </w:rPr>
              <w:t xml:space="preserve"> </w:t>
            </w:r>
            <w:r w:rsidR="008A6108">
              <w:rPr>
                <w:color w:val="000000"/>
                <w:u w:val="single"/>
              </w:rPr>
              <w:t>(0.5</w:t>
            </w:r>
            <w:r w:rsidR="00885B3F">
              <w:rPr>
                <w:color w:val="000000"/>
                <w:u w:val="single"/>
              </w:rPr>
              <w:t>0</w:t>
            </w:r>
            <w:r w:rsidR="008A6108">
              <w:rPr>
                <w:color w:val="000000"/>
                <w:u w:val="single"/>
              </w:rPr>
              <w:t xml:space="preserve"> hours)</w:t>
            </w:r>
            <w:r w:rsidRPr="00C96F6F" w:rsidR="008A6108">
              <w:rPr>
                <w:color w:val="000000"/>
                <w:u w:val="single"/>
              </w:rPr>
              <w:t>:</w:t>
            </w:r>
          </w:p>
          <w:p w:rsidRPr="00C96F6F" w:rsidR="008A6108" w:rsidP="008A6108" w:rsidRDefault="008A6108" w14:paraId="126E1D2C" w14:textId="15B0E28E">
            <w:pPr>
              <w:tabs>
                <w:tab w:val="left" w:pos="1440"/>
              </w:tabs>
              <w:rPr>
                <w:color w:val="000000"/>
              </w:rPr>
            </w:pPr>
            <w:r w:rsidRPr="00C96F6F">
              <w:rPr>
                <w:color w:val="000000"/>
              </w:rPr>
              <w:t>Th</w:t>
            </w:r>
            <w:r w:rsidR="00C44434">
              <w:rPr>
                <w:color w:val="000000"/>
              </w:rPr>
              <w:t>is</w:t>
            </w:r>
            <w:r w:rsidRPr="00C96F6F">
              <w:rPr>
                <w:color w:val="000000"/>
              </w:rPr>
              <w:t xml:space="preserve"> activity did not </w:t>
            </w:r>
            <w:proofErr w:type="gramStart"/>
            <w:r w:rsidRPr="00C44434" w:rsidR="00C44434">
              <w:rPr>
                <w:color w:val="000000"/>
              </w:rPr>
              <w:t xml:space="preserve">influence </w:t>
            </w:r>
            <w:r w:rsidRPr="00C96F6F">
              <w:rPr>
                <w:color w:val="000000"/>
              </w:rPr>
              <w:t>to</w:t>
            </w:r>
            <w:proofErr w:type="gramEnd"/>
            <w:r w:rsidRPr="00C96F6F">
              <w:rPr>
                <w:color w:val="000000"/>
              </w:rPr>
              <w:t xml:space="preserve"> the decision-making process, as </w:t>
            </w:r>
            <w:r w:rsidRPr="00C44434" w:rsidR="00C44434">
              <w:rPr>
                <w:color w:val="000000"/>
              </w:rPr>
              <w:t xml:space="preserve">CEJA did not submit any </w:t>
            </w:r>
            <w:r w:rsidRPr="00C96F6F">
              <w:rPr>
                <w:color w:val="000000"/>
              </w:rPr>
              <w:t xml:space="preserve">comments on </w:t>
            </w:r>
            <w:r w:rsidR="00C44434">
              <w:rPr>
                <w:color w:val="000000"/>
              </w:rPr>
              <w:t>the</w:t>
            </w:r>
            <w:r w:rsidRPr="00C96F6F">
              <w:rPr>
                <w:color w:val="000000"/>
              </w:rPr>
              <w:t xml:space="preserve"> proposed decision</w:t>
            </w:r>
            <w:r w:rsidR="008748F8">
              <w:rPr>
                <w:color w:val="000000"/>
              </w:rPr>
              <w:t xml:space="preserve"> </w:t>
            </w:r>
            <w:r w:rsidR="00C44434">
              <w:rPr>
                <w:color w:val="000000"/>
              </w:rPr>
              <w:t xml:space="preserve">after </w:t>
            </w:r>
            <w:r w:rsidR="00162430">
              <w:rPr>
                <w:color w:val="000000"/>
              </w:rPr>
              <w:t>February 4, 2025</w:t>
            </w:r>
            <w:r w:rsidRPr="00C96F6F">
              <w:rPr>
                <w:color w:val="000000"/>
              </w:rPr>
              <w:t>. We therefore disallow the following hours:</w:t>
            </w:r>
          </w:p>
          <w:p w:rsidRPr="007C383F" w:rsidR="008A6108" w:rsidP="007C383F" w:rsidRDefault="008A6108" w14:paraId="08B3941D" w14:textId="6D300FA8">
            <w:pPr>
              <w:pStyle w:val="ListParagraph"/>
              <w:numPr>
                <w:ilvl w:val="0"/>
                <w:numId w:val="12"/>
              </w:numPr>
              <w:tabs>
                <w:tab w:val="left" w:pos="1440"/>
              </w:tabs>
              <w:spacing w:before="80"/>
              <w:rPr>
                <w:rFonts w:ascii="Times New Roman" w:hAnsi="Times New Roman" w:eastAsia="Times New Roman"/>
                <w:color w:val="000000"/>
                <w:sz w:val="24"/>
                <w:szCs w:val="24"/>
              </w:rPr>
            </w:pPr>
            <w:r w:rsidRPr="00D32AEC">
              <w:rPr>
                <w:rFonts w:ascii="Times New Roman" w:hAnsi="Times New Roman" w:eastAsia="Times New Roman"/>
                <w:color w:val="000000"/>
                <w:sz w:val="24"/>
                <w:szCs w:val="24"/>
              </w:rPr>
              <w:t xml:space="preserve">2/15/2025: draft </w:t>
            </w:r>
            <w:proofErr w:type="spellStart"/>
            <w:r w:rsidRPr="00D32AEC">
              <w:rPr>
                <w:rFonts w:ascii="Times New Roman" w:hAnsi="Times New Roman" w:eastAsia="Times New Roman"/>
                <w:color w:val="000000"/>
                <w:sz w:val="24"/>
                <w:szCs w:val="24"/>
              </w:rPr>
              <w:t>poten</w:t>
            </w:r>
            <w:proofErr w:type="spellEnd"/>
            <w:r w:rsidRPr="00D32AEC">
              <w:rPr>
                <w:rFonts w:ascii="Times New Roman" w:hAnsi="Times New Roman" w:eastAsia="Times New Roman"/>
                <w:color w:val="000000"/>
                <w:sz w:val="24"/>
                <w:szCs w:val="24"/>
              </w:rPr>
              <w:t xml:space="preserve"> comments on TPP PD Rev. 1</w:t>
            </w:r>
          </w:p>
        </w:tc>
      </w:tr>
      <w:tr w:rsidRPr="007F620E" w:rsidR="007C383F" w:rsidTr="00CE4462" w14:paraId="33D31601" w14:textId="77777777">
        <w:tc>
          <w:tcPr>
            <w:tcW w:w="1524" w:type="dxa"/>
            <w:shd w:val="clear" w:color="auto" w:fill="auto"/>
          </w:tcPr>
          <w:p w:rsidR="007C383F" w:rsidP="00EB64CF" w:rsidRDefault="00D27D90" w14:paraId="46AFA173" w14:textId="43521854">
            <w:pPr>
              <w:tabs>
                <w:tab w:val="left" w:pos="1440"/>
              </w:tabs>
              <w:rPr>
                <w:color w:val="000000"/>
              </w:rPr>
            </w:pPr>
            <w:r>
              <w:rPr>
                <w:color w:val="000000"/>
              </w:rPr>
              <w:t>[</w:t>
            </w:r>
            <w:r w:rsidR="009D3411">
              <w:rPr>
                <w:color w:val="000000"/>
              </w:rPr>
              <w:t>3</w:t>
            </w:r>
            <w:r>
              <w:rPr>
                <w:color w:val="000000"/>
              </w:rPr>
              <w:t xml:space="preserve">] </w:t>
            </w:r>
            <w:proofErr w:type="spellStart"/>
            <w:r w:rsidRPr="007C383F" w:rsidR="007C383F">
              <w:rPr>
                <w:color w:val="000000"/>
              </w:rPr>
              <w:t>Lazerow’s</w:t>
            </w:r>
            <w:proofErr w:type="spellEnd"/>
            <w:r w:rsidRPr="007C383F" w:rsidR="007C383F">
              <w:rPr>
                <w:color w:val="000000"/>
              </w:rPr>
              <w:t xml:space="preserve"> 2025 </w:t>
            </w:r>
            <w:proofErr w:type="spellStart"/>
            <w:r w:rsidR="007C383F">
              <w:rPr>
                <w:color w:val="000000"/>
              </w:rPr>
              <w:t>IComp</w:t>
            </w:r>
            <w:proofErr w:type="spellEnd"/>
            <w:r w:rsidR="007C383F">
              <w:rPr>
                <w:color w:val="000000"/>
              </w:rPr>
              <w:t xml:space="preserve"> Preparation </w:t>
            </w:r>
            <w:r w:rsidRPr="007C383F" w:rsidR="007C383F">
              <w:rPr>
                <w:color w:val="000000"/>
              </w:rPr>
              <w:t>Disallowance</w:t>
            </w:r>
          </w:p>
        </w:tc>
        <w:tc>
          <w:tcPr>
            <w:tcW w:w="8191" w:type="dxa"/>
            <w:shd w:val="clear" w:color="auto" w:fill="auto"/>
          </w:tcPr>
          <w:p w:rsidRPr="00F71FAF" w:rsidR="00E27657" w:rsidP="007C383F" w:rsidRDefault="00E27657" w14:paraId="1A37362C" w14:textId="05F74EBA">
            <w:pPr>
              <w:tabs>
                <w:tab w:val="left" w:pos="1440"/>
              </w:tabs>
              <w:rPr>
                <w:b/>
                <w:bCs/>
                <w:color w:val="000000"/>
              </w:rPr>
            </w:pPr>
            <w:proofErr w:type="spellStart"/>
            <w:r w:rsidRPr="00E27657">
              <w:rPr>
                <w:b/>
                <w:bCs/>
                <w:color w:val="000000"/>
              </w:rPr>
              <w:t>Lazerow’s</w:t>
            </w:r>
            <w:proofErr w:type="spellEnd"/>
            <w:r w:rsidRPr="00E27657">
              <w:rPr>
                <w:b/>
                <w:bCs/>
                <w:color w:val="000000"/>
              </w:rPr>
              <w:t xml:space="preserve"> 202</w:t>
            </w:r>
            <w:r>
              <w:rPr>
                <w:b/>
                <w:bCs/>
                <w:color w:val="000000"/>
              </w:rPr>
              <w:t xml:space="preserve">5 </w:t>
            </w:r>
            <w:proofErr w:type="spellStart"/>
            <w:r>
              <w:rPr>
                <w:b/>
                <w:bCs/>
                <w:color w:val="000000"/>
              </w:rPr>
              <w:t>IComp</w:t>
            </w:r>
            <w:proofErr w:type="spellEnd"/>
            <w:r>
              <w:rPr>
                <w:b/>
                <w:bCs/>
                <w:color w:val="000000"/>
              </w:rPr>
              <w:t xml:space="preserve"> preparation</w:t>
            </w:r>
            <w:r w:rsidRPr="00E27657">
              <w:rPr>
                <w:b/>
                <w:bCs/>
                <w:color w:val="000000"/>
              </w:rPr>
              <w:t xml:space="preserve"> hours are reduced by </w:t>
            </w:r>
            <w:r>
              <w:rPr>
                <w:b/>
                <w:bCs/>
                <w:color w:val="000000"/>
              </w:rPr>
              <w:t>3.20</w:t>
            </w:r>
            <w:r w:rsidRPr="00E27657">
              <w:rPr>
                <w:b/>
                <w:bCs/>
                <w:color w:val="000000"/>
              </w:rPr>
              <w:t xml:space="preserve"> hours for the activities below:</w:t>
            </w:r>
          </w:p>
          <w:p w:rsidRPr="00C96F6F" w:rsidR="007C383F" w:rsidP="00F71FAF" w:rsidRDefault="007C383F" w14:paraId="3A1FB033" w14:textId="45E5C158">
            <w:pPr>
              <w:tabs>
                <w:tab w:val="left" w:pos="1440"/>
              </w:tabs>
              <w:spacing w:before="120"/>
              <w:rPr>
                <w:color w:val="000000"/>
                <w:u w:val="single"/>
              </w:rPr>
            </w:pPr>
            <w:proofErr w:type="spellStart"/>
            <w:r>
              <w:rPr>
                <w:color w:val="000000"/>
                <w:u w:val="single"/>
              </w:rPr>
              <w:t>IComp</w:t>
            </w:r>
            <w:proofErr w:type="spellEnd"/>
            <w:r>
              <w:rPr>
                <w:color w:val="000000"/>
                <w:u w:val="single"/>
              </w:rPr>
              <w:t xml:space="preserve"> Preparation Hours (3.20 hours):</w:t>
            </w:r>
          </w:p>
          <w:p w:rsidR="007C383F" w:rsidP="007C383F" w:rsidRDefault="007C383F" w14:paraId="6CB7685F" w14:textId="7191E553">
            <w:pPr>
              <w:tabs>
                <w:tab w:val="left" w:pos="1440"/>
              </w:tabs>
              <w:rPr>
                <w:color w:val="000000"/>
              </w:rPr>
            </w:pPr>
            <w:r>
              <w:rPr>
                <w:color w:val="000000"/>
              </w:rPr>
              <w:t xml:space="preserve">CEJA </w:t>
            </w:r>
            <w:r w:rsidR="00CC7928">
              <w:rPr>
                <w:color w:val="000000"/>
              </w:rPr>
              <w:t>requests</w:t>
            </w:r>
            <w:r>
              <w:rPr>
                <w:color w:val="000000"/>
              </w:rPr>
              <w:t xml:space="preserve"> compensation for </w:t>
            </w:r>
            <w:r w:rsidRPr="005B41A3">
              <w:rPr>
                <w:color w:val="000000"/>
              </w:rPr>
              <w:t xml:space="preserve">drafting supporting documents related to a previous </w:t>
            </w:r>
            <w:proofErr w:type="spellStart"/>
            <w:r w:rsidRPr="005B41A3">
              <w:rPr>
                <w:color w:val="000000"/>
              </w:rPr>
              <w:t>IComp</w:t>
            </w:r>
            <w:proofErr w:type="spellEnd"/>
            <w:r w:rsidRPr="005B41A3">
              <w:rPr>
                <w:color w:val="000000"/>
              </w:rPr>
              <w:t xml:space="preserve"> </w:t>
            </w:r>
            <w:r>
              <w:rPr>
                <w:color w:val="000000"/>
              </w:rPr>
              <w:t xml:space="preserve">claim in proceeding R.20-05-003, for substantial contribution to D.23-02-040 and D.24-02-047. This </w:t>
            </w:r>
            <w:r w:rsidR="00042618">
              <w:rPr>
                <w:color w:val="000000"/>
              </w:rPr>
              <w:t xml:space="preserve">instant </w:t>
            </w:r>
            <w:r>
              <w:rPr>
                <w:color w:val="000000"/>
              </w:rPr>
              <w:t>compensation request is limited to work performed in R.20-05-003 for substantial contribution to D.</w:t>
            </w:r>
            <w:r w:rsidRPr="00B13D73">
              <w:rPr>
                <w:color w:val="000000"/>
              </w:rPr>
              <w:t>24-08-064, D.24-09-006,</w:t>
            </w:r>
            <w:r>
              <w:rPr>
                <w:color w:val="000000"/>
              </w:rPr>
              <w:t xml:space="preserve"> and</w:t>
            </w:r>
            <w:r w:rsidRPr="00B13D73">
              <w:rPr>
                <w:color w:val="000000"/>
              </w:rPr>
              <w:t xml:space="preserve"> D.25-02-0</w:t>
            </w:r>
            <w:r w:rsidR="00C81724">
              <w:rPr>
                <w:color w:val="000000"/>
              </w:rPr>
              <w:t>2</w:t>
            </w:r>
            <w:r w:rsidRPr="00B13D73">
              <w:rPr>
                <w:color w:val="000000"/>
              </w:rPr>
              <w:t>6</w:t>
            </w:r>
            <w:r>
              <w:rPr>
                <w:color w:val="000000"/>
              </w:rPr>
              <w:t>. In future filings</w:t>
            </w:r>
            <w:r w:rsidRPr="002E440A">
              <w:rPr>
                <w:color w:val="000000"/>
              </w:rPr>
              <w:t xml:space="preserve">, the Commission encourages CEJA to file all supporting documents with the initial claim to record </w:t>
            </w:r>
            <w:proofErr w:type="gramStart"/>
            <w:r w:rsidRPr="002E440A">
              <w:rPr>
                <w:color w:val="000000"/>
              </w:rPr>
              <w:t>work</w:t>
            </w:r>
            <w:proofErr w:type="gramEnd"/>
            <w:r w:rsidRPr="002E440A">
              <w:rPr>
                <w:color w:val="000000"/>
              </w:rPr>
              <w:t xml:space="preserve"> performed and claim compensation </w:t>
            </w:r>
            <w:proofErr w:type="gramStart"/>
            <w:r w:rsidRPr="002E440A">
              <w:rPr>
                <w:color w:val="000000"/>
              </w:rPr>
              <w:t>specific</w:t>
            </w:r>
            <w:proofErr w:type="gramEnd"/>
            <w:r w:rsidRPr="002E440A">
              <w:rPr>
                <w:color w:val="000000"/>
              </w:rPr>
              <w:t xml:space="preserve"> to </w:t>
            </w:r>
            <w:r w:rsidR="000244F7">
              <w:rPr>
                <w:color w:val="000000"/>
              </w:rPr>
              <w:t>the</w:t>
            </w:r>
            <w:r w:rsidRPr="002E440A">
              <w:rPr>
                <w:color w:val="000000"/>
              </w:rPr>
              <w:t xml:space="preserve"> request</w:t>
            </w:r>
            <w:r>
              <w:rPr>
                <w:color w:val="000000"/>
              </w:rPr>
              <w:t>.</w:t>
            </w:r>
            <w:r w:rsidRPr="00B51B65">
              <w:rPr>
                <w:color w:val="000000"/>
              </w:rPr>
              <w:t xml:space="preserve"> </w:t>
            </w:r>
            <w:r>
              <w:rPr>
                <w:color w:val="000000"/>
              </w:rPr>
              <w:t xml:space="preserve">Work performed in connection to a previous </w:t>
            </w:r>
            <w:proofErr w:type="spellStart"/>
            <w:r>
              <w:rPr>
                <w:color w:val="000000"/>
              </w:rPr>
              <w:t>IComp</w:t>
            </w:r>
            <w:proofErr w:type="spellEnd"/>
            <w:r>
              <w:rPr>
                <w:color w:val="000000"/>
              </w:rPr>
              <w:t xml:space="preserve"> request is not eligible for compensation under a subsequent claim. We therefore disallow the following hours for </w:t>
            </w:r>
            <w:proofErr w:type="spellStart"/>
            <w:r>
              <w:rPr>
                <w:color w:val="000000"/>
              </w:rPr>
              <w:t>IComp</w:t>
            </w:r>
            <w:proofErr w:type="spellEnd"/>
            <w:r>
              <w:rPr>
                <w:color w:val="000000"/>
              </w:rPr>
              <w:t xml:space="preserve"> preparation:</w:t>
            </w:r>
          </w:p>
          <w:p w:rsidRPr="00D32AEC" w:rsidR="007C383F" w:rsidP="007C383F" w:rsidRDefault="007C383F" w14:paraId="532BE82A" w14:textId="77777777">
            <w:pPr>
              <w:pStyle w:val="ListParagraph"/>
              <w:numPr>
                <w:ilvl w:val="0"/>
                <w:numId w:val="12"/>
              </w:numPr>
              <w:tabs>
                <w:tab w:val="left" w:pos="1440"/>
              </w:tabs>
              <w:spacing w:before="80"/>
              <w:rPr>
                <w:rFonts w:ascii="Times New Roman" w:hAnsi="Times New Roman" w:eastAsia="Times New Roman"/>
                <w:color w:val="000000"/>
                <w:sz w:val="24"/>
                <w:szCs w:val="24"/>
              </w:rPr>
            </w:pPr>
            <w:r w:rsidRPr="00D32AEC">
              <w:rPr>
                <w:rFonts w:ascii="Times New Roman" w:hAnsi="Times New Roman" w:eastAsia="Times New Roman"/>
                <w:color w:val="000000"/>
                <w:sz w:val="24"/>
                <w:szCs w:val="24"/>
              </w:rPr>
              <w:t xml:space="preserve">2/25/2025: respond to </w:t>
            </w:r>
            <w:proofErr w:type="spellStart"/>
            <w:r w:rsidRPr="00D32AEC">
              <w:rPr>
                <w:rFonts w:ascii="Times New Roman" w:hAnsi="Times New Roman" w:eastAsia="Times New Roman"/>
                <w:color w:val="000000"/>
                <w:sz w:val="24"/>
                <w:szCs w:val="24"/>
              </w:rPr>
              <w:t>icomp</w:t>
            </w:r>
            <w:proofErr w:type="spellEnd"/>
            <w:r w:rsidRPr="00D32AEC">
              <w:rPr>
                <w:rFonts w:ascii="Times New Roman" w:hAnsi="Times New Roman" w:eastAsia="Times New Roman"/>
                <w:color w:val="000000"/>
                <w:sz w:val="24"/>
                <w:szCs w:val="24"/>
              </w:rPr>
              <w:t xml:space="preserve"> supp info request </w:t>
            </w:r>
          </w:p>
          <w:p w:rsidRPr="007C383F" w:rsidR="007C383F" w:rsidP="007C1298" w:rsidRDefault="007C383F" w14:paraId="5AD18B1F" w14:textId="56768393">
            <w:pPr>
              <w:pStyle w:val="ListParagraph"/>
              <w:numPr>
                <w:ilvl w:val="0"/>
                <w:numId w:val="12"/>
              </w:numPr>
              <w:tabs>
                <w:tab w:val="left" w:pos="1440"/>
              </w:tabs>
              <w:spacing w:before="80"/>
              <w:rPr>
                <w:color w:val="000000"/>
                <w:u w:val="single"/>
              </w:rPr>
            </w:pPr>
            <w:r w:rsidRPr="007C383F">
              <w:rPr>
                <w:rFonts w:ascii="Times New Roman" w:hAnsi="Times New Roman" w:eastAsia="Times New Roman"/>
                <w:color w:val="000000"/>
                <w:sz w:val="24"/>
                <w:szCs w:val="24"/>
              </w:rPr>
              <w:t xml:space="preserve">2/27/2025: respond to </w:t>
            </w:r>
            <w:proofErr w:type="spellStart"/>
            <w:r w:rsidRPr="007C383F">
              <w:rPr>
                <w:rFonts w:ascii="Times New Roman" w:hAnsi="Times New Roman" w:eastAsia="Times New Roman"/>
                <w:color w:val="000000"/>
                <w:sz w:val="24"/>
                <w:szCs w:val="24"/>
              </w:rPr>
              <w:t>icomp</w:t>
            </w:r>
            <w:proofErr w:type="spellEnd"/>
            <w:r w:rsidRPr="007C383F">
              <w:rPr>
                <w:rFonts w:ascii="Times New Roman" w:hAnsi="Times New Roman" w:eastAsia="Times New Roman"/>
                <w:color w:val="000000"/>
                <w:sz w:val="24"/>
                <w:szCs w:val="24"/>
              </w:rPr>
              <w:t xml:space="preserve"> supp info request</w:t>
            </w:r>
          </w:p>
        </w:tc>
      </w:tr>
      <w:tr w:rsidRPr="007F620E" w:rsidR="00A92D0B" w:rsidTr="00CE4462" w14:paraId="52155EFC" w14:textId="77777777">
        <w:tc>
          <w:tcPr>
            <w:tcW w:w="1524" w:type="dxa"/>
            <w:shd w:val="clear" w:color="auto" w:fill="auto"/>
          </w:tcPr>
          <w:p w:rsidRPr="007F620E" w:rsidR="00A92D0B" w:rsidP="00EB64CF" w:rsidRDefault="00D27D90" w14:paraId="26487933" w14:textId="11FF8D3F">
            <w:pPr>
              <w:tabs>
                <w:tab w:val="left" w:pos="1440"/>
              </w:tabs>
              <w:rPr>
                <w:color w:val="000000"/>
              </w:rPr>
            </w:pPr>
            <w:r>
              <w:rPr>
                <w:color w:val="000000"/>
              </w:rPr>
              <w:t>[</w:t>
            </w:r>
            <w:r w:rsidR="009D3411">
              <w:rPr>
                <w:color w:val="000000"/>
              </w:rPr>
              <w:t>4</w:t>
            </w:r>
            <w:r>
              <w:rPr>
                <w:color w:val="000000"/>
              </w:rPr>
              <w:t xml:space="preserve">] </w:t>
            </w:r>
            <w:r w:rsidR="007C383F">
              <w:rPr>
                <w:color w:val="000000"/>
              </w:rPr>
              <w:t>Behles</w:t>
            </w:r>
            <w:r w:rsidR="00EE269B">
              <w:rPr>
                <w:color w:val="000000"/>
              </w:rPr>
              <w:t>’ 2024 and 2025 Hourly Rates</w:t>
            </w:r>
          </w:p>
        </w:tc>
        <w:tc>
          <w:tcPr>
            <w:tcW w:w="8191" w:type="dxa"/>
            <w:shd w:val="clear" w:color="auto" w:fill="auto"/>
          </w:tcPr>
          <w:p w:rsidRPr="005C4E73" w:rsidR="005C4E73" w:rsidP="005C4E73" w:rsidRDefault="005C4E73" w14:paraId="0B5AB19E" w14:textId="5431FC4A">
            <w:pPr>
              <w:tabs>
                <w:tab w:val="left" w:pos="1440"/>
              </w:tabs>
              <w:rPr>
                <w:color w:val="000000"/>
              </w:rPr>
            </w:pPr>
            <w:r>
              <w:rPr>
                <w:color w:val="000000"/>
              </w:rPr>
              <w:t>CEJA</w:t>
            </w:r>
            <w:r w:rsidRPr="005C4E73">
              <w:rPr>
                <w:color w:val="000000"/>
              </w:rPr>
              <w:t xml:space="preserve"> identified </w:t>
            </w:r>
            <w:r w:rsidR="00C558D1">
              <w:rPr>
                <w:color w:val="000000"/>
              </w:rPr>
              <w:t>Behles</w:t>
            </w:r>
            <w:r w:rsidRPr="005C4E73">
              <w:rPr>
                <w:color w:val="000000"/>
              </w:rPr>
              <w:t xml:space="preserve"> as a consultant in Part III.C.[</w:t>
            </w:r>
            <w:r w:rsidR="00C558D1">
              <w:rPr>
                <w:color w:val="000000"/>
              </w:rPr>
              <w:t>1</w:t>
            </w:r>
            <w:r w:rsidRPr="005C4E73">
              <w:rPr>
                <w:color w:val="000000"/>
              </w:rPr>
              <w:t xml:space="preserve">]. </w:t>
            </w:r>
          </w:p>
          <w:p w:rsidRPr="005C4E73" w:rsidR="005C4E73" w:rsidP="00E57AC3" w:rsidRDefault="005C4E73" w14:paraId="4D646694" w14:textId="075CA902">
            <w:pPr>
              <w:tabs>
                <w:tab w:val="left" w:pos="1440"/>
              </w:tabs>
              <w:spacing w:before="120"/>
              <w:rPr>
                <w:color w:val="000000"/>
              </w:rPr>
            </w:pPr>
            <w:r w:rsidRPr="005C4E73">
              <w:rPr>
                <w:color w:val="000000"/>
              </w:rPr>
              <w:t xml:space="preserve">The Commission requested supplemental documentation be submitted by </w:t>
            </w:r>
            <w:r>
              <w:rPr>
                <w:color w:val="000000"/>
              </w:rPr>
              <w:t>CEJA</w:t>
            </w:r>
            <w:r w:rsidRPr="005C4E73">
              <w:rPr>
                <w:color w:val="000000"/>
              </w:rPr>
              <w:t xml:space="preserve"> to confirm the rates charged by </w:t>
            </w:r>
            <w:r w:rsidR="00C558D1">
              <w:rPr>
                <w:color w:val="000000"/>
              </w:rPr>
              <w:t>Behles</w:t>
            </w:r>
            <w:r w:rsidRPr="005C4E73">
              <w:rPr>
                <w:color w:val="000000"/>
              </w:rPr>
              <w:t xml:space="preserve">. </w:t>
            </w:r>
            <w:r>
              <w:rPr>
                <w:color w:val="000000"/>
              </w:rPr>
              <w:t>CEJA</w:t>
            </w:r>
            <w:r w:rsidRPr="005C4E73">
              <w:rPr>
                <w:color w:val="000000"/>
              </w:rPr>
              <w:t xml:space="preserve"> has confirmed that per the terms of their contract, </w:t>
            </w:r>
            <w:r w:rsidR="00C558D1">
              <w:rPr>
                <w:color w:val="000000"/>
              </w:rPr>
              <w:t>Behles</w:t>
            </w:r>
            <w:r w:rsidRPr="005C4E73">
              <w:rPr>
                <w:color w:val="000000"/>
              </w:rPr>
              <w:t xml:space="preserve"> has been hired on a contingency rate basis, meaning the consultant has agreed to defer its consulting fee contingent upon receipt of this Intervenor Compensation award. Given this contingency, we utilize the reasonable rates established by Resolution ALJ-393 based on </w:t>
            </w:r>
            <w:r w:rsidR="00C558D1">
              <w:rPr>
                <w:color w:val="000000"/>
              </w:rPr>
              <w:t>Behles</w:t>
            </w:r>
            <w:r w:rsidRPr="005C4E73">
              <w:rPr>
                <w:color w:val="000000"/>
              </w:rPr>
              <w:t>’s experience.</w:t>
            </w:r>
          </w:p>
          <w:p w:rsidRPr="00DB01C9" w:rsidR="005C4E73" w:rsidP="00E57AC3" w:rsidRDefault="005C4E73" w14:paraId="1FC01B9A" w14:textId="0401DCA0">
            <w:pPr>
              <w:tabs>
                <w:tab w:val="left" w:pos="1440"/>
              </w:tabs>
              <w:spacing w:before="120"/>
              <w:rPr>
                <w:color w:val="000000"/>
              </w:rPr>
            </w:pPr>
            <w:r w:rsidRPr="005C4E73">
              <w:rPr>
                <w:color w:val="000000"/>
              </w:rPr>
              <w:t>Given the 202</w:t>
            </w:r>
            <w:r w:rsidR="00721CB2">
              <w:rPr>
                <w:color w:val="000000"/>
              </w:rPr>
              <w:t>4</w:t>
            </w:r>
            <w:r w:rsidRPr="005C4E73">
              <w:rPr>
                <w:color w:val="000000"/>
              </w:rPr>
              <w:t xml:space="preserve"> Attorney </w:t>
            </w:r>
            <w:r w:rsidR="00075541">
              <w:rPr>
                <w:color w:val="000000"/>
              </w:rPr>
              <w:t>V</w:t>
            </w:r>
            <w:r w:rsidRPr="005C4E73">
              <w:rPr>
                <w:color w:val="000000"/>
              </w:rPr>
              <w:t xml:space="preserve"> rate range is $</w:t>
            </w:r>
            <w:r w:rsidR="008A1D41">
              <w:rPr>
                <w:color w:val="000000"/>
              </w:rPr>
              <w:t>560.</w:t>
            </w:r>
            <w:r w:rsidR="00D977FB">
              <w:rPr>
                <w:color w:val="000000"/>
              </w:rPr>
              <w:t>9</w:t>
            </w:r>
            <w:r w:rsidR="002956B7">
              <w:rPr>
                <w:color w:val="000000"/>
              </w:rPr>
              <w:t>5</w:t>
            </w:r>
            <w:r w:rsidRPr="005C4E73">
              <w:rPr>
                <w:color w:val="000000"/>
              </w:rPr>
              <w:t xml:space="preserve"> to $</w:t>
            </w:r>
            <w:r w:rsidR="008A1D41">
              <w:rPr>
                <w:color w:val="000000"/>
              </w:rPr>
              <w:t>773.67</w:t>
            </w:r>
            <w:r w:rsidRPr="005C4E73">
              <w:rPr>
                <w:color w:val="000000"/>
              </w:rPr>
              <w:t>, we find the 202</w:t>
            </w:r>
            <w:r w:rsidR="00785723">
              <w:rPr>
                <w:color w:val="000000"/>
              </w:rPr>
              <w:t>4</w:t>
            </w:r>
            <w:r w:rsidRPr="005C4E73">
              <w:rPr>
                <w:color w:val="000000"/>
              </w:rPr>
              <w:t xml:space="preserve"> hourly rate of </w:t>
            </w:r>
            <w:r w:rsidRPr="00DB01C9">
              <w:rPr>
                <w:color w:val="000000"/>
              </w:rPr>
              <w:t>$</w:t>
            </w:r>
            <w:r w:rsidRPr="00DB01C9" w:rsidR="00F82885">
              <w:rPr>
                <w:color w:val="000000"/>
              </w:rPr>
              <w:t>670</w:t>
            </w:r>
            <w:r w:rsidRPr="00DB01C9">
              <w:rPr>
                <w:color w:val="000000"/>
              </w:rPr>
              <w:t xml:space="preserve">.00 to be reasonable and we apply it here. </w:t>
            </w:r>
          </w:p>
          <w:p w:rsidRPr="005C4E73" w:rsidR="005C4E73" w:rsidP="00E57AC3" w:rsidRDefault="005C4E73" w14:paraId="2068CFDA" w14:textId="7EB4D216">
            <w:pPr>
              <w:tabs>
                <w:tab w:val="left" w:pos="1440"/>
              </w:tabs>
              <w:spacing w:before="120"/>
              <w:rPr>
                <w:color w:val="000000"/>
              </w:rPr>
            </w:pPr>
            <w:r w:rsidRPr="00DB01C9">
              <w:rPr>
                <w:color w:val="000000"/>
              </w:rPr>
              <w:lastRenderedPageBreak/>
              <w:t>Given the 202</w:t>
            </w:r>
            <w:r w:rsidRPr="00DB01C9" w:rsidR="00721CB2">
              <w:rPr>
                <w:color w:val="000000"/>
              </w:rPr>
              <w:t>5</w:t>
            </w:r>
            <w:r w:rsidRPr="00DB01C9">
              <w:rPr>
                <w:color w:val="000000"/>
              </w:rPr>
              <w:t xml:space="preserve"> Attorney </w:t>
            </w:r>
            <w:r w:rsidRPr="00DB01C9" w:rsidR="00075541">
              <w:rPr>
                <w:color w:val="000000"/>
              </w:rPr>
              <w:t>V</w:t>
            </w:r>
            <w:r w:rsidRPr="00DB01C9">
              <w:rPr>
                <w:color w:val="000000"/>
              </w:rPr>
              <w:t xml:space="preserve"> rate range is $</w:t>
            </w:r>
            <w:r w:rsidRPr="00DB01C9" w:rsidR="00D977FB">
              <w:rPr>
                <w:color w:val="000000"/>
              </w:rPr>
              <w:t>584.51</w:t>
            </w:r>
            <w:r w:rsidRPr="00DB01C9">
              <w:rPr>
                <w:color w:val="000000"/>
              </w:rPr>
              <w:t xml:space="preserve"> to $</w:t>
            </w:r>
            <w:r w:rsidRPr="00DB01C9" w:rsidR="00D977FB">
              <w:rPr>
                <w:color w:val="000000"/>
              </w:rPr>
              <w:t>797.2</w:t>
            </w:r>
            <w:r w:rsidRPr="00DB01C9" w:rsidR="00F82885">
              <w:rPr>
                <w:color w:val="000000"/>
              </w:rPr>
              <w:t>3</w:t>
            </w:r>
            <w:r w:rsidRPr="00DB01C9">
              <w:rPr>
                <w:color w:val="000000"/>
              </w:rPr>
              <w:t>, we find the 202</w:t>
            </w:r>
            <w:r w:rsidR="00785723">
              <w:rPr>
                <w:color w:val="000000"/>
              </w:rPr>
              <w:t>5</w:t>
            </w:r>
            <w:r w:rsidRPr="00DB01C9">
              <w:rPr>
                <w:color w:val="000000"/>
              </w:rPr>
              <w:t xml:space="preserve"> hourly rate of $</w:t>
            </w:r>
            <w:r w:rsidRPr="00DB01C9" w:rsidR="00F82885">
              <w:rPr>
                <w:color w:val="000000"/>
              </w:rPr>
              <w:t>695</w:t>
            </w:r>
            <w:r w:rsidRPr="00DB01C9">
              <w:rPr>
                <w:color w:val="000000"/>
              </w:rPr>
              <w:t>.00 to</w:t>
            </w:r>
            <w:r w:rsidRPr="005C4E73">
              <w:rPr>
                <w:color w:val="000000"/>
              </w:rPr>
              <w:t xml:space="preserve"> be reasonable and we apply it here. </w:t>
            </w:r>
          </w:p>
          <w:p w:rsidRPr="005C4E73" w:rsidR="005C4E73" w:rsidP="00E57AC3" w:rsidRDefault="005C4E73" w14:paraId="7C5CB203" w14:textId="1B862E6F">
            <w:pPr>
              <w:tabs>
                <w:tab w:val="left" w:pos="1440"/>
              </w:tabs>
              <w:spacing w:before="120"/>
              <w:rPr>
                <w:color w:val="000000"/>
              </w:rPr>
            </w:pPr>
            <w:r w:rsidRPr="005C4E73">
              <w:rPr>
                <w:color w:val="000000"/>
              </w:rPr>
              <w:t xml:space="preserve">The award determined herein for the consultant’s contribution in this proceeding shall be paid in full to the consultant, and no portion of this part of the award shall be kept by the intervenor. Additionally, the rates approved here are specific to work in this proceeding and the contract terms between the consultant and intervenor, as they are established in accordance with the Commission’s policy on consultant compensation, and the understanding that the consultant has not billed or collected full compensation for the work performed until </w:t>
            </w:r>
            <w:proofErr w:type="gramStart"/>
            <w:r w:rsidRPr="005C4E73">
              <w:rPr>
                <w:color w:val="000000"/>
              </w:rPr>
              <w:t>final</w:t>
            </w:r>
            <w:proofErr w:type="gramEnd"/>
            <w:r w:rsidRPr="005C4E73">
              <w:rPr>
                <w:color w:val="000000"/>
              </w:rPr>
              <w:t xml:space="preserve"> award is given.</w:t>
            </w:r>
          </w:p>
          <w:p w:rsidRPr="007F620E" w:rsidR="00A92D0B" w:rsidP="00E57AC3" w:rsidRDefault="005C4E73" w14:paraId="455E6A00" w14:textId="61A75125">
            <w:pPr>
              <w:tabs>
                <w:tab w:val="left" w:pos="1440"/>
              </w:tabs>
              <w:spacing w:before="120"/>
              <w:rPr>
                <w:color w:val="000000"/>
              </w:rPr>
            </w:pPr>
            <w:r w:rsidRPr="005C4E73">
              <w:rPr>
                <w:color w:val="000000"/>
              </w:rPr>
              <w:t xml:space="preserve">We reiterate that it is the responsibility of the intervenor to provide the appropriate documentation with the initial claim to ensure efficient </w:t>
            </w:r>
            <w:proofErr w:type="gramStart"/>
            <w:r w:rsidRPr="005C4E73">
              <w:rPr>
                <w:color w:val="000000"/>
              </w:rPr>
              <w:t>processing, and</w:t>
            </w:r>
            <w:proofErr w:type="gramEnd"/>
            <w:r w:rsidRPr="005C4E73">
              <w:rPr>
                <w:color w:val="000000"/>
              </w:rPr>
              <w:t xml:space="preserve"> thus avoid the need for the Commission to request supplemental documentation. In this instance, </w:t>
            </w:r>
            <w:r>
              <w:rPr>
                <w:color w:val="000000"/>
              </w:rPr>
              <w:t>CEJA</w:t>
            </w:r>
            <w:r w:rsidRPr="005C4E73">
              <w:rPr>
                <w:color w:val="000000"/>
              </w:rPr>
              <w:t xml:space="preserve"> did not provide all the documentation pertaining to the contract terms between </w:t>
            </w:r>
            <w:r>
              <w:rPr>
                <w:color w:val="000000"/>
              </w:rPr>
              <w:t>CEJA</w:t>
            </w:r>
            <w:r w:rsidRPr="005C4E73">
              <w:rPr>
                <w:color w:val="000000"/>
              </w:rPr>
              <w:t xml:space="preserve"> and </w:t>
            </w:r>
            <w:r w:rsidR="00C558D1">
              <w:rPr>
                <w:color w:val="000000"/>
              </w:rPr>
              <w:t>Behles</w:t>
            </w:r>
            <w:r w:rsidRPr="005C4E73">
              <w:rPr>
                <w:color w:val="000000"/>
              </w:rPr>
              <w:t xml:space="preserve"> in the initial claim and waited until the Commission requested supplemental documentation which delays the processing of the claim.</w:t>
            </w:r>
          </w:p>
        </w:tc>
      </w:tr>
      <w:tr w:rsidRPr="007F620E" w:rsidR="00E178E9" w:rsidTr="00CE4462" w14:paraId="0065D517" w14:textId="77777777">
        <w:tc>
          <w:tcPr>
            <w:tcW w:w="1524" w:type="dxa"/>
            <w:shd w:val="clear" w:color="auto" w:fill="auto"/>
          </w:tcPr>
          <w:p w:rsidRPr="007F620E" w:rsidR="00E178E9" w:rsidP="00EB64CF" w:rsidRDefault="00D27D90" w14:paraId="43805691" w14:textId="7F3B6E42">
            <w:pPr>
              <w:tabs>
                <w:tab w:val="left" w:pos="1440"/>
              </w:tabs>
              <w:rPr>
                <w:color w:val="000000"/>
              </w:rPr>
            </w:pPr>
            <w:r>
              <w:rPr>
                <w:color w:val="000000"/>
              </w:rPr>
              <w:lastRenderedPageBreak/>
              <w:t>[</w:t>
            </w:r>
            <w:r w:rsidR="009D3411">
              <w:rPr>
                <w:color w:val="000000"/>
              </w:rPr>
              <w:t>5</w:t>
            </w:r>
            <w:r>
              <w:rPr>
                <w:color w:val="000000"/>
              </w:rPr>
              <w:t xml:space="preserve">] </w:t>
            </w:r>
            <w:proofErr w:type="spellStart"/>
            <w:r w:rsidR="00EE269B">
              <w:rPr>
                <w:color w:val="000000"/>
              </w:rPr>
              <w:t>Lazerow’s</w:t>
            </w:r>
            <w:proofErr w:type="spellEnd"/>
            <w:r w:rsidR="00EE269B">
              <w:rPr>
                <w:color w:val="000000"/>
              </w:rPr>
              <w:t xml:space="preserve"> 2024 and 2025 Hourly Rates</w:t>
            </w:r>
          </w:p>
        </w:tc>
        <w:tc>
          <w:tcPr>
            <w:tcW w:w="8191" w:type="dxa"/>
            <w:shd w:val="clear" w:color="auto" w:fill="auto"/>
          </w:tcPr>
          <w:p w:rsidRPr="00E178E9" w:rsidR="00E178E9" w:rsidP="00E57AC3" w:rsidRDefault="00E178E9" w14:paraId="72792C4A" w14:textId="02F6E168">
            <w:pPr>
              <w:tabs>
                <w:tab w:val="left" w:pos="1440"/>
              </w:tabs>
              <w:rPr>
                <w:color w:val="000000"/>
              </w:rPr>
            </w:pPr>
            <w:r w:rsidRPr="00E178E9">
              <w:rPr>
                <w:color w:val="000000"/>
              </w:rPr>
              <w:t xml:space="preserve">CEJA identified </w:t>
            </w:r>
            <w:proofErr w:type="spellStart"/>
            <w:r>
              <w:rPr>
                <w:color w:val="000000"/>
              </w:rPr>
              <w:t>Lazerow</w:t>
            </w:r>
            <w:proofErr w:type="spellEnd"/>
            <w:r w:rsidRPr="00E178E9">
              <w:rPr>
                <w:color w:val="000000"/>
              </w:rPr>
              <w:t xml:space="preserve"> as a consultant in Part III.C.[</w:t>
            </w:r>
            <w:r>
              <w:rPr>
                <w:color w:val="000000"/>
              </w:rPr>
              <w:t>2</w:t>
            </w:r>
            <w:r w:rsidRPr="00E178E9">
              <w:rPr>
                <w:color w:val="000000"/>
              </w:rPr>
              <w:t xml:space="preserve">]. </w:t>
            </w:r>
          </w:p>
          <w:p w:rsidRPr="00E178E9" w:rsidR="00E178E9" w:rsidP="00E57AC3" w:rsidRDefault="00E178E9" w14:paraId="2D5C23F7" w14:textId="3327A3FB">
            <w:pPr>
              <w:tabs>
                <w:tab w:val="left" w:pos="1440"/>
              </w:tabs>
              <w:spacing w:before="120"/>
              <w:rPr>
                <w:color w:val="000000"/>
              </w:rPr>
            </w:pPr>
            <w:r w:rsidRPr="00E178E9">
              <w:rPr>
                <w:color w:val="000000"/>
              </w:rPr>
              <w:t xml:space="preserve">The Commission requested supplemental documentation be submitted by CEJA to confirm the rates charged by </w:t>
            </w:r>
            <w:proofErr w:type="spellStart"/>
            <w:r>
              <w:rPr>
                <w:color w:val="000000"/>
              </w:rPr>
              <w:t>Lazerow</w:t>
            </w:r>
            <w:proofErr w:type="spellEnd"/>
            <w:r w:rsidRPr="00E178E9">
              <w:rPr>
                <w:color w:val="000000"/>
              </w:rPr>
              <w:t xml:space="preserve">. CEJA has confirmed that per the terms of their contract, </w:t>
            </w:r>
            <w:proofErr w:type="spellStart"/>
            <w:r>
              <w:rPr>
                <w:color w:val="000000"/>
              </w:rPr>
              <w:t>Lazerow</w:t>
            </w:r>
            <w:proofErr w:type="spellEnd"/>
            <w:r w:rsidRPr="00E178E9">
              <w:rPr>
                <w:color w:val="000000"/>
              </w:rPr>
              <w:t xml:space="preserve"> has been hired on a contingency rate basis, meaning the consultant has agreed to defer its consulting fee contingent upon receipt of this Intervenor Compensation award. Given this contingency, we utilize the reasonable rates established by Resolution ALJ-393 based on </w:t>
            </w:r>
            <w:proofErr w:type="spellStart"/>
            <w:r>
              <w:rPr>
                <w:color w:val="000000"/>
              </w:rPr>
              <w:t>Lazerow</w:t>
            </w:r>
            <w:r w:rsidRPr="00E178E9">
              <w:rPr>
                <w:color w:val="000000"/>
              </w:rPr>
              <w:t>’s</w:t>
            </w:r>
            <w:proofErr w:type="spellEnd"/>
            <w:r w:rsidRPr="00E178E9">
              <w:rPr>
                <w:color w:val="000000"/>
              </w:rPr>
              <w:t xml:space="preserve"> experience.</w:t>
            </w:r>
          </w:p>
          <w:p w:rsidRPr="00E178E9" w:rsidR="00E178E9" w:rsidP="00E57AC3" w:rsidRDefault="00E178E9" w14:paraId="1F73C24C" w14:textId="104C3AAB">
            <w:pPr>
              <w:tabs>
                <w:tab w:val="left" w:pos="1440"/>
              </w:tabs>
              <w:spacing w:before="120"/>
              <w:rPr>
                <w:color w:val="000000"/>
              </w:rPr>
            </w:pPr>
            <w:r w:rsidRPr="00E178E9">
              <w:rPr>
                <w:color w:val="000000"/>
              </w:rPr>
              <w:t>Given the 2024 Attorney V rate range is $560.9</w:t>
            </w:r>
            <w:r w:rsidR="005C5EBE">
              <w:rPr>
                <w:color w:val="000000"/>
              </w:rPr>
              <w:t>5</w:t>
            </w:r>
            <w:r w:rsidRPr="00E178E9">
              <w:rPr>
                <w:color w:val="000000"/>
              </w:rPr>
              <w:t xml:space="preserve"> to $773.67, we find the 202</w:t>
            </w:r>
            <w:r w:rsidR="00785723">
              <w:rPr>
                <w:color w:val="000000"/>
              </w:rPr>
              <w:t>4</w:t>
            </w:r>
            <w:r w:rsidRPr="00E178E9">
              <w:rPr>
                <w:color w:val="000000"/>
              </w:rPr>
              <w:t xml:space="preserve"> hourly rate of $</w:t>
            </w:r>
            <w:r w:rsidR="003D4EE8">
              <w:rPr>
                <w:color w:val="000000"/>
              </w:rPr>
              <w:t>730</w:t>
            </w:r>
            <w:r w:rsidRPr="00E178E9">
              <w:rPr>
                <w:color w:val="000000"/>
              </w:rPr>
              <w:t xml:space="preserve">.00 to be reasonable and we apply it here. </w:t>
            </w:r>
          </w:p>
          <w:p w:rsidRPr="00E178E9" w:rsidR="00E178E9" w:rsidP="00E57AC3" w:rsidRDefault="00E178E9" w14:paraId="6D6E9E1E" w14:textId="22D93B5A">
            <w:pPr>
              <w:tabs>
                <w:tab w:val="left" w:pos="1440"/>
              </w:tabs>
              <w:spacing w:before="120"/>
              <w:rPr>
                <w:color w:val="000000"/>
              </w:rPr>
            </w:pPr>
            <w:r w:rsidRPr="00E178E9">
              <w:rPr>
                <w:color w:val="000000"/>
              </w:rPr>
              <w:t>Given the 2025 Attorney V rate range is $584.51 to $797.23, we find the 202</w:t>
            </w:r>
            <w:r w:rsidR="00785723">
              <w:rPr>
                <w:color w:val="000000"/>
              </w:rPr>
              <w:t>5</w:t>
            </w:r>
            <w:r w:rsidRPr="00E178E9">
              <w:rPr>
                <w:color w:val="000000"/>
              </w:rPr>
              <w:t xml:space="preserve"> hourly rate of $</w:t>
            </w:r>
            <w:r w:rsidR="003D4EE8">
              <w:rPr>
                <w:color w:val="000000"/>
              </w:rPr>
              <w:t>755</w:t>
            </w:r>
            <w:r w:rsidRPr="00E178E9">
              <w:rPr>
                <w:color w:val="000000"/>
              </w:rPr>
              <w:t xml:space="preserve">.00 to be reasonable and we apply it here. </w:t>
            </w:r>
          </w:p>
          <w:p w:rsidRPr="00E178E9" w:rsidR="00E178E9" w:rsidP="00E57AC3" w:rsidRDefault="00E178E9" w14:paraId="7F4AA4D8" w14:textId="48342366">
            <w:pPr>
              <w:tabs>
                <w:tab w:val="left" w:pos="1440"/>
              </w:tabs>
              <w:spacing w:before="120"/>
              <w:rPr>
                <w:color w:val="000000"/>
              </w:rPr>
            </w:pPr>
            <w:r w:rsidRPr="00E178E9">
              <w:rPr>
                <w:color w:val="000000"/>
              </w:rPr>
              <w:t xml:space="preserve">The award determined herein for the consultant’s contribution in this proceeding shall be paid in full to the consultant, and no portion of this part of the award shall be kept by the intervenor. Additionally, the rates approved here are specific to work in this proceeding and the contract terms between the consultant and intervenor, as they are established in accordance with the Commission’s policy on consultant compensation, and the understanding that the consultant has not billed or collected full compensation for the work performed until </w:t>
            </w:r>
            <w:proofErr w:type="gramStart"/>
            <w:r w:rsidRPr="00E178E9">
              <w:rPr>
                <w:color w:val="000000"/>
              </w:rPr>
              <w:t>final</w:t>
            </w:r>
            <w:proofErr w:type="gramEnd"/>
            <w:r w:rsidRPr="00E178E9">
              <w:rPr>
                <w:color w:val="000000"/>
              </w:rPr>
              <w:t xml:space="preserve"> award is given.</w:t>
            </w:r>
          </w:p>
          <w:p w:rsidR="00E178E9" w:rsidP="00E57AC3" w:rsidRDefault="00E178E9" w14:paraId="2D85C867" w14:textId="142531F6">
            <w:pPr>
              <w:tabs>
                <w:tab w:val="left" w:pos="1440"/>
              </w:tabs>
              <w:spacing w:before="120"/>
              <w:rPr>
                <w:color w:val="000000"/>
              </w:rPr>
            </w:pPr>
            <w:r w:rsidRPr="00E178E9">
              <w:rPr>
                <w:color w:val="000000"/>
              </w:rPr>
              <w:t xml:space="preserve">We reiterate that it is the responsibility of the intervenor to provide the appropriate documentation with the initial claim to ensure efficient </w:t>
            </w:r>
            <w:proofErr w:type="gramStart"/>
            <w:r w:rsidRPr="00E178E9">
              <w:rPr>
                <w:color w:val="000000"/>
              </w:rPr>
              <w:t>processing, and</w:t>
            </w:r>
            <w:proofErr w:type="gramEnd"/>
            <w:r w:rsidRPr="00E178E9">
              <w:rPr>
                <w:color w:val="000000"/>
              </w:rPr>
              <w:t xml:space="preserve"> thus avoid the need for the Commission to request supplemental documentation. In this instance, CEJA did not provide all the documentation pertaining to the contract terms between CEJA and </w:t>
            </w:r>
            <w:proofErr w:type="spellStart"/>
            <w:r>
              <w:rPr>
                <w:color w:val="000000"/>
              </w:rPr>
              <w:t>Lazerow</w:t>
            </w:r>
            <w:proofErr w:type="spellEnd"/>
            <w:r w:rsidRPr="00E178E9">
              <w:rPr>
                <w:color w:val="000000"/>
              </w:rPr>
              <w:t xml:space="preserve"> in the initial claim and waited until the Commission requested supplemental documentation which delays the processing of the claim.</w:t>
            </w:r>
          </w:p>
        </w:tc>
      </w:tr>
      <w:tr w:rsidRPr="007F620E" w:rsidR="008A2F08" w:rsidTr="00CE4462" w14:paraId="3C8206FE" w14:textId="77777777">
        <w:tc>
          <w:tcPr>
            <w:tcW w:w="1524" w:type="dxa"/>
            <w:shd w:val="clear" w:color="auto" w:fill="auto"/>
          </w:tcPr>
          <w:p w:rsidR="008A2F08" w:rsidP="00EB64CF" w:rsidRDefault="008A2F08" w14:paraId="5FBA50B2" w14:textId="32BA90AC">
            <w:pPr>
              <w:tabs>
                <w:tab w:val="left" w:pos="1440"/>
              </w:tabs>
              <w:rPr>
                <w:color w:val="000000"/>
              </w:rPr>
            </w:pPr>
            <w:r>
              <w:rPr>
                <w:color w:val="000000"/>
              </w:rPr>
              <w:lastRenderedPageBreak/>
              <w:t>[6] Consultant Rates</w:t>
            </w:r>
          </w:p>
        </w:tc>
        <w:tc>
          <w:tcPr>
            <w:tcW w:w="8191" w:type="dxa"/>
            <w:shd w:val="clear" w:color="auto" w:fill="auto"/>
          </w:tcPr>
          <w:p w:rsidRPr="008E05E0" w:rsidR="008E05E0" w:rsidP="008E05E0" w:rsidRDefault="008E05E0" w14:paraId="5229ABCF" w14:textId="706610FB">
            <w:pPr>
              <w:tabs>
                <w:tab w:val="left" w:pos="1440"/>
              </w:tabs>
              <w:rPr>
                <w:color w:val="000000"/>
              </w:rPr>
            </w:pPr>
            <w:r w:rsidRPr="008E05E0">
              <w:rPr>
                <w:color w:val="000000"/>
              </w:rPr>
              <w:t>In considering the intervenor's request for compensation, the Commission reminds the intervenor of its ethical obligation of honesty in Rule 1.1:</w:t>
            </w:r>
            <w:r w:rsidR="003D429E">
              <w:rPr>
                <w:color w:val="000000"/>
              </w:rPr>
              <w:t xml:space="preserve"> “</w:t>
            </w:r>
            <w:r w:rsidRPr="008E05E0">
              <w:rPr>
                <w:color w:val="000000"/>
              </w:rPr>
              <w:t>Any person who signs a pleading or brief, enters an appearance, offers</w:t>
            </w:r>
            <w:r w:rsidR="006347FD">
              <w:rPr>
                <w:color w:val="000000"/>
              </w:rPr>
              <w:t xml:space="preserve"> </w:t>
            </w:r>
            <w:r w:rsidRPr="008E05E0">
              <w:rPr>
                <w:color w:val="000000"/>
              </w:rPr>
              <w:t>testimony at a hearing, or transacts business with the Commission, by such</w:t>
            </w:r>
            <w:r w:rsidR="006347FD">
              <w:rPr>
                <w:color w:val="000000"/>
              </w:rPr>
              <w:t xml:space="preserve"> </w:t>
            </w:r>
            <w:r w:rsidRPr="008E05E0">
              <w:rPr>
                <w:color w:val="000000"/>
              </w:rPr>
              <w:t>act represents that he or she is authorized to do so and agrees to comply</w:t>
            </w:r>
            <w:r w:rsidR="00415AC2">
              <w:rPr>
                <w:color w:val="000000"/>
              </w:rPr>
              <w:t xml:space="preserve"> </w:t>
            </w:r>
            <w:r w:rsidRPr="008E05E0">
              <w:rPr>
                <w:color w:val="000000"/>
              </w:rPr>
              <w:t>with the laws of this State; to maintain the respect due to the Commission,</w:t>
            </w:r>
            <w:r w:rsidR="00415AC2">
              <w:rPr>
                <w:color w:val="000000"/>
              </w:rPr>
              <w:t xml:space="preserve"> </w:t>
            </w:r>
            <w:r w:rsidRPr="008E05E0">
              <w:rPr>
                <w:color w:val="000000"/>
              </w:rPr>
              <w:t>members of the Commission and its Administrative Law Judges; and never</w:t>
            </w:r>
            <w:r w:rsidR="00415AC2">
              <w:rPr>
                <w:color w:val="000000"/>
              </w:rPr>
              <w:t xml:space="preserve"> </w:t>
            </w:r>
            <w:r w:rsidRPr="008E05E0">
              <w:rPr>
                <w:color w:val="000000"/>
              </w:rPr>
              <w:t>to mislead the Commission or its staff by an artifice or false statement of</w:t>
            </w:r>
            <w:r w:rsidR="00415AC2">
              <w:rPr>
                <w:color w:val="000000"/>
              </w:rPr>
              <w:t xml:space="preserve"> </w:t>
            </w:r>
            <w:r w:rsidRPr="008E05E0">
              <w:rPr>
                <w:color w:val="000000"/>
              </w:rPr>
              <w:t>fact or law.</w:t>
            </w:r>
            <w:r w:rsidR="003D429E">
              <w:rPr>
                <w:color w:val="000000"/>
              </w:rPr>
              <w:t>”</w:t>
            </w:r>
          </w:p>
          <w:p w:rsidRPr="008E05E0" w:rsidR="008E05E0" w:rsidP="008E05E0" w:rsidRDefault="008E05E0" w14:paraId="5ADA571A" w14:textId="77777777">
            <w:pPr>
              <w:tabs>
                <w:tab w:val="left" w:pos="1440"/>
              </w:tabs>
              <w:rPr>
                <w:color w:val="000000"/>
              </w:rPr>
            </w:pPr>
          </w:p>
          <w:p w:rsidR="008E05E0" w:rsidP="008E05E0" w:rsidRDefault="008E05E0" w14:paraId="7088935F" w14:textId="5B74CE37">
            <w:pPr>
              <w:tabs>
                <w:tab w:val="left" w:pos="1440"/>
              </w:tabs>
              <w:rPr>
                <w:color w:val="000000"/>
              </w:rPr>
            </w:pPr>
            <w:r w:rsidRPr="008E05E0">
              <w:rPr>
                <w:color w:val="000000"/>
              </w:rPr>
              <w:t>The Commission's standard for evaluating Rule 1.1 violations is well established: “A Rule 1.1</w:t>
            </w:r>
            <w:r w:rsidR="003D429E">
              <w:rPr>
                <w:color w:val="000000"/>
              </w:rPr>
              <w:t xml:space="preserve"> </w:t>
            </w:r>
            <w:r w:rsidRPr="008E05E0">
              <w:rPr>
                <w:color w:val="000000"/>
              </w:rPr>
              <w:t>violation occurs when there has been a ‘lack of candor, withholding of information, or</w:t>
            </w:r>
            <w:r w:rsidR="003D429E">
              <w:rPr>
                <w:color w:val="000000"/>
              </w:rPr>
              <w:t xml:space="preserve"> </w:t>
            </w:r>
            <w:r w:rsidRPr="008E05E0">
              <w:rPr>
                <w:color w:val="000000"/>
              </w:rPr>
              <w:t xml:space="preserve">failure to correct information or respond fully….’” (D.19-12-041, at *6.) The Commission will deny any intervenor request </w:t>
            </w:r>
            <w:proofErr w:type="gramStart"/>
            <w:r w:rsidRPr="008E05E0" w:rsidR="003D429E">
              <w:rPr>
                <w:color w:val="000000"/>
              </w:rPr>
              <w:t>found</w:t>
            </w:r>
            <w:r w:rsidR="003D429E">
              <w:rPr>
                <w:color w:val="000000"/>
              </w:rPr>
              <w:t>ed</w:t>
            </w:r>
            <w:proofErr w:type="gramEnd"/>
            <w:r w:rsidRPr="008E05E0">
              <w:rPr>
                <w:color w:val="000000"/>
              </w:rPr>
              <w:t xml:space="preserve"> in dishonesty. Further, the Commission possesses </w:t>
            </w:r>
            <w:proofErr w:type="gramStart"/>
            <w:r w:rsidRPr="008E05E0">
              <w:rPr>
                <w:color w:val="000000"/>
              </w:rPr>
              <w:t>the</w:t>
            </w:r>
            <w:r w:rsidR="003D429E">
              <w:rPr>
                <w:color w:val="000000"/>
              </w:rPr>
              <w:t xml:space="preserve"> </w:t>
            </w:r>
            <w:r w:rsidRPr="008E05E0">
              <w:rPr>
                <w:color w:val="000000"/>
              </w:rPr>
              <w:t>statutory</w:t>
            </w:r>
            <w:proofErr w:type="gramEnd"/>
            <w:r w:rsidRPr="008E05E0">
              <w:rPr>
                <w:color w:val="000000"/>
              </w:rPr>
              <w:t xml:space="preserve"> authority to impose fines for violations of Rule 1.1. (Pub. Util. Code, §§ 2107,2108.) “In determining the amount of such penalty, … the appropriateness of such</w:t>
            </w:r>
            <w:r w:rsidR="003D429E">
              <w:rPr>
                <w:color w:val="000000"/>
              </w:rPr>
              <w:t xml:space="preserve"> </w:t>
            </w:r>
            <w:r w:rsidRPr="008E05E0">
              <w:rPr>
                <w:color w:val="000000"/>
              </w:rPr>
              <w:t>penalty to the size of the business charged, the gravity of the violation, and the good faith</w:t>
            </w:r>
            <w:r w:rsidR="003D429E">
              <w:rPr>
                <w:color w:val="000000"/>
              </w:rPr>
              <w:t xml:space="preserve"> </w:t>
            </w:r>
            <w:r w:rsidRPr="008E05E0">
              <w:rPr>
                <w:color w:val="000000"/>
              </w:rPr>
              <w:t>of the person charged … shall be considered.” (Id., § 2104.5.)</w:t>
            </w:r>
          </w:p>
          <w:p w:rsidRPr="008E05E0" w:rsidR="003D429E" w:rsidP="008E05E0" w:rsidRDefault="003D429E" w14:paraId="584675C7" w14:textId="77777777">
            <w:pPr>
              <w:tabs>
                <w:tab w:val="left" w:pos="1440"/>
              </w:tabs>
              <w:rPr>
                <w:color w:val="000000"/>
              </w:rPr>
            </w:pPr>
          </w:p>
          <w:p w:rsidRPr="008E05E0" w:rsidR="008E05E0" w:rsidP="008E05E0" w:rsidRDefault="008E05E0" w14:paraId="428AAA3C" w14:textId="77777777">
            <w:pPr>
              <w:tabs>
                <w:tab w:val="left" w:pos="1440"/>
              </w:tabs>
              <w:rPr>
                <w:color w:val="000000"/>
              </w:rPr>
            </w:pPr>
            <w:r w:rsidRPr="008E05E0">
              <w:rPr>
                <w:color w:val="000000"/>
              </w:rPr>
              <w:t>Under Rule 1.1, the intent to mislead is not required. Rather, “there is … a</w:t>
            </w:r>
          </w:p>
          <w:p w:rsidR="003D429E" w:rsidP="008E05E0" w:rsidRDefault="008E05E0" w14:paraId="6D751A30" w14:textId="16A65377">
            <w:pPr>
              <w:tabs>
                <w:tab w:val="left" w:pos="1440"/>
              </w:tabs>
              <w:rPr>
                <w:color w:val="000000"/>
              </w:rPr>
            </w:pPr>
            <w:proofErr w:type="gramStart"/>
            <w:r w:rsidRPr="008E05E0">
              <w:rPr>
                <w:color w:val="000000"/>
              </w:rPr>
              <w:t>line</w:t>
            </w:r>
            <w:proofErr w:type="gramEnd"/>
            <w:r w:rsidRPr="008E05E0">
              <w:rPr>
                <w:color w:val="000000"/>
              </w:rPr>
              <w:t xml:space="preserve"> of Commission decisions which holds that situations involving a failure to correctly</w:t>
            </w:r>
            <w:r w:rsidR="003D429E">
              <w:rPr>
                <w:color w:val="000000"/>
              </w:rPr>
              <w:t xml:space="preserve"> </w:t>
            </w:r>
            <w:r w:rsidRPr="008E05E0">
              <w:rPr>
                <w:color w:val="000000"/>
              </w:rPr>
              <w:t>cite a proposition of law, a lack of candor or withholding of information, and a failure to</w:t>
            </w:r>
            <w:r w:rsidR="003D429E">
              <w:rPr>
                <w:color w:val="000000"/>
              </w:rPr>
              <w:t xml:space="preserve"> </w:t>
            </w:r>
            <w:r w:rsidRPr="008E05E0">
              <w:rPr>
                <w:color w:val="000000"/>
              </w:rPr>
              <w:t>correctly inform and to correct the mistaken information, are actionable Rule 1 violations.</w:t>
            </w:r>
            <w:r w:rsidR="003D429E">
              <w:rPr>
                <w:color w:val="000000"/>
              </w:rPr>
              <w:t xml:space="preserve"> </w:t>
            </w:r>
            <w:r w:rsidRPr="008E05E0">
              <w:rPr>
                <w:color w:val="000000"/>
              </w:rPr>
              <w:t>(See D.93-05-020, D.92-07-084, D.92-07-078, D.90-12-038.)” (D.15-04-021, at *180-182.) Such reckless or grossly negligent acts “can cause the Commission to expend</w:t>
            </w:r>
            <w:r w:rsidR="003D429E">
              <w:rPr>
                <w:color w:val="000000"/>
              </w:rPr>
              <w:t xml:space="preserve"> </w:t>
            </w:r>
            <w:r w:rsidRPr="008E05E0">
              <w:rPr>
                <w:color w:val="000000"/>
              </w:rPr>
              <w:t>additional staff resources in trying to resolve the misleading statement.” (Ibid.) “[T]</w:t>
            </w:r>
            <w:proofErr w:type="gramStart"/>
            <w:r w:rsidRPr="008E05E0">
              <w:rPr>
                <w:color w:val="000000"/>
              </w:rPr>
              <w:t>he</w:t>
            </w:r>
            <w:proofErr w:type="gramEnd"/>
            <w:r w:rsidR="003D429E">
              <w:rPr>
                <w:color w:val="000000"/>
              </w:rPr>
              <w:t xml:space="preserve"> </w:t>
            </w:r>
            <w:r w:rsidRPr="008E05E0">
              <w:rPr>
                <w:color w:val="000000"/>
              </w:rPr>
              <w:t>question of intent to deceive merely goes to the question of how much weight to assign to</w:t>
            </w:r>
            <w:r w:rsidR="003D429E">
              <w:rPr>
                <w:color w:val="000000"/>
              </w:rPr>
              <w:t xml:space="preserve"> </w:t>
            </w:r>
            <w:r w:rsidRPr="008E05E0">
              <w:rPr>
                <w:color w:val="000000"/>
              </w:rPr>
              <w:t xml:space="preserve">any penalty that may be assessed.” (Ibid.) </w:t>
            </w:r>
          </w:p>
          <w:p w:rsidR="003D429E" w:rsidP="008E05E0" w:rsidRDefault="003D429E" w14:paraId="0B852FC6" w14:textId="77777777">
            <w:pPr>
              <w:tabs>
                <w:tab w:val="left" w:pos="1440"/>
              </w:tabs>
              <w:rPr>
                <w:color w:val="000000"/>
              </w:rPr>
            </w:pPr>
          </w:p>
          <w:p w:rsidRPr="008E05E0" w:rsidR="008E05E0" w:rsidP="008E05E0" w:rsidRDefault="008E05E0" w14:paraId="71DA8630" w14:textId="5BD7C374">
            <w:pPr>
              <w:tabs>
                <w:tab w:val="left" w:pos="1440"/>
              </w:tabs>
              <w:rPr>
                <w:color w:val="000000"/>
              </w:rPr>
            </w:pPr>
            <w:r w:rsidRPr="008E05E0">
              <w:rPr>
                <w:color w:val="000000"/>
              </w:rPr>
              <w:t xml:space="preserve">This is especially true in the context of intervenor compensation, where intervenor awards are drawn from ratepayers. To root out any inaccurate assertions in requests for compensation, the Commission has the statutory authority to examine </w:t>
            </w:r>
            <w:proofErr w:type="gramStart"/>
            <w:r w:rsidRPr="008E05E0">
              <w:rPr>
                <w:color w:val="000000"/>
              </w:rPr>
              <w:t>intervenor's</w:t>
            </w:r>
            <w:proofErr w:type="gramEnd"/>
            <w:r w:rsidRPr="008E05E0">
              <w:rPr>
                <w:color w:val="000000"/>
              </w:rPr>
              <w:t xml:space="preserve"> records: "The commission may audit the records and books of the customer or eligible local government entity to the extent necessary to verify the basis for the award." (Pub. Util. Code, § 1804(d).)</w:t>
            </w:r>
          </w:p>
          <w:p w:rsidRPr="008E05E0" w:rsidR="008E05E0" w:rsidP="008E05E0" w:rsidRDefault="008E05E0" w14:paraId="675AD5BF" w14:textId="77777777">
            <w:pPr>
              <w:tabs>
                <w:tab w:val="left" w:pos="1440"/>
              </w:tabs>
              <w:rPr>
                <w:color w:val="000000"/>
              </w:rPr>
            </w:pPr>
          </w:p>
          <w:p w:rsidRPr="00E178E9" w:rsidR="008A2F08" w:rsidP="00E57AC3" w:rsidRDefault="008E05E0" w14:paraId="09B69515" w14:textId="129DBA45">
            <w:pPr>
              <w:tabs>
                <w:tab w:val="left" w:pos="1440"/>
              </w:tabs>
              <w:rPr>
                <w:color w:val="000000"/>
              </w:rPr>
            </w:pPr>
            <w:r w:rsidRPr="008E05E0">
              <w:rPr>
                <w:color w:val="000000"/>
              </w:rPr>
              <w:t>Intervenors therefore must be truthful in all their representations to the Commission, including, but not limited to, their contingency fee arrangements, the amounts billed by outside consultants, the amounts actually paid by the intervenors to outside consultants, that the intervenors will not derive any profit or retain any portion of an award given for outside consultants' work, and that the intervenors have made their best efforts to work efficiently and minimize ratepayer costs.</w:t>
            </w:r>
          </w:p>
        </w:tc>
      </w:tr>
    </w:tbl>
    <w:p w:rsidRPr="007F620E" w:rsidR="00A92D0B" w:rsidP="00575494" w:rsidRDefault="00A92D0B" w14:paraId="18E9D359" w14:textId="2D4E8801">
      <w:pPr>
        <w:keepNext/>
        <w:tabs>
          <w:tab w:val="left" w:pos="1260"/>
        </w:tabs>
        <w:spacing w:before="480"/>
        <w:jc w:val="center"/>
        <w:rPr>
          <w:b/>
          <w:color w:val="000000"/>
        </w:rPr>
      </w:pPr>
      <w:r w:rsidRPr="007F620E">
        <w:rPr>
          <w:b/>
          <w:color w:val="000000"/>
        </w:rPr>
        <w:lastRenderedPageBreak/>
        <w:t>PART IV</w:t>
      </w:r>
      <w:r w:rsidRPr="007F620E" w:rsidR="00D9736A">
        <w:rPr>
          <w:b/>
          <w:color w:val="000000"/>
        </w:rPr>
        <w:t>:</w:t>
      </w:r>
      <w:r w:rsidR="00D9736A">
        <w:rPr>
          <w:b/>
          <w:color w:val="000000"/>
        </w:rPr>
        <w:t xml:space="preserve"> OPPOSITIONS</w:t>
      </w:r>
      <w:r w:rsidRPr="007F620E">
        <w:rPr>
          <w:b/>
          <w:color w:val="000000"/>
        </w:rPr>
        <w:t xml:space="preserve">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shd w:val="clear" w:color="auto" w:fill="auto"/>
          </w:tcPr>
          <w:p w:rsidRPr="007F620E" w:rsidR="00A92D0B" w:rsidP="005A3018" w:rsidRDefault="00A92D0B" w14:paraId="607B1FB9" w14:textId="639D7800">
            <w:pPr>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rsidRPr="007F620E" w:rsidR="00A92D0B" w:rsidP="005A3018" w:rsidRDefault="00937261" w14:paraId="6E7CD931" w14:textId="6263E60A">
            <w:pPr>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7F620E" w:rsidR="00A92D0B" w:rsidP="005A3018" w:rsidRDefault="00A92D0B" w14:paraId="37D28D8D" w14:textId="5D215B23">
            <w:pPr>
              <w:ind w:left="360" w:hanging="360"/>
              <w:rPr>
                <w:color w:val="000000"/>
              </w:rPr>
            </w:pPr>
            <w:r w:rsidRPr="007F620E">
              <w:rPr>
                <w:b/>
                <w:color w:val="000000"/>
              </w:rPr>
              <w:t>B.</w:t>
            </w:r>
            <w:r w:rsidR="005A3018">
              <w:rPr>
                <w:b/>
                <w:color w:val="000000"/>
              </w:rPr>
              <w:tab/>
            </w:r>
            <w:r w:rsidRPr="007F620E">
              <w:rPr>
                <w:b/>
                <w:color w:val="000000"/>
              </w:rPr>
              <w:t>Comment Period</w:t>
            </w:r>
            <w:r w:rsidRPr="007F620E" w:rsidR="00D9736A">
              <w:rPr>
                <w:b/>
                <w:color w:val="000000"/>
              </w:rPr>
              <w:t>: Was</w:t>
            </w:r>
            <w:r w:rsidRPr="007F620E">
              <w:rPr>
                <w:b/>
                <w:color w:val="000000"/>
              </w:rPr>
              <w:t xml:space="preserve">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EC374E" w14:paraId="238D2D3F" w14:textId="47340732">
            <w:pPr>
              <w:keepNext/>
              <w:keepLines/>
              <w:spacing w:after="240"/>
              <w:rPr>
                <w:color w:val="000000"/>
              </w:rPr>
            </w:pPr>
            <w:r>
              <w:rPr>
                <w:color w:val="000000"/>
              </w:rPr>
              <w:t>Yes</w:t>
            </w:r>
          </w:p>
        </w:tc>
      </w:tr>
    </w:tbl>
    <w:p w:rsidR="00BE45D0" w:rsidP="004D6289" w:rsidRDefault="00BE45D0" w14:paraId="4C76EB64" w14:textId="77777777">
      <w:pPr>
        <w:rPr>
          <w:b/>
          <w:color w:val="000000"/>
          <w:u w:val="single"/>
        </w:rPr>
      </w:pPr>
    </w:p>
    <w:p w:rsidRPr="007F620E" w:rsidR="00A92D0B" w:rsidP="00CE057B" w:rsidRDefault="00A92D0B" w14:paraId="186E115A" w14:textId="77777777">
      <w:pPr>
        <w:keepNext/>
        <w:spacing w:before="480" w:after="240"/>
        <w:jc w:val="center"/>
        <w:rPr>
          <w:b/>
          <w:color w:val="000000"/>
          <w:u w:val="single"/>
        </w:rPr>
      </w:pPr>
      <w:r w:rsidRPr="007F620E">
        <w:rPr>
          <w:b/>
          <w:color w:val="000000"/>
          <w:u w:val="single"/>
        </w:rPr>
        <w:t>FINDINGS OF FACT</w:t>
      </w:r>
    </w:p>
    <w:p w:rsidRPr="00E965F5" w:rsidR="00A92D0B" w:rsidRDefault="004F3DA4" w14:paraId="7772A9DC" w14:textId="5CD0F078">
      <w:pPr>
        <w:numPr>
          <w:ilvl w:val="0"/>
          <w:numId w:val="3"/>
        </w:numPr>
        <w:tabs>
          <w:tab w:val="num" w:pos="540"/>
        </w:tabs>
        <w:ind w:left="540" w:hanging="540"/>
        <w:rPr>
          <w:bCs/>
        </w:rPr>
      </w:pPr>
      <w:r w:rsidRPr="00E965F5">
        <w:rPr>
          <w:bCs/>
        </w:rPr>
        <w:t>C</w:t>
      </w:r>
      <w:r w:rsidRPr="00E965F5" w:rsidR="00BE79BB">
        <w:rPr>
          <w:bCs/>
        </w:rPr>
        <w:t>alifornia</w:t>
      </w:r>
      <w:r w:rsidRPr="00E965F5">
        <w:rPr>
          <w:bCs/>
        </w:rPr>
        <w:t xml:space="preserve"> E</w:t>
      </w:r>
      <w:r w:rsidRPr="00E965F5" w:rsidR="00BE79BB">
        <w:rPr>
          <w:bCs/>
        </w:rPr>
        <w:t>nvironmental</w:t>
      </w:r>
      <w:r w:rsidRPr="00E965F5">
        <w:rPr>
          <w:bCs/>
        </w:rPr>
        <w:t xml:space="preserve"> J</w:t>
      </w:r>
      <w:r w:rsidRPr="00E965F5" w:rsidR="00BE79BB">
        <w:rPr>
          <w:bCs/>
        </w:rPr>
        <w:t>ustice</w:t>
      </w:r>
      <w:r w:rsidRPr="00E965F5">
        <w:rPr>
          <w:bCs/>
        </w:rPr>
        <w:t xml:space="preserve"> A</w:t>
      </w:r>
      <w:r w:rsidRPr="00E965F5" w:rsidR="00BE79BB">
        <w:rPr>
          <w:bCs/>
        </w:rPr>
        <w:t>lliance</w:t>
      </w:r>
      <w:r w:rsidRPr="00E965F5" w:rsidR="00FE3BAE">
        <w:rPr>
          <w:bCs/>
        </w:rPr>
        <w:t xml:space="preserve"> </w:t>
      </w:r>
      <w:r w:rsidRPr="00E965F5" w:rsidR="00A92D0B">
        <w:rPr>
          <w:bCs/>
        </w:rPr>
        <w:t>has made a substantia</w:t>
      </w:r>
      <w:r w:rsidRPr="00E965F5" w:rsidR="00DE3A5D">
        <w:rPr>
          <w:bCs/>
        </w:rPr>
        <w:t>l contribution to D.</w:t>
      </w:r>
      <w:r w:rsidRPr="00E965F5" w:rsidR="00372E5B">
        <w:rPr>
          <w:bCs/>
          <w:color w:val="000000"/>
        </w:rPr>
        <w:t>24-08-064, D.24-09-006, and D.25-02-0</w:t>
      </w:r>
      <w:r w:rsidR="00BB7BBA">
        <w:rPr>
          <w:bCs/>
          <w:color w:val="000000"/>
        </w:rPr>
        <w:t>2</w:t>
      </w:r>
      <w:r w:rsidRPr="00E965F5" w:rsidR="00372E5B">
        <w:rPr>
          <w:bCs/>
          <w:color w:val="000000"/>
        </w:rPr>
        <w:t>6</w:t>
      </w:r>
      <w:r w:rsidRPr="00E965F5" w:rsidR="00A92D0B">
        <w:rPr>
          <w:bCs/>
        </w:rPr>
        <w:t>.</w:t>
      </w:r>
    </w:p>
    <w:p w:rsidRPr="007F620E" w:rsidR="00A92D0B" w:rsidRDefault="00A92D0B" w14:paraId="04EB50FD" w14:textId="29721E53">
      <w:pPr>
        <w:numPr>
          <w:ilvl w:val="0"/>
          <w:numId w:val="3"/>
        </w:numPr>
        <w:tabs>
          <w:tab w:val="num" w:pos="540"/>
        </w:tabs>
        <w:spacing w:before="240"/>
      </w:pPr>
      <w:r w:rsidRPr="00E965F5">
        <w:rPr>
          <w:bCs/>
        </w:rPr>
        <w:t>The requested hourly rates for</w:t>
      </w:r>
      <w:r w:rsidRPr="00E965F5" w:rsidR="003B6A1B">
        <w:rPr>
          <w:bCs/>
        </w:rPr>
        <w:t xml:space="preserve"> </w:t>
      </w:r>
      <w:r w:rsidRPr="00E965F5" w:rsidR="00217061">
        <w:rPr>
          <w:bCs/>
        </w:rPr>
        <w:t>California Environmental Justice Alliance</w:t>
      </w:r>
      <w:r w:rsidRPr="00E965F5" w:rsidR="005A63D4">
        <w:rPr>
          <w:bCs/>
        </w:rPr>
        <w:t xml:space="preserve">’s </w:t>
      </w:r>
      <w:r w:rsidRPr="00E965F5">
        <w:rPr>
          <w:bCs/>
        </w:rPr>
        <w:t>representatives,</w:t>
      </w:r>
      <w:r w:rsidRPr="00E965F5" w:rsidR="003B5EAC">
        <w:rPr>
          <w:bCs/>
        </w:rPr>
        <w:t xml:space="preserve"> </w:t>
      </w:r>
      <w:r w:rsidRPr="00E965F5">
        <w:rPr>
          <w:bCs/>
        </w:rPr>
        <w:t>as adjusted herein, are comparable to market rates paid to experts and advocates having comparable training and experience and offering</w:t>
      </w:r>
      <w:r w:rsidRPr="007F620E">
        <w:t xml:space="preserve"> similar services.</w:t>
      </w:r>
    </w:p>
    <w:p w:rsidRPr="007F620E" w:rsidR="00A92D0B" w:rsidRDefault="00A92D0B" w14:paraId="528EBB52" w14:textId="6523C498">
      <w:pPr>
        <w:numPr>
          <w:ilvl w:val="0"/>
          <w:numId w:val="3"/>
        </w:numPr>
        <w:tabs>
          <w:tab w:val="num" w:pos="540"/>
        </w:tabs>
        <w:spacing w:before="240"/>
      </w:pPr>
      <w:r w:rsidRPr="007F620E">
        <w:t>The claimed costs and expenses,</w:t>
      </w:r>
      <w:r w:rsidR="003B5EAC">
        <w:t xml:space="preserve"> </w:t>
      </w:r>
      <w:r w:rsidRPr="007F620E">
        <w:t xml:space="preserve">as adjusted herein, are reasonable and commensurate with the work performed. </w:t>
      </w:r>
    </w:p>
    <w:p w:rsidRPr="007F620E" w:rsidR="00A92D0B" w:rsidRDefault="00A92D0B" w14:paraId="48B52895" w14:textId="10562C7D">
      <w:pPr>
        <w:numPr>
          <w:ilvl w:val="0"/>
          <w:numId w:val="3"/>
        </w:numPr>
        <w:tabs>
          <w:tab w:val="num" w:pos="540"/>
        </w:tabs>
        <w:spacing w:before="240"/>
      </w:pPr>
      <w:r w:rsidRPr="007F620E">
        <w:t xml:space="preserve">The </w:t>
      </w:r>
      <w:proofErr w:type="gramStart"/>
      <w:r w:rsidRPr="007F620E">
        <w:t xml:space="preserve">total </w:t>
      </w:r>
      <w:r w:rsidRPr="007F620E" w:rsidR="00085FAF">
        <w:t>of</w:t>
      </w:r>
      <w:proofErr w:type="gramEnd"/>
      <w:r w:rsidR="00085FAF">
        <w:t xml:space="preserve"> </w:t>
      </w:r>
      <w:r w:rsidRPr="007F620E" w:rsidR="00085FAF">
        <w:t>reasonable</w:t>
      </w:r>
      <w:r w:rsidRPr="007F620E">
        <w:t xml:space="preserve"> </w:t>
      </w:r>
      <w:r w:rsidRPr="007F620E" w:rsidR="003C608A">
        <w:t xml:space="preserve">compensation </w:t>
      </w:r>
      <w:r w:rsidRPr="007F620E">
        <w:t xml:space="preserve">is </w:t>
      </w:r>
      <w:r w:rsidRPr="00D6442B" w:rsidR="00D6442B">
        <w:t>$91,319.15</w:t>
      </w:r>
      <w:r w:rsidRPr="007F620E">
        <w:t>.</w:t>
      </w:r>
    </w:p>
    <w:p w:rsidRPr="007F620E" w:rsidR="00A92D0B" w:rsidP="00CE057B" w:rsidRDefault="00A92D0B" w14:paraId="5C773C3F" w14:textId="77777777">
      <w:pPr>
        <w:keepNext/>
        <w:spacing w:before="480" w:after="240"/>
        <w:jc w:val="center"/>
        <w:rPr>
          <w:b/>
          <w:color w:val="000000"/>
          <w:u w:val="single"/>
        </w:rPr>
      </w:pPr>
      <w:r w:rsidRPr="007F620E">
        <w:rPr>
          <w:b/>
          <w:color w:val="000000"/>
          <w:u w:val="single"/>
        </w:rPr>
        <w:t>CONCLUSION OF LAW</w:t>
      </w:r>
    </w:p>
    <w:p w:rsidRPr="007F620E" w:rsidR="00A92D0B" w:rsidP="00575494" w:rsidRDefault="00A92D0B" w14:paraId="654F2C27" w14:textId="0BDE6BE6">
      <w:pPr>
        <w:numPr>
          <w:ilvl w:val="0"/>
          <w:numId w:val="10"/>
        </w:numPr>
        <w:spacing w:before="240"/>
        <w:rPr>
          <w:color w:val="000000"/>
        </w:rPr>
      </w:pPr>
      <w:r w:rsidRPr="00575494">
        <w:t>The</w:t>
      </w:r>
      <w:r w:rsidRPr="007F620E">
        <w:rPr>
          <w:color w:val="000000"/>
        </w:rPr>
        <w:t xml:space="preserve"> Claim, with any adjustment set forth above,</w:t>
      </w:r>
      <w:r w:rsidR="007854F0">
        <w:rPr>
          <w:color w:val="000000"/>
        </w:rPr>
        <w:t xml:space="preserve"> </w:t>
      </w:r>
      <w:r w:rsidRPr="007F620E">
        <w:rPr>
          <w:color w:val="000000"/>
        </w:rPr>
        <w:t>satisfies</w:t>
      </w:r>
      <w:r w:rsidRPr="007F620E" w:rsidR="00DE3A5D">
        <w:rPr>
          <w:color w:val="000000"/>
        </w:rPr>
        <w:t xml:space="preserve"> all requirements of Pub. Util.</w:t>
      </w:r>
      <w:r w:rsidRPr="007F620E">
        <w:rPr>
          <w:color w:val="000000"/>
        </w:rPr>
        <w:t xml:space="preserve"> Code §§ 1801-1812.</w:t>
      </w:r>
    </w:p>
    <w:p w:rsidRPr="007F620E" w:rsidR="00A92D0B" w:rsidP="00CE057B" w:rsidRDefault="00A92D0B" w14:paraId="0E2503A5" w14:textId="77777777">
      <w:pPr>
        <w:keepNext/>
        <w:spacing w:before="480" w:after="240"/>
        <w:jc w:val="center"/>
        <w:rPr>
          <w:b/>
          <w:color w:val="000000"/>
          <w:u w:val="single"/>
        </w:rPr>
      </w:pPr>
      <w:r w:rsidRPr="007F620E">
        <w:rPr>
          <w:b/>
          <w:color w:val="000000"/>
          <w:u w:val="single"/>
        </w:rPr>
        <w:t>ORDER</w:t>
      </w:r>
    </w:p>
    <w:p w:rsidRPr="004C7315" w:rsidR="00A92D0B" w:rsidP="00CE057B" w:rsidRDefault="007F374E" w14:paraId="33FB4E15" w14:textId="0AA9EFCE">
      <w:pPr>
        <w:keepNext/>
        <w:numPr>
          <w:ilvl w:val="0"/>
          <w:numId w:val="4"/>
        </w:numPr>
        <w:tabs>
          <w:tab w:val="clear" w:pos="900"/>
          <w:tab w:val="num" w:pos="540"/>
        </w:tabs>
        <w:ind w:left="547" w:hanging="547"/>
        <w:rPr>
          <w:bCs/>
          <w:color w:val="000000"/>
        </w:rPr>
      </w:pPr>
      <w:r w:rsidRPr="004C7315">
        <w:rPr>
          <w:bCs/>
        </w:rPr>
        <w:t xml:space="preserve">California Environmental Justice Alliance </w:t>
      </w:r>
      <w:r w:rsidRPr="004C7315" w:rsidR="00831652">
        <w:rPr>
          <w:bCs/>
        </w:rPr>
        <w:t>is</w:t>
      </w:r>
      <w:r w:rsidRPr="004C7315" w:rsidR="00FE3BAE">
        <w:rPr>
          <w:bCs/>
        </w:rPr>
        <w:t xml:space="preserve"> </w:t>
      </w:r>
      <w:r w:rsidRPr="004C7315" w:rsidR="00A92D0B">
        <w:rPr>
          <w:bCs/>
          <w:color w:val="000000"/>
        </w:rPr>
        <w:t xml:space="preserve">awarded </w:t>
      </w:r>
      <w:r w:rsidRPr="004C7315" w:rsidR="00D6442B">
        <w:rPr>
          <w:bCs/>
          <w:color w:val="000000"/>
        </w:rPr>
        <w:t>$91,319.15</w:t>
      </w:r>
      <w:r w:rsidRPr="004C7315" w:rsidR="00A92D0B">
        <w:rPr>
          <w:bCs/>
          <w:color w:val="000000"/>
        </w:rPr>
        <w:t>.</w:t>
      </w:r>
    </w:p>
    <w:p w:rsidRPr="008E22A7" w:rsidR="00A92D0B" w:rsidRDefault="0055228B" w14:paraId="4AEF5671" w14:textId="7D626583">
      <w:pPr>
        <w:numPr>
          <w:ilvl w:val="0"/>
          <w:numId w:val="4"/>
        </w:numPr>
        <w:tabs>
          <w:tab w:val="clear" w:pos="900"/>
          <w:tab w:val="num" w:pos="540"/>
        </w:tabs>
        <w:spacing w:before="240"/>
        <w:ind w:left="547" w:hanging="547"/>
      </w:pPr>
      <w:r w:rsidRPr="004C7315">
        <w:rPr>
          <w:bCs/>
        </w:rPr>
        <w:t xml:space="preserve">Within 30 days of the effective date of this decision, </w:t>
      </w:r>
      <w:r w:rsidRPr="004C7315" w:rsidR="00950EEC">
        <w:rPr>
          <w:bCs/>
        </w:rPr>
        <w:t xml:space="preserve">Pacific Gas and Electric Company, San Diego Gas &amp; Electric Company, </w:t>
      </w:r>
      <w:r w:rsidRPr="004C7315" w:rsidR="009F1FB6">
        <w:rPr>
          <w:bCs/>
        </w:rPr>
        <w:t xml:space="preserve">and </w:t>
      </w:r>
      <w:r w:rsidRPr="004C7315" w:rsidR="00950EEC">
        <w:rPr>
          <w:bCs/>
        </w:rPr>
        <w:t xml:space="preserve">Southern California Edison Company </w:t>
      </w:r>
      <w:r w:rsidRPr="004C7315">
        <w:rPr>
          <w:bCs/>
        </w:rPr>
        <w:t xml:space="preserve">shall pay </w:t>
      </w:r>
      <w:bookmarkStart w:name="_Hlk196748686" w:id="1"/>
      <w:r w:rsidRPr="004C7315" w:rsidR="009F1FB6">
        <w:rPr>
          <w:bCs/>
        </w:rPr>
        <w:t>California Environmental Justice Alliance</w:t>
      </w:r>
      <w:bookmarkEnd w:id="1"/>
      <w:r w:rsidRPr="004C7315">
        <w:rPr>
          <w:bCs/>
        </w:rPr>
        <w:t xml:space="preserve"> their respective shares of the award, based on their California-jurisdictional electric revenues for the </w:t>
      </w:r>
      <w:r w:rsidRPr="004C7315" w:rsidR="00756C22">
        <w:rPr>
          <w:bCs/>
        </w:rPr>
        <w:t>2024</w:t>
      </w:r>
      <w:r w:rsidRPr="004C7315">
        <w:rPr>
          <w:bCs/>
        </w:rPr>
        <w:t xml:space="preserve"> calendar year, to reflect the year in which the proceeding was primarily litigated.  If such data </w:t>
      </w:r>
      <w:r w:rsidR="006A6FAB">
        <w:rPr>
          <w:bCs/>
        </w:rPr>
        <w:t>is</w:t>
      </w:r>
      <w:r w:rsidRPr="004C7315" w:rsidR="006A6FAB">
        <w:rPr>
          <w:bCs/>
        </w:rPr>
        <w:t xml:space="preserve"> </w:t>
      </w:r>
      <w:r w:rsidRPr="004C7315">
        <w:rPr>
          <w:bCs/>
        </w:rPr>
        <w:t>unavailable, the most recent electric</w:t>
      </w:r>
      <w:r w:rsidRPr="004C7315" w:rsidR="003B7BA8">
        <w:rPr>
          <w:bCs/>
        </w:rPr>
        <w:t xml:space="preserve"> </w:t>
      </w:r>
      <w:r w:rsidRPr="004C7315">
        <w:rPr>
          <w:bCs/>
        </w:rPr>
        <w:t>revenue data shall be used.</w:t>
      </w:r>
      <w:r w:rsidRPr="004C7315" w:rsidR="003B7BA8">
        <w:rPr>
          <w:bCs/>
        </w:rPr>
        <w:t xml:space="preserve"> </w:t>
      </w:r>
      <w:r w:rsidRPr="004C7315" w:rsidR="00A92D0B">
        <w:rPr>
          <w:bCs/>
        </w:rPr>
        <w:t>Payment of the award shall include</w:t>
      </w:r>
      <w:r w:rsidRPr="004C7315" w:rsidR="004E3939">
        <w:rPr>
          <w:bCs/>
        </w:rPr>
        <w:t xml:space="preserve"> compound </w:t>
      </w:r>
      <w:r w:rsidRPr="004C7315" w:rsidR="00A92D0B">
        <w:rPr>
          <w:bCs/>
        </w:rPr>
        <w:t xml:space="preserve">interest at the rate earned on prime, three-month </w:t>
      </w:r>
      <w:r w:rsidRPr="004C7315" w:rsidR="00214B22">
        <w:rPr>
          <w:bCs/>
        </w:rPr>
        <w:t xml:space="preserve">non-financial </w:t>
      </w:r>
      <w:r w:rsidRPr="004C7315" w:rsidR="00A92D0B">
        <w:rPr>
          <w:bCs/>
        </w:rPr>
        <w:t>commercial paper as reported in Federal Reserve Statistical Release H.15, beginning</w:t>
      </w:r>
      <w:r w:rsidRPr="004C7315" w:rsidR="00357F1A">
        <w:rPr>
          <w:bCs/>
        </w:rPr>
        <w:t xml:space="preserve"> </w:t>
      </w:r>
      <w:r w:rsidRPr="004C7315" w:rsidR="001B0D71">
        <w:rPr>
          <w:bCs/>
        </w:rPr>
        <w:t>June</w:t>
      </w:r>
      <w:r w:rsidRPr="004C7315" w:rsidR="004969CB">
        <w:rPr>
          <w:bCs/>
        </w:rPr>
        <w:t xml:space="preserve"> 4, 2025</w:t>
      </w:r>
      <w:r w:rsidRPr="004C7315" w:rsidR="00357F1A">
        <w:rPr>
          <w:bCs/>
        </w:rPr>
        <w:t xml:space="preserve">, </w:t>
      </w:r>
      <w:r w:rsidRPr="004C7315" w:rsidR="00A92D0B">
        <w:rPr>
          <w:bCs/>
        </w:rPr>
        <w:t>the 75</w:t>
      </w:r>
      <w:r w:rsidRPr="004C7315" w:rsidR="00A92D0B">
        <w:rPr>
          <w:bCs/>
          <w:vertAlign w:val="superscript"/>
        </w:rPr>
        <w:t>th</w:t>
      </w:r>
      <w:r w:rsidRPr="004C7315" w:rsidR="00A92D0B">
        <w:rPr>
          <w:bCs/>
        </w:rPr>
        <w:t xml:space="preserve"> day after the filing of </w:t>
      </w:r>
      <w:r w:rsidRPr="004C7315" w:rsidR="004969CB">
        <w:rPr>
          <w:bCs/>
        </w:rPr>
        <w:t>California Environmental Justice Alliance</w:t>
      </w:r>
      <w:r w:rsidRPr="004C7315" w:rsidR="00FE3BAE">
        <w:rPr>
          <w:bCs/>
        </w:rPr>
        <w:t>’s</w:t>
      </w:r>
      <w:r w:rsidRPr="008E22A7" w:rsidR="00FE3BAE">
        <w:rPr>
          <w:b/>
        </w:rPr>
        <w:t xml:space="preserve"> </w:t>
      </w:r>
      <w:r w:rsidRPr="008E22A7" w:rsidR="00A92D0B">
        <w:t>request, and continuing until full payment is made.</w:t>
      </w:r>
    </w:p>
    <w:p w:rsidRPr="007F620E" w:rsidR="00A92D0B" w:rsidP="00DE3A5D" w:rsidRDefault="00A92D0B" w14:paraId="5AD40C95" w14:textId="4F1F9E7F">
      <w:pPr>
        <w:keepNext/>
        <w:keepLines/>
        <w:numPr>
          <w:ilvl w:val="0"/>
          <w:numId w:val="4"/>
        </w:numPr>
        <w:tabs>
          <w:tab w:val="clear" w:pos="900"/>
          <w:tab w:val="num" w:pos="540"/>
        </w:tabs>
        <w:spacing w:before="240"/>
        <w:ind w:left="547" w:hanging="547"/>
      </w:pPr>
      <w:r w:rsidRPr="007F620E">
        <w:lastRenderedPageBreak/>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Pr="007F620E" w:rsidR="00A92D0B" w:rsidP="00357623" w:rsidRDefault="00A92D0B" w14:paraId="0467B995" w14:textId="48227B43">
      <w:pPr>
        <w:keepNext/>
        <w:keepLines/>
        <w:spacing w:before="240"/>
        <w:ind w:left="547"/>
        <w:rPr>
          <w:color w:val="000000"/>
        </w:rPr>
      </w:pPr>
      <w:r w:rsidRPr="007F620E">
        <w:rPr>
          <w:color w:val="000000"/>
        </w:rPr>
        <w:t xml:space="preserve">Dated </w:t>
      </w:r>
      <w:r w:rsidR="00CE4462">
        <w:rPr>
          <w:color w:val="000000"/>
        </w:rPr>
        <w:t>__, 2025</w:t>
      </w:r>
      <w:r w:rsidRPr="007F620E">
        <w:rPr>
          <w:color w:val="000000"/>
        </w:rPr>
        <w:t>, at San Francisco, California.</w:t>
      </w:r>
    </w:p>
    <w:p w:rsidR="00A92D0B" w:rsidRDefault="00A92D0B" w14:paraId="1A474D77" w14:textId="77777777"/>
    <w:p w:rsidR="00CE4462" w:rsidRDefault="00CE4462" w14:paraId="6C8711F1" w14:textId="77777777"/>
    <w:p w:rsidR="00CE4462" w:rsidRDefault="00CE4462" w14:paraId="609E45C8" w14:textId="77777777"/>
    <w:p w:rsidRPr="007F620E" w:rsidR="00CE4462" w:rsidRDefault="00CE4462" w14:paraId="0562AD10" w14:textId="77777777"/>
    <w:p w:rsidR="00FE3BAE" w:rsidRDefault="00FE3BAE" w14:paraId="3C739AE2" w14:textId="71F3AFC8"/>
    <w:p w:rsidR="006B7228" w:rsidRDefault="006B7228" w14:paraId="37D74F32" w14:textId="77777777">
      <w:pPr>
        <w:sectPr w:rsidR="006B7228" w:rsidSect="001C4C6F">
          <w:headerReference w:type="default" r:id="rId11"/>
          <w:footerReference w:type="default" r:id="rId12"/>
          <w:footerReference w:type="first" r:id="rId13"/>
          <w:pgSz w:w="12240" w:h="15840"/>
          <w:pgMar w:top="1440" w:right="1440" w:bottom="144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A23C17" w:rsidRDefault="00FE3BAE" w14:paraId="16C5D6B1" w14:textId="77777777"/>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A23C17"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A23C17" w:rsidRDefault="00471C44" w14:paraId="6846FB87" w14:textId="715619B0">
            <w:pPr>
              <w:jc w:val="center"/>
            </w:pPr>
            <w:r>
              <w:t>N</w:t>
            </w:r>
            <w:r w:rsidR="00BB057F">
              <w:t>o</w:t>
            </w:r>
          </w:p>
        </w:tc>
      </w:tr>
      <w:tr w:rsidRPr="00B803D5" w:rsidR="00FE3BAE" w:rsidTr="008E22A7"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372E5B" w:rsidR="00FE3BAE" w:rsidP="00A23C17" w:rsidRDefault="00FE3BAE" w14:paraId="6E65620B" w14:textId="77777777">
            <w:pPr>
              <w:rPr>
                <w:b/>
                <w:bCs/>
              </w:rPr>
            </w:pPr>
            <w:r w:rsidRPr="00372E5B">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372E5B" w:rsidR="00FE3BAE" w:rsidP="00A23C17" w:rsidRDefault="00372E5B" w14:paraId="426F2C45" w14:textId="446AE31B">
            <w:r w:rsidRPr="0027357A">
              <w:rPr>
                <w:color w:val="000000"/>
              </w:rPr>
              <w:t>D2408064, D2409006, D25020</w:t>
            </w:r>
            <w:r w:rsidR="003314EE">
              <w:rPr>
                <w:color w:val="000000"/>
              </w:rPr>
              <w:t>2</w:t>
            </w:r>
            <w:r w:rsidRPr="0027357A">
              <w:rPr>
                <w:color w:val="000000"/>
              </w:rPr>
              <w:t>6</w:t>
            </w:r>
          </w:p>
        </w:tc>
      </w:tr>
      <w:tr w:rsidRPr="00B803D5" w:rsidR="00FE3BAE" w:rsidTr="008E22A7"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4F3DA4" w14:paraId="5B85688D" w14:textId="37A96E12">
            <w:r>
              <w:t>R2005003</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3017F6" w14:paraId="5E75C0F0" w14:textId="04BA30C1">
            <w:r>
              <w:t>ALJ Fitch</w:t>
            </w:r>
            <w:r w:rsidR="00403FEA">
              <w:t xml:space="preserve"> &amp; ALJ Rizzo</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497AD5" w:rsidRDefault="00497AD5" w14:paraId="7CA711B6" w14:textId="36DDFBB9">
            <w:r>
              <w:t xml:space="preserve">Pacific Gas and Electric Company, San Diego Gas &amp; Electric Company, </w:t>
            </w:r>
            <w:r w:rsidR="00C45FF5">
              <w:t xml:space="preserve">and </w:t>
            </w:r>
            <w:r>
              <w:t>Southern California Edison Company</w:t>
            </w:r>
          </w:p>
        </w:tc>
      </w:tr>
    </w:tbl>
    <w:p w:rsidRPr="00B803D5" w:rsidR="00FE3BAE" w:rsidP="00CE057B" w:rsidRDefault="00FE3BAE" w14:paraId="7F0236A2" w14:textId="77777777">
      <w:pPr>
        <w:spacing w:before="480"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297"/>
        <w:gridCol w:w="1363"/>
        <w:gridCol w:w="1390"/>
        <w:gridCol w:w="1534"/>
        <w:gridCol w:w="1390"/>
        <w:gridCol w:w="2466"/>
      </w:tblGrid>
      <w:tr w:rsidRPr="00B803D5"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B803D5">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8E22A7"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8E22A7" w:rsidR="00FE3BAE" w:rsidP="00A23C17" w:rsidRDefault="004F3DA4" w14:paraId="3008FB17" w14:textId="6B8568EA">
            <w:pPr>
              <w:jc w:val="center"/>
            </w:pPr>
            <w:r w:rsidRPr="008E22A7">
              <w:t>CALIFORNIA ENVIRONMENTAL JUSTICE ALLIANCE</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8E22A7" w:rsidR="00FE3BAE" w:rsidP="00A23C17" w:rsidRDefault="00372E5B" w14:paraId="63956769" w14:textId="282161C4">
            <w:pPr>
              <w:jc w:val="center"/>
            </w:pPr>
            <w:r w:rsidRPr="008E22A7">
              <w:t>March 2</w:t>
            </w:r>
            <w:r w:rsidRPr="008E22A7" w:rsidR="00C12F48">
              <w:t>1</w:t>
            </w:r>
            <w:r w:rsidRPr="008E22A7">
              <w:t>, 2025</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8E22A7" w:rsidR="00FE3BAE" w:rsidP="00A23C17" w:rsidRDefault="00630386" w14:paraId="75AD20FA" w14:textId="1E8A35E4">
            <w:pPr>
              <w:jc w:val="center"/>
            </w:pPr>
            <w:r w:rsidRPr="008E22A7">
              <w:t>$99,720.60</w:t>
            </w:r>
          </w:p>
        </w:tc>
        <w:tc>
          <w:tcPr>
            <w:tcW w:w="1571" w:type="dxa"/>
            <w:tcBorders>
              <w:top w:val="single" w:color="auto" w:sz="4" w:space="0"/>
              <w:left w:val="single" w:color="auto" w:sz="4" w:space="0"/>
              <w:bottom w:val="single" w:color="auto" w:sz="4" w:space="0"/>
              <w:right w:val="single" w:color="auto" w:sz="4" w:space="0"/>
            </w:tcBorders>
            <w:hideMark/>
          </w:tcPr>
          <w:p w:rsidRPr="00B803D5" w:rsidR="00FE3BAE" w:rsidP="00A23C17" w:rsidRDefault="005048CB" w14:paraId="0DD6FE00" w14:textId="1700F608">
            <w:pPr>
              <w:jc w:val="center"/>
            </w:pPr>
            <w:bookmarkStart w:name="_Hlk197345858" w:id="2"/>
            <w:r w:rsidRPr="005048CB">
              <w:t>$91,319.15</w:t>
            </w:r>
            <w:bookmarkEnd w:id="2"/>
          </w:p>
        </w:tc>
        <w:tc>
          <w:tcPr>
            <w:tcW w:w="1390" w:type="dxa"/>
            <w:tcBorders>
              <w:top w:val="single" w:color="auto" w:sz="4" w:space="0"/>
              <w:left w:val="single" w:color="auto" w:sz="4" w:space="0"/>
              <w:bottom w:val="single" w:color="auto" w:sz="4" w:space="0"/>
              <w:right w:val="single" w:color="auto" w:sz="4" w:space="0"/>
            </w:tcBorders>
            <w:hideMark/>
          </w:tcPr>
          <w:p w:rsidRPr="00B803D5" w:rsidR="00FE3BAE" w:rsidP="00A23C17" w:rsidRDefault="00FE3BAE" w14:paraId="0BDAFE20" w14:textId="77777777">
            <w:pPr>
              <w:jc w:val="center"/>
            </w:pPr>
            <w:r w:rsidRPr="00B803D5">
              <w:t>N/A</w:t>
            </w:r>
          </w:p>
        </w:tc>
        <w:tc>
          <w:tcPr>
            <w:tcW w:w="2474" w:type="dxa"/>
            <w:tcBorders>
              <w:top w:val="single" w:color="auto" w:sz="4" w:space="0"/>
              <w:left w:val="single" w:color="auto" w:sz="4" w:space="0"/>
              <w:bottom w:val="single" w:color="auto" w:sz="4" w:space="0"/>
              <w:right w:val="single" w:color="auto" w:sz="4" w:space="0"/>
            </w:tcBorders>
            <w:hideMark/>
          </w:tcPr>
          <w:p w:rsidRPr="00B803D5" w:rsidR="00FE3BAE" w:rsidP="00A23C17" w:rsidRDefault="00362184" w14:paraId="6B53C6F9" w14:textId="2BF28E00">
            <w:pPr>
              <w:jc w:val="center"/>
            </w:pPr>
            <w:r w:rsidRPr="005A162C">
              <w:rPr>
                <w:i/>
                <w:iCs/>
              </w:rPr>
              <w:t>See</w:t>
            </w:r>
            <w:r w:rsidRPr="00362184">
              <w:t xml:space="preserve"> Part III.D CPUC Comments, Disallowances, and Adjustments above.</w:t>
            </w:r>
          </w:p>
        </w:tc>
      </w:tr>
    </w:tbl>
    <w:p w:rsidRPr="00B803D5" w:rsidR="00FE3BAE" w:rsidP="00CE057B" w:rsidRDefault="0022302F" w14:paraId="2841210B" w14:textId="77777777">
      <w:pPr>
        <w:spacing w:before="480"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4F3DA4"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D01E49" w:rsidTr="008E22A7"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0F0C6D6C" w14:textId="5F1E728C">
            <w:pPr>
              <w:jc w:val="center"/>
            </w:pPr>
            <w:r w:rsidRPr="008E22A7">
              <w:t>Deborah</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6ACE7B68" w14:textId="1301823B">
            <w:pPr>
              <w:jc w:val="center"/>
            </w:pPr>
            <w:r w:rsidRPr="008E22A7">
              <w:t>Behles</w:t>
            </w:r>
            <w:bookmarkStart w:name="_Ref197350826" w:id="3"/>
            <w:r w:rsidRPr="008E22A7" w:rsidR="005A162C">
              <w:rPr>
                <w:vertAlign w:val="superscript"/>
              </w:rPr>
              <w:footnoteReference w:id="13"/>
            </w:r>
            <w:bookmarkEnd w:id="3"/>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0E61474F" w14:textId="367C025A">
            <w:pPr>
              <w:jc w:val="center"/>
            </w:pPr>
            <w:r w:rsidRPr="008E22A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44F9655C" w14:textId="7BB13591">
            <w:pPr>
              <w:jc w:val="center"/>
            </w:pPr>
            <w:r>
              <w:t>$6</w:t>
            </w:r>
            <w:r w:rsidR="00981C06">
              <w:t>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2EB25516" w14:textId="196152DF">
            <w:pPr>
              <w:jc w:val="center"/>
            </w:pPr>
            <w:r>
              <w:t>202</w:t>
            </w:r>
            <w:r w:rsidR="00981C06">
              <w:t>4</w:t>
            </w:r>
          </w:p>
        </w:tc>
        <w:tc>
          <w:tcPr>
            <w:tcW w:w="1634" w:type="dxa"/>
            <w:tcBorders>
              <w:top w:val="single" w:color="auto" w:sz="4" w:space="0"/>
              <w:left w:val="single" w:color="auto" w:sz="4" w:space="0"/>
              <w:bottom w:val="single" w:color="auto" w:sz="4" w:space="0"/>
              <w:right w:val="single" w:color="auto" w:sz="4" w:space="0"/>
            </w:tcBorders>
          </w:tcPr>
          <w:p w:rsidRPr="00B803D5" w:rsidR="00D01E49" w:rsidP="00D01E49" w:rsidRDefault="00CA4BDE" w14:paraId="0A76FE98" w14:textId="3675C942">
            <w:pPr>
              <w:jc w:val="center"/>
            </w:pPr>
            <w:r>
              <w:t>$670.00</w:t>
            </w:r>
          </w:p>
        </w:tc>
      </w:tr>
      <w:tr w:rsidRPr="00B803D5" w:rsidR="00D01E49" w:rsidTr="008E22A7"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4CFDAB24" w14:textId="4E72FC4E">
            <w:pPr>
              <w:jc w:val="center"/>
            </w:pPr>
            <w:r w:rsidRPr="008E22A7">
              <w:t>Deborah</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3A9B4F75" w14:textId="683E9AA9">
            <w:pPr>
              <w:jc w:val="center"/>
            </w:pPr>
            <w:r w:rsidRPr="008E22A7">
              <w:t>Behles</w:t>
            </w:r>
            <w:r w:rsidR="0010083E">
              <w:fldChar w:fldCharType="begin"/>
            </w:r>
            <w:r w:rsidR="0010083E">
              <w:instrText xml:space="preserve"> NOTEREF _Ref197350826 \f \h </w:instrText>
            </w:r>
            <w:r w:rsidR="0010083E">
              <w:fldChar w:fldCharType="separate"/>
            </w:r>
            <w:r w:rsidRPr="00DC3F64" w:rsidR="0010083E">
              <w:rPr>
                <w:rStyle w:val="FootnoteReference"/>
              </w:rPr>
              <w:t>12</w:t>
            </w:r>
            <w:r w:rsidR="0010083E">
              <w:fldChar w:fldCharType="end"/>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73440B00" w14:textId="1654FEF7">
            <w:pPr>
              <w:jc w:val="center"/>
            </w:pPr>
            <w:r w:rsidRPr="008E22A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1466F47E" w14:textId="5D2027C9">
            <w:pPr>
              <w:jc w:val="center"/>
            </w:pPr>
            <w:r>
              <w:t>$6</w:t>
            </w:r>
            <w:r w:rsidR="00372E5B">
              <w:t>93</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4CBE320E" w14:textId="2BB639B5">
            <w:pPr>
              <w:jc w:val="center"/>
            </w:pPr>
            <w:r>
              <w:t>202</w:t>
            </w:r>
            <w:r w:rsidR="00981C06">
              <w:t>5</w:t>
            </w:r>
          </w:p>
        </w:tc>
        <w:tc>
          <w:tcPr>
            <w:tcW w:w="1634" w:type="dxa"/>
            <w:tcBorders>
              <w:top w:val="single" w:color="auto" w:sz="4" w:space="0"/>
              <w:left w:val="single" w:color="auto" w:sz="4" w:space="0"/>
              <w:bottom w:val="single" w:color="auto" w:sz="4" w:space="0"/>
              <w:right w:val="single" w:color="auto" w:sz="4" w:space="0"/>
            </w:tcBorders>
          </w:tcPr>
          <w:p w:rsidRPr="00B803D5" w:rsidR="00D01E49" w:rsidP="00D01E49" w:rsidRDefault="00CA4BDE" w14:paraId="37932A57" w14:textId="51A6374B">
            <w:pPr>
              <w:jc w:val="center"/>
            </w:pPr>
            <w:r>
              <w:t>$695.00</w:t>
            </w:r>
          </w:p>
        </w:tc>
      </w:tr>
      <w:tr w:rsidRPr="00B803D5" w:rsidR="00D01E49" w:rsidTr="008E22A7"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71BF257F" w14:textId="45C94BEC">
            <w:pPr>
              <w:jc w:val="center"/>
            </w:pPr>
            <w:r w:rsidRPr="008E22A7">
              <w:t xml:space="preserve">Shana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4D0E5B24" w14:textId="09FC56B0">
            <w:pPr>
              <w:jc w:val="center"/>
            </w:pPr>
            <w:proofErr w:type="spellStart"/>
            <w:r w:rsidRPr="008E22A7">
              <w:t>Lazerow</w:t>
            </w:r>
            <w:bookmarkStart w:name="_Ref197350831" w:id="4"/>
            <w:proofErr w:type="spellEnd"/>
            <w:r w:rsidRPr="008E22A7" w:rsidR="00F940D6">
              <w:rPr>
                <w:vertAlign w:val="superscript"/>
              </w:rPr>
              <w:footnoteReference w:id="14"/>
            </w:r>
            <w:bookmarkEnd w:id="4"/>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3ACB6465" w14:textId="7F02652B">
            <w:pPr>
              <w:jc w:val="center"/>
            </w:pPr>
            <w:r w:rsidRPr="008E22A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27D75B3F" w14:textId="5AD4BA5B">
            <w:pPr>
              <w:jc w:val="center"/>
            </w:pPr>
            <w:r>
              <w:t>$</w:t>
            </w:r>
            <w:r w:rsidR="00981C06">
              <w:t>730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0BD45097" w14:textId="07E18FF8">
            <w:pPr>
              <w:jc w:val="center"/>
            </w:pPr>
            <w:r>
              <w:t>202</w:t>
            </w:r>
            <w:r w:rsidR="00981C06">
              <w:t>4</w:t>
            </w:r>
          </w:p>
        </w:tc>
        <w:tc>
          <w:tcPr>
            <w:tcW w:w="1634" w:type="dxa"/>
            <w:tcBorders>
              <w:top w:val="single" w:color="auto" w:sz="4" w:space="0"/>
              <w:left w:val="single" w:color="auto" w:sz="4" w:space="0"/>
              <w:bottom w:val="single" w:color="auto" w:sz="4" w:space="0"/>
              <w:right w:val="single" w:color="auto" w:sz="4" w:space="0"/>
            </w:tcBorders>
          </w:tcPr>
          <w:p w:rsidRPr="00B803D5" w:rsidR="00D01E49" w:rsidP="00D01E49" w:rsidRDefault="00CA4BDE" w14:paraId="6B245605" w14:textId="3A09E88A">
            <w:pPr>
              <w:jc w:val="center"/>
            </w:pPr>
            <w:r>
              <w:t>$730.00</w:t>
            </w:r>
          </w:p>
        </w:tc>
      </w:tr>
      <w:tr w:rsidRPr="00B803D5" w:rsidR="00D01E49" w:rsidTr="008E22A7"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115C1393" w14:textId="19F01736">
            <w:pPr>
              <w:jc w:val="center"/>
            </w:pPr>
            <w:r w:rsidRPr="008E22A7">
              <w:t xml:space="preserve">Shana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1467A27B" w14:textId="7629D617">
            <w:pPr>
              <w:jc w:val="center"/>
            </w:pPr>
            <w:r w:rsidRPr="008E22A7">
              <w:t>Lazerow</w:t>
            </w:r>
            <w:r w:rsidR="0010083E">
              <w:fldChar w:fldCharType="begin"/>
            </w:r>
            <w:r w:rsidR="0010083E">
              <w:instrText xml:space="preserve"> NOTEREF _Ref197350831 \f \h </w:instrText>
            </w:r>
            <w:r w:rsidR="0010083E">
              <w:fldChar w:fldCharType="separate"/>
            </w:r>
            <w:r w:rsidRPr="00DC3F64" w:rsidR="0010083E">
              <w:rPr>
                <w:rStyle w:val="FootnoteReference"/>
              </w:rPr>
              <w:t>13</w:t>
            </w:r>
            <w:r w:rsidR="0010083E">
              <w:fldChar w:fldCharType="end"/>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E22A7" w:rsidR="00D01E49" w:rsidP="00D01E49" w:rsidRDefault="00D01E49" w14:paraId="66D10560" w14:textId="52E08E7D">
            <w:pPr>
              <w:jc w:val="center"/>
            </w:pPr>
            <w:r w:rsidRPr="008E22A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CC2A77" w14:paraId="7BC812A8" w14:textId="35A33731">
            <w:pPr>
              <w:jc w:val="center"/>
            </w:pPr>
            <w:r>
              <w:t>$7</w:t>
            </w:r>
            <w:r w:rsidR="00372E5B">
              <w:t>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B803D5" w:rsidR="00D01E49" w:rsidP="00D01E49" w:rsidRDefault="00D01E49" w14:paraId="4580AE9E" w14:textId="689A1532">
            <w:pPr>
              <w:jc w:val="center"/>
            </w:pPr>
            <w:r>
              <w:t>202</w:t>
            </w:r>
            <w:r w:rsidR="00981C06">
              <w:t>5</w:t>
            </w:r>
          </w:p>
        </w:tc>
        <w:tc>
          <w:tcPr>
            <w:tcW w:w="1634" w:type="dxa"/>
            <w:tcBorders>
              <w:top w:val="single" w:color="auto" w:sz="4" w:space="0"/>
              <w:left w:val="single" w:color="auto" w:sz="4" w:space="0"/>
              <w:bottom w:val="single" w:color="auto" w:sz="4" w:space="0"/>
              <w:right w:val="single" w:color="auto" w:sz="4" w:space="0"/>
            </w:tcBorders>
          </w:tcPr>
          <w:p w:rsidRPr="00B803D5" w:rsidR="00D01E49" w:rsidP="00D01E49" w:rsidRDefault="00CA4BDE" w14:paraId="74B7B957" w14:textId="236DA201">
            <w:pPr>
              <w:jc w:val="center"/>
            </w:pPr>
            <w:r>
              <w:t>$755.00</w:t>
            </w: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Pr="00B803D5" w:rsidR="00FE3BAE" w:rsidP="00FE3BAE" w:rsidRDefault="00FE3BAE" w14:paraId="53F54635" w14:textId="77777777">
      <w:pPr>
        <w:jc w:val="center"/>
      </w:pPr>
      <w:r w:rsidRPr="00B803D5">
        <w:rPr>
          <w:b/>
        </w:rPr>
        <w:t xml:space="preserve">(END OF </w:t>
      </w:r>
      <w:r w:rsidRPr="00B803D5">
        <w:rPr>
          <w:b/>
          <w:szCs w:val="26"/>
        </w:rPr>
        <w:t>APPENDIX</w:t>
      </w:r>
      <w:r w:rsidRPr="00B803D5">
        <w:rPr>
          <w:b/>
        </w:rPr>
        <w:t>)</w:t>
      </w:r>
    </w:p>
    <w:sectPr w:rsidRPr="00B803D5" w:rsidR="00FE3BAE" w:rsidSect="001C4C6F">
      <w:footerReference w:type="default" r:id="rId14"/>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26D47" w14:textId="77777777" w:rsidR="003616AE" w:rsidRDefault="003616AE" w:rsidP="00885956">
      <w:r>
        <w:separator/>
      </w:r>
    </w:p>
  </w:endnote>
  <w:endnote w:type="continuationSeparator" w:id="0">
    <w:p w14:paraId="341304F0" w14:textId="77777777" w:rsidR="003616AE" w:rsidRDefault="003616AE" w:rsidP="00885956">
      <w:r>
        <w:continuationSeparator/>
      </w:r>
    </w:p>
  </w:endnote>
  <w:endnote w:type="continuationNotice" w:id="1">
    <w:p w14:paraId="201FD858" w14:textId="77777777" w:rsidR="003616AE" w:rsidRDefault="0036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9329"/>
      <w:docPartObj>
        <w:docPartGallery w:val="Page Numbers (Bottom of Page)"/>
        <w:docPartUnique/>
      </w:docPartObj>
    </w:sdtPr>
    <w:sdtEndPr>
      <w:rPr>
        <w:noProof/>
      </w:rPr>
    </w:sdtEndPr>
    <w:sdtContent>
      <w:p w14:paraId="2B494C2D" w14:textId="35A0EA3E" w:rsidR="00CF1129" w:rsidRDefault="006914D7" w:rsidP="00737A7F">
        <w:pPr>
          <w:pStyle w:val="Footer"/>
        </w:pPr>
        <w:r w:rsidRPr="006914D7">
          <w:rPr>
            <w:sz w:val="16"/>
            <w:szCs w:val="16"/>
          </w:rPr>
          <w:t>573384760</w:t>
        </w:r>
        <w:r w:rsidR="00737A7F">
          <w:rPr>
            <w:sz w:val="16"/>
            <w:szCs w:val="16"/>
          </w:rPr>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5F6B713D" w:rsidR="00435C30" w:rsidRDefault="00CE4462" w:rsidP="00CE4462">
    <w:pPr>
      <w:pStyle w:val="Footer"/>
      <w:ind w:left="720"/>
      <w:jc w:val="center"/>
    </w:pPr>
    <w: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B4F2" w14:textId="77777777" w:rsidR="003616AE" w:rsidRDefault="003616AE" w:rsidP="00885956">
      <w:r>
        <w:separator/>
      </w:r>
    </w:p>
  </w:footnote>
  <w:footnote w:type="continuationSeparator" w:id="0">
    <w:p w14:paraId="664F42BA" w14:textId="77777777" w:rsidR="003616AE" w:rsidRDefault="003616AE" w:rsidP="00885956">
      <w:r>
        <w:continuationSeparator/>
      </w:r>
    </w:p>
  </w:footnote>
  <w:footnote w:type="continuationNotice" w:id="1">
    <w:p w14:paraId="201DD216" w14:textId="77777777" w:rsidR="003616AE" w:rsidRDefault="003616AE"/>
  </w:footnote>
  <w:footnote w:id="2">
    <w:p w14:paraId="5202EA30" w14:textId="12C81B2C" w:rsidR="00CD13E8" w:rsidRDefault="00CD13E8">
      <w:pPr>
        <w:pStyle w:val="FootnoteText"/>
      </w:pPr>
      <w:r>
        <w:rPr>
          <w:rStyle w:val="FootnoteReference"/>
        </w:rPr>
        <w:footnoteRef/>
      </w:r>
      <w:r>
        <w:t xml:space="preserve"> </w:t>
      </w:r>
      <w:r w:rsidR="00E31CD9">
        <w:t>The correct decision number is D.25-02-026.</w:t>
      </w:r>
    </w:p>
  </w:footnote>
  <w:footnote w:id="3">
    <w:p w14:paraId="7D747E36" w14:textId="68895E55" w:rsidR="001F1C23" w:rsidRDefault="001F1C23">
      <w:pPr>
        <w:pStyle w:val="FootnoteText"/>
      </w:pPr>
      <w:r>
        <w:rPr>
          <w:rStyle w:val="FootnoteReference"/>
        </w:rPr>
        <w:footnoteRef/>
      </w:r>
      <w:r>
        <w:t xml:space="preserve"> ALJ Rizzo was assigned to this proceeding on March 19, 2025.</w:t>
      </w:r>
    </w:p>
  </w:footnote>
  <w:footnote w:id="4">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5">
    <w:p w14:paraId="27A74226" w14:textId="34B680AA" w:rsidR="008E06FB" w:rsidRDefault="008E06FB">
      <w:pPr>
        <w:pStyle w:val="FootnoteText"/>
      </w:pPr>
      <w:r>
        <w:rPr>
          <w:rStyle w:val="FootnoteReference"/>
        </w:rPr>
        <w:footnoteRef/>
      </w:r>
      <w:r>
        <w:t xml:space="preserve"> The correct fil</w:t>
      </w:r>
      <w:r w:rsidR="0046138E">
        <w:t>ing date is September 30, 2024.</w:t>
      </w:r>
    </w:p>
  </w:footnote>
  <w:footnote w:id="6">
    <w:p w14:paraId="0646D3B8" w14:textId="6DB0988F" w:rsidR="00C34703" w:rsidRDefault="00C34703">
      <w:pPr>
        <w:pStyle w:val="FootnoteText"/>
      </w:pPr>
      <w:r>
        <w:rPr>
          <w:rStyle w:val="FootnoteReference"/>
        </w:rPr>
        <w:footnoteRef/>
      </w:r>
      <w:r>
        <w:t xml:space="preserve"> The correct total requested is $</w:t>
      </w:r>
      <w:r w:rsidR="00931E98">
        <w:t>14,206.50.</w:t>
      </w:r>
    </w:p>
  </w:footnote>
  <w:footnote w:id="7">
    <w:p w14:paraId="7A915A4B" w14:textId="2DAA0A60" w:rsidR="00931E98" w:rsidRDefault="00931E98">
      <w:pPr>
        <w:pStyle w:val="FootnoteText"/>
      </w:pPr>
      <w:r>
        <w:rPr>
          <w:rStyle w:val="FootnoteReference"/>
        </w:rPr>
        <w:footnoteRef/>
      </w:r>
      <w:r>
        <w:t xml:space="preserve"> The correct total requested is </w:t>
      </w:r>
      <w:r w:rsidR="00DA08E9">
        <w:t>$2,154.60.</w:t>
      </w:r>
    </w:p>
  </w:footnote>
  <w:footnote w:id="8">
    <w:p w14:paraId="6AF1B5EC" w14:textId="5BD05103" w:rsidR="00D32F39" w:rsidRDefault="00D32F39">
      <w:pPr>
        <w:pStyle w:val="FootnoteText"/>
      </w:pPr>
      <w:r>
        <w:rPr>
          <w:rStyle w:val="FootnoteReference"/>
        </w:rPr>
        <w:footnoteRef/>
      </w:r>
      <w:r>
        <w:t xml:space="preserve"> The </w:t>
      </w:r>
      <w:r w:rsidR="00592C0E">
        <w:t xml:space="preserve">correct subtotal is </w:t>
      </w:r>
      <w:r w:rsidR="00A9305C">
        <w:t>$4,230.60.</w:t>
      </w:r>
    </w:p>
  </w:footnote>
  <w:footnote w:id="9">
    <w:p w14:paraId="2A44723A" w14:textId="15000A90"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10">
    <w:p w14:paraId="0B60DBA9" w14:textId="544AE475" w:rsidR="00FA624F" w:rsidRDefault="00FA624F">
      <w:pPr>
        <w:pStyle w:val="FootnoteText"/>
      </w:pPr>
      <w:r>
        <w:rPr>
          <w:rStyle w:val="FootnoteReference"/>
        </w:rPr>
        <w:footnoteRef/>
      </w:r>
      <w:r>
        <w:t xml:space="preserve"> Attachments not included in final Decision.</w:t>
      </w:r>
    </w:p>
  </w:footnote>
  <w:footnote w:id="11">
    <w:p w14:paraId="6926ED9C" w14:textId="77777777" w:rsidR="0011422A" w:rsidRPr="00CC1308" w:rsidRDefault="0011422A" w:rsidP="0011422A">
      <w:pPr>
        <w:pStyle w:val="FootnoteText"/>
        <w:rPr>
          <w:szCs w:val="22"/>
        </w:rPr>
      </w:pPr>
      <w:r w:rsidRPr="00CC1308">
        <w:rPr>
          <w:rStyle w:val="FootnoteReference"/>
          <w:szCs w:val="22"/>
        </w:rPr>
        <w:footnoteRef/>
      </w:r>
      <w:r w:rsidRPr="00CC1308">
        <w:rPr>
          <w:szCs w:val="22"/>
        </w:rPr>
        <w:t xml:space="preserve"> D.25-01-051, p. 14.</w:t>
      </w:r>
    </w:p>
  </w:footnote>
  <w:footnote w:id="12">
    <w:p w14:paraId="266114E4" w14:textId="77777777" w:rsidR="00B01D1A" w:rsidRDefault="00B01D1A" w:rsidP="00B01D1A">
      <w:pPr>
        <w:pStyle w:val="FootnoteText"/>
      </w:pPr>
      <w:r w:rsidRPr="00CC1308">
        <w:rPr>
          <w:rStyle w:val="FootnoteReference"/>
          <w:szCs w:val="22"/>
        </w:rPr>
        <w:footnoteRef/>
      </w:r>
      <w:r w:rsidRPr="00CC1308">
        <w:rPr>
          <w:szCs w:val="22"/>
        </w:rPr>
        <w:t xml:space="preserve"> Id.</w:t>
      </w:r>
      <w:r>
        <w:t xml:space="preserve"> </w:t>
      </w:r>
    </w:p>
  </w:footnote>
  <w:footnote w:id="13">
    <w:p w14:paraId="3BEDD3F8" w14:textId="02F4F234" w:rsidR="005A162C" w:rsidRDefault="005A162C">
      <w:pPr>
        <w:pStyle w:val="FootnoteText"/>
      </w:pPr>
      <w:r>
        <w:rPr>
          <w:rStyle w:val="FootnoteReference"/>
        </w:rPr>
        <w:footnoteRef/>
      </w:r>
      <w:r>
        <w:t xml:space="preserve"> Behles serves CEJA as a </w:t>
      </w:r>
      <w:r w:rsidR="00F940D6">
        <w:t>consultant.</w:t>
      </w:r>
    </w:p>
  </w:footnote>
  <w:footnote w:id="14">
    <w:p w14:paraId="30964E58" w14:textId="6972F300" w:rsidR="00F940D6" w:rsidRDefault="00F940D6">
      <w:pPr>
        <w:pStyle w:val="FootnoteText"/>
      </w:pPr>
      <w:r>
        <w:rPr>
          <w:rStyle w:val="FootnoteReference"/>
        </w:rPr>
        <w:footnoteRef/>
      </w:r>
      <w:r>
        <w:t xml:space="preserve"> </w:t>
      </w:r>
      <w:proofErr w:type="spellStart"/>
      <w:r>
        <w:t>Lazerow</w:t>
      </w:r>
      <w:proofErr w:type="spellEnd"/>
      <w:r>
        <w:t xml:space="preserve"> serves CEJA as a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F19B" w14:textId="57EDA858" w:rsidR="00CE4462" w:rsidRDefault="00CE4462" w:rsidP="00CE4462">
    <w:pPr>
      <w:pStyle w:val="Header"/>
    </w:pPr>
    <w:r>
      <w:rPr>
        <w:color w:val="000000"/>
      </w:rPr>
      <w:t>R.20-05-003 ALJ/JF2/CR2/cg7</w:t>
    </w:r>
    <w:r>
      <w:rPr>
        <w:color w:val="000000"/>
      </w:rPr>
      <w:tab/>
    </w:r>
    <w:r>
      <w:rPr>
        <w:color w:val="000000"/>
      </w:rPr>
      <w:tab/>
    </w:r>
    <w:r w:rsidRPr="00B24C36">
      <w:rPr>
        <w:b/>
        <w:bCs/>
        <w:color w:val="000000"/>
      </w:rPr>
      <w:t>PROPOSED DECISION</w:t>
    </w:r>
  </w:p>
  <w:p w14:paraId="7E8B5E1A" w14:textId="77777777" w:rsidR="00CE4462" w:rsidRDefault="00CE4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671075"/>
    <w:multiLevelType w:val="hybridMultilevel"/>
    <w:tmpl w:val="551221C8"/>
    <w:lvl w:ilvl="0" w:tplc="AACE3A8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660B1225"/>
    <w:multiLevelType w:val="hybridMultilevel"/>
    <w:tmpl w:val="FBAC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4709D"/>
    <w:multiLevelType w:val="hybridMultilevel"/>
    <w:tmpl w:val="399EF2A2"/>
    <w:lvl w:ilvl="0" w:tplc="B5B43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11"/>
  </w:num>
  <w:num w:numId="2" w16cid:durableId="296566636">
    <w:abstractNumId w:val="0"/>
  </w:num>
  <w:num w:numId="3" w16cid:durableId="2098595014">
    <w:abstractNumId w:val="12"/>
  </w:num>
  <w:num w:numId="4" w16cid:durableId="1312905431">
    <w:abstractNumId w:val="6"/>
  </w:num>
  <w:num w:numId="5" w16cid:durableId="417093550">
    <w:abstractNumId w:val="3"/>
  </w:num>
  <w:num w:numId="6" w16cid:durableId="1486429129">
    <w:abstractNumId w:val="8"/>
  </w:num>
  <w:num w:numId="7" w16cid:durableId="258221757">
    <w:abstractNumId w:val="4"/>
  </w:num>
  <w:num w:numId="8" w16cid:durableId="842936081">
    <w:abstractNumId w:val="7"/>
  </w:num>
  <w:num w:numId="9" w16cid:durableId="1685205339">
    <w:abstractNumId w:val="1"/>
  </w:num>
  <w:num w:numId="10" w16cid:durableId="789317941">
    <w:abstractNumId w:val="2"/>
  </w:num>
  <w:num w:numId="11" w16cid:durableId="440497665">
    <w:abstractNumId w:val="10"/>
  </w:num>
  <w:num w:numId="12" w16cid:durableId="1467622638">
    <w:abstractNumId w:val="9"/>
  </w:num>
  <w:num w:numId="13" w16cid:durableId="77795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6FC"/>
    <w:rsid w:val="000019DD"/>
    <w:rsid w:val="00003A49"/>
    <w:rsid w:val="00004BB8"/>
    <w:rsid w:val="00005AD3"/>
    <w:rsid w:val="00021181"/>
    <w:rsid w:val="000237F2"/>
    <w:rsid w:val="00024111"/>
    <w:rsid w:val="000244F7"/>
    <w:rsid w:val="000253A1"/>
    <w:rsid w:val="00026A15"/>
    <w:rsid w:val="00027C7F"/>
    <w:rsid w:val="00034492"/>
    <w:rsid w:val="00036F54"/>
    <w:rsid w:val="00037DD3"/>
    <w:rsid w:val="00042618"/>
    <w:rsid w:val="00042C3C"/>
    <w:rsid w:val="00045A2F"/>
    <w:rsid w:val="00045B5D"/>
    <w:rsid w:val="00051156"/>
    <w:rsid w:val="00053ACA"/>
    <w:rsid w:val="0005538D"/>
    <w:rsid w:val="00055843"/>
    <w:rsid w:val="00062EFE"/>
    <w:rsid w:val="000677B8"/>
    <w:rsid w:val="00072C81"/>
    <w:rsid w:val="00073262"/>
    <w:rsid w:val="00075541"/>
    <w:rsid w:val="00085FAF"/>
    <w:rsid w:val="000900E7"/>
    <w:rsid w:val="000971C0"/>
    <w:rsid w:val="000A0404"/>
    <w:rsid w:val="000A7220"/>
    <w:rsid w:val="000B0063"/>
    <w:rsid w:val="000B53E5"/>
    <w:rsid w:val="000D6CA0"/>
    <w:rsid w:val="000D6DF8"/>
    <w:rsid w:val="000E41D9"/>
    <w:rsid w:val="000E6ABD"/>
    <w:rsid w:val="000E6B5E"/>
    <w:rsid w:val="000E7EC4"/>
    <w:rsid w:val="000F05CE"/>
    <w:rsid w:val="000F12DD"/>
    <w:rsid w:val="000F595C"/>
    <w:rsid w:val="000F6034"/>
    <w:rsid w:val="000F7670"/>
    <w:rsid w:val="0010083E"/>
    <w:rsid w:val="0010107A"/>
    <w:rsid w:val="00102045"/>
    <w:rsid w:val="00103DC1"/>
    <w:rsid w:val="0010480F"/>
    <w:rsid w:val="00110D89"/>
    <w:rsid w:val="001129F6"/>
    <w:rsid w:val="0011422A"/>
    <w:rsid w:val="00115DBC"/>
    <w:rsid w:val="00116241"/>
    <w:rsid w:val="00123103"/>
    <w:rsid w:val="00125492"/>
    <w:rsid w:val="00132A18"/>
    <w:rsid w:val="00133D1C"/>
    <w:rsid w:val="001346EB"/>
    <w:rsid w:val="00135739"/>
    <w:rsid w:val="00135A27"/>
    <w:rsid w:val="00136A9D"/>
    <w:rsid w:val="00141302"/>
    <w:rsid w:val="00141A4E"/>
    <w:rsid w:val="00151AA8"/>
    <w:rsid w:val="00152F94"/>
    <w:rsid w:val="00162061"/>
    <w:rsid w:val="00162430"/>
    <w:rsid w:val="00162633"/>
    <w:rsid w:val="001710E2"/>
    <w:rsid w:val="00171EBF"/>
    <w:rsid w:val="00175865"/>
    <w:rsid w:val="00180482"/>
    <w:rsid w:val="00180E8C"/>
    <w:rsid w:val="00182E80"/>
    <w:rsid w:val="0019237F"/>
    <w:rsid w:val="001962EB"/>
    <w:rsid w:val="00196F31"/>
    <w:rsid w:val="001A3CF3"/>
    <w:rsid w:val="001A4A24"/>
    <w:rsid w:val="001B0628"/>
    <w:rsid w:val="001B0D71"/>
    <w:rsid w:val="001B24FF"/>
    <w:rsid w:val="001B4565"/>
    <w:rsid w:val="001B784D"/>
    <w:rsid w:val="001C0DD1"/>
    <w:rsid w:val="001C21AE"/>
    <w:rsid w:val="001C4348"/>
    <w:rsid w:val="001C4C6F"/>
    <w:rsid w:val="001D05B3"/>
    <w:rsid w:val="001D1DFD"/>
    <w:rsid w:val="001D3ED2"/>
    <w:rsid w:val="001D5DAB"/>
    <w:rsid w:val="001D655D"/>
    <w:rsid w:val="001E481E"/>
    <w:rsid w:val="001E5940"/>
    <w:rsid w:val="001E72C7"/>
    <w:rsid w:val="001E77CF"/>
    <w:rsid w:val="001E7EE2"/>
    <w:rsid w:val="001F1C23"/>
    <w:rsid w:val="001F238E"/>
    <w:rsid w:val="001F79FA"/>
    <w:rsid w:val="00203B07"/>
    <w:rsid w:val="00203E42"/>
    <w:rsid w:val="00204726"/>
    <w:rsid w:val="00204E3A"/>
    <w:rsid w:val="002066DB"/>
    <w:rsid w:val="002073A1"/>
    <w:rsid w:val="00212E10"/>
    <w:rsid w:val="00214B22"/>
    <w:rsid w:val="00217061"/>
    <w:rsid w:val="00217224"/>
    <w:rsid w:val="00222EFB"/>
    <w:rsid w:val="0022302F"/>
    <w:rsid w:val="002258D5"/>
    <w:rsid w:val="00230392"/>
    <w:rsid w:val="002415DC"/>
    <w:rsid w:val="002420ED"/>
    <w:rsid w:val="00244BA4"/>
    <w:rsid w:val="002466F8"/>
    <w:rsid w:val="0025536F"/>
    <w:rsid w:val="00256F00"/>
    <w:rsid w:val="00260518"/>
    <w:rsid w:val="00264333"/>
    <w:rsid w:val="00270E2E"/>
    <w:rsid w:val="00273208"/>
    <w:rsid w:val="0027357A"/>
    <w:rsid w:val="002819A1"/>
    <w:rsid w:val="00286E5F"/>
    <w:rsid w:val="00290AE0"/>
    <w:rsid w:val="002956B7"/>
    <w:rsid w:val="0029648E"/>
    <w:rsid w:val="002A6C07"/>
    <w:rsid w:val="002B02DA"/>
    <w:rsid w:val="002C27F8"/>
    <w:rsid w:val="002C32D3"/>
    <w:rsid w:val="002C4AD5"/>
    <w:rsid w:val="002D21CA"/>
    <w:rsid w:val="002D53AA"/>
    <w:rsid w:val="002D5893"/>
    <w:rsid w:val="002D6C91"/>
    <w:rsid w:val="002E440A"/>
    <w:rsid w:val="002E58AC"/>
    <w:rsid w:val="002E5E07"/>
    <w:rsid w:val="002E5F83"/>
    <w:rsid w:val="002E77D8"/>
    <w:rsid w:val="002E7A1B"/>
    <w:rsid w:val="002F0A5C"/>
    <w:rsid w:val="002F5146"/>
    <w:rsid w:val="002F69EC"/>
    <w:rsid w:val="002F70E6"/>
    <w:rsid w:val="003017F6"/>
    <w:rsid w:val="00303C2B"/>
    <w:rsid w:val="003053E5"/>
    <w:rsid w:val="00314E60"/>
    <w:rsid w:val="003152DE"/>
    <w:rsid w:val="00323B09"/>
    <w:rsid w:val="00325C2C"/>
    <w:rsid w:val="003314EE"/>
    <w:rsid w:val="00331AD2"/>
    <w:rsid w:val="003351C5"/>
    <w:rsid w:val="0033536B"/>
    <w:rsid w:val="0034298B"/>
    <w:rsid w:val="003477EA"/>
    <w:rsid w:val="003501DD"/>
    <w:rsid w:val="003511AB"/>
    <w:rsid w:val="00355FD1"/>
    <w:rsid w:val="00357623"/>
    <w:rsid w:val="00357F1A"/>
    <w:rsid w:val="003616AE"/>
    <w:rsid w:val="00362184"/>
    <w:rsid w:val="0036577D"/>
    <w:rsid w:val="00370148"/>
    <w:rsid w:val="003709A2"/>
    <w:rsid w:val="003717A2"/>
    <w:rsid w:val="00372E5B"/>
    <w:rsid w:val="00374A89"/>
    <w:rsid w:val="00374FD1"/>
    <w:rsid w:val="00377884"/>
    <w:rsid w:val="00380703"/>
    <w:rsid w:val="00383B2A"/>
    <w:rsid w:val="0038542F"/>
    <w:rsid w:val="00386A4A"/>
    <w:rsid w:val="00393B5E"/>
    <w:rsid w:val="00394E66"/>
    <w:rsid w:val="003A3613"/>
    <w:rsid w:val="003A4160"/>
    <w:rsid w:val="003A64B9"/>
    <w:rsid w:val="003A6C48"/>
    <w:rsid w:val="003A79AD"/>
    <w:rsid w:val="003B1782"/>
    <w:rsid w:val="003B32FD"/>
    <w:rsid w:val="003B5EAC"/>
    <w:rsid w:val="003B6A1B"/>
    <w:rsid w:val="003B7550"/>
    <w:rsid w:val="003B7BA8"/>
    <w:rsid w:val="003C2D46"/>
    <w:rsid w:val="003C414A"/>
    <w:rsid w:val="003C608A"/>
    <w:rsid w:val="003C75AC"/>
    <w:rsid w:val="003C773F"/>
    <w:rsid w:val="003D05AD"/>
    <w:rsid w:val="003D359B"/>
    <w:rsid w:val="003D429E"/>
    <w:rsid w:val="003D434A"/>
    <w:rsid w:val="003D4455"/>
    <w:rsid w:val="003D4EE8"/>
    <w:rsid w:val="003E34FD"/>
    <w:rsid w:val="003E4A54"/>
    <w:rsid w:val="003F2897"/>
    <w:rsid w:val="003F6576"/>
    <w:rsid w:val="00403FEA"/>
    <w:rsid w:val="00407B7B"/>
    <w:rsid w:val="00410794"/>
    <w:rsid w:val="00415AC2"/>
    <w:rsid w:val="00416797"/>
    <w:rsid w:val="00421020"/>
    <w:rsid w:val="00421283"/>
    <w:rsid w:val="00422035"/>
    <w:rsid w:val="00430E48"/>
    <w:rsid w:val="00433F63"/>
    <w:rsid w:val="00435285"/>
    <w:rsid w:val="00435C30"/>
    <w:rsid w:val="00447318"/>
    <w:rsid w:val="00450BDC"/>
    <w:rsid w:val="004534E7"/>
    <w:rsid w:val="0046138E"/>
    <w:rsid w:val="0046248A"/>
    <w:rsid w:val="00467E65"/>
    <w:rsid w:val="00471C44"/>
    <w:rsid w:val="004739B8"/>
    <w:rsid w:val="00480BF6"/>
    <w:rsid w:val="004840D2"/>
    <w:rsid w:val="00490D52"/>
    <w:rsid w:val="00493E36"/>
    <w:rsid w:val="004969CB"/>
    <w:rsid w:val="00497AD5"/>
    <w:rsid w:val="004A51A6"/>
    <w:rsid w:val="004A6FD4"/>
    <w:rsid w:val="004C0961"/>
    <w:rsid w:val="004C2854"/>
    <w:rsid w:val="004C2E1C"/>
    <w:rsid w:val="004C39A1"/>
    <w:rsid w:val="004C6D23"/>
    <w:rsid w:val="004C7315"/>
    <w:rsid w:val="004D44F4"/>
    <w:rsid w:val="004D6289"/>
    <w:rsid w:val="004D6B6D"/>
    <w:rsid w:val="004D779D"/>
    <w:rsid w:val="004D7E77"/>
    <w:rsid w:val="004E0395"/>
    <w:rsid w:val="004E37D5"/>
    <w:rsid w:val="004E3939"/>
    <w:rsid w:val="004E3D93"/>
    <w:rsid w:val="004E5910"/>
    <w:rsid w:val="004E6C92"/>
    <w:rsid w:val="004F3DA4"/>
    <w:rsid w:val="004F7062"/>
    <w:rsid w:val="00501EAC"/>
    <w:rsid w:val="005048CB"/>
    <w:rsid w:val="005106AB"/>
    <w:rsid w:val="00516CE7"/>
    <w:rsid w:val="00520FD6"/>
    <w:rsid w:val="005215EF"/>
    <w:rsid w:val="00521B86"/>
    <w:rsid w:val="005249C9"/>
    <w:rsid w:val="00524CF1"/>
    <w:rsid w:val="00527FD9"/>
    <w:rsid w:val="00527FDB"/>
    <w:rsid w:val="00533373"/>
    <w:rsid w:val="005370FD"/>
    <w:rsid w:val="0054018C"/>
    <w:rsid w:val="00547145"/>
    <w:rsid w:val="00551967"/>
    <w:rsid w:val="0055228B"/>
    <w:rsid w:val="00552CFB"/>
    <w:rsid w:val="00554F79"/>
    <w:rsid w:val="005622A2"/>
    <w:rsid w:val="0057088A"/>
    <w:rsid w:val="00575494"/>
    <w:rsid w:val="00576CCE"/>
    <w:rsid w:val="00577010"/>
    <w:rsid w:val="005912FA"/>
    <w:rsid w:val="0059289A"/>
    <w:rsid w:val="00592C0E"/>
    <w:rsid w:val="00592E0D"/>
    <w:rsid w:val="00595DBF"/>
    <w:rsid w:val="005A162C"/>
    <w:rsid w:val="005A1855"/>
    <w:rsid w:val="005A3018"/>
    <w:rsid w:val="005A3985"/>
    <w:rsid w:val="005A53F1"/>
    <w:rsid w:val="005A54E4"/>
    <w:rsid w:val="005A62D7"/>
    <w:rsid w:val="005A63D4"/>
    <w:rsid w:val="005A65C2"/>
    <w:rsid w:val="005B249D"/>
    <w:rsid w:val="005B41A3"/>
    <w:rsid w:val="005B5B44"/>
    <w:rsid w:val="005B6F3A"/>
    <w:rsid w:val="005C327F"/>
    <w:rsid w:val="005C4E73"/>
    <w:rsid w:val="005C5EBE"/>
    <w:rsid w:val="005D544E"/>
    <w:rsid w:val="005D5DC0"/>
    <w:rsid w:val="005D6837"/>
    <w:rsid w:val="005E7D4D"/>
    <w:rsid w:val="005F4D82"/>
    <w:rsid w:val="005F5E42"/>
    <w:rsid w:val="006067EE"/>
    <w:rsid w:val="0060696E"/>
    <w:rsid w:val="00607340"/>
    <w:rsid w:val="00610974"/>
    <w:rsid w:val="00611E74"/>
    <w:rsid w:val="006158A8"/>
    <w:rsid w:val="00617A80"/>
    <w:rsid w:val="00617CF0"/>
    <w:rsid w:val="00621A7C"/>
    <w:rsid w:val="00621ED5"/>
    <w:rsid w:val="006229B1"/>
    <w:rsid w:val="00630386"/>
    <w:rsid w:val="006347FD"/>
    <w:rsid w:val="00642282"/>
    <w:rsid w:val="00642310"/>
    <w:rsid w:val="0064388F"/>
    <w:rsid w:val="00645D59"/>
    <w:rsid w:val="0065087E"/>
    <w:rsid w:val="00652DEA"/>
    <w:rsid w:val="00657174"/>
    <w:rsid w:val="006577EE"/>
    <w:rsid w:val="00660D7E"/>
    <w:rsid w:val="006637D2"/>
    <w:rsid w:val="0066498C"/>
    <w:rsid w:val="00673595"/>
    <w:rsid w:val="00673EB1"/>
    <w:rsid w:val="00677323"/>
    <w:rsid w:val="0068111B"/>
    <w:rsid w:val="00685FD7"/>
    <w:rsid w:val="006914D7"/>
    <w:rsid w:val="00691528"/>
    <w:rsid w:val="00692738"/>
    <w:rsid w:val="00693662"/>
    <w:rsid w:val="006958D4"/>
    <w:rsid w:val="006A17EA"/>
    <w:rsid w:val="006A384A"/>
    <w:rsid w:val="006A6FAB"/>
    <w:rsid w:val="006A7272"/>
    <w:rsid w:val="006B0BC7"/>
    <w:rsid w:val="006B7228"/>
    <w:rsid w:val="006B7375"/>
    <w:rsid w:val="006B7432"/>
    <w:rsid w:val="006C02CC"/>
    <w:rsid w:val="006C0CA3"/>
    <w:rsid w:val="006D0B93"/>
    <w:rsid w:val="006D1BE0"/>
    <w:rsid w:val="006D43D2"/>
    <w:rsid w:val="006D4B0E"/>
    <w:rsid w:val="006D67C9"/>
    <w:rsid w:val="006D6B8E"/>
    <w:rsid w:val="006E36EF"/>
    <w:rsid w:val="006E493A"/>
    <w:rsid w:val="006F1BAC"/>
    <w:rsid w:val="006F49CF"/>
    <w:rsid w:val="006F5D5B"/>
    <w:rsid w:val="006F5DFF"/>
    <w:rsid w:val="006F7465"/>
    <w:rsid w:val="0070234C"/>
    <w:rsid w:val="00703321"/>
    <w:rsid w:val="00703D5A"/>
    <w:rsid w:val="00704C3A"/>
    <w:rsid w:val="007055D1"/>
    <w:rsid w:val="007056FC"/>
    <w:rsid w:val="0071262B"/>
    <w:rsid w:val="00721CB2"/>
    <w:rsid w:val="00727773"/>
    <w:rsid w:val="00737A7F"/>
    <w:rsid w:val="00741A9D"/>
    <w:rsid w:val="00741D07"/>
    <w:rsid w:val="007452D4"/>
    <w:rsid w:val="0074620B"/>
    <w:rsid w:val="007519D1"/>
    <w:rsid w:val="007531E0"/>
    <w:rsid w:val="007567E7"/>
    <w:rsid w:val="00756C22"/>
    <w:rsid w:val="00757B44"/>
    <w:rsid w:val="00761AB6"/>
    <w:rsid w:val="00763797"/>
    <w:rsid w:val="00765896"/>
    <w:rsid w:val="00772F54"/>
    <w:rsid w:val="00773083"/>
    <w:rsid w:val="00774F01"/>
    <w:rsid w:val="00776A31"/>
    <w:rsid w:val="00780C7B"/>
    <w:rsid w:val="007854F0"/>
    <w:rsid w:val="00785723"/>
    <w:rsid w:val="00786CAD"/>
    <w:rsid w:val="0079351A"/>
    <w:rsid w:val="007978B6"/>
    <w:rsid w:val="007A0F07"/>
    <w:rsid w:val="007A3FCC"/>
    <w:rsid w:val="007A4356"/>
    <w:rsid w:val="007A767E"/>
    <w:rsid w:val="007C1298"/>
    <w:rsid w:val="007C1B69"/>
    <w:rsid w:val="007C383F"/>
    <w:rsid w:val="007D3E3A"/>
    <w:rsid w:val="007E1C95"/>
    <w:rsid w:val="007E71C3"/>
    <w:rsid w:val="007F05FD"/>
    <w:rsid w:val="007F374E"/>
    <w:rsid w:val="007F49BB"/>
    <w:rsid w:val="007F620E"/>
    <w:rsid w:val="007F6CF5"/>
    <w:rsid w:val="007F75C2"/>
    <w:rsid w:val="007F7851"/>
    <w:rsid w:val="00802101"/>
    <w:rsid w:val="00802701"/>
    <w:rsid w:val="00806DC0"/>
    <w:rsid w:val="00810558"/>
    <w:rsid w:val="00811DB1"/>
    <w:rsid w:val="00815F1F"/>
    <w:rsid w:val="0081626F"/>
    <w:rsid w:val="00831652"/>
    <w:rsid w:val="0083350A"/>
    <w:rsid w:val="0083442F"/>
    <w:rsid w:val="0083540E"/>
    <w:rsid w:val="00843A95"/>
    <w:rsid w:val="00853E32"/>
    <w:rsid w:val="00853F3F"/>
    <w:rsid w:val="00855FD7"/>
    <w:rsid w:val="00871B75"/>
    <w:rsid w:val="0087372A"/>
    <w:rsid w:val="008748F8"/>
    <w:rsid w:val="00877E06"/>
    <w:rsid w:val="00880855"/>
    <w:rsid w:val="008844B6"/>
    <w:rsid w:val="00884C90"/>
    <w:rsid w:val="00885956"/>
    <w:rsid w:val="00885B3F"/>
    <w:rsid w:val="00886869"/>
    <w:rsid w:val="00897340"/>
    <w:rsid w:val="00897FA7"/>
    <w:rsid w:val="008A0F19"/>
    <w:rsid w:val="008A1D41"/>
    <w:rsid w:val="008A2F08"/>
    <w:rsid w:val="008A6108"/>
    <w:rsid w:val="008A63B3"/>
    <w:rsid w:val="008B67E2"/>
    <w:rsid w:val="008C09F7"/>
    <w:rsid w:val="008C2208"/>
    <w:rsid w:val="008C69B5"/>
    <w:rsid w:val="008C752A"/>
    <w:rsid w:val="008D1340"/>
    <w:rsid w:val="008D263B"/>
    <w:rsid w:val="008E0275"/>
    <w:rsid w:val="008E05E0"/>
    <w:rsid w:val="008E06FB"/>
    <w:rsid w:val="008E182E"/>
    <w:rsid w:val="008E22A7"/>
    <w:rsid w:val="008E2665"/>
    <w:rsid w:val="008E3450"/>
    <w:rsid w:val="008E4336"/>
    <w:rsid w:val="008E5B4F"/>
    <w:rsid w:val="008E74E2"/>
    <w:rsid w:val="009117CD"/>
    <w:rsid w:val="00915118"/>
    <w:rsid w:val="00917DF8"/>
    <w:rsid w:val="00925FAB"/>
    <w:rsid w:val="00926C00"/>
    <w:rsid w:val="00931E98"/>
    <w:rsid w:val="009363DA"/>
    <w:rsid w:val="00937261"/>
    <w:rsid w:val="00940E0D"/>
    <w:rsid w:val="0094247D"/>
    <w:rsid w:val="00943C0D"/>
    <w:rsid w:val="00943F39"/>
    <w:rsid w:val="00946672"/>
    <w:rsid w:val="00950B59"/>
    <w:rsid w:val="00950C39"/>
    <w:rsid w:val="00950EEC"/>
    <w:rsid w:val="009530AF"/>
    <w:rsid w:val="009553DC"/>
    <w:rsid w:val="0095634B"/>
    <w:rsid w:val="00962FB7"/>
    <w:rsid w:val="00963856"/>
    <w:rsid w:val="00963EEF"/>
    <w:rsid w:val="00964A70"/>
    <w:rsid w:val="00971F48"/>
    <w:rsid w:val="00981C06"/>
    <w:rsid w:val="00983C98"/>
    <w:rsid w:val="009851A5"/>
    <w:rsid w:val="00986179"/>
    <w:rsid w:val="0098747F"/>
    <w:rsid w:val="0099296E"/>
    <w:rsid w:val="009A31F4"/>
    <w:rsid w:val="009A62F6"/>
    <w:rsid w:val="009C1739"/>
    <w:rsid w:val="009C7C79"/>
    <w:rsid w:val="009D3411"/>
    <w:rsid w:val="009D4005"/>
    <w:rsid w:val="009E2579"/>
    <w:rsid w:val="009E48E4"/>
    <w:rsid w:val="009F1032"/>
    <w:rsid w:val="009F1FB6"/>
    <w:rsid w:val="00A05478"/>
    <w:rsid w:val="00A07A96"/>
    <w:rsid w:val="00A11F4E"/>
    <w:rsid w:val="00A2292A"/>
    <w:rsid w:val="00A23930"/>
    <w:rsid w:val="00A24E91"/>
    <w:rsid w:val="00A30C5D"/>
    <w:rsid w:val="00A319DE"/>
    <w:rsid w:val="00A47114"/>
    <w:rsid w:val="00A47FF6"/>
    <w:rsid w:val="00A537C6"/>
    <w:rsid w:val="00A60203"/>
    <w:rsid w:val="00A65D84"/>
    <w:rsid w:val="00A67E89"/>
    <w:rsid w:val="00A75D2D"/>
    <w:rsid w:val="00A80FC5"/>
    <w:rsid w:val="00A81AD7"/>
    <w:rsid w:val="00A8352C"/>
    <w:rsid w:val="00A86489"/>
    <w:rsid w:val="00A86988"/>
    <w:rsid w:val="00A910F1"/>
    <w:rsid w:val="00A9160F"/>
    <w:rsid w:val="00A92C1F"/>
    <w:rsid w:val="00A92D0B"/>
    <w:rsid w:val="00A9305C"/>
    <w:rsid w:val="00AA1740"/>
    <w:rsid w:val="00AA24D7"/>
    <w:rsid w:val="00AB22F4"/>
    <w:rsid w:val="00AB2F7F"/>
    <w:rsid w:val="00AB3510"/>
    <w:rsid w:val="00AC5A4B"/>
    <w:rsid w:val="00AD085D"/>
    <w:rsid w:val="00AD5484"/>
    <w:rsid w:val="00AD5797"/>
    <w:rsid w:val="00AD742A"/>
    <w:rsid w:val="00AE429F"/>
    <w:rsid w:val="00AE6488"/>
    <w:rsid w:val="00AF0854"/>
    <w:rsid w:val="00AF61A9"/>
    <w:rsid w:val="00B00BCD"/>
    <w:rsid w:val="00B01D1A"/>
    <w:rsid w:val="00B03003"/>
    <w:rsid w:val="00B03947"/>
    <w:rsid w:val="00B04CE4"/>
    <w:rsid w:val="00B067E6"/>
    <w:rsid w:val="00B13D73"/>
    <w:rsid w:val="00B1593B"/>
    <w:rsid w:val="00B17005"/>
    <w:rsid w:val="00B17F21"/>
    <w:rsid w:val="00B30CDD"/>
    <w:rsid w:val="00B30F84"/>
    <w:rsid w:val="00B312DA"/>
    <w:rsid w:val="00B31565"/>
    <w:rsid w:val="00B40876"/>
    <w:rsid w:val="00B40E02"/>
    <w:rsid w:val="00B41270"/>
    <w:rsid w:val="00B4530C"/>
    <w:rsid w:val="00B476F6"/>
    <w:rsid w:val="00B50E73"/>
    <w:rsid w:val="00B51B65"/>
    <w:rsid w:val="00B51C2B"/>
    <w:rsid w:val="00B51F03"/>
    <w:rsid w:val="00B54991"/>
    <w:rsid w:val="00B55CCD"/>
    <w:rsid w:val="00B55D78"/>
    <w:rsid w:val="00B62AC0"/>
    <w:rsid w:val="00B62B75"/>
    <w:rsid w:val="00B63DC4"/>
    <w:rsid w:val="00B66CF5"/>
    <w:rsid w:val="00B71CDB"/>
    <w:rsid w:val="00B73017"/>
    <w:rsid w:val="00B738EE"/>
    <w:rsid w:val="00B803D5"/>
    <w:rsid w:val="00B8167D"/>
    <w:rsid w:val="00B826B4"/>
    <w:rsid w:val="00B9420C"/>
    <w:rsid w:val="00B94AE3"/>
    <w:rsid w:val="00BA0664"/>
    <w:rsid w:val="00BA280C"/>
    <w:rsid w:val="00BA548C"/>
    <w:rsid w:val="00BB057F"/>
    <w:rsid w:val="00BB4649"/>
    <w:rsid w:val="00BB488F"/>
    <w:rsid w:val="00BB49BB"/>
    <w:rsid w:val="00BB4CA3"/>
    <w:rsid w:val="00BB57AD"/>
    <w:rsid w:val="00BB7BBA"/>
    <w:rsid w:val="00BC519F"/>
    <w:rsid w:val="00BC524D"/>
    <w:rsid w:val="00BD2799"/>
    <w:rsid w:val="00BD2AB9"/>
    <w:rsid w:val="00BD3BF6"/>
    <w:rsid w:val="00BD3C26"/>
    <w:rsid w:val="00BE45D0"/>
    <w:rsid w:val="00BE5006"/>
    <w:rsid w:val="00BE79BB"/>
    <w:rsid w:val="00BF2F45"/>
    <w:rsid w:val="00BF4843"/>
    <w:rsid w:val="00C02649"/>
    <w:rsid w:val="00C0471D"/>
    <w:rsid w:val="00C12F48"/>
    <w:rsid w:val="00C13B3F"/>
    <w:rsid w:val="00C16934"/>
    <w:rsid w:val="00C16981"/>
    <w:rsid w:val="00C17A88"/>
    <w:rsid w:val="00C22F90"/>
    <w:rsid w:val="00C3362E"/>
    <w:rsid w:val="00C34703"/>
    <w:rsid w:val="00C356C8"/>
    <w:rsid w:val="00C361D1"/>
    <w:rsid w:val="00C370A6"/>
    <w:rsid w:val="00C372E0"/>
    <w:rsid w:val="00C40534"/>
    <w:rsid w:val="00C41322"/>
    <w:rsid w:val="00C415C3"/>
    <w:rsid w:val="00C44434"/>
    <w:rsid w:val="00C45FF5"/>
    <w:rsid w:val="00C47A2B"/>
    <w:rsid w:val="00C558D1"/>
    <w:rsid w:val="00C6101A"/>
    <w:rsid w:val="00C742D7"/>
    <w:rsid w:val="00C765A2"/>
    <w:rsid w:val="00C80771"/>
    <w:rsid w:val="00C81724"/>
    <w:rsid w:val="00C933F2"/>
    <w:rsid w:val="00C96F6F"/>
    <w:rsid w:val="00CA4BDE"/>
    <w:rsid w:val="00CA591A"/>
    <w:rsid w:val="00CB316D"/>
    <w:rsid w:val="00CB5595"/>
    <w:rsid w:val="00CB7D68"/>
    <w:rsid w:val="00CC06B5"/>
    <w:rsid w:val="00CC10AF"/>
    <w:rsid w:val="00CC2A77"/>
    <w:rsid w:val="00CC4B40"/>
    <w:rsid w:val="00CC7928"/>
    <w:rsid w:val="00CD13E8"/>
    <w:rsid w:val="00CD39A5"/>
    <w:rsid w:val="00CD4C17"/>
    <w:rsid w:val="00CD6886"/>
    <w:rsid w:val="00CD7D17"/>
    <w:rsid w:val="00CE057B"/>
    <w:rsid w:val="00CE22AB"/>
    <w:rsid w:val="00CE3FA5"/>
    <w:rsid w:val="00CE4462"/>
    <w:rsid w:val="00CE62A0"/>
    <w:rsid w:val="00CE71AF"/>
    <w:rsid w:val="00CF1129"/>
    <w:rsid w:val="00CF1F49"/>
    <w:rsid w:val="00CF50CF"/>
    <w:rsid w:val="00D01E49"/>
    <w:rsid w:val="00D075B1"/>
    <w:rsid w:val="00D10372"/>
    <w:rsid w:val="00D12AFF"/>
    <w:rsid w:val="00D14A92"/>
    <w:rsid w:val="00D1778A"/>
    <w:rsid w:val="00D216B0"/>
    <w:rsid w:val="00D21DB0"/>
    <w:rsid w:val="00D27D5F"/>
    <w:rsid w:val="00D27D90"/>
    <w:rsid w:val="00D30039"/>
    <w:rsid w:val="00D30C4F"/>
    <w:rsid w:val="00D32960"/>
    <w:rsid w:val="00D32AEC"/>
    <w:rsid w:val="00D32F39"/>
    <w:rsid w:val="00D36884"/>
    <w:rsid w:val="00D36927"/>
    <w:rsid w:val="00D46F77"/>
    <w:rsid w:val="00D504BA"/>
    <w:rsid w:val="00D50706"/>
    <w:rsid w:val="00D566CC"/>
    <w:rsid w:val="00D569CB"/>
    <w:rsid w:val="00D56BCA"/>
    <w:rsid w:val="00D57766"/>
    <w:rsid w:val="00D60604"/>
    <w:rsid w:val="00D60FAD"/>
    <w:rsid w:val="00D6442B"/>
    <w:rsid w:val="00D64832"/>
    <w:rsid w:val="00D6567C"/>
    <w:rsid w:val="00D66821"/>
    <w:rsid w:val="00D74A76"/>
    <w:rsid w:val="00D74F4E"/>
    <w:rsid w:val="00D75107"/>
    <w:rsid w:val="00D812ED"/>
    <w:rsid w:val="00D84F94"/>
    <w:rsid w:val="00D8769E"/>
    <w:rsid w:val="00D9432D"/>
    <w:rsid w:val="00D94D17"/>
    <w:rsid w:val="00D9736A"/>
    <w:rsid w:val="00D977FB"/>
    <w:rsid w:val="00DA08E9"/>
    <w:rsid w:val="00DA2B75"/>
    <w:rsid w:val="00DA30D8"/>
    <w:rsid w:val="00DA3AEE"/>
    <w:rsid w:val="00DA4807"/>
    <w:rsid w:val="00DA5577"/>
    <w:rsid w:val="00DB01C9"/>
    <w:rsid w:val="00DB4E03"/>
    <w:rsid w:val="00DB71DA"/>
    <w:rsid w:val="00DC3F64"/>
    <w:rsid w:val="00DC64BB"/>
    <w:rsid w:val="00DD40AE"/>
    <w:rsid w:val="00DD52BB"/>
    <w:rsid w:val="00DE1910"/>
    <w:rsid w:val="00DE3A5D"/>
    <w:rsid w:val="00DE4977"/>
    <w:rsid w:val="00DE4AA8"/>
    <w:rsid w:val="00DE5317"/>
    <w:rsid w:val="00DF1144"/>
    <w:rsid w:val="00DF40B9"/>
    <w:rsid w:val="00DF7B19"/>
    <w:rsid w:val="00E00990"/>
    <w:rsid w:val="00E00FCE"/>
    <w:rsid w:val="00E04E14"/>
    <w:rsid w:val="00E15DC3"/>
    <w:rsid w:val="00E178E9"/>
    <w:rsid w:val="00E17B34"/>
    <w:rsid w:val="00E215D5"/>
    <w:rsid w:val="00E21EA5"/>
    <w:rsid w:val="00E24F31"/>
    <w:rsid w:val="00E25078"/>
    <w:rsid w:val="00E25CD8"/>
    <w:rsid w:val="00E27657"/>
    <w:rsid w:val="00E31CD9"/>
    <w:rsid w:val="00E3786F"/>
    <w:rsid w:val="00E40140"/>
    <w:rsid w:val="00E419CB"/>
    <w:rsid w:val="00E52975"/>
    <w:rsid w:val="00E52992"/>
    <w:rsid w:val="00E562C6"/>
    <w:rsid w:val="00E56A5A"/>
    <w:rsid w:val="00E57AC3"/>
    <w:rsid w:val="00E60942"/>
    <w:rsid w:val="00E61B07"/>
    <w:rsid w:val="00E65673"/>
    <w:rsid w:val="00E66FE7"/>
    <w:rsid w:val="00E7460D"/>
    <w:rsid w:val="00E75E09"/>
    <w:rsid w:val="00E775D0"/>
    <w:rsid w:val="00E77FBD"/>
    <w:rsid w:val="00E806C3"/>
    <w:rsid w:val="00E813B0"/>
    <w:rsid w:val="00E81881"/>
    <w:rsid w:val="00E81CF9"/>
    <w:rsid w:val="00E90F75"/>
    <w:rsid w:val="00E9366A"/>
    <w:rsid w:val="00E948A6"/>
    <w:rsid w:val="00E959A0"/>
    <w:rsid w:val="00E965F5"/>
    <w:rsid w:val="00EB0045"/>
    <w:rsid w:val="00EB0326"/>
    <w:rsid w:val="00EB0DBA"/>
    <w:rsid w:val="00EB3179"/>
    <w:rsid w:val="00EB64CF"/>
    <w:rsid w:val="00EB6918"/>
    <w:rsid w:val="00EC374E"/>
    <w:rsid w:val="00EC6387"/>
    <w:rsid w:val="00ED6B6B"/>
    <w:rsid w:val="00EE269B"/>
    <w:rsid w:val="00EE2FE7"/>
    <w:rsid w:val="00EF0731"/>
    <w:rsid w:val="00EF210F"/>
    <w:rsid w:val="00EF445D"/>
    <w:rsid w:val="00EF69C4"/>
    <w:rsid w:val="00F028C8"/>
    <w:rsid w:val="00F036C1"/>
    <w:rsid w:val="00F04904"/>
    <w:rsid w:val="00F105F7"/>
    <w:rsid w:val="00F160B0"/>
    <w:rsid w:val="00F20061"/>
    <w:rsid w:val="00F215BF"/>
    <w:rsid w:val="00F26039"/>
    <w:rsid w:val="00F26371"/>
    <w:rsid w:val="00F2682B"/>
    <w:rsid w:val="00F30DA8"/>
    <w:rsid w:val="00F34C1F"/>
    <w:rsid w:val="00F3772B"/>
    <w:rsid w:val="00F42EA1"/>
    <w:rsid w:val="00F4342C"/>
    <w:rsid w:val="00F449E0"/>
    <w:rsid w:val="00F454A1"/>
    <w:rsid w:val="00F47E87"/>
    <w:rsid w:val="00F5646C"/>
    <w:rsid w:val="00F571FE"/>
    <w:rsid w:val="00F57BB6"/>
    <w:rsid w:val="00F63C29"/>
    <w:rsid w:val="00F63F56"/>
    <w:rsid w:val="00F641E4"/>
    <w:rsid w:val="00F650AE"/>
    <w:rsid w:val="00F71FAF"/>
    <w:rsid w:val="00F7579D"/>
    <w:rsid w:val="00F76665"/>
    <w:rsid w:val="00F80521"/>
    <w:rsid w:val="00F80AC7"/>
    <w:rsid w:val="00F81778"/>
    <w:rsid w:val="00F82885"/>
    <w:rsid w:val="00F84755"/>
    <w:rsid w:val="00F8516C"/>
    <w:rsid w:val="00F862A9"/>
    <w:rsid w:val="00F91388"/>
    <w:rsid w:val="00F940D6"/>
    <w:rsid w:val="00FA4732"/>
    <w:rsid w:val="00FA624F"/>
    <w:rsid w:val="00FB726A"/>
    <w:rsid w:val="00FC3AF0"/>
    <w:rsid w:val="00FC4573"/>
    <w:rsid w:val="00FC72B7"/>
    <w:rsid w:val="00FC7A0D"/>
    <w:rsid w:val="00FD0546"/>
    <w:rsid w:val="00FD1056"/>
    <w:rsid w:val="00FD1FFF"/>
    <w:rsid w:val="00FD3C2F"/>
    <w:rsid w:val="00FD688E"/>
    <w:rsid w:val="00FE1842"/>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F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3B755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7082">
      <w:bodyDiv w:val="1"/>
      <w:marLeft w:val="0"/>
      <w:marRight w:val="0"/>
      <w:marTop w:val="0"/>
      <w:marBottom w:val="0"/>
      <w:divBdr>
        <w:top w:val="none" w:sz="0" w:space="0" w:color="auto"/>
        <w:left w:val="none" w:sz="0" w:space="0" w:color="auto"/>
        <w:bottom w:val="none" w:sz="0" w:space="0" w:color="auto"/>
        <w:right w:val="none" w:sz="0" w:space="0" w:color="auto"/>
      </w:divBdr>
    </w:div>
    <w:div w:id="719208956">
      <w:bodyDiv w:val="1"/>
      <w:marLeft w:val="0"/>
      <w:marRight w:val="0"/>
      <w:marTop w:val="0"/>
      <w:marBottom w:val="0"/>
      <w:divBdr>
        <w:top w:val="none" w:sz="0" w:space="0" w:color="auto"/>
        <w:left w:val="none" w:sz="0" w:space="0" w:color="auto"/>
        <w:bottom w:val="none" w:sz="0" w:space="0" w:color="auto"/>
        <w:right w:val="none" w:sz="0" w:space="0" w:color="auto"/>
      </w:divBdr>
    </w:div>
    <w:div w:id="728773030">
      <w:bodyDiv w:val="1"/>
      <w:marLeft w:val="0"/>
      <w:marRight w:val="0"/>
      <w:marTop w:val="0"/>
      <w:marBottom w:val="0"/>
      <w:divBdr>
        <w:top w:val="none" w:sz="0" w:space="0" w:color="auto"/>
        <w:left w:val="none" w:sz="0" w:space="0" w:color="auto"/>
        <w:bottom w:val="none" w:sz="0" w:space="0" w:color="auto"/>
        <w:right w:val="none" w:sz="0" w:space="0" w:color="auto"/>
      </w:divBdr>
    </w:div>
    <w:div w:id="1103768815">
      <w:bodyDiv w:val="1"/>
      <w:marLeft w:val="0"/>
      <w:marRight w:val="0"/>
      <w:marTop w:val="0"/>
      <w:marBottom w:val="0"/>
      <w:divBdr>
        <w:top w:val="none" w:sz="0" w:space="0" w:color="auto"/>
        <w:left w:val="none" w:sz="0" w:space="0" w:color="auto"/>
        <w:bottom w:val="none" w:sz="0" w:space="0" w:color="auto"/>
        <w:right w:val="none" w:sz="0" w:space="0" w:color="auto"/>
      </w:divBdr>
    </w:div>
    <w:div w:id="1232349853">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7e70bd-1df3-429f-841e-a270e61d0051" xsi:nil="true"/>
    <lcf76f155ced4ddcb4097134ff3c332f xmlns="ca914230-fe7d-4c43-9819-5111aa6061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CCEB29D5CC24A85041E0466CA6930" ma:contentTypeVersion="18" ma:contentTypeDescription="Create a new document." ma:contentTypeScope="" ma:versionID="c7200b291a3d9ea4defb3a6b0ac821f4">
  <xsd:schema xmlns:xsd="http://www.w3.org/2001/XMLSchema" xmlns:xs="http://www.w3.org/2001/XMLSchema" xmlns:p="http://schemas.microsoft.com/office/2006/metadata/properties" xmlns:ns2="d47e70bd-1df3-429f-841e-a270e61d0051" xmlns:ns3="ca914230-fe7d-4c43-9819-5111aa60617d" targetNamespace="http://schemas.microsoft.com/office/2006/metadata/properties" ma:root="true" ma:fieldsID="58f0499834297186ccb36c2503ec87de" ns2:_="" ns3:_="">
    <xsd:import namespace="d47e70bd-1df3-429f-841e-a270e61d0051"/>
    <xsd:import namespace="ca914230-fe7d-4c43-9819-5111aa606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0bd-1df3-429f-841e-a270e61d00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33b6a5e9-5b13-4cfc-8d61-feb53fa95653}" ma:internalName="TaxCatchAll" ma:showField="CatchAllData" ma:web="d47e70bd-1df3-429f-841e-a270e61d0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914230-fe7d-4c43-9819-5111aa6061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44002a-5ed0-4b48-b1b4-88f79176358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35BE-C7D8-47DC-B221-7492E5C9DADB}">
  <ds:schemaRefs>
    <ds:schemaRef ds:uri="http://schemas.microsoft.com/office/2006/metadata/properties"/>
    <ds:schemaRef ds:uri="http://schemas.microsoft.com/office/infopath/2007/PartnerControls"/>
    <ds:schemaRef ds:uri="d47e70bd-1df3-429f-841e-a270e61d0051"/>
    <ds:schemaRef ds:uri="ca914230-fe7d-4c43-9819-5111aa60617d"/>
  </ds:schemaRefs>
</ds:datastoreItem>
</file>

<file path=customXml/itemProps2.xml><?xml version="1.0" encoding="utf-8"?>
<ds:datastoreItem xmlns:ds="http://schemas.openxmlformats.org/officeDocument/2006/customXml" ds:itemID="{18FB82BE-F78C-4D2F-A9E9-E9F94ADF0D3B}">
  <ds:schemaRefs>
    <ds:schemaRef ds:uri="http://schemas.microsoft.com/sharepoint/v3/contenttype/forms"/>
  </ds:schemaRefs>
</ds:datastoreItem>
</file>

<file path=customXml/itemProps3.xml><?xml version="1.0" encoding="utf-8"?>
<ds:datastoreItem xmlns:ds="http://schemas.openxmlformats.org/officeDocument/2006/customXml" ds:itemID="{1CBF32C4-D958-40C0-B4D6-49B0BD7A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0bd-1df3-429f-841e-a270e61d0051"/>
    <ds:schemaRef ds:uri="ca914230-fe7d-4c43-9819-5111aa606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25</ap:Pages>
  <ap:Words>6992</ap:Words>
  <ap:Characters>40642</ap:Characters>
  <ap:Application>Microsoft Office Word</ap:Application>
  <ap:DocSecurity>0</ap:DocSecurity>
  <ap:Lines>338</ap:Lines>
  <ap:Paragraphs>95</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47539</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2025-07-14T13:48:00Z</dcterms:created>
  <dcterms:modified xsi:type="dcterms:W3CDTF">2025-07-14T13:48:00Z</dcterms:modified>
</cp:coreProperties>
</file>