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247F32" w:rsidRDefault="0034465C" w14:paraId="38BEF453" w14:textId="70860E0D">
      <w:pPr>
        <w:tabs>
          <w:tab w:val="center" w:pos="4050"/>
          <w:tab w:val="right" w:pos="9360"/>
        </w:tabs>
        <w:spacing w:line="240" w:lineRule="auto"/>
        <w:ind w:firstLine="0"/>
      </w:pPr>
      <w:r>
        <w:t>ALJ/CS8/</w:t>
      </w:r>
      <w:proofErr w:type="spellStart"/>
      <w:r>
        <w:t>asf</w:t>
      </w:r>
      <w:proofErr w:type="spellEnd"/>
      <w:r w:rsidR="007E0FEE">
        <w:tab/>
      </w:r>
      <w:r w:rsidR="00DA7B5D">
        <w:rPr>
          <w:rFonts w:ascii="Arial" w:hAnsi="Arial" w:cs="Arial"/>
          <w:b/>
          <w:sz w:val="32"/>
          <w:szCs w:val="32"/>
        </w:rPr>
        <w:t>PROPOSED DECISION</w:t>
      </w:r>
      <w:r w:rsidR="00DA7B5D">
        <w:tab/>
      </w:r>
      <w:r w:rsidRPr="00EE4315" w:rsidR="00DA7B5D">
        <w:rPr>
          <w:b/>
        </w:rPr>
        <w:t>Agenda ID #</w:t>
      </w:r>
      <w:r w:rsidR="00380C0F">
        <w:rPr>
          <w:b/>
        </w:rPr>
        <w:t>23583</w:t>
      </w:r>
      <w:r w:rsidR="00247F32">
        <w:rPr>
          <w:b/>
        </w:rPr>
        <w:t xml:space="preserve"> (Rev. 1)</w:t>
      </w:r>
    </w:p>
    <w:p w:rsidR="00DA7B5D" w:rsidP="00632207" w:rsidRDefault="0034465C" w14:paraId="10AFEB5F" w14:textId="512B332E">
      <w:pPr>
        <w:spacing w:line="240" w:lineRule="auto"/>
        <w:jc w:val="right"/>
        <w:rPr>
          <w:b/>
        </w:rPr>
      </w:pPr>
      <w:proofErr w:type="spellStart"/>
      <w:r>
        <w:rPr>
          <w:b/>
        </w:rPr>
        <w:t>Ratesetting</w:t>
      </w:r>
      <w:proofErr w:type="spellEnd"/>
    </w:p>
    <w:p w:rsidRPr="00EE4315" w:rsidR="0064056E" w:rsidP="00632207" w:rsidRDefault="0064056E" w14:paraId="4D772A49" w14:textId="7D27D024">
      <w:pPr>
        <w:spacing w:line="240" w:lineRule="auto"/>
        <w:jc w:val="right"/>
        <w:rPr>
          <w:b/>
        </w:rPr>
      </w:pPr>
      <w:r>
        <w:rPr>
          <w:b/>
        </w:rPr>
        <w:t>7/24/2025 Item #26</w:t>
      </w:r>
    </w:p>
    <w:p w:rsidR="00DA7B5D" w:rsidP="008F0116" w:rsidRDefault="00DA7B5D" w14:paraId="47E55F79" w14:textId="77777777">
      <w:pPr>
        <w:ind w:firstLine="0"/>
      </w:pPr>
    </w:p>
    <w:p w:rsidRPr="00EE3060" w:rsidR="00DA7B5D" w:rsidP="0098655A" w:rsidRDefault="00DA7B5D" w14:paraId="458C7521" w14:textId="3B2FA453">
      <w:pPr>
        <w:ind w:left="1080" w:hanging="1080"/>
      </w:pPr>
      <w:r>
        <w:t xml:space="preserve">Decision </w:t>
      </w:r>
      <w:r w:rsidRPr="00C36985" w:rsidR="00C36985">
        <w:rPr>
          <w:b/>
          <w:bCs/>
          <w:u w:val="single"/>
        </w:rPr>
        <w:t xml:space="preserve">PROPOSED DECISION OF ALJ </w:t>
      </w:r>
      <w:r w:rsidR="00C36985">
        <w:rPr>
          <w:b/>
          <w:bCs/>
          <w:u w:val="single"/>
        </w:rPr>
        <w:t>CAROLYN SISTO</w:t>
      </w:r>
      <w:r w:rsidRPr="00C36985" w:rsidR="00C36985">
        <w:rPr>
          <w:b/>
          <w:bCs/>
          <w:u w:val="single"/>
        </w:rPr>
        <w:t xml:space="preserve"> (Mailed</w:t>
      </w:r>
      <w:r w:rsidR="00D45BBF">
        <w:rPr>
          <w:b/>
          <w:bCs/>
          <w:u w:val="single"/>
        </w:rPr>
        <w:t xml:space="preserve"> 6/19/2025</w:t>
      </w:r>
      <w:r w:rsidRPr="00C36985" w:rsidR="00C36985">
        <w:rPr>
          <w:b/>
          <w:bCs/>
          <w:u w:val="single"/>
        </w:rPr>
        <w:t>)</w:t>
      </w:r>
    </w:p>
    <w:p w:rsidR="00DA7B5D" w:rsidP="00BB0243" w:rsidRDefault="00DA7B5D" w14:paraId="38765A77" w14:textId="77777777">
      <w:pPr>
        <w:spacing w:line="240" w:lineRule="auto"/>
        <w:jc w:val="center"/>
        <w:rPr>
          <w:u w:val="single"/>
        </w:rPr>
      </w:pPr>
    </w:p>
    <w:p w:rsidR="00DA7B5D" w:rsidP="00BB0243" w:rsidRDefault="00DA7B5D" w14:paraId="2F795B27"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DAAAB6D"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8A2083" w:rsidTr="00402C95" w14:paraId="5E022E1F" w14:textId="77777777">
        <w:trPr>
          <w:jc w:val="center"/>
        </w:trPr>
        <w:tc>
          <w:tcPr>
            <w:tcW w:w="4680" w:type="dxa"/>
            <w:tcBorders>
              <w:top w:val="nil"/>
              <w:left w:val="nil"/>
              <w:bottom w:val="single" w:color="auto" w:sz="4" w:space="0"/>
              <w:right w:val="single" w:color="auto" w:sz="4" w:space="0"/>
            </w:tcBorders>
          </w:tcPr>
          <w:p w:rsidR="008A2083" w:rsidP="00402C95" w:rsidRDefault="008A2083" w14:paraId="5E3B45E5" w14:textId="77777777">
            <w:pPr>
              <w:spacing w:line="240" w:lineRule="auto"/>
              <w:ind w:firstLine="0"/>
            </w:pPr>
            <w:bookmarkStart w:name="_Hlk201228256" w:id="0"/>
            <w:r>
              <w:t>Application of Pacific Gas and Electric Company for Adoption of Electric Revenue Requirements and Rates Associated with its 2024 Energy Resource Recovery Account (ERRA) and Generation Non-</w:t>
            </w:r>
            <w:proofErr w:type="spellStart"/>
            <w:r>
              <w:t>Bypassable</w:t>
            </w:r>
            <w:proofErr w:type="spellEnd"/>
            <w:r>
              <w:t xml:space="preserve"> Charges Forecast and Greenhouse Gas Forecast Revenue Return and Reconciliation. (U39E.) </w:t>
            </w:r>
          </w:p>
          <w:p w:rsidRPr="00DA7B5D" w:rsidR="008A2083" w:rsidP="00402C95" w:rsidRDefault="008A2083" w14:paraId="22F54B65" w14:textId="77777777">
            <w:pPr>
              <w:spacing w:line="240" w:lineRule="auto"/>
              <w:ind w:firstLine="0"/>
              <w:rPr>
                <w:rFonts w:cs="Arial"/>
                <w:szCs w:val="26"/>
              </w:rPr>
            </w:pPr>
          </w:p>
        </w:tc>
        <w:tc>
          <w:tcPr>
            <w:tcW w:w="4680" w:type="dxa"/>
            <w:tcBorders>
              <w:top w:val="nil"/>
              <w:left w:val="single" w:color="auto" w:sz="4" w:space="0"/>
              <w:bottom w:val="nil"/>
              <w:right w:val="nil"/>
            </w:tcBorders>
            <w:vAlign w:val="center"/>
          </w:tcPr>
          <w:p w:rsidR="008A2083" w:rsidP="00402C95" w:rsidRDefault="008A2083" w14:paraId="375A2D12" w14:textId="77777777">
            <w:pPr>
              <w:spacing w:line="240" w:lineRule="auto"/>
              <w:ind w:firstLine="0"/>
              <w:jc w:val="center"/>
              <w:rPr>
                <w:rFonts w:cs="Arial"/>
                <w:szCs w:val="26"/>
              </w:rPr>
            </w:pPr>
            <w:r>
              <w:rPr>
                <w:rFonts w:cs="Arial"/>
                <w:szCs w:val="26"/>
              </w:rPr>
              <w:t>Application 23-05-012</w:t>
            </w:r>
          </w:p>
          <w:p w:rsidRPr="00DA7B5D" w:rsidR="008A2083" w:rsidP="00402C95" w:rsidRDefault="008A2083" w14:paraId="5902DDC2" w14:textId="77777777">
            <w:pPr>
              <w:spacing w:line="240" w:lineRule="auto"/>
              <w:ind w:firstLine="0"/>
              <w:rPr>
                <w:rFonts w:cs="Arial"/>
                <w:szCs w:val="26"/>
              </w:rPr>
            </w:pPr>
          </w:p>
        </w:tc>
      </w:tr>
      <w:tr w:rsidR="008A2083" w:rsidTr="00402C95" w14:paraId="1FBD77C7" w14:textId="77777777">
        <w:trPr>
          <w:jc w:val="center"/>
        </w:trPr>
        <w:tc>
          <w:tcPr>
            <w:tcW w:w="4680" w:type="dxa"/>
            <w:tcBorders>
              <w:top w:val="single" w:color="auto" w:sz="4" w:space="0"/>
              <w:left w:val="nil"/>
              <w:bottom w:val="single" w:color="auto" w:sz="4" w:space="0"/>
              <w:right w:val="single" w:color="auto" w:sz="4" w:space="0"/>
            </w:tcBorders>
          </w:tcPr>
          <w:p w:rsidR="008A2083" w:rsidP="00402C95" w:rsidRDefault="008A2083" w14:paraId="14B04284" w14:textId="77777777">
            <w:pPr>
              <w:spacing w:line="240" w:lineRule="auto"/>
              <w:ind w:firstLine="0"/>
            </w:pPr>
          </w:p>
          <w:p w:rsidR="008A2083" w:rsidP="00402C95" w:rsidRDefault="008A2083" w14:paraId="48F480F8" w14:textId="77777777">
            <w:pPr>
              <w:spacing w:line="240" w:lineRule="auto"/>
              <w:ind w:firstLine="0"/>
            </w:pPr>
            <w:r>
              <w:t>And Related Matters.</w:t>
            </w:r>
          </w:p>
        </w:tc>
        <w:tc>
          <w:tcPr>
            <w:tcW w:w="4680" w:type="dxa"/>
            <w:tcBorders>
              <w:top w:val="nil"/>
              <w:left w:val="single" w:color="auto" w:sz="4" w:space="0"/>
              <w:bottom w:val="nil"/>
              <w:right w:val="nil"/>
            </w:tcBorders>
            <w:vAlign w:val="center"/>
          </w:tcPr>
          <w:p w:rsidR="008A2083" w:rsidP="001A5EBB" w:rsidRDefault="008A2083" w14:paraId="67047AB7" w14:textId="11F0781B">
            <w:pPr>
              <w:spacing w:before="240" w:line="240" w:lineRule="auto"/>
              <w:ind w:firstLine="0"/>
              <w:jc w:val="center"/>
              <w:rPr>
                <w:rFonts w:cs="Arial"/>
                <w:szCs w:val="26"/>
              </w:rPr>
            </w:pPr>
            <w:r>
              <w:rPr>
                <w:rFonts w:cs="Arial"/>
                <w:szCs w:val="26"/>
              </w:rPr>
              <w:t>Application 23-05-013</w:t>
            </w:r>
          </w:p>
          <w:p w:rsidR="008A2083" w:rsidP="00402C95" w:rsidRDefault="008A2083" w14:paraId="31E4A968" w14:textId="77777777">
            <w:pPr>
              <w:spacing w:line="240" w:lineRule="auto"/>
              <w:ind w:firstLine="0"/>
              <w:jc w:val="center"/>
              <w:rPr>
                <w:rFonts w:cs="Arial"/>
                <w:szCs w:val="26"/>
              </w:rPr>
            </w:pPr>
            <w:r>
              <w:rPr>
                <w:rFonts w:cs="Arial"/>
                <w:szCs w:val="26"/>
              </w:rPr>
              <w:t>Application 23-06-001</w:t>
            </w:r>
          </w:p>
          <w:p w:rsidR="008A2083" w:rsidP="00402C95" w:rsidRDefault="008A2083" w14:paraId="2C43B5FA" w14:textId="77777777">
            <w:pPr>
              <w:spacing w:line="240" w:lineRule="auto"/>
              <w:ind w:firstLine="0"/>
              <w:jc w:val="center"/>
              <w:rPr>
                <w:rFonts w:cs="Arial"/>
                <w:szCs w:val="26"/>
              </w:rPr>
            </w:pPr>
            <w:r>
              <w:rPr>
                <w:rFonts w:cs="Arial"/>
                <w:szCs w:val="26"/>
              </w:rPr>
              <w:t>Application 23-07-012</w:t>
            </w:r>
          </w:p>
          <w:p w:rsidR="008A2083" w:rsidP="00402C95" w:rsidRDefault="008A2083" w14:paraId="3CA8FE54" w14:textId="77777777">
            <w:pPr>
              <w:spacing w:line="240" w:lineRule="auto"/>
              <w:ind w:firstLine="0"/>
              <w:jc w:val="center"/>
              <w:rPr>
                <w:rFonts w:cs="Arial"/>
                <w:szCs w:val="26"/>
              </w:rPr>
            </w:pPr>
          </w:p>
          <w:p w:rsidR="008A2083" w:rsidP="00402C95" w:rsidRDefault="008A2083" w14:paraId="3A31B36F" w14:textId="606DE5ED">
            <w:pPr>
              <w:spacing w:line="240" w:lineRule="auto"/>
              <w:ind w:firstLine="0"/>
              <w:jc w:val="center"/>
              <w:rPr>
                <w:rFonts w:cs="Arial"/>
                <w:szCs w:val="26"/>
              </w:rPr>
            </w:pPr>
          </w:p>
        </w:tc>
      </w:tr>
      <w:bookmarkEnd w:id="0"/>
    </w:tbl>
    <w:p w:rsidR="00DA7B5D" w:rsidP="008F0116" w:rsidRDefault="00DA7B5D" w14:paraId="28B44502" w14:textId="77777777">
      <w:pPr>
        <w:spacing w:line="240" w:lineRule="auto"/>
        <w:ind w:firstLine="0"/>
        <w:rPr>
          <w:rFonts w:ascii="Arial" w:hAnsi="Arial" w:cs="Arial"/>
          <w:sz w:val="24"/>
          <w:szCs w:val="24"/>
        </w:rPr>
      </w:pPr>
    </w:p>
    <w:p w:rsidR="00DA7B5D" w:rsidP="008F0116" w:rsidRDefault="00DA7B5D" w14:paraId="26C82091" w14:textId="77777777">
      <w:pPr>
        <w:spacing w:line="240" w:lineRule="auto"/>
        <w:ind w:firstLine="0"/>
        <w:rPr>
          <w:rFonts w:ascii="Arial" w:hAnsi="Arial" w:cs="Arial"/>
          <w:sz w:val="24"/>
          <w:szCs w:val="24"/>
        </w:rPr>
      </w:pPr>
    </w:p>
    <w:p w:rsidR="006162CF" w:rsidP="009A6FEC" w:rsidRDefault="008A2083" w14:paraId="3E31EF9B" w14:textId="7488B3E3">
      <w:pPr>
        <w:pStyle w:val="Dummy"/>
        <w:jc w:val="center"/>
      </w:pPr>
      <w:bookmarkStart w:name="_Toc198551386" w:id="1"/>
      <w:r>
        <w:t xml:space="preserve">DECISION </w:t>
      </w:r>
      <w:r w:rsidR="00A27646">
        <w:t>ADOPTING A DEFINITION OF FIXED GENERATION</w:t>
      </w:r>
      <w:bookmarkStart w:name="_Toc8123714" w:id="2"/>
      <w:bookmarkEnd w:id="1"/>
    </w:p>
    <w:p w:rsidRPr="009A6FEC" w:rsidR="009A6FEC" w:rsidP="00AB26A7" w:rsidRDefault="009A6FEC" w14:paraId="0568CD75" w14:textId="77777777">
      <w:pPr>
        <w:spacing w:line="240" w:lineRule="auto"/>
      </w:pPr>
    </w:p>
    <w:p w:rsidR="005A148C" w:rsidP="005A148C" w:rsidRDefault="005A148C" w14:paraId="22532882" w14:textId="4786C82A">
      <w:pPr>
        <w:pStyle w:val="Dummy"/>
      </w:pPr>
      <w:bookmarkStart w:name="_Toc198551388" w:id="3"/>
      <w:r>
        <w:t>Summary</w:t>
      </w:r>
      <w:bookmarkEnd w:id="2"/>
      <w:bookmarkEnd w:id="3"/>
    </w:p>
    <w:p w:rsidR="005A148C" w:rsidP="006E6574" w:rsidRDefault="006328CE" w14:paraId="6B45BE91" w14:textId="3E3FDC73">
      <w:pPr>
        <w:pStyle w:val="Standard"/>
      </w:pPr>
      <w:r>
        <w:t xml:space="preserve">This decision adopts the definition of </w:t>
      </w:r>
      <w:r w:rsidR="00035BB5">
        <w:t>f</w:t>
      </w:r>
      <w:r>
        <w:t xml:space="preserve">ixed </w:t>
      </w:r>
      <w:r w:rsidR="00035BB5">
        <w:t>g</w:t>
      </w:r>
      <w:r>
        <w:t xml:space="preserve">eneration </w:t>
      </w:r>
      <w:r w:rsidR="00035BB5">
        <w:t>c</w:t>
      </w:r>
      <w:r>
        <w:t xml:space="preserve">osts as </w:t>
      </w:r>
      <w:r w:rsidR="00E86324">
        <w:t>“</w:t>
      </w:r>
      <w:r w:rsidR="00256068">
        <w:t>costs that do not change based on the amount of electricity customers use or the amount of operating time associated with the electricity generation</w:t>
      </w:r>
      <w:r w:rsidR="002C7FE9">
        <w:t>.</w:t>
      </w:r>
      <w:r w:rsidR="00E86324">
        <w:t>”</w:t>
      </w:r>
      <w:r>
        <w:t xml:space="preserve"> This decision applies to Pacific Gas and Electric Company, San Diego Gas &amp; Electric Company, and Southern California Edison Company</w:t>
      </w:r>
      <w:r w:rsidR="00E002E4">
        <w:t xml:space="preserve"> (the large electric utilities)</w:t>
      </w:r>
      <w:r>
        <w:t>.</w:t>
      </w:r>
    </w:p>
    <w:p w:rsidR="006328CE" w:rsidP="006E6574" w:rsidRDefault="006328CE" w14:paraId="6279244B" w14:textId="19BF4C6E">
      <w:pPr>
        <w:pStyle w:val="Standard"/>
      </w:pPr>
      <w:r>
        <w:lastRenderedPageBreak/>
        <w:t>The definition adopted in this proceeding shall be used when evaluating each large electric utility’s annual Energy Resource Recovery Account (ERRA) applications</w:t>
      </w:r>
      <w:r w:rsidR="000F4571">
        <w:t xml:space="preserve"> after the issuance of this decision</w:t>
      </w:r>
      <w:r>
        <w:t>.</w:t>
      </w:r>
    </w:p>
    <w:p w:rsidR="006328CE" w:rsidP="006E6574" w:rsidRDefault="006328CE" w14:paraId="752187AF" w14:textId="27D65ED7">
      <w:pPr>
        <w:pStyle w:val="Standard"/>
      </w:pPr>
      <w:r>
        <w:t>Each large electric utility’s ERRA</w:t>
      </w:r>
      <w:r w:rsidR="00B17D77">
        <w:t xml:space="preserve"> filing</w:t>
      </w:r>
      <w:r>
        <w:t xml:space="preserve">, in part, </w:t>
      </w:r>
      <w:r w:rsidR="006B6229">
        <w:t>seeks Commission review of</w:t>
      </w:r>
      <w:r>
        <w:t xml:space="preserve"> a balancing account</w:t>
      </w:r>
      <w:r w:rsidR="006B6229">
        <w:t xml:space="preserve"> (or accounts) that</w:t>
      </w:r>
      <w:r>
        <w:t xml:space="preserve"> </w:t>
      </w:r>
      <w:proofErr w:type="gramStart"/>
      <w:r>
        <w:t>track</w:t>
      </w:r>
      <w:proofErr w:type="gramEnd"/>
      <w:r>
        <w:t xml:space="preserve"> and </w:t>
      </w:r>
      <w:proofErr w:type="gramStart"/>
      <w:r>
        <w:t>allow</w:t>
      </w:r>
      <w:proofErr w:type="gramEnd"/>
      <w:r>
        <w:t xml:space="preserve"> utilities to seek recovery of costs associated with long-term electric generation contracts the utilities entered before some portion of their customers switched to other load serving entities.</w:t>
      </w:r>
    </w:p>
    <w:p w:rsidR="006328CE" w:rsidP="006E6574" w:rsidRDefault="006328CE" w14:paraId="4674ED87" w14:textId="1E33962F">
      <w:pPr>
        <w:pStyle w:val="Standard"/>
      </w:pPr>
      <w:r>
        <w:t xml:space="preserve">The definition of fixed generation costs adopted in this decision </w:t>
      </w:r>
      <w:r w:rsidR="000F4571">
        <w:t>shall be</w:t>
      </w:r>
      <w:r>
        <w:t xml:space="preserve"> consistent across the large</w:t>
      </w:r>
      <w:r w:rsidR="00E002E4">
        <w:t xml:space="preserve"> electric utilities. Other issues related to the </w:t>
      </w:r>
      <w:r w:rsidR="000F4571">
        <w:t xml:space="preserve">common costs addressed in the large electric utilities’ </w:t>
      </w:r>
      <w:r w:rsidR="00E002E4">
        <w:t>ERRA applications are not addressed in this decision.</w:t>
      </w:r>
    </w:p>
    <w:p w:rsidR="00860824" w:rsidP="009A6FEC" w:rsidRDefault="00E002E4" w14:paraId="2B037941" w14:textId="4BC40CA5">
      <w:pPr>
        <w:pStyle w:val="Standard"/>
      </w:pPr>
      <w:r>
        <w:t xml:space="preserve">Applications </w:t>
      </w:r>
      <w:r w:rsidR="0059483F">
        <w:t>(A.)</w:t>
      </w:r>
      <w:r w:rsidR="00AC22C9">
        <w:t xml:space="preserve"> </w:t>
      </w:r>
      <w:r>
        <w:t xml:space="preserve">23-05-012, </w:t>
      </w:r>
      <w:r w:rsidR="0059483F">
        <w:t>A.</w:t>
      </w:r>
      <w:r>
        <w:t xml:space="preserve">23-05-013, </w:t>
      </w:r>
      <w:r w:rsidR="0059483F">
        <w:t>A.</w:t>
      </w:r>
      <w:r>
        <w:t xml:space="preserve">23-06-001, and </w:t>
      </w:r>
      <w:r w:rsidR="0059483F">
        <w:t>A.</w:t>
      </w:r>
      <w:r>
        <w:t>23-07-012, as consolidated</w:t>
      </w:r>
      <w:r w:rsidR="000F4571">
        <w:t xml:space="preserve">, </w:t>
      </w:r>
      <w:r>
        <w:t>are closed.</w:t>
      </w:r>
    </w:p>
    <w:p w:rsidR="00E002E4" w:rsidP="00E002E4" w:rsidRDefault="00E002E4" w14:paraId="570A817B" w14:textId="2CCCCE63">
      <w:pPr>
        <w:pStyle w:val="Heading1"/>
      </w:pPr>
      <w:bookmarkStart w:name="_Toc198551389" w:id="4"/>
      <w:r>
        <w:t>Background</w:t>
      </w:r>
      <w:bookmarkEnd w:id="4"/>
    </w:p>
    <w:p w:rsidRPr="00121089" w:rsidR="005A148C" w:rsidP="00EC3252" w:rsidRDefault="00872452" w14:paraId="45F2325A" w14:textId="5C2DEB8F">
      <w:pPr>
        <w:pStyle w:val="Standard"/>
      </w:pPr>
      <w:r>
        <w:t>In the</w:t>
      </w:r>
      <w:r w:rsidR="00F21E75">
        <w:t xml:space="preserve"> October </w:t>
      </w:r>
      <w:r w:rsidR="0084138F">
        <w:t>1</w:t>
      </w:r>
      <w:r w:rsidR="00F21E75">
        <w:t>4, 2024, Amended Scoping Memo</w:t>
      </w:r>
      <w:r>
        <w:t>, the Commission</w:t>
      </w:r>
      <w:r w:rsidR="00AC22C9">
        <w:t>er</w:t>
      </w:r>
      <w:r>
        <w:t xml:space="preserve"> found</w:t>
      </w:r>
      <w:r w:rsidR="00F21E75">
        <w:t xml:space="preserve"> the benefits of </w:t>
      </w:r>
      <w:r w:rsidR="00431D96">
        <w:t>consolidating</w:t>
      </w:r>
      <w:r w:rsidR="00F21E75">
        <w:t xml:space="preserve"> the outstanding</w:t>
      </w:r>
      <w:r w:rsidR="003039C7">
        <w:t xml:space="preserve"> fixed generation cost-related</w:t>
      </w:r>
      <w:r w:rsidR="00F21E75">
        <w:t xml:space="preserve"> issues in </w:t>
      </w:r>
      <w:r w:rsidRPr="00237000" w:rsidR="00F21E75">
        <w:t>the</w:t>
      </w:r>
      <w:r w:rsidR="003039C7">
        <w:t xml:space="preserve"> large electric utilities’ 2024 ERRA forecast</w:t>
      </w:r>
      <w:r w:rsidRPr="00237000" w:rsidR="00F21E75">
        <w:t xml:space="preserve"> applications </w:t>
      </w:r>
      <w:r w:rsidR="00431D96">
        <w:t>would</w:t>
      </w:r>
      <w:r w:rsidRPr="00237000" w:rsidR="00F21E75">
        <w:t xml:space="preserve"> outweigh any potential burden to the applicants </w:t>
      </w:r>
      <w:r w:rsidR="00F21E75">
        <w:t>and</w:t>
      </w:r>
      <w:r w:rsidRPr="00237000" w:rsidR="00F21E75">
        <w:t xml:space="preserve"> parties. </w:t>
      </w:r>
      <w:r w:rsidR="0059483F">
        <w:t>The factual and procedural background of this proceeding is explained below.</w:t>
      </w:r>
    </w:p>
    <w:p w:rsidR="0063491C" w:rsidP="0093065C" w:rsidRDefault="0063491C" w14:paraId="64EE74EA" w14:textId="77777777">
      <w:pPr>
        <w:pStyle w:val="Heading2"/>
      </w:pPr>
      <w:bookmarkStart w:name="_Toc8123716" w:id="5"/>
      <w:bookmarkStart w:name="_Toc198551390" w:id="6"/>
      <w:r>
        <w:t>Factual Background</w:t>
      </w:r>
      <w:bookmarkEnd w:id="5"/>
      <w:bookmarkEnd w:id="6"/>
    </w:p>
    <w:p w:rsidR="00EC3252" w:rsidP="00EC3252" w:rsidRDefault="00EC3252" w14:paraId="788DFB67" w14:textId="77777777">
      <w:pPr>
        <w:pStyle w:val="Standard"/>
      </w:pPr>
      <w:r>
        <w:t xml:space="preserve">Pacific Gas and Electric Company (PG&amp;E), San Diego Gas &amp; Electric Company (SDG&amp;E), and Southern California Edison Company (SCE) each filed </w:t>
      </w:r>
      <w:r>
        <w:lastRenderedPageBreak/>
        <w:t>separate Energy Resource Recovery Account (ERRA) related applications in May or June 2023.</w:t>
      </w:r>
      <w:r>
        <w:rPr>
          <w:rStyle w:val="FootnoteReference"/>
        </w:rPr>
        <w:footnoteReference w:id="2"/>
      </w:r>
      <w:r>
        <w:t xml:space="preserve"> </w:t>
      </w:r>
    </w:p>
    <w:p w:rsidR="00AF3213" w:rsidP="00AF3213" w:rsidRDefault="00AF3213" w14:paraId="507ADA00" w14:textId="77777777">
      <w:pPr>
        <w:pStyle w:val="Standard"/>
      </w:pPr>
      <w:r>
        <w:t>On August 1, 2023, an assigned Administrative Law Judge (ALJ) ruling was issued in each of the utilities’ ERRA forecast proceedings, directing parties to address specific issues related to fixed generation costs. The rulings defined fixed generation costs as investor-owned utility (IOU) generation “costs that do not change based on the amount of electricity customers use or the amount of operating time associated with the electricity generation.”</w:t>
      </w:r>
      <w:r>
        <w:rPr>
          <w:rStyle w:val="FootnoteReference"/>
        </w:rPr>
        <w:footnoteReference w:id="3"/>
      </w:r>
      <w:r>
        <w:t xml:space="preserve"> Essentially, these costs are fixed because the utility’s generating portfolio must run, regardless of the amount of electricity customers use, regardless of the time of use.</w:t>
      </w:r>
    </w:p>
    <w:p w:rsidR="00A53337" w:rsidP="009A6FEC" w:rsidRDefault="00AF3213" w14:paraId="2833E720" w14:textId="56CAD5C7">
      <w:pPr>
        <w:pStyle w:val="Standard"/>
      </w:pPr>
      <w:r>
        <w:t>These rulings were in response to</w:t>
      </w:r>
      <w:r w:rsidR="00524EBD">
        <w:t xml:space="preserve"> Commission</w:t>
      </w:r>
      <w:r>
        <w:t>-</w:t>
      </w:r>
      <w:r w:rsidR="00524EBD">
        <w:t>identified concerns about the methods the large electric IOUs use to</w:t>
      </w:r>
      <w:r w:rsidR="00D6062E">
        <w:t xml:space="preserve"> allocate fixed generation costs across </w:t>
      </w:r>
      <w:r w:rsidR="002E11AB">
        <w:t xml:space="preserve">IOU </w:t>
      </w:r>
      <w:r w:rsidR="00D2683C">
        <w:t>bundled customers</w:t>
      </w:r>
      <w:r>
        <w:t>, which receive both electric</w:t>
      </w:r>
      <w:r w:rsidR="004F5C1C">
        <w:t xml:space="preserve"> generation</w:t>
      </w:r>
      <w:r>
        <w:t xml:space="preserve"> and distribution service from an IOU,</w:t>
      </w:r>
      <w:r w:rsidR="00D2683C">
        <w:t xml:space="preserve"> </w:t>
      </w:r>
      <w:r w:rsidR="00D6062E">
        <w:t>and</w:t>
      </w:r>
      <w:r w:rsidR="00D2683C">
        <w:t xml:space="preserve"> unbundled customer</w:t>
      </w:r>
      <w:r w:rsidR="00BC7285">
        <w:t>s</w:t>
      </w:r>
      <w:r w:rsidR="00D6062E">
        <w:t xml:space="preserve"> that choose to receive electric </w:t>
      </w:r>
      <w:r w:rsidR="004F5C1C">
        <w:t xml:space="preserve">generation </w:t>
      </w:r>
      <w:r w:rsidR="00D6062E">
        <w:t>service from other load serving entities</w:t>
      </w:r>
      <w:r w:rsidR="00D9334E">
        <w:t xml:space="preserve"> (LSE)</w:t>
      </w:r>
      <w:r w:rsidR="00D6062E">
        <w:t>.</w:t>
      </w:r>
      <w:r w:rsidR="00634FEB">
        <w:t xml:space="preserve"> Currently, customers that choose to receive electric</w:t>
      </w:r>
      <w:r w:rsidR="004F5C1C">
        <w:t xml:space="preserve"> generation</w:t>
      </w:r>
      <w:r w:rsidR="00634FEB">
        <w:t xml:space="preserve"> service from other </w:t>
      </w:r>
      <w:r w:rsidR="00D9334E">
        <w:t>LSEs</w:t>
      </w:r>
      <w:r w:rsidR="00634FEB">
        <w:t>, such as community choice aggregators</w:t>
      </w:r>
      <w:r w:rsidR="00AC1907">
        <w:t xml:space="preserve"> (CCA)</w:t>
      </w:r>
      <w:r w:rsidR="00634FEB">
        <w:t xml:space="preserve"> or direct access providers</w:t>
      </w:r>
      <w:r w:rsidR="00214AF5">
        <w:t xml:space="preserve"> share in the above or below market net costs </w:t>
      </w:r>
      <w:r w:rsidR="00A74F7C">
        <w:t>of</w:t>
      </w:r>
      <w:r w:rsidR="00AE2656">
        <w:t xml:space="preserve"> </w:t>
      </w:r>
      <w:r w:rsidR="00CE4064">
        <w:t xml:space="preserve">long-term </w:t>
      </w:r>
      <w:r w:rsidR="00A81B68">
        <w:t xml:space="preserve">electric generation </w:t>
      </w:r>
      <w:r w:rsidR="007D2F10">
        <w:t xml:space="preserve">and resource adequacy </w:t>
      </w:r>
      <w:r w:rsidR="00CE4064">
        <w:t xml:space="preserve">contracts </w:t>
      </w:r>
      <w:r w:rsidR="00AE2656">
        <w:t xml:space="preserve">the </w:t>
      </w:r>
      <w:r w:rsidR="00A53337">
        <w:t xml:space="preserve">large electric utilities </w:t>
      </w:r>
      <w:r w:rsidR="00A81B68">
        <w:t xml:space="preserve">signed </w:t>
      </w:r>
      <w:r w:rsidR="00CE4064">
        <w:t>to support load that has</w:t>
      </w:r>
      <w:r w:rsidR="00A53337">
        <w:t xml:space="preserve"> since</w:t>
      </w:r>
      <w:r w:rsidR="00CE4064">
        <w:t xml:space="preserve"> shifted </w:t>
      </w:r>
      <w:r w:rsidR="00A81B68">
        <w:t>to LSEs</w:t>
      </w:r>
      <w:r w:rsidR="00A53337">
        <w:t>’ electric generation contracts</w:t>
      </w:r>
      <w:r w:rsidR="00A81B68">
        <w:t xml:space="preserve">. </w:t>
      </w:r>
    </w:p>
    <w:p w:rsidR="00F07423" w:rsidP="009A6FEC" w:rsidRDefault="007C6BD3" w14:paraId="3F81334B" w14:textId="1F19A7C3">
      <w:pPr>
        <w:pStyle w:val="Standard"/>
      </w:pPr>
      <w:r>
        <w:t xml:space="preserve">Pursuant to </w:t>
      </w:r>
      <w:r w:rsidRPr="00C16C45">
        <w:t>Public</w:t>
      </w:r>
      <w:r>
        <w:t xml:space="preserve"> Utilities Code (Pub. Util. Code) §</w:t>
      </w:r>
      <w:r w:rsidR="000145C9">
        <w:t>366.1(f)</w:t>
      </w:r>
      <w:r w:rsidR="00AF3213">
        <w:t>,</w:t>
      </w:r>
      <w:r w:rsidR="000145C9">
        <w:t xml:space="preserve"> </w:t>
      </w:r>
      <w:r w:rsidR="00A81B68">
        <w:t xml:space="preserve">costs </w:t>
      </w:r>
      <w:r w:rsidR="00AC22C9">
        <w:t xml:space="preserve">of </w:t>
      </w:r>
      <w:r w:rsidR="00842F79">
        <w:t xml:space="preserve">electric corporations’ past </w:t>
      </w:r>
      <w:proofErr w:type="spellStart"/>
      <w:r w:rsidR="00842F79">
        <w:t>undercollections</w:t>
      </w:r>
      <w:proofErr w:type="spellEnd"/>
      <w:r w:rsidR="00842F79">
        <w:t xml:space="preserve"> and </w:t>
      </w:r>
      <w:r w:rsidR="009A754B">
        <w:t xml:space="preserve">costs associated with net unavoidable power purchase contracts </w:t>
      </w:r>
      <w:r w:rsidR="00A81B68">
        <w:t>are recovered</w:t>
      </w:r>
      <w:r w:rsidR="0070480E">
        <w:t xml:space="preserve"> through the Power Charge </w:t>
      </w:r>
      <w:r w:rsidR="0070480E">
        <w:lastRenderedPageBreak/>
        <w:t>Indifference Adjustment (PCIA).</w:t>
      </w:r>
      <w:r w:rsidR="0070480E">
        <w:rPr>
          <w:rStyle w:val="FootnoteReference"/>
        </w:rPr>
        <w:footnoteReference w:id="4"/>
      </w:r>
      <w:r w:rsidR="00AC1907">
        <w:t xml:space="preserve"> The PCIA intends to ensure that customers that continue to receive electric service from </w:t>
      </w:r>
      <w:r w:rsidRPr="00AC1907" w:rsidR="00AC1907">
        <w:t>the</w:t>
      </w:r>
      <w:r w:rsidR="00863356">
        <w:t xml:space="preserve"> large electric</w:t>
      </w:r>
      <w:r w:rsidRPr="00AC1907" w:rsidR="00AC1907">
        <w:t xml:space="preserve"> </w:t>
      </w:r>
      <w:r w:rsidR="0035711A">
        <w:t xml:space="preserve">utilities </w:t>
      </w:r>
      <w:r w:rsidR="00AC1907">
        <w:t>are not paying generation costs</w:t>
      </w:r>
      <w:r w:rsidRPr="00AC1907" w:rsidR="00AC1907">
        <w:t xml:space="preserve"> incurred in anticipation of serving the customers that now receive electric service from a CCA or </w:t>
      </w:r>
      <w:r w:rsidR="00C03F94">
        <w:t>direct access</w:t>
      </w:r>
      <w:r w:rsidR="00AC22C9">
        <w:t xml:space="preserve"> provider</w:t>
      </w:r>
      <w:r w:rsidRPr="00AC1907" w:rsidR="00AC1907">
        <w:t>.</w:t>
      </w:r>
      <w:r w:rsidR="002D6D7D">
        <w:rPr>
          <w:rStyle w:val="FootnoteReference"/>
        </w:rPr>
        <w:footnoteReference w:id="5"/>
      </w:r>
    </w:p>
    <w:p w:rsidR="0025487F" w:rsidP="009A6FEC" w:rsidRDefault="00AF5DA9" w14:paraId="11B1F915" w14:textId="014548B7">
      <w:pPr>
        <w:pStyle w:val="Standard"/>
      </w:pPr>
      <w:r>
        <w:t xml:space="preserve">During </w:t>
      </w:r>
      <w:r w:rsidR="00A84B57">
        <w:t xml:space="preserve">the </w:t>
      </w:r>
      <w:r w:rsidR="00863356">
        <w:t xml:space="preserve">large electric </w:t>
      </w:r>
      <w:r w:rsidR="006D6C8F">
        <w:t xml:space="preserve">utilities </w:t>
      </w:r>
      <w:r w:rsidR="00A84B57">
        <w:t xml:space="preserve">2023 ERRA cycle, </w:t>
      </w:r>
      <w:r w:rsidR="00F42CBB">
        <w:t xml:space="preserve">the Commission </w:t>
      </w:r>
      <w:r w:rsidR="00B51654">
        <w:t xml:space="preserve">found the </w:t>
      </w:r>
      <w:r w:rsidR="00863356">
        <w:t xml:space="preserve">large electric </w:t>
      </w:r>
      <w:r w:rsidR="006D6C8F">
        <w:t xml:space="preserve">utilities’ </w:t>
      </w:r>
      <w:r w:rsidR="00B51654">
        <w:t xml:space="preserve">bundled generation rates were not </w:t>
      </w:r>
      <w:r w:rsidR="0025487F">
        <w:t xml:space="preserve">similar, and the contributing factors related to fixed generation costs in each of the </w:t>
      </w:r>
      <w:r w:rsidR="00863356">
        <w:t xml:space="preserve">large electric </w:t>
      </w:r>
      <w:r w:rsidR="006D6C8F">
        <w:t xml:space="preserve">utilities’ </w:t>
      </w:r>
      <w:r w:rsidR="0025487F">
        <w:t>ERRA forecast proceedings were not aligned.</w:t>
      </w:r>
    </w:p>
    <w:p w:rsidR="00A1276F" w:rsidP="009A6FEC" w:rsidRDefault="00C12550" w14:paraId="2E7CCC75" w14:textId="3D397A19">
      <w:pPr>
        <w:pStyle w:val="Standard"/>
      </w:pPr>
      <w:r>
        <w:t>Specifically</w:t>
      </w:r>
      <w:r w:rsidR="00A1276F">
        <w:t xml:space="preserve">, the fixed generation costs </w:t>
      </w:r>
      <w:r w:rsidR="005D2421">
        <w:t xml:space="preserve">identified by the </w:t>
      </w:r>
      <w:r w:rsidR="00345ABB">
        <w:t xml:space="preserve">large electric utilities </w:t>
      </w:r>
      <w:r w:rsidR="005D2421">
        <w:t xml:space="preserve">did not decrease </w:t>
      </w:r>
      <w:r w:rsidR="00076FBC">
        <w:t>at the same pace of</w:t>
      </w:r>
      <w:r w:rsidR="005D2421">
        <w:t xml:space="preserve"> </w:t>
      </w:r>
      <w:r w:rsidR="00C5126A">
        <w:t xml:space="preserve">customer load </w:t>
      </w:r>
      <w:r w:rsidR="00076FBC">
        <w:t>departing</w:t>
      </w:r>
      <w:r w:rsidR="00C5126A">
        <w:t xml:space="preserve"> to </w:t>
      </w:r>
      <w:r w:rsidR="00BD2151">
        <w:t>CC</w:t>
      </w:r>
      <w:r w:rsidR="00076FBC">
        <w:t>As</w:t>
      </w:r>
      <w:r w:rsidR="00C5126A">
        <w:t>, direct access providers</w:t>
      </w:r>
      <w:r w:rsidR="00076FBC">
        <w:t xml:space="preserve">, </w:t>
      </w:r>
      <w:r w:rsidR="00AF5DA9">
        <w:t xml:space="preserve">other LSEs, </w:t>
      </w:r>
      <w:r w:rsidR="00C5126A">
        <w:t>or self-generation, during 2020 through 2023.</w:t>
      </w:r>
      <w:r w:rsidR="00D44DE4">
        <w:rPr>
          <w:rStyle w:val="FootnoteReference"/>
        </w:rPr>
        <w:footnoteReference w:id="6"/>
      </w:r>
    </w:p>
    <w:p w:rsidR="00C078CC" w:rsidP="005C17E1" w:rsidRDefault="0037576D" w14:paraId="1FEB26D2" w14:textId="2CAA97E6">
      <w:pPr>
        <w:pStyle w:val="Standard"/>
        <w:ind w:firstLine="360"/>
      </w:pPr>
      <w:r>
        <w:t xml:space="preserve">For example, </w:t>
      </w:r>
      <w:r w:rsidR="002E6767">
        <w:t>from 2020 to 2023</w:t>
      </w:r>
      <w:r>
        <w:t xml:space="preserve">, SDG&amp;E had roughly </w:t>
      </w:r>
      <w:r w:rsidR="00BD2151">
        <w:t xml:space="preserve">75 percent of its load depart to CCAs but its fixed generation costs, </w:t>
      </w:r>
      <w:proofErr w:type="gramStart"/>
      <w:r w:rsidR="00BD2151">
        <w:t>paid for</w:t>
      </w:r>
      <w:proofErr w:type="gramEnd"/>
      <w:r w:rsidR="00BD2151">
        <w:t xml:space="preserve"> by bundled customers, only decreased by approximately </w:t>
      </w:r>
      <w:r w:rsidR="00394866">
        <w:t xml:space="preserve">$37 million (from $167 million in 2020 to $130 </w:t>
      </w:r>
      <w:r w:rsidRPr="00E572A3" w:rsidR="00394866">
        <w:t>million in 2023).</w:t>
      </w:r>
      <w:r w:rsidRPr="00E572A3" w:rsidR="00C737F2">
        <w:rPr>
          <w:rStyle w:val="FootnoteReference"/>
        </w:rPr>
        <w:footnoteReference w:id="7"/>
      </w:r>
      <w:r w:rsidRPr="00844DD6" w:rsidR="00394866">
        <w:t xml:space="preserve"> </w:t>
      </w:r>
    </w:p>
    <w:p w:rsidR="00071577" w:rsidP="009A6FEC" w:rsidRDefault="00394866" w14:paraId="7B7F045D" w14:textId="59D2BED4">
      <w:pPr>
        <w:pStyle w:val="Standard"/>
      </w:pPr>
      <w:r>
        <w:t xml:space="preserve">Separately, SDG&amp;E’s fixed portion of its generation rate increased </w:t>
      </w:r>
      <w:r w:rsidR="00713922">
        <w:t>from only 16 percent in 2020 to almost 40 percent in 2023.</w:t>
      </w:r>
      <w:r w:rsidR="00855C5D">
        <w:rPr>
          <w:rStyle w:val="FootnoteReference"/>
        </w:rPr>
        <w:footnoteReference w:id="8"/>
      </w:r>
      <w:r w:rsidR="005C17E1">
        <w:t xml:space="preserve"> </w:t>
      </w:r>
    </w:p>
    <w:p w:rsidR="002661A1" w:rsidP="009A6FEC" w:rsidRDefault="002661A1" w14:paraId="2C3251CE" w14:textId="04849A67">
      <w:pPr>
        <w:pStyle w:val="Standard"/>
      </w:pPr>
      <w:r>
        <w:lastRenderedPageBreak/>
        <w:t xml:space="preserve">Similarly, </w:t>
      </w:r>
      <w:r w:rsidR="00234F89">
        <w:t>across</w:t>
      </w:r>
      <w:r>
        <w:t xml:space="preserve"> 2020</w:t>
      </w:r>
      <w:r w:rsidR="00234F89">
        <w:t xml:space="preserve"> through </w:t>
      </w:r>
      <w:r>
        <w:t xml:space="preserve">2023, PG&amp;E </w:t>
      </w:r>
      <w:r w:rsidR="00C16C45">
        <w:t xml:space="preserve">experienced </w:t>
      </w:r>
      <w:r>
        <w:t xml:space="preserve">a 60 percent decrease in customers receiving bundled </w:t>
      </w:r>
      <w:r w:rsidR="00C16C45">
        <w:t>service</w:t>
      </w:r>
      <w:r>
        <w:t xml:space="preserve">, </w:t>
      </w:r>
      <w:r w:rsidR="00AF3213">
        <w:t>but</w:t>
      </w:r>
      <w:r>
        <w:t xml:space="preserve"> </w:t>
      </w:r>
      <w:r w:rsidR="00E253C1">
        <w:t xml:space="preserve">the definition of the types of </w:t>
      </w:r>
      <w:r>
        <w:t xml:space="preserve">costs related to </w:t>
      </w:r>
      <w:r w:rsidR="00E253C1">
        <w:t xml:space="preserve">PG&amp;E’s </w:t>
      </w:r>
      <w:r>
        <w:t>fixed generation have not been addressed in any prior Commission decision.</w:t>
      </w:r>
      <w:r w:rsidR="00C737F2">
        <w:rPr>
          <w:rStyle w:val="FootnoteReference"/>
        </w:rPr>
        <w:footnoteReference w:id="9"/>
      </w:r>
      <w:r>
        <w:t xml:space="preserve"> </w:t>
      </w:r>
    </w:p>
    <w:p w:rsidR="006654CB" w:rsidP="002661A1" w:rsidRDefault="006654CB" w14:paraId="5E356C8D" w14:textId="702FC1C9">
      <w:pPr>
        <w:pStyle w:val="Standard"/>
        <w:ind w:firstLine="360"/>
      </w:pPr>
      <w:r>
        <w:t xml:space="preserve">SCE’s fixed generation costs </w:t>
      </w:r>
      <w:r w:rsidR="00234F89">
        <w:t>in 2020 through 2023 made</w:t>
      </w:r>
      <w:r w:rsidR="007934C0">
        <w:t xml:space="preserve"> up approximately 50 percent of SCE’s total generation rate </w:t>
      </w:r>
      <w:r w:rsidR="00AF3213">
        <w:t>and</w:t>
      </w:r>
      <w:r w:rsidR="007934C0">
        <w:t xml:space="preserve"> nearly </w:t>
      </w:r>
      <w:proofErr w:type="gramStart"/>
      <w:r w:rsidR="007934C0">
        <w:t>all of</w:t>
      </w:r>
      <w:proofErr w:type="gramEnd"/>
      <w:r w:rsidR="007934C0">
        <w:t xml:space="preserve"> those costs </w:t>
      </w:r>
      <w:r w:rsidR="00234F89">
        <w:t>were</w:t>
      </w:r>
      <w:r w:rsidR="007934C0">
        <w:t xml:space="preserve"> recovered </w:t>
      </w:r>
      <w:r w:rsidRPr="001A25F1" w:rsidR="007934C0">
        <w:t>through the PCIA.</w:t>
      </w:r>
      <w:r w:rsidR="001A25F1">
        <w:rPr>
          <w:rStyle w:val="FootnoteReference"/>
        </w:rPr>
        <w:footnoteReference w:id="10"/>
      </w:r>
    </w:p>
    <w:p w:rsidR="0063491C" w:rsidP="009A6FEC" w:rsidRDefault="0063491C" w14:paraId="70819D3E" w14:textId="77777777">
      <w:pPr>
        <w:pStyle w:val="Heading2"/>
      </w:pPr>
      <w:bookmarkStart w:name="_Toc8123717" w:id="7"/>
      <w:bookmarkStart w:name="_Toc198551391" w:id="8"/>
      <w:r w:rsidRPr="009A6FEC">
        <w:t>Procedural</w:t>
      </w:r>
      <w:r>
        <w:t xml:space="preserve"> Background</w:t>
      </w:r>
      <w:bookmarkEnd w:id="7"/>
      <w:bookmarkEnd w:id="8"/>
    </w:p>
    <w:p w:rsidR="00974056" w:rsidP="00974056" w:rsidRDefault="00974056" w14:paraId="6D2B5D6C" w14:textId="2AC5A4E1">
      <w:pPr>
        <w:pStyle w:val="Standard"/>
      </w:pPr>
      <w:r>
        <w:t xml:space="preserve">The Assigned Commissioner issued an amended scoping memo on September 15, 2023, consolidating PG&amp;E’s ERRA forecast application A.23-05-012 with A.23-07-023, </w:t>
      </w:r>
      <w:r w:rsidRPr="007644F1">
        <w:t xml:space="preserve">an expedited application filed by PG&amp;E regarding a forecast </w:t>
      </w:r>
      <w:proofErr w:type="spellStart"/>
      <w:r w:rsidRPr="007644F1">
        <w:t>undercollection</w:t>
      </w:r>
      <w:proofErr w:type="spellEnd"/>
      <w:r w:rsidRPr="007644F1">
        <w:t xml:space="preserve"> in its ERRA</w:t>
      </w:r>
      <w:r>
        <w:t>,</w:t>
      </w:r>
      <w:r w:rsidRPr="007644F1">
        <w:t xml:space="preserve"> referred to as a Trigger application</w:t>
      </w:r>
      <w:r>
        <w:t>.</w:t>
      </w:r>
    </w:p>
    <w:p w:rsidR="00974056" w:rsidP="00974056" w:rsidRDefault="00FD66C0" w14:paraId="33ABDB37" w14:textId="48BED2CE">
      <w:pPr>
        <w:pStyle w:val="Standard"/>
      </w:pPr>
      <w:r>
        <w:t>In separate decisions, the</w:t>
      </w:r>
      <w:r w:rsidR="000671EF">
        <w:t xml:space="preserve"> Commission authorized </w:t>
      </w:r>
      <w:r>
        <w:t>e</w:t>
      </w:r>
      <w:r w:rsidR="00974056">
        <w:t xml:space="preserve">ach of the </w:t>
      </w:r>
      <w:r>
        <w:t xml:space="preserve">large electric </w:t>
      </w:r>
      <w:r w:rsidR="00972BEF">
        <w:t>IOUs</w:t>
      </w:r>
      <w:r>
        <w:t xml:space="preserve"> to modify rates associated with the 2024</w:t>
      </w:r>
      <w:r w:rsidR="00974056">
        <w:t xml:space="preserve"> ERRA applications.</w:t>
      </w:r>
      <w:r w:rsidR="00974056">
        <w:rPr>
          <w:rStyle w:val="FootnoteReference"/>
        </w:rPr>
        <w:footnoteReference w:id="11"/>
      </w:r>
      <w:r w:rsidR="00974056">
        <w:t xml:space="preserve"> </w:t>
      </w:r>
    </w:p>
    <w:p w:rsidR="00974056" w:rsidP="00974056" w:rsidRDefault="00974056" w14:paraId="6305A4DF" w14:textId="3119D58A">
      <w:pPr>
        <w:pStyle w:val="Standard"/>
      </w:pPr>
      <w:r>
        <w:t>Each decision issued in the</w:t>
      </w:r>
      <w:r w:rsidR="00972BEF">
        <w:t xml:space="preserve"> large electric </w:t>
      </w:r>
      <w:r w:rsidR="00174A5C">
        <w:t xml:space="preserve">utilities’ </w:t>
      </w:r>
      <w:r w:rsidR="00972BEF">
        <w:t>2024</w:t>
      </w:r>
      <w:r>
        <w:t xml:space="preserve"> ERRA applications deferred consideration of the</w:t>
      </w:r>
      <w:r w:rsidR="001F4618">
        <w:t xml:space="preserve"> issues related to</w:t>
      </w:r>
      <w:r>
        <w:t xml:space="preserve"> fixed generation costs raised in </w:t>
      </w:r>
      <w:proofErr w:type="gramStart"/>
      <w:r>
        <w:t>the August</w:t>
      </w:r>
      <w:proofErr w:type="gramEnd"/>
      <w:r>
        <w:t xml:space="preserve"> 1, 2023, ALJ </w:t>
      </w:r>
      <w:r w:rsidR="00844DD6">
        <w:t>R</w:t>
      </w:r>
      <w:r>
        <w:t xml:space="preserve">ulings to a separate, Phase 2, of each large IOUs’ 2024 ERRA forecast proceedings. </w:t>
      </w:r>
    </w:p>
    <w:p w:rsidR="00974056" w:rsidP="00974056" w:rsidRDefault="00974056" w14:paraId="6A92DB52" w14:textId="246F5D04">
      <w:pPr>
        <w:pStyle w:val="Standard"/>
      </w:pPr>
      <w:r>
        <w:t>A prehearing conference</w:t>
      </w:r>
      <w:r w:rsidR="005834D7">
        <w:t xml:space="preserve"> (PHC)</w:t>
      </w:r>
      <w:r>
        <w:t xml:space="preserve"> </w:t>
      </w:r>
      <w:r w:rsidR="005A41AB">
        <w:t>on</w:t>
      </w:r>
      <w:r>
        <w:t xml:space="preserve"> fixed generation cost issues was held on January 9, 2024, to address the issues of law and fact, determine the need for </w:t>
      </w:r>
      <w:r>
        <w:lastRenderedPageBreak/>
        <w:t>evidentiary hearing, and set the schedule for the remainder of the IOUs’ 2024 ERRA Forecast proceedings.</w:t>
      </w:r>
      <w:r w:rsidR="00B36A24">
        <w:rPr>
          <w:rStyle w:val="FootnoteReference"/>
        </w:rPr>
        <w:footnoteReference w:id="12"/>
      </w:r>
      <w:r>
        <w:t xml:space="preserve"> </w:t>
      </w:r>
    </w:p>
    <w:p w:rsidR="00974056" w:rsidP="00974056" w:rsidRDefault="00974056" w14:paraId="1EF4D09A" w14:textId="1C3A871E">
      <w:pPr>
        <w:pStyle w:val="Standard"/>
      </w:pPr>
      <w:r>
        <w:t xml:space="preserve">On October 11, 2024, the Assigned Commissioner issued an amended scoping memo and ruling </w:t>
      </w:r>
      <w:r w:rsidR="00AF3213">
        <w:t xml:space="preserve">formally </w:t>
      </w:r>
      <w:r>
        <w:t xml:space="preserve">consolidating PG&amp;E, SCE, and SDG&amp;E’s 2024 ERRA Forecast proceedings (A.23-05-012/A.23-07-021; A.23-06-001; and A.23-05-013, respectively) for the sole purpose of determining a definition of fixed generation costs. </w:t>
      </w:r>
    </w:p>
    <w:p w:rsidR="008B6127" w:rsidP="008B6127" w:rsidRDefault="00974056" w14:paraId="6293FF4A" w14:textId="1867E666">
      <w:pPr>
        <w:pStyle w:val="Standard"/>
      </w:pPr>
      <w:r>
        <w:t>A status conference was held on December 3, 2024, during which all active parties stated there are no material facts that would require evidentiary hearings.</w:t>
      </w:r>
      <w:r>
        <w:rPr>
          <w:rStyle w:val="FootnoteReference"/>
        </w:rPr>
        <w:footnoteReference w:id="13"/>
      </w:r>
    </w:p>
    <w:p w:rsidRPr="00514D32" w:rsidR="0029557F" w:rsidP="0029557F" w:rsidRDefault="0029557F" w14:paraId="48919734" w14:textId="7D66C73C">
      <w:pPr>
        <w:pStyle w:val="Standard"/>
      </w:pPr>
      <w:r>
        <w:t xml:space="preserve">On January 28, 2025, PG&amp;E, SCE, SDG&amp;E, </w:t>
      </w:r>
      <w:r w:rsidRPr="002F5F21" w:rsidR="00044429">
        <w:t xml:space="preserve">California Community Choice </w:t>
      </w:r>
      <w:r w:rsidR="00044429">
        <w:t>Association</w:t>
      </w:r>
      <w:r w:rsidRPr="002F5F21" w:rsidR="00044429">
        <w:t xml:space="preserve"> (</w:t>
      </w:r>
      <w:r>
        <w:t>CalCCA</w:t>
      </w:r>
      <w:r w:rsidR="00044429">
        <w:t>)</w:t>
      </w:r>
      <w:r>
        <w:t>, San Diego Community Power</w:t>
      </w:r>
      <w:r w:rsidR="00AF3213">
        <w:t xml:space="preserve"> (SDCP)</w:t>
      </w:r>
      <w:r>
        <w:t>, and the Clean Energy Alliance</w:t>
      </w:r>
      <w:r w:rsidR="00AF3213">
        <w:t xml:space="preserve"> (CEA)</w:t>
      </w:r>
      <w:r>
        <w:t xml:space="preserve"> filed a joint motion to offer exhibits into evidence and admit evidence into the record. On January 29, 2025, </w:t>
      </w:r>
      <w:r w:rsidR="00AF3213">
        <w:t>the Alliance for Retail Energy Markets (</w:t>
      </w:r>
      <w:r>
        <w:t>AReM</w:t>
      </w:r>
      <w:r w:rsidR="00AF3213">
        <w:t>)</w:t>
      </w:r>
      <w:r>
        <w:t xml:space="preserve"> filed a motion for admission of portions of its testimony into evidence on the record of this proceeding.</w:t>
      </w:r>
    </w:p>
    <w:p w:rsidR="0029557F" w:rsidP="008B6127" w:rsidRDefault="0029557F" w14:paraId="44353726" w14:textId="29559750">
      <w:pPr>
        <w:pStyle w:val="Standard"/>
      </w:pPr>
      <w:r>
        <w:t xml:space="preserve">Opening briefs were filed on February 3, 2025, and </w:t>
      </w:r>
      <w:r w:rsidR="00D05210">
        <w:t>reply briefs were filed on February 18, 2025.</w:t>
      </w:r>
    </w:p>
    <w:p w:rsidR="00683B2C" w:rsidP="009A6FEC" w:rsidRDefault="00683B2C" w14:paraId="66F705D6" w14:textId="401E3996">
      <w:pPr>
        <w:pStyle w:val="Heading2"/>
      </w:pPr>
      <w:bookmarkStart w:name="_Toc198551392" w:id="9"/>
      <w:r>
        <w:lastRenderedPageBreak/>
        <w:t>Submission Date</w:t>
      </w:r>
      <w:bookmarkEnd w:id="9"/>
    </w:p>
    <w:p w:rsidR="00683B2C" w:rsidP="004C1D6D" w:rsidRDefault="00683B2C" w14:paraId="1CA050C1" w14:textId="365A22B5">
      <w:pPr>
        <w:pStyle w:val="Standard"/>
      </w:pPr>
      <w:r w:rsidRPr="00FF0265">
        <w:t xml:space="preserve">This matter was submitted on </w:t>
      </w:r>
      <w:r w:rsidR="004C1D6D">
        <w:t>February 18, 2025,</w:t>
      </w:r>
      <w:r w:rsidRPr="00FF0265">
        <w:t xml:space="preserve"> upon </w:t>
      </w:r>
      <w:r w:rsidR="004C1D6D">
        <w:t xml:space="preserve">the filing of </w:t>
      </w:r>
      <w:proofErr w:type="gramStart"/>
      <w:r w:rsidR="004C1D6D">
        <w:t>reply</w:t>
      </w:r>
      <w:proofErr w:type="gramEnd"/>
      <w:r w:rsidR="004C1D6D">
        <w:t xml:space="preserve"> briefs</w:t>
      </w:r>
      <w:r w:rsidRPr="00FF0265">
        <w:t>.</w:t>
      </w:r>
    </w:p>
    <w:p w:rsidR="005A148C" w:rsidP="009A6FEC" w:rsidRDefault="0063491C" w14:paraId="4D46ADDD" w14:textId="4738FB2F">
      <w:pPr>
        <w:pStyle w:val="Heading1"/>
      </w:pPr>
      <w:bookmarkStart w:name="_Toc8123718" w:id="10"/>
      <w:bookmarkStart w:name="_Toc198551393" w:id="11"/>
      <w:r w:rsidRPr="009A6FEC">
        <w:t>Jurisdiction</w:t>
      </w:r>
      <w:bookmarkEnd w:id="10"/>
      <w:bookmarkEnd w:id="11"/>
    </w:p>
    <w:p w:rsidRPr="0063491C" w:rsidR="0063491C" w:rsidP="006E6574" w:rsidRDefault="006C7981" w14:paraId="2B88E881" w14:textId="75E80678">
      <w:pPr>
        <w:pStyle w:val="Standard"/>
      </w:pPr>
      <w:r>
        <w:t xml:space="preserve">The Commission’s </w:t>
      </w:r>
      <w:r w:rsidRPr="006C7981">
        <w:t xml:space="preserve">ERRA </w:t>
      </w:r>
      <w:r>
        <w:t xml:space="preserve">process </w:t>
      </w:r>
      <w:r w:rsidRPr="006C7981">
        <w:t xml:space="preserve">was established </w:t>
      </w:r>
      <w:r w:rsidR="00CB56A7">
        <w:t>pu</w:t>
      </w:r>
      <w:r w:rsidRPr="006C7981">
        <w:t xml:space="preserve">rsuant to California </w:t>
      </w:r>
      <w:r>
        <w:t xml:space="preserve">Pub. Util. Code </w:t>
      </w:r>
      <w:r w:rsidR="00A52478">
        <w:t>§</w:t>
      </w:r>
      <w:r w:rsidRPr="006C7981">
        <w:t xml:space="preserve">454.5(d), Rules 2.1 and 3.2 of the Rules of Practice and Procedure of the California Public Utilities Commission </w:t>
      </w:r>
      <w:r>
        <w:t>and</w:t>
      </w:r>
      <w:r w:rsidRPr="006C7981">
        <w:t xml:space="preserve"> D</w:t>
      </w:r>
      <w:r>
        <w:t>.02-10-062</w:t>
      </w:r>
      <w:r w:rsidR="005939A5">
        <w:t>.</w:t>
      </w:r>
      <w:r w:rsidR="00CB56A7">
        <w:rPr>
          <w:rStyle w:val="FootnoteReference"/>
        </w:rPr>
        <w:footnoteReference w:id="14"/>
      </w:r>
      <w:r w:rsidR="006D4E6F">
        <w:t xml:space="preserve"> Pub. Util. Code </w:t>
      </w:r>
      <w:r w:rsidR="00664CAD">
        <w:t>§</w:t>
      </w:r>
      <w:r w:rsidR="00A52478">
        <w:t>366.2 require</w:t>
      </w:r>
      <w:r w:rsidR="00664CAD">
        <w:t>s</w:t>
      </w:r>
      <w:r w:rsidR="00A52478">
        <w:t xml:space="preserve"> the Commission to ensure that </w:t>
      </w:r>
      <w:r w:rsidR="00892F9B">
        <w:t>costs of contracts</w:t>
      </w:r>
      <w:r w:rsidR="00547412">
        <w:t xml:space="preserve"> the IOUs </w:t>
      </w:r>
      <w:r w:rsidR="00892F9B">
        <w:t xml:space="preserve">entered that would have served </w:t>
      </w:r>
      <w:r w:rsidR="00F75A12">
        <w:t>customers</w:t>
      </w:r>
      <w:r w:rsidR="00547412">
        <w:t xml:space="preserve"> choosing to enroll with another LSE</w:t>
      </w:r>
      <w:r w:rsidR="00753857">
        <w:t xml:space="preserve"> </w:t>
      </w:r>
      <w:r w:rsidR="00060A97">
        <w:t>are</w:t>
      </w:r>
      <w:r w:rsidR="00753857">
        <w:t xml:space="preserve"> </w:t>
      </w:r>
      <w:r w:rsidR="00060A97">
        <w:t xml:space="preserve">not shifted to </w:t>
      </w:r>
      <w:r w:rsidR="00960D2C">
        <w:t>customers that continue to receive service from the IOUs.</w:t>
      </w:r>
      <w:r w:rsidR="00A15407">
        <w:rPr>
          <w:rStyle w:val="FootnoteReference"/>
        </w:rPr>
        <w:footnoteReference w:id="15"/>
      </w:r>
    </w:p>
    <w:p w:rsidR="005A148C" w:rsidP="005939A5" w:rsidRDefault="005939A5" w14:paraId="3E4C61F3" w14:textId="77777777">
      <w:pPr>
        <w:pStyle w:val="Heading1"/>
      </w:pPr>
      <w:bookmarkStart w:name="_Toc8123719" w:id="12"/>
      <w:bookmarkStart w:name="_Toc198551394" w:id="13"/>
      <w:r>
        <w:t xml:space="preserve">Issues Before the </w:t>
      </w:r>
      <w:bookmarkEnd w:id="12"/>
      <w:r w:rsidR="008A08BF">
        <w:t>Commission</w:t>
      </w:r>
      <w:bookmarkEnd w:id="13"/>
    </w:p>
    <w:p w:rsidR="006800D2" w:rsidP="006800D2" w:rsidRDefault="009E5F41" w14:paraId="1E95E7CA" w14:textId="62DB7453">
      <w:pPr>
        <w:pStyle w:val="Standard"/>
      </w:pPr>
      <w:r>
        <w:t xml:space="preserve">The </w:t>
      </w:r>
      <w:r w:rsidR="009061DF">
        <w:t>issues scoped in this matter are:</w:t>
      </w:r>
    </w:p>
    <w:p w:rsidR="009061DF" w:rsidP="0093065C" w:rsidRDefault="009061DF" w14:paraId="63D6F32F" w14:textId="3D116215">
      <w:pPr>
        <w:pStyle w:val="ListNum"/>
        <w:ind w:right="1440"/>
      </w:pPr>
      <w:r>
        <w:t>The August 1, 2023, ruling defined fixed generation costs as “costs that do not change based on the amount of electricity customers use or the amount of operating time associated with the electricity generation.”</w:t>
      </w:r>
    </w:p>
    <w:p w:rsidR="009061DF" w:rsidP="0064056E" w:rsidRDefault="009061DF" w14:paraId="36695B06" w14:textId="1507D2D7">
      <w:pPr>
        <w:pStyle w:val="ListAlpha"/>
      </w:pPr>
      <w:r>
        <w:t>Should the Commission modify this definition? Why or why not?</w:t>
      </w:r>
    </w:p>
    <w:p w:rsidR="009061DF" w:rsidP="0064056E" w:rsidRDefault="009061DF" w14:paraId="1F530679" w14:textId="2A909958">
      <w:pPr>
        <w:pStyle w:val="ListAlpha"/>
      </w:pPr>
      <w:r>
        <w:t>Which fixed generation costs could and should be consistent across the three large IOUs that are respondents to this proceeding?</w:t>
      </w:r>
    </w:p>
    <w:p w:rsidR="009061DF" w:rsidP="0064056E" w:rsidRDefault="009061DF" w14:paraId="20F924F7" w14:textId="22760781">
      <w:pPr>
        <w:pStyle w:val="ListAlpha"/>
      </w:pPr>
      <w:r>
        <w:t>Should a methodology be adopted by which utilities shall determine fixed generation costs? If so, how should the methodology be developed.</w:t>
      </w:r>
    </w:p>
    <w:p w:rsidR="009061DF" w:rsidP="0093065C" w:rsidRDefault="009061DF" w14:paraId="2286B97C" w14:textId="482DD75C">
      <w:pPr>
        <w:pStyle w:val="ListNum"/>
        <w:ind w:right="1440"/>
      </w:pPr>
      <w:r>
        <w:t>Should the utilities be required to report shifts in different fixed cost categories as d</w:t>
      </w:r>
      <w:r w:rsidR="00E91916">
        <w:t xml:space="preserve">efined in </w:t>
      </w:r>
      <w:proofErr w:type="gramStart"/>
      <w:r w:rsidR="00E91916">
        <w:t>the August</w:t>
      </w:r>
      <w:proofErr w:type="gramEnd"/>
      <w:r w:rsidR="00E91916">
        <w:t xml:space="preserve"> 1, 2023, ALJ Ruling more frequently than they currently do?</w:t>
      </w:r>
    </w:p>
    <w:p w:rsidR="00E91916" w:rsidP="0064056E" w:rsidRDefault="00E91916" w14:paraId="56A8CB40" w14:textId="419473A1">
      <w:pPr>
        <w:pStyle w:val="ListAlpha"/>
      </w:pPr>
      <w:r>
        <w:t>If so, how frequently should a shift in cost categories be measured?</w:t>
      </w:r>
    </w:p>
    <w:p w:rsidR="00E91916" w:rsidP="0064056E" w:rsidRDefault="00E91916" w14:paraId="57C06932" w14:textId="3A65C088">
      <w:pPr>
        <w:pStyle w:val="ListAlpha"/>
      </w:pPr>
      <w:r>
        <w:t>What metrics should be used to measure a shift in cost categories?</w:t>
      </w:r>
    </w:p>
    <w:p w:rsidR="00E91916" w:rsidP="0093065C" w:rsidRDefault="00E91916" w14:paraId="1EF5C165" w14:textId="176FDFA6">
      <w:pPr>
        <w:pStyle w:val="ListNum"/>
        <w:ind w:right="1440"/>
      </w:pPr>
      <w:r>
        <w:lastRenderedPageBreak/>
        <w:t>Should the Commission adopt any other rules related to fixed costs to ensure that these costs are fairly recovered?</w:t>
      </w:r>
    </w:p>
    <w:p w:rsidR="00087EE8" w:rsidP="0093065C" w:rsidRDefault="00E91916" w14:paraId="2ABBB19F" w14:textId="77F71782">
      <w:pPr>
        <w:pStyle w:val="ListNum"/>
        <w:ind w:right="1440"/>
      </w:pPr>
      <w:r>
        <w:t xml:space="preserve">Are there potential impacts on environmental and social justice communities? Could any changed reporting requirements regarding IOUs’ fixed generation costs </w:t>
      </w:r>
      <w:proofErr w:type="gramStart"/>
      <w:r>
        <w:t>impact</w:t>
      </w:r>
      <w:proofErr w:type="gramEnd"/>
      <w:r>
        <w:t xml:space="preserve"> the achievement of any of the nine goals of the Commission’s Environmental and Social Justice Action Plan?</w:t>
      </w:r>
    </w:p>
    <w:p w:rsidR="00CF23A0" w:rsidP="0093065C" w:rsidRDefault="00CF23A0" w14:paraId="6B8836CD" w14:textId="0B6B58D4">
      <w:pPr>
        <w:pStyle w:val="Heading1"/>
      </w:pPr>
      <w:bookmarkStart w:name="_Toc198551395" w:id="14"/>
      <w:bookmarkStart w:name="_Toc8123720" w:id="15"/>
      <w:r>
        <w:t>Fixed Generation Costs Discussion and Analysis</w:t>
      </w:r>
      <w:bookmarkEnd w:id="14"/>
    </w:p>
    <w:p w:rsidR="00CF23A0" w:rsidP="00CF23A0" w:rsidRDefault="00CF23A0" w14:paraId="10A656F2" w14:textId="50DA5BC2">
      <w:pPr>
        <w:pStyle w:val="Standard"/>
      </w:pPr>
      <w:r>
        <w:t xml:space="preserve">The Commission proposed a specific definition of fixed generation costs in </w:t>
      </w:r>
      <w:proofErr w:type="gramStart"/>
      <w:r>
        <w:t>the August</w:t>
      </w:r>
      <w:proofErr w:type="gramEnd"/>
      <w:r>
        <w:t xml:space="preserve"> 1, 2023, ALJ Ruling</w:t>
      </w:r>
      <w:r w:rsidR="00844DD6">
        <w:t>s</w:t>
      </w:r>
      <w:r>
        <w:t xml:space="preserve">, and </w:t>
      </w:r>
      <w:proofErr w:type="gramStart"/>
      <w:r>
        <w:t>the October</w:t>
      </w:r>
      <w:proofErr w:type="gramEnd"/>
      <w:r>
        <w:t xml:space="preserve"> 1</w:t>
      </w:r>
      <w:r w:rsidR="003B4D50">
        <w:t>1</w:t>
      </w:r>
      <w:r>
        <w:t>, 2024, Amended Scoping Memo:</w:t>
      </w:r>
    </w:p>
    <w:p w:rsidR="00CF23A0" w:rsidP="0064056E" w:rsidRDefault="00CF23A0" w14:paraId="586246FF" w14:textId="77777777">
      <w:pPr>
        <w:pStyle w:val="BlockQuote"/>
      </w:pPr>
      <w:r>
        <w:t>C</w:t>
      </w:r>
      <w:r w:rsidRPr="008D4101">
        <w:t>osts that do not change based on the amount of electricity customers use or the amount of operating time associated with the electricity generation</w:t>
      </w:r>
      <w:r>
        <w:t>.</w:t>
      </w:r>
    </w:p>
    <w:p w:rsidR="00CF23A0" w:rsidP="00CF23A0" w:rsidRDefault="00CF23A0" w14:paraId="4D4A909C" w14:textId="77777777">
      <w:pPr>
        <w:pStyle w:val="Standard"/>
      </w:pPr>
      <w:r>
        <w:t xml:space="preserve">Parties’ responses to </w:t>
      </w:r>
      <w:proofErr w:type="gramStart"/>
      <w:r>
        <w:t>the August</w:t>
      </w:r>
      <w:proofErr w:type="gramEnd"/>
      <w:r>
        <w:t xml:space="preserve"> 1, 2023, Ruling, PHC statements, testimony, and briefs, suggest the definition of fixed generation costs proposed in </w:t>
      </w:r>
      <w:proofErr w:type="gramStart"/>
      <w:r>
        <w:t>the October</w:t>
      </w:r>
      <w:proofErr w:type="gramEnd"/>
      <w:r>
        <w:t xml:space="preserve"> 11, 2024, Amended Scoping Memo and Ruling is appropriate and should be adopted.</w:t>
      </w:r>
      <w:r>
        <w:rPr>
          <w:rStyle w:val="FootnoteReference"/>
        </w:rPr>
        <w:footnoteReference w:id="16"/>
      </w:r>
      <w:r>
        <w:t xml:space="preserve"> </w:t>
      </w:r>
    </w:p>
    <w:p w:rsidRPr="00CF23A0" w:rsidR="00CF23A0" w:rsidP="0093065C" w:rsidRDefault="00CF23A0" w14:paraId="2F19ED03" w14:textId="5B381E56">
      <w:pPr>
        <w:pStyle w:val="Standard"/>
      </w:pPr>
      <w:r>
        <w:t>As discussed below, parties agree there is no</w:t>
      </w:r>
      <w:r w:rsidRPr="00CA15BB">
        <w:t xml:space="preserve"> need for incremental record development</w:t>
      </w:r>
      <w:r>
        <w:t xml:space="preserve"> or additional reporting requirements. While parties are at odds about whether the Commission should adopt a more</w:t>
      </w:r>
      <w:r w:rsidRPr="00CA15BB">
        <w:t xml:space="preserve"> consistent approach across the utilities</w:t>
      </w:r>
      <w:r>
        <w:t xml:space="preserve"> related to costs other than what was proposed in the Commission’s proposed definition of Fixed Generation Costs, parties have concurred that those issues may be better addressed in one or more future proceedings</w:t>
      </w:r>
      <w:r w:rsidRPr="00CA15BB">
        <w:t>.</w:t>
      </w:r>
      <w:r w:rsidR="00CD3A36">
        <w:rPr>
          <w:rStyle w:val="FootnoteReference"/>
        </w:rPr>
        <w:footnoteReference w:id="17"/>
      </w:r>
    </w:p>
    <w:p w:rsidR="00EC5CAD" w:rsidP="0093065C" w:rsidRDefault="00196F0D" w14:paraId="5ECA3B17" w14:textId="1304C146">
      <w:pPr>
        <w:pStyle w:val="Heading2"/>
      </w:pPr>
      <w:bookmarkStart w:name="_Toc198551396" w:id="16"/>
      <w:r>
        <w:lastRenderedPageBreak/>
        <w:t xml:space="preserve">Party Testimony </w:t>
      </w:r>
      <w:r w:rsidR="00060BEA">
        <w:t>R</w:t>
      </w:r>
      <w:r>
        <w:t>elated to</w:t>
      </w:r>
      <w:r w:rsidR="000E517E">
        <w:t xml:space="preserve"> the Scope of the Instant Proceeding</w:t>
      </w:r>
      <w:bookmarkEnd w:id="16"/>
    </w:p>
    <w:p w:rsidRPr="000E517E" w:rsidR="000E517E" w:rsidP="0093065C" w:rsidRDefault="003958BE" w14:paraId="3796E4DF" w14:textId="0E94E61E">
      <w:pPr>
        <w:pStyle w:val="Heading3"/>
      </w:pPr>
      <w:bookmarkStart w:name="_Toc198551397" w:id="17"/>
      <w:r>
        <w:t>PG&amp;E</w:t>
      </w:r>
      <w:bookmarkEnd w:id="17"/>
    </w:p>
    <w:p w:rsidRPr="000E517E" w:rsidR="000E517E" w:rsidP="000E517E" w:rsidRDefault="000E517E" w14:paraId="0399F041" w14:textId="0BA273C8">
      <w:pPr>
        <w:pStyle w:val="Standard"/>
      </w:pPr>
      <w:r w:rsidRPr="000E517E">
        <w:t xml:space="preserve">PG&amp;E </w:t>
      </w:r>
      <w:r w:rsidR="00F43788">
        <w:t>argue</w:t>
      </w:r>
      <w:r w:rsidR="00722075">
        <w:t>s</w:t>
      </w:r>
      <w:r w:rsidRPr="000E517E">
        <w:t xml:space="preserve"> the </w:t>
      </w:r>
      <w:r w:rsidR="00E253C1">
        <w:t>Commission should not adopt a consolidated definition</w:t>
      </w:r>
      <w:r w:rsidRPr="000E517E" w:rsidR="00E253C1">
        <w:t xml:space="preserve"> </w:t>
      </w:r>
      <w:r w:rsidRPr="000E517E">
        <w:t xml:space="preserve">of </w:t>
      </w:r>
      <w:r w:rsidR="00F43788">
        <w:t>fixed generation costs</w:t>
      </w:r>
      <w:r w:rsidRPr="000E517E">
        <w:t xml:space="preserve"> </w:t>
      </w:r>
      <w:r w:rsidR="00E253C1">
        <w:t>for the large electric utilities</w:t>
      </w:r>
      <w:r w:rsidRPr="000E517E">
        <w:t xml:space="preserve"> at this time.</w:t>
      </w:r>
      <w:r w:rsidR="00F43788">
        <w:rPr>
          <w:rStyle w:val="FootnoteReference"/>
        </w:rPr>
        <w:footnoteReference w:id="18"/>
      </w:r>
      <w:r w:rsidRPr="000E517E">
        <w:t xml:space="preserve"> </w:t>
      </w:r>
      <w:r w:rsidR="003958BE">
        <w:t>PG&amp;E state</w:t>
      </w:r>
      <w:r w:rsidR="00722075">
        <w:t>s</w:t>
      </w:r>
      <w:r w:rsidRPr="000E517E">
        <w:t xml:space="preserve"> its energy supply administration (ESA) common costs should be recovered through its legacy utility-owned generation vintaged </w:t>
      </w:r>
      <w:r w:rsidR="005B7146">
        <w:t xml:space="preserve">PCIA subaccount, traced within its Portfolio Allocation Balancing Account (PABA), based on forecasted customer sales </w:t>
      </w:r>
      <w:r w:rsidR="007D35D4">
        <w:t>rather</w:t>
      </w:r>
      <w:r w:rsidR="005B7146">
        <w:t xml:space="preserve"> than the </w:t>
      </w:r>
      <w:r w:rsidR="007D35D4">
        <w:t xml:space="preserve">current net revenue requirement </w:t>
      </w:r>
      <w:r w:rsidR="00417407">
        <w:t>basis. PG&amp;E also state</w:t>
      </w:r>
      <w:r w:rsidR="003D08CE">
        <w:t>s</w:t>
      </w:r>
      <w:r w:rsidR="00417407">
        <w:t xml:space="preserve"> that its activities in the California Independent System Operator (CAISO) market do not change if its owned generation resources are above or below market rates, so allocating costs based on the revenue requirement of the generation resource(s) is inappropriate.</w:t>
      </w:r>
      <w:r w:rsidR="00CA4132">
        <w:rPr>
          <w:rStyle w:val="FootnoteReference"/>
        </w:rPr>
        <w:footnoteReference w:id="19"/>
      </w:r>
    </w:p>
    <w:p w:rsidR="00EC5CAD" w:rsidP="005E11A1" w:rsidRDefault="005E11A1" w14:paraId="50A26684" w14:textId="4F1DF838">
      <w:pPr>
        <w:pStyle w:val="Standard"/>
      </w:pPr>
      <w:r>
        <w:t>Lastly, PG&amp;E request</w:t>
      </w:r>
      <w:r w:rsidR="00AA28C6">
        <w:t>s</w:t>
      </w:r>
      <w:r>
        <w:t xml:space="preserve"> the Commission clarify how PG&amp;E can treat Resource Adequacy capacity that is</w:t>
      </w:r>
      <w:r w:rsidR="00A21130">
        <w:t xml:space="preserve"> not able to provide power because </w:t>
      </w:r>
      <w:r w:rsidR="001E3215">
        <w:t>it is not operating</w:t>
      </w:r>
      <w:r w:rsidR="00681F8A">
        <w:t xml:space="preserve"> for some </w:t>
      </w:r>
      <w:proofErr w:type="gramStart"/>
      <w:r w:rsidR="00681F8A">
        <w:t>period of time</w:t>
      </w:r>
      <w:proofErr w:type="gramEnd"/>
      <w:r w:rsidR="00681F8A">
        <w:t>.</w:t>
      </w:r>
      <w:r w:rsidR="00DE420A">
        <w:t xml:space="preserve"> PG&amp;E </w:t>
      </w:r>
      <w:r w:rsidR="00961E95">
        <w:t xml:space="preserve">asks the Commission to provide guidance </w:t>
      </w:r>
      <w:r w:rsidR="00281DFC">
        <w:t>on this issue so it can</w:t>
      </w:r>
      <w:r>
        <w:t xml:space="preserve"> ensure that bundled </w:t>
      </w:r>
      <w:r w:rsidR="0042607E">
        <w:t>service customers</w:t>
      </w:r>
      <w:r>
        <w:t xml:space="preserve"> do not disproportionately bear the burden of costs for its PCIA-eligible portfolio</w:t>
      </w:r>
      <w:r w:rsidR="0042607E">
        <w:t>.</w:t>
      </w:r>
      <w:r w:rsidR="00CA4132">
        <w:rPr>
          <w:rStyle w:val="FootnoteReference"/>
        </w:rPr>
        <w:footnoteReference w:id="20"/>
      </w:r>
    </w:p>
    <w:p w:rsidR="0085114F" w:rsidP="005E11A1" w:rsidRDefault="0085114F" w14:paraId="19678345" w14:textId="497B8010">
      <w:pPr>
        <w:pStyle w:val="Standard"/>
      </w:pPr>
      <w:r>
        <w:t>PG&amp;E</w:t>
      </w:r>
      <w:r w:rsidR="00D42F56">
        <w:t xml:space="preserve">’s Opening Brief </w:t>
      </w:r>
      <w:r w:rsidR="00AA28C6">
        <w:t>states that,</w:t>
      </w:r>
      <w:r w:rsidR="00D42F56">
        <w:t xml:space="preserve"> while it raised concerns about specific bundled service customer cost shifts in its service territory</w:t>
      </w:r>
      <w:r w:rsidR="0016156C">
        <w:t xml:space="preserve"> in its PHC statement, the Commission declined to address these types of IOU-specific matters given </w:t>
      </w:r>
      <w:r w:rsidR="0016156C">
        <w:lastRenderedPageBreak/>
        <w:t>the differences across PG&amp;E, SCE, and SDG&amp;E.</w:t>
      </w:r>
      <w:r w:rsidR="00C565EA">
        <w:rPr>
          <w:rStyle w:val="FootnoteReference"/>
        </w:rPr>
        <w:footnoteReference w:id="21"/>
      </w:r>
      <w:r w:rsidR="00AD1818">
        <w:t xml:space="preserve"> </w:t>
      </w:r>
      <w:r w:rsidR="006E5421">
        <w:t>PG&amp;E notes that the scope of this consolidated proceeding is limited and</w:t>
      </w:r>
      <w:r w:rsidR="00A42332">
        <w:t xml:space="preserve"> states that</w:t>
      </w:r>
      <w:r w:rsidR="006E5421">
        <w:t xml:space="preserve"> the</w:t>
      </w:r>
      <w:r w:rsidR="00A42332">
        <w:t xml:space="preserve"> “2024 ERRA Track 2 record supports the continuance of existing cost recovery mechanisms for the purpose of fixed generation cost allocation, cost recovery, and reporting requirements.”</w:t>
      </w:r>
      <w:r w:rsidR="00A42332">
        <w:rPr>
          <w:rStyle w:val="FootnoteReference"/>
        </w:rPr>
        <w:footnoteReference w:id="22"/>
      </w:r>
    </w:p>
    <w:p w:rsidRPr="00EC5CAD" w:rsidR="00DD2CDE" w:rsidP="005E11A1" w:rsidRDefault="00DD2CDE" w14:paraId="35724B5B" w14:textId="33C45EC5">
      <w:pPr>
        <w:pStyle w:val="Standard"/>
      </w:pPr>
      <w:r>
        <w:t xml:space="preserve">PG&amp;E also </w:t>
      </w:r>
      <w:r w:rsidR="00040DC6">
        <w:t xml:space="preserve">argues that the record does not support any need for the Commission to reexamine </w:t>
      </w:r>
      <w:r w:rsidR="007E131B">
        <w:t xml:space="preserve">issues related to ESA cost </w:t>
      </w:r>
      <w:r w:rsidR="00531EF0">
        <w:t>allocation</w:t>
      </w:r>
      <w:r w:rsidR="007E131B">
        <w:t xml:space="preserve"> </w:t>
      </w:r>
      <w:r w:rsidR="00123912">
        <w:t>practices</w:t>
      </w:r>
      <w:r w:rsidR="00BC53DC">
        <w:t>.</w:t>
      </w:r>
      <w:r w:rsidR="00BC53DC">
        <w:rPr>
          <w:rStyle w:val="FootnoteReference"/>
        </w:rPr>
        <w:footnoteReference w:id="23"/>
      </w:r>
      <w:r w:rsidR="00EB2306">
        <w:t xml:space="preserve"> PG&amp;E noted that </w:t>
      </w:r>
      <w:r w:rsidR="00400798">
        <w:t xml:space="preserve">the Commission adopted findings in D.24-12-038 that the cost shift identified </w:t>
      </w:r>
      <w:r w:rsidR="00972DB6">
        <w:t xml:space="preserve">with PG&amp;E’s methodology used to allocate common costs would be remedied in the </w:t>
      </w:r>
      <w:r w:rsidR="00311D48">
        <w:t>revised proposal that aligns PG&amp;E’s methodolo</w:t>
      </w:r>
      <w:r w:rsidR="0037686D">
        <w:t>gy with SCE’s common cost allocation methodology.</w:t>
      </w:r>
      <w:r w:rsidR="0037686D">
        <w:rPr>
          <w:rStyle w:val="FootnoteReference"/>
        </w:rPr>
        <w:footnoteReference w:id="24"/>
      </w:r>
    </w:p>
    <w:p w:rsidR="002B0F26" w:rsidP="0093065C" w:rsidRDefault="006C4D75" w14:paraId="34C1DA4B" w14:textId="7375749A">
      <w:pPr>
        <w:pStyle w:val="Heading3"/>
      </w:pPr>
      <w:bookmarkStart w:name="_Toc198551398" w:id="18"/>
      <w:r>
        <w:t>SDG&amp;E</w:t>
      </w:r>
      <w:bookmarkEnd w:id="18"/>
    </w:p>
    <w:p w:rsidR="00514D32" w:rsidP="00A6266B" w:rsidRDefault="00A6266B" w14:paraId="4E158E34" w14:textId="3D06D09B">
      <w:pPr>
        <w:pStyle w:val="Standard"/>
      </w:pPr>
      <w:r w:rsidRPr="00A6266B">
        <w:t>On January 5, 2024, SDG&amp;E filed a PHC statement suggesting the Commission consider changes to how it accounts for its Competitive Transmission Charge (CTC) costs in track two of this proceeding. It proposed consideration of recording the difference between actual revenues against actual costs associated with CTC, rather than the existing practice that uses a market benchmark proxy.</w:t>
      </w:r>
      <w:r w:rsidR="0073013D">
        <w:rPr>
          <w:rStyle w:val="FootnoteReference"/>
        </w:rPr>
        <w:footnoteReference w:id="25"/>
      </w:r>
      <w:r w:rsidRPr="00A6266B">
        <w:t xml:space="preserve"> </w:t>
      </w:r>
    </w:p>
    <w:p w:rsidR="00A6266B" w:rsidP="00A6266B" w:rsidRDefault="00A6266B" w14:paraId="4535C667" w14:textId="75F5F738">
      <w:pPr>
        <w:pStyle w:val="Standard"/>
      </w:pPr>
      <w:r w:rsidRPr="00A6266B">
        <w:t xml:space="preserve">Separately, SDG&amp;E suggested that the current process of using a market benchmark proxy to determine how </w:t>
      </w:r>
      <w:proofErr w:type="gramStart"/>
      <w:r w:rsidRPr="00A6266B">
        <w:t>above</w:t>
      </w:r>
      <w:proofErr w:type="gramEnd"/>
      <w:r w:rsidRPr="00A6266B">
        <w:t xml:space="preserve">-market costs are to be recovered in its </w:t>
      </w:r>
      <w:r w:rsidRPr="00A6266B">
        <w:lastRenderedPageBreak/>
        <w:t>Transition Cost Balancing Account (TCBA) is not accurate because it could shift costs between bundled and unbundled customers if its CAISO revenues are less tha</w:t>
      </w:r>
      <w:r w:rsidR="00044429">
        <w:t>n</w:t>
      </w:r>
      <w:r w:rsidRPr="00A6266B">
        <w:t xml:space="preserve"> the forecasted costs. No other party raised similar concerns about SDG&amp;E’s CTC or TCBA costs in their January 5, 2024, PHC statements.</w:t>
      </w:r>
    </w:p>
    <w:p w:rsidR="00AD70D6" w:rsidP="00A6266B" w:rsidRDefault="002F40AA" w14:paraId="2D7869F4" w14:textId="091A17CD">
      <w:pPr>
        <w:pStyle w:val="Standard"/>
      </w:pPr>
      <w:r>
        <w:t>SDG&amp;E stated that it believes the definition provided in the August 1, 2023, ALJ Ruling, should not be modified, and that no additional methodology for determination</w:t>
      </w:r>
      <w:r w:rsidR="00CA3050">
        <w:t xml:space="preserve"> of costs is necessary for the Commission’s definition of fixed generation costs.</w:t>
      </w:r>
      <w:r w:rsidR="00CA3050">
        <w:rPr>
          <w:rStyle w:val="FootnoteReference"/>
        </w:rPr>
        <w:footnoteReference w:id="26"/>
      </w:r>
      <w:r w:rsidR="00B70B6D">
        <w:t xml:space="preserve"> SDG&amp;E also argued that </w:t>
      </w:r>
      <w:r w:rsidR="00665E31">
        <w:t>“all parties to the proceeding agree that utilities should not be required to report shifts in different fixed cost categories more frequently than they currently do</w:t>
      </w:r>
      <w:r w:rsidR="00CC4F0F">
        <w:t xml:space="preserve">,” and that </w:t>
      </w:r>
      <w:r w:rsidR="00797D92">
        <w:t>“no party has raised any issues with respect to potential impacts on environmental and social justice communities in connection with this proceeding.”</w:t>
      </w:r>
      <w:r w:rsidR="00665E31">
        <w:rPr>
          <w:rStyle w:val="FootnoteReference"/>
        </w:rPr>
        <w:footnoteReference w:id="27"/>
      </w:r>
    </w:p>
    <w:p w:rsidR="00CB03A6" w:rsidP="0093065C" w:rsidRDefault="006674CD" w14:paraId="51EA999E" w14:textId="7C70C90A">
      <w:pPr>
        <w:pStyle w:val="Heading3"/>
      </w:pPr>
      <w:bookmarkStart w:name="_Toc198551399" w:id="19"/>
      <w:r>
        <w:t>SCE</w:t>
      </w:r>
      <w:bookmarkEnd w:id="19"/>
    </w:p>
    <w:p w:rsidR="006674CD" w:rsidP="006674CD" w:rsidRDefault="006674CD" w14:paraId="0837C0BB" w14:textId="2EEE282D">
      <w:pPr>
        <w:pStyle w:val="Standard"/>
      </w:pPr>
      <w:r>
        <w:t xml:space="preserve">SCE </w:t>
      </w:r>
      <w:r w:rsidR="00DE5D4A">
        <w:t>has consistently argued</w:t>
      </w:r>
      <w:r>
        <w:t xml:space="preserve"> that the outstanding issues raised </w:t>
      </w:r>
      <w:proofErr w:type="gramStart"/>
      <w:r>
        <w:t>in</w:t>
      </w:r>
      <w:proofErr w:type="gramEnd"/>
      <w:r>
        <w:t xml:space="preserve"> </w:t>
      </w:r>
      <w:proofErr w:type="gramStart"/>
      <w:r w:rsidR="00B97FA0">
        <w:t xml:space="preserve">the </w:t>
      </w:r>
      <w:r>
        <w:t>August</w:t>
      </w:r>
      <w:proofErr w:type="gramEnd"/>
      <w:r>
        <w:t xml:space="preserve"> 1, 2023, ALJ ruling are not relevant across utilities, and that SCE’s fixed generation costs are already clearly tracked in its ERRA filings.</w:t>
      </w:r>
    </w:p>
    <w:p w:rsidR="00DE5D4A" w:rsidP="006674CD" w:rsidRDefault="00DE5D4A" w14:paraId="36646EF7" w14:textId="5CF0E96B">
      <w:pPr>
        <w:pStyle w:val="Standard"/>
      </w:pPr>
      <w:r>
        <w:t>S</w:t>
      </w:r>
      <w:r w:rsidRPr="00DE5D4A">
        <w:t>CE</w:t>
      </w:r>
      <w:r>
        <w:t xml:space="preserve"> directly</w:t>
      </w:r>
      <w:r w:rsidRPr="00DE5D4A">
        <w:t xml:space="preserve"> objected to </w:t>
      </w:r>
      <w:r w:rsidR="00222AAC">
        <w:t>adopting a</w:t>
      </w:r>
      <w:r w:rsidR="0041294B">
        <w:t xml:space="preserve"> standard</w:t>
      </w:r>
      <w:r w:rsidR="00222AAC">
        <w:t xml:space="preserve"> </w:t>
      </w:r>
      <w:r w:rsidR="0030667E">
        <w:t>d</w:t>
      </w:r>
      <w:r w:rsidRPr="00DE5D4A">
        <w:t xml:space="preserve">efinition of Fixed Generation Costs </w:t>
      </w:r>
      <w:r w:rsidR="0030667E">
        <w:t>at this time. SCE argued that</w:t>
      </w:r>
      <w:r w:rsidRPr="00DE5D4A">
        <w:t xml:space="preserve"> after the withdrawal of AReM’s testimony on ESA costs, no party in this proceeding is proposing a change in accounting treatment </w:t>
      </w:r>
      <w:r w:rsidRPr="00DE5D4A" w:rsidR="0041294B">
        <w:t>based on</w:t>
      </w:r>
      <w:r w:rsidRPr="00DE5D4A">
        <w:t xml:space="preserve"> the definition</w:t>
      </w:r>
      <w:r w:rsidR="0041294B">
        <w:t>,</w:t>
      </w:r>
      <w:r w:rsidRPr="00DE5D4A">
        <w:t xml:space="preserve"> and there is neither a pending controversy nor any foreseeable application prompting the need for a definition of Fixed Generation Costs.</w:t>
      </w:r>
      <w:r>
        <w:rPr>
          <w:rStyle w:val="FootnoteReference"/>
        </w:rPr>
        <w:footnoteReference w:id="28"/>
      </w:r>
    </w:p>
    <w:p w:rsidR="00B13746" w:rsidP="006674CD" w:rsidRDefault="00B13746" w14:paraId="7B7F9178" w14:textId="2EDA9038">
      <w:pPr>
        <w:pStyle w:val="Standard"/>
      </w:pPr>
      <w:r>
        <w:lastRenderedPageBreak/>
        <w:t xml:space="preserve">SCE agreed that </w:t>
      </w:r>
      <w:r w:rsidR="002837C1">
        <w:t xml:space="preserve">the Commission need not require </w:t>
      </w:r>
      <w:proofErr w:type="gramStart"/>
      <w:r w:rsidR="002837C1">
        <w:t>additional,</w:t>
      </w:r>
      <w:proofErr w:type="gramEnd"/>
      <w:r w:rsidR="002837C1">
        <w:t xml:space="preserve"> new reporting related to fixed generation </w:t>
      </w:r>
      <w:proofErr w:type="gramStart"/>
      <w:r w:rsidR="002837C1">
        <w:t>costs, and</w:t>
      </w:r>
      <w:proofErr w:type="gramEnd"/>
      <w:r w:rsidR="002837C1">
        <w:t xml:space="preserve"> stated that no party has raised any potential impacts of this proceeding on environmental or social justice communities.</w:t>
      </w:r>
      <w:r w:rsidR="002837C1">
        <w:rPr>
          <w:rStyle w:val="FootnoteReference"/>
        </w:rPr>
        <w:footnoteReference w:id="29"/>
      </w:r>
    </w:p>
    <w:p w:rsidR="009F3892" w:rsidP="0093065C" w:rsidRDefault="009F3892" w14:paraId="432CB5D7" w14:textId="167A12C1">
      <w:pPr>
        <w:pStyle w:val="Heading3"/>
      </w:pPr>
      <w:bookmarkStart w:name="_Toc198551400" w:id="20"/>
      <w:r>
        <w:t>Community Choice Aggregator and Direct Access Advocates</w:t>
      </w:r>
      <w:bookmarkEnd w:id="20"/>
    </w:p>
    <w:p w:rsidR="00F8050C" w:rsidP="00D22BAA" w:rsidRDefault="002F5F21" w14:paraId="0F46CD60" w14:textId="32D41F6A">
      <w:pPr>
        <w:pStyle w:val="Standard"/>
      </w:pPr>
      <w:r w:rsidRPr="002F5F21">
        <w:t>CalCCA, SDCP, and CEA (together, the CCA Parties) requested the second track of the three ERRA forecast proceedings be consolidated for the sole purpose of developing a consistent definition of fixed generation costs.</w:t>
      </w:r>
      <w:r>
        <w:rPr>
          <w:rStyle w:val="FootnoteReference"/>
        </w:rPr>
        <w:footnoteReference w:id="30"/>
      </w:r>
      <w:r w:rsidRPr="002F5F21">
        <w:t xml:space="preserve"> The CCA Parties also recommended the Commission should address the issues raised in SCE’s petition for modification of D.23-06-006, which focuses on the valuation of </w:t>
      </w:r>
      <w:r w:rsidR="00123CA7">
        <w:t xml:space="preserve">the large </w:t>
      </w:r>
      <w:r w:rsidR="00CC1AA0">
        <w:t>electric utilities</w:t>
      </w:r>
      <w:r w:rsidRPr="002F5F21">
        <w:t xml:space="preserve"> banked renewable energy certificates. </w:t>
      </w:r>
      <w:r w:rsidR="006A46EC">
        <w:t>The CCA Parties acknowledge that the “last bundled customer” scenario that was the basis of the immediate discussion about addressing how to account for fixed generation costs is “extreme and highly unprobeable.”</w:t>
      </w:r>
      <w:r w:rsidR="006A46EC">
        <w:rPr>
          <w:rStyle w:val="FootnoteReference"/>
        </w:rPr>
        <w:footnoteReference w:id="31"/>
      </w:r>
      <w:r w:rsidR="006A46EC">
        <w:t xml:space="preserve"> </w:t>
      </w:r>
      <w:r w:rsidRPr="002F5F21">
        <w:t xml:space="preserve">The Direct Access Customer Coalition (DACC) </w:t>
      </w:r>
      <w:r w:rsidR="00F8050C">
        <w:t>separately</w:t>
      </w:r>
      <w:r w:rsidRPr="002F5F21">
        <w:t xml:space="preserve"> requested that the proceedings be consolidated and asked whether or how the f</w:t>
      </w:r>
      <w:r w:rsidR="00EA2069">
        <w:t>ixed generation costs should be recovered from all customers.</w:t>
      </w:r>
      <w:r w:rsidR="00EA2069">
        <w:rPr>
          <w:rStyle w:val="FootnoteReference"/>
        </w:rPr>
        <w:footnoteReference w:id="32"/>
      </w:r>
    </w:p>
    <w:p w:rsidR="00794427" w:rsidP="004C24F6" w:rsidRDefault="00794427" w14:paraId="463F304B" w14:textId="1DF8BF01">
      <w:pPr>
        <w:pStyle w:val="Heading3"/>
      </w:pPr>
      <w:r>
        <w:t xml:space="preserve">Discussion Regarding </w:t>
      </w:r>
      <w:r w:rsidR="004C24F6">
        <w:t>Items Out of Scope</w:t>
      </w:r>
    </w:p>
    <w:p w:rsidR="00F30E08" w:rsidP="00E572A3" w:rsidRDefault="00B5336A" w14:paraId="1C72CF65" w14:textId="3B5D784B">
      <w:pPr>
        <w:pStyle w:val="Standard"/>
      </w:pPr>
      <w:proofErr w:type="gramStart"/>
      <w:r>
        <w:t xml:space="preserve">The </w:t>
      </w:r>
      <w:r w:rsidR="002138FF">
        <w:t>October</w:t>
      </w:r>
      <w:proofErr w:type="gramEnd"/>
      <w:r w:rsidR="002138FF">
        <w:t xml:space="preserve"> 11, 2024, </w:t>
      </w:r>
      <w:r>
        <w:t>Amended Scoping Memo</w:t>
      </w:r>
      <w:r w:rsidR="002138FF">
        <w:t xml:space="preserve"> </w:t>
      </w:r>
      <w:r w:rsidR="007A76BA">
        <w:t xml:space="preserve">directly declined to address issues related to re-vintaging of utility-owned generation resources, </w:t>
      </w:r>
      <w:r w:rsidR="007A76BA">
        <w:lastRenderedPageBreak/>
        <w:t>including, but not limited energy supply procurement contracts and/or resource adequacy contracts, or issues related to the valuation of banked renewable energy credits in this consolidated Track 2 ERRA Forecast proceeding.</w:t>
      </w:r>
      <w:r w:rsidR="00844DD6">
        <w:t xml:space="preserve"> The Commissioner found that those specific items would be better addressed in separate proceedings because they are not related to the issues raised in the August 1, 2023, ALJ Rulings.</w:t>
      </w:r>
      <w:r w:rsidR="000333D2">
        <w:rPr>
          <w:rStyle w:val="FootnoteReference"/>
        </w:rPr>
        <w:footnoteReference w:id="33"/>
      </w:r>
      <w:r w:rsidR="00C3345C">
        <w:t xml:space="preserve"> </w:t>
      </w:r>
      <w:r w:rsidR="00425C4E">
        <w:t>W</w:t>
      </w:r>
      <w:r w:rsidRPr="00CA15BB" w:rsidR="00425C4E">
        <w:t>e</w:t>
      </w:r>
      <w:r w:rsidR="00425C4E">
        <w:t xml:space="preserve"> therefore</w:t>
      </w:r>
      <w:r w:rsidRPr="00CA15BB" w:rsidR="00425C4E">
        <w:t xml:space="preserve"> decline to consider issues related to re-vintaging of utility-owned generation resources, including but not limited to energy supply procurement contracts and/or resource adequacy contracts, or issues related to the valuation of banked renewable energy credits in this consolidated Track 2 </w:t>
      </w:r>
      <w:r w:rsidR="00425C4E">
        <w:t xml:space="preserve">2024 </w:t>
      </w:r>
      <w:r w:rsidRPr="00CA15BB" w:rsidR="00425C4E">
        <w:t xml:space="preserve">ERRA Forecast proceeding. </w:t>
      </w:r>
      <w:r w:rsidR="00425C4E">
        <w:t>As noted by PG&amp;E and SDG&amp;E, issues related to their ESA cost allocation were addressed in separate proceedings.</w:t>
      </w:r>
      <w:r w:rsidR="00425C4E">
        <w:rPr>
          <w:rStyle w:val="FootnoteReference"/>
        </w:rPr>
        <w:footnoteReference w:id="34"/>
      </w:r>
      <w:r w:rsidR="00425C4E">
        <w:t xml:space="preserve"> PG&amp;E’s PHC Statement sought Commission review of proposed changes to its common cost allocation methodology and </w:t>
      </w:r>
      <w:r w:rsidR="00E52552">
        <w:t xml:space="preserve">the treatment of resource adequacy capacity </w:t>
      </w:r>
      <w:r w:rsidR="00F230C5">
        <w:t>during an outage of those resource adequacy resources</w:t>
      </w:r>
      <w:r w:rsidR="00425C4E">
        <w:t>.</w:t>
      </w:r>
      <w:r w:rsidR="00425C4E">
        <w:rPr>
          <w:rStyle w:val="FootnoteReference"/>
        </w:rPr>
        <w:footnoteReference w:id="35"/>
      </w:r>
      <w:r w:rsidR="00425C4E">
        <w:t xml:space="preserve"> We find that these suggested changes are directly related to the PCIA and would be better addressed in a separate proceeding.</w:t>
      </w:r>
      <w:r w:rsidR="00D72501">
        <w:t xml:space="preserve"> </w:t>
      </w:r>
    </w:p>
    <w:p w:rsidR="00E90D61" w:rsidP="00E572A3" w:rsidRDefault="00E90D61" w14:paraId="013B6836" w14:textId="60B3F0B1">
      <w:pPr>
        <w:pStyle w:val="Heading2"/>
      </w:pPr>
      <w:bookmarkStart w:name="_Toc198551402" w:id="21"/>
      <w:r>
        <w:t>Frequency of IOU Reporting</w:t>
      </w:r>
      <w:bookmarkEnd w:id="21"/>
    </w:p>
    <w:p w:rsidR="00E30FF7" w:rsidP="00E90D61" w:rsidRDefault="0025263A" w14:paraId="7891864F" w14:textId="038ADC8B">
      <w:pPr>
        <w:pStyle w:val="Standard"/>
      </w:pPr>
      <w:r>
        <w:t>P</w:t>
      </w:r>
      <w:r w:rsidR="00F30E08">
        <w:t>arties to this proceeding agree that it is not necessary for the IOUs to report shifts in different fixed cost categories more frequently than they are currently required.</w:t>
      </w:r>
      <w:r w:rsidR="00F30E08">
        <w:rPr>
          <w:rStyle w:val="FootnoteReference"/>
        </w:rPr>
        <w:footnoteReference w:id="36"/>
      </w:r>
      <w:r>
        <w:t xml:space="preserve"> As PG&amp;E states clearly</w:t>
      </w:r>
      <w:r w:rsidR="00E30FF7">
        <w:t>:</w:t>
      </w:r>
    </w:p>
    <w:p w:rsidR="00E30FF7" w:rsidP="0064056E" w:rsidRDefault="0025263A" w14:paraId="1D4B8C06" w14:textId="40CAC2BC">
      <w:pPr>
        <w:pStyle w:val="BlockQuote"/>
      </w:pPr>
      <w:r w:rsidRPr="0025263A">
        <w:lastRenderedPageBreak/>
        <w:t xml:space="preserve">There are several existing reporting requirements for the IOU’s generation-related </w:t>
      </w:r>
      <w:r w:rsidRPr="0064056E">
        <w:t>portfolio</w:t>
      </w:r>
      <w:r w:rsidRPr="0025263A">
        <w:t xml:space="preserve"> costs, which include fixed generation costs. Specifically, the IOUs all submit ERRA and </w:t>
      </w:r>
      <w:r w:rsidR="00E30FF7">
        <w:t>[</w:t>
      </w:r>
      <w:r w:rsidRPr="00E30FF7" w:rsidR="00E30FF7">
        <w:t>Portfolio Allocation Balancing Account</w:t>
      </w:r>
      <w:r w:rsidR="00E30FF7">
        <w:t>] (</w:t>
      </w:r>
      <w:r w:rsidRPr="0025263A">
        <w:t>PABA</w:t>
      </w:r>
      <w:r w:rsidR="00E30FF7">
        <w:t>)</w:t>
      </w:r>
      <w:r w:rsidRPr="0025263A">
        <w:t xml:space="preserve"> balancing account reports to the Commission monthly; </w:t>
      </w:r>
      <w:proofErr w:type="gramStart"/>
      <w:r w:rsidRPr="0025263A">
        <w:t>and also</w:t>
      </w:r>
      <w:proofErr w:type="gramEnd"/>
      <w:r w:rsidRPr="0025263A">
        <w:t xml:space="preserve"> submit extensive testimony, workpapers, and master data request responses annually to the Commission and interested parties in the ERRA Forecast and ERRA Compliance Review proceedings.</w:t>
      </w:r>
      <w:r w:rsidR="00E30FF7">
        <w:rPr>
          <w:rStyle w:val="FootnoteReference"/>
        </w:rPr>
        <w:footnoteReference w:id="37"/>
      </w:r>
      <w:r w:rsidRPr="0025263A">
        <w:t xml:space="preserve"> </w:t>
      </w:r>
    </w:p>
    <w:p w:rsidR="00730055" w:rsidP="00730055" w:rsidRDefault="00E30FF7" w14:paraId="3D8778AD" w14:textId="38208F3F">
      <w:pPr>
        <w:pStyle w:val="Standard"/>
      </w:pPr>
      <w:r>
        <w:t xml:space="preserve">We agree that the monthly filings and </w:t>
      </w:r>
      <w:r w:rsidRPr="0025263A" w:rsidR="0025263A">
        <w:t xml:space="preserve">formal annual applications review both forecast and actual portfolio costs, as well review </w:t>
      </w:r>
      <w:r>
        <w:t>each IOUs’</w:t>
      </w:r>
      <w:r w:rsidRPr="0025263A" w:rsidR="0025263A">
        <w:t xml:space="preserve"> procurement activity to ensure compliance with Commission directives</w:t>
      </w:r>
      <w:r>
        <w:t>.</w:t>
      </w:r>
    </w:p>
    <w:p w:rsidR="00E90D61" w:rsidP="00E572A3" w:rsidRDefault="00E90D61" w14:paraId="2651042A" w14:textId="405F1553">
      <w:pPr>
        <w:pStyle w:val="Heading2"/>
      </w:pPr>
      <w:bookmarkStart w:name="_Toc198551403" w:id="22"/>
      <w:r>
        <w:t xml:space="preserve">Common Cost Allocation Issues </w:t>
      </w:r>
      <w:r w:rsidR="00060BEA">
        <w:t>B</w:t>
      </w:r>
      <w:r>
        <w:t>eyond Fixed Generation Costs</w:t>
      </w:r>
      <w:bookmarkEnd w:id="22"/>
    </w:p>
    <w:p w:rsidR="00E253C1" w:rsidP="00730055" w:rsidRDefault="00E253C1" w14:paraId="0D4B4BB7" w14:textId="6DBA70B0">
      <w:pPr>
        <w:pStyle w:val="Standard"/>
      </w:pPr>
      <w:r>
        <w:t xml:space="preserve">Most parties </w:t>
      </w:r>
      <w:r w:rsidR="00730055">
        <w:t xml:space="preserve">to this proceeding </w:t>
      </w:r>
      <w:r w:rsidR="00CF23A0">
        <w:t xml:space="preserve">also </w:t>
      </w:r>
      <w:r w:rsidR="0041586D">
        <w:t>agree that, should the Commission determine a</w:t>
      </w:r>
      <w:r w:rsidR="00730055">
        <w:t xml:space="preserve"> broader </w:t>
      </w:r>
      <w:r w:rsidR="0041586D">
        <w:t xml:space="preserve">discussion regarding </w:t>
      </w:r>
      <w:r w:rsidR="00730055">
        <w:t>common cost allocation issues</w:t>
      </w:r>
      <w:r w:rsidR="00C516CE">
        <w:t xml:space="preserve"> </w:t>
      </w:r>
      <w:proofErr w:type="gramStart"/>
      <w:r w:rsidR="00C516CE">
        <w:t>is</w:t>
      </w:r>
      <w:proofErr w:type="gramEnd"/>
      <w:r w:rsidR="00C516CE">
        <w:t xml:space="preserve"> necessary</w:t>
      </w:r>
      <w:r w:rsidR="0041586D">
        <w:t>, it could occur in a separate proceeding</w:t>
      </w:r>
      <w:r w:rsidR="00730055">
        <w:t>.</w:t>
      </w:r>
      <w:r w:rsidR="00730055">
        <w:rPr>
          <w:rStyle w:val="FootnoteReference"/>
        </w:rPr>
        <w:footnoteReference w:id="38"/>
      </w:r>
      <w:r>
        <w:t>,</w:t>
      </w:r>
      <w:r>
        <w:rPr>
          <w:rStyle w:val="FootnoteReference"/>
        </w:rPr>
        <w:footnoteReference w:id="39"/>
      </w:r>
      <w:r w:rsidR="00730055">
        <w:t xml:space="preserve"> </w:t>
      </w:r>
    </w:p>
    <w:p w:rsidR="00730055" w:rsidP="00730055" w:rsidRDefault="00730055" w14:paraId="273A4252" w14:textId="0BDCB070">
      <w:pPr>
        <w:pStyle w:val="Standard"/>
      </w:pPr>
      <w:r>
        <w:t>The IOUs do not see the need for the Commission to consider any new methodologies for determining fixed generation costs or other common cost allocation issues.</w:t>
      </w:r>
      <w:r w:rsidR="00E60CAC">
        <w:rPr>
          <w:rStyle w:val="FootnoteReference"/>
        </w:rPr>
        <w:footnoteReference w:id="40"/>
      </w:r>
      <w:r>
        <w:t xml:space="preserve"> </w:t>
      </w:r>
      <w:r w:rsidR="0041586D">
        <w:t xml:space="preserve">The CCA </w:t>
      </w:r>
      <w:r w:rsidR="00E60CAC">
        <w:t>P</w:t>
      </w:r>
      <w:r w:rsidR="0041586D">
        <w:t>arties and AReM suggest that these separate issues should be addressed, but not in this proceeding.</w:t>
      </w:r>
    </w:p>
    <w:p w:rsidR="001C4A78" w:rsidP="001C4A78" w:rsidRDefault="001C4A78" w14:paraId="346A4EB1" w14:textId="77777777">
      <w:pPr>
        <w:pStyle w:val="Standard"/>
      </w:pPr>
      <w:r>
        <w:t>The</w:t>
      </w:r>
      <w:r w:rsidRPr="00CA15BB">
        <w:t xml:space="preserve"> specific items SDG&amp;E and PG&amp;E raised in their PHC statements, as discussed above, would be better addressed in separate proceedings, because each utility’s requests raised in their PHC filings were not directly responding to </w:t>
      </w:r>
      <w:r w:rsidRPr="00CA15BB">
        <w:lastRenderedPageBreak/>
        <w:t xml:space="preserve">the August 1, 2023, ALJ rulings, </w:t>
      </w:r>
      <w:r>
        <w:t>and were not scoped into the Amended Scoping Memo and Ruling</w:t>
      </w:r>
      <w:r w:rsidRPr="00CA15BB">
        <w:t>.</w:t>
      </w:r>
    </w:p>
    <w:p w:rsidR="0005789A" w:rsidP="0005789A" w:rsidRDefault="0005789A" w14:paraId="3D21B652" w14:textId="77777777">
      <w:pPr>
        <w:pStyle w:val="Standard"/>
      </w:pPr>
      <w:r>
        <w:t>AReM argues that the Commission should adopt three broad categories of fixed generation costs to address the allocation of revenue being considered in this proceeding.</w:t>
      </w:r>
      <w:r>
        <w:rPr>
          <w:rStyle w:val="FootnoteReference"/>
        </w:rPr>
        <w:footnoteReference w:id="41"/>
      </w:r>
      <w:r>
        <w:t xml:space="preserve"> Specifically, AReM suggests that: </w:t>
      </w:r>
    </w:p>
    <w:p w:rsidR="0005789A" w:rsidP="0093065C" w:rsidRDefault="0005789A" w14:paraId="515C2D52" w14:textId="3685B30E">
      <w:pPr>
        <w:pStyle w:val="Standard"/>
        <w:spacing w:after="120" w:line="240" w:lineRule="auto"/>
        <w:ind w:left="994" w:right="1440" w:hanging="274"/>
      </w:pPr>
      <w:r>
        <w:t xml:space="preserve">1.“Direct fixed costs” are associated with utility owned generation, and those costs are established in each IOU’s general rate case. </w:t>
      </w:r>
    </w:p>
    <w:p w:rsidR="0005789A" w:rsidP="0093065C" w:rsidRDefault="0005789A" w14:paraId="58439235" w14:textId="77777777">
      <w:pPr>
        <w:pStyle w:val="Standard"/>
        <w:spacing w:after="120" w:line="240" w:lineRule="auto"/>
        <w:ind w:left="994" w:right="1440" w:hanging="274"/>
      </w:pPr>
      <w:r>
        <w:t>2. “</w:t>
      </w:r>
      <w:proofErr w:type="gramStart"/>
      <w:r>
        <w:t>Non-energy</w:t>
      </w:r>
      <w:proofErr w:type="gramEnd"/>
      <w:r>
        <w:t xml:space="preserve"> costs” are specified in power purchase agreements and should be allocated using the cost allocation method adopted for bundled rates and within the PCIA for non-bundled customers.</w:t>
      </w:r>
    </w:p>
    <w:p w:rsidR="0005789A" w:rsidP="0093065C" w:rsidRDefault="0005789A" w14:paraId="334CD8EA" w14:textId="77777777">
      <w:pPr>
        <w:pStyle w:val="Standard"/>
        <w:spacing w:after="120" w:line="240" w:lineRule="auto"/>
        <w:ind w:left="994" w:right="1440" w:hanging="274"/>
      </w:pPr>
      <w:r>
        <w:t>3. “Unassociated fixed costs,” such as PG&amp;E’s ESA and SCE’s energy procurement and management costs, should still be considered “fixed generation costs.”</w:t>
      </w:r>
      <w:r>
        <w:rPr>
          <w:rStyle w:val="FootnoteReference"/>
        </w:rPr>
        <w:footnoteReference w:id="42"/>
      </w:r>
    </w:p>
    <w:p w:rsidR="00AA28C6" w:rsidP="00A0676A" w:rsidRDefault="0005789A" w14:paraId="60068B23" w14:textId="1AB1A9F8">
      <w:pPr>
        <w:pStyle w:val="Standard"/>
      </w:pPr>
      <w:r>
        <w:t>AReM agrees that its concerns are out of scope for this proceeding, but states that they must be addressed in a future consolidated proceeding.</w:t>
      </w:r>
      <w:r>
        <w:rPr>
          <w:rStyle w:val="FootnoteReference"/>
        </w:rPr>
        <w:footnoteReference w:id="43"/>
      </w:r>
      <w:r>
        <w:t xml:space="preserve">  We </w:t>
      </w:r>
      <w:r w:rsidR="00C516CE">
        <w:t xml:space="preserve">also </w:t>
      </w:r>
      <w:r>
        <w:t>agree that AReM’s concerns may be better addressed in a future proceeding.</w:t>
      </w:r>
    </w:p>
    <w:p w:rsidR="005D1E9B" w:rsidP="00A0676A" w:rsidRDefault="005D1E9B" w14:paraId="33AAAE8C" w14:textId="73AEEE87">
      <w:pPr>
        <w:pStyle w:val="Standard"/>
      </w:pPr>
      <w:r>
        <w:t xml:space="preserve">In comments on the Proposed Decision, </w:t>
      </w:r>
      <w:r w:rsidR="00446642">
        <w:t>the CCA Parties</w:t>
      </w:r>
      <w:r>
        <w:t xml:space="preserve"> requested clarification as to whether this decision will settle the utilitie</w:t>
      </w:r>
      <w:r w:rsidR="00A214F0">
        <w:t>s’ common cost allocation methodologies, or whether they will be considered in a separate proceeding.</w:t>
      </w:r>
      <w:r w:rsidR="00295B58">
        <w:rPr>
          <w:rStyle w:val="FootnoteReference"/>
        </w:rPr>
        <w:footnoteReference w:id="44"/>
      </w:r>
      <w:r w:rsidR="00A214F0">
        <w:t xml:space="preserve"> This decision only addresses the fixed generation costs described </w:t>
      </w:r>
      <w:r w:rsidR="00A214F0">
        <w:lastRenderedPageBreak/>
        <w:t xml:space="preserve">as in scope of this proceeding, and other issues related to common cost allocation methodologies </w:t>
      </w:r>
      <w:r w:rsidR="00295B58">
        <w:t>could be considered in a separate Commission proceeding.</w:t>
      </w:r>
    </w:p>
    <w:p w:rsidR="00DB1407" w:rsidP="00AC0810" w:rsidRDefault="00DB4BA2" w14:paraId="28DBCABE" w14:textId="6B407CF0">
      <w:pPr>
        <w:pStyle w:val="Heading2"/>
      </w:pPr>
      <w:bookmarkStart w:name="_Toc198551404" w:id="23"/>
      <w:bookmarkEnd w:id="15"/>
      <w:r>
        <w:t>Environmental and Social Justice Issues</w:t>
      </w:r>
    </w:p>
    <w:p w:rsidRPr="00DB4BA2" w:rsidR="00DB4BA2" w:rsidP="00DB4BA2" w:rsidRDefault="001F38A5" w14:paraId="130B041E" w14:textId="0EA064DB">
      <w:pPr>
        <w:pStyle w:val="Standard"/>
      </w:pPr>
      <w:r>
        <w:t>P</w:t>
      </w:r>
      <w:r w:rsidR="006C0096">
        <w:t>arties to</w:t>
      </w:r>
      <w:r w:rsidR="00DB4BA2">
        <w:t xml:space="preserve"> this proceeding provide statements suggesting that environmental and social justice</w:t>
      </w:r>
      <w:r w:rsidR="00AC0B2E">
        <w:t xml:space="preserve"> (ESJ)</w:t>
      </w:r>
      <w:r w:rsidR="00DB4BA2">
        <w:t xml:space="preserve"> communities</w:t>
      </w:r>
      <w:r w:rsidR="005D5546">
        <w:t xml:space="preserve"> will not face adverse impact if the Commission’s proposed </w:t>
      </w:r>
      <w:r>
        <w:t xml:space="preserve">definition of </w:t>
      </w:r>
      <w:r w:rsidR="005D5546">
        <w:t xml:space="preserve">fixed generation cost is </w:t>
      </w:r>
      <w:r w:rsidR="002D33DB">
        <w:t>adopted.</w:t>
      </w:r>
      <w:r w:rsidR="006C0096">
        <w:rPr>
          <w:rStyle w:val="FootnoteReference"/>
        </w:rPr>
        <w:footnoteReference w:id="45"/>
      </w:r>
      <w:r w:rsidR="00AC0B2E">
        <w:t xml:space="preserve"> We agree. The adoption of a definition of fixed generation costs will not adversely affect ESJ communities.</w:t>
      </w:r>
    </w:p>
    <w:p w:rsidR="00EA36C6" w:rsidP="0064056E" w:rsidRDefault="00A10BC5" w14:paraId="24FA9A84" w14:textId="52EB52FE">
      <w:pPr>
        <w:pStyle w:val="Heading2"/>
      </w:pPr>
      <w:r>
        <w:t>Last Bundled Customer Considerations</w:t>
      </w:r>
      <w:bookmarkEnd w:id="23"/>
    </w:p>
    <w:p w:rsidR="00055D2B" w:rsidP="00D52B8C" w:rsidRDefault="00D52B8C" w14:paraId="6347A911" w14:textId="4B185E29">
      <w:pPr>
        <w:pStyle w:val="Standard"/>
      </w:pPr>
      <w:r>
        <w:t xml:space="preserve">The August 1, 2023, Ruling noted </w:t>
      </w:r>
      <w:r w:rsidR="00587AA2">
        <w:t>difference</w:t>
      </w:r>
      <w:r w:rsidR="00C64AD6">
        <w:t>s in the processes each</w:t>
      </w:r>
      <w:r w:rsidR="00587AA2">
        <w:t xml:space="preserve"> </w:t>
      </w:r>
      <w:r>
        <w:t xml:space="preserve">large electric utility </w:t>
      </w:r>
      <w:r w:rsidR="00C64AD6">
        <w:t xml:space="preserve">uses to </w:t>
      </w:r>
      <w:r>
        <w:t>track and seek recovery of fixed costs as customers choose to enroll in other load-serving entities’ options</w:t>
      </w:r>
      <w:r w:rsidR="00406C28">
        <w:t>, and the potential for bundled customers to see adverse rate impacts</w:t>
      </w:r>
      <w:r w:rsidR="009A2232">
        <w:t xml:space="preserve"> by covering costs that do not align with the amount of energy a </w:t>
      </w:r>
      <w:r w:rsidR="00055D2B">
        <w:t>bundled</w:t>
      </w:r>
      <w:r w:rsidR="009A2232">
        <w:t xml:space="preserve"> </w:t>
      </w:r>
      <w:r w:rsidR="00055D2B">
        <w:t xml:space="preserve">or unbundled </w:t>
      </w:r>
      <w:r w:rsidR="009A2232">
        <w:t>customer receives from the large electric utility</w:t>
      </w:r>
      <w:r w:rsidR="00055D2B">
        <w:t>, or the time the large electric utility’s generation operates to serve load</w:t>
      </w:r>
      <w:r>
        <w:t xml:space="preserve">. </w:t>
      </w:r>
    </w:p>
    <w:p w:rsidR="0047011A" w:rsidP="00D52B8C" w:rsidRDefault="0070504F" w14:paraId="10CF5AC6" w14:textId="3895C877">
      <w:pPr>
        <w:pStyle w:val="Standard"/>
      </w:pPr>
      <w:r>
        <w:t xml:space="preserve">The </w:t>
      </w:r>
      <w:r w:rsidR="00E57D2C">
        <w:t xml:space="preserve">August 1, 2023, </w:t>
      </w:r>
      <w:r w:rsidR="002B32AA">
        <w:t xml:space="preserve">Ruling </w:t>
      </w:r>
      <w:r w:rsidR="00E57D2C">
        <w:t xml:space="preserve">not only </w:t>
      </w:r>
      <w:r w:rsidR="002B32AA">
        <w:t xml:space="preserve">directed </w:t>
      </w:r>
      <w:r w:rsidR="00055D2B">
        <w:t xml:space="preserve">the large electric </w:t>
      </w:r>
      <w:r w:rsidR="002B32AA">
        <w:t xml:space="preserve">utilities </w:t>
      </w:r>
      <w:r w:rsidR="00284AFD">
        <w:t xml:space="preserve">and parties to A.23-05-012/A.23-07-012, A.23-05-013, and A.23-06-001, </w:t>
      </w:r>
      <w:r w:rsidR="002B32AA">
        <w:t xml:space="preserve">to provide details on what </w:t>
      </w:r>
      <w:r w:rsidR="00AA157C">
        <w:t xml:space="preserve">costs </w:t>
      </w:r>
      <w:r w:rsidR="00284AFD">
        <w:t>are</w:t>
      </w:r>
      <w:r w:rsidR="00AA157C">
        <w:t xml:space="preserve"> consider</w:t>
      </w:r>
      <w:r w:rsidR="00284AFD">
        <w:t>ed</w:t>
      </w:r>
      <w:r w:rsidR="00AA157C">
        <w:t xml:space="preserve"> fixed costs, </w:t>
      </w:r>
      <w:r w:rsidR="00E57D2C">
        <w:t>but</w:t>
      </w:r>
      <w:r w:rsidR="00582512">
        <w:t xml:space="preserve"> what </w:t>
      </w:r>
      <w:r w:rsidR="00057602">
        <w:t xml:space="preserve">cost </w:t>
      </w:r>
      <w:r w:rsidR="00E57D2C">
        <w:t xml:space="preserve">each large electric utility’s </w:t>
      </w:r>
      <w:r w:rsidR="00057602">
        <w:t xml:space="preserve">last bundled customer would face if all other customers shifted to </w:t>
      </w:r>
      <w:r w:rsidR="0047011A">
        <w:t>alternative load-serving entities</w:t>
      </w:r>
      <w:r w:rsidR="008949D0">
        <w:t>.</w:t>
      </w:r>
      <w:r w:rsidR="00F9048A">
        <w:t xml:space="preserve"> </w:t>
      </w:r>
    </w:p>
    <w:p w:rsidR="00D52B8C" w:rsidP="00D52B8C" w:rsidRDefault="0069298A" w14:paraId="61882153" w14:textId="6068B6B5">
      <w:pPr>
        <w:pStyle w:val="Standard"/>
      </w:pPr>
      <w:r>
        <w:t xml:space="preserve">Each utility argued that it is unreasonable to set any </w:t>
      </w:r>
      <w:r w:rsidR="00E90D61">
        <w:t>policy</w:t>
      </w:r>
      <w:r>
        <w:t xml:space="preserve"> based on the “hypothetical lone bundled customer” and argued for separate issues beyond </w:t>
      </w:r>
      <w:r>
        <w:lastRenderedPageBreak/>
        <w:t>those associated with the fixed cost generation definition adopted herein to be addressed in separate proceedings.</w:t>
      </w:r>
      <w:r w:rsidR="003E78B9">
        <w:t xml:space="preserve"> When asked for specific information, each utility replied that the “last remaining bundled service customer” costs can only reflect what they defined as fixed generation costs when they filed their 2024 ERRA forecast application.</w:t>
      </w:r>
      <w:r w:rsidR="003E78B9">
        <w:rPr>
          <w:rStyle w:val="FootnoteReference"/>
        </w:rPr>
        <w:footnoteReference w:id="46"/>
      </w:r>
    </w:p>
    <w:p w:rsidR="00DB1407" w:rsidP="00DB1407" w:rsidRDefault="008032B2" w14:paraId="379B3515" w14:textId="25018760">
      <w:pPr>
        <w:pStyle w:val="Standard"/>
      </w:pPr>
      <w:r>
        <w:t>The concern here is not that there will be one last bundled customer</w:t>
      </w:r>
      <w:r w:rsidR="00060BEA">
        <w:t xml:space="preserve"> that</w:t>
      </w:r>
      <w:r>
        <w:t xml:space="preserve"> </w:t>
      </w:r>
      <w:r w:rsidR="000A592A">
        <w:t xml:space="preserve">will face </w:t>
      </w:r>
      <w:r>
        <w:t>bearing the full fixed generation costs for</w:t>
      </w:r>
      <w:r w:rsidR="00E90D61">
        <w:t xml:space="preserve"> any of</w:t>
      </w:r>
      <w:r>
        <w:t xml:space="preserve"> </w:t>
      </w:r>
      <w:r w:rsidR="00EE7B90">
        <w:t xml:space="preserve">the </w:t>
      </w:r>
      <w:r>
        <w:t>large electric utilities. Instead, the Commission is defining “fixed generation costs” so that customers that choose to continue to receive electric service from a large electric utility regulated by the Commission are not bearing incremental costs associated with the customer load that has shifted to other LSEs</w:t>
      </w:r>
      <w:r w:rsidR="00480B1A">
        <w:t xml:space="preserve">, pursuant to </w:t>
      </w:r>
      <w:r w:rsidR="00046B9A">
        <w:t>Pub. Util. Code §366.1.</w:t>
      </w:r>
      <w:r w:rsidRPr="00E90D61" w:rsidR="00E90D61">
        <w:t xml:space="preserve"> </w:t>
      </w:r>
      <w:r w:rsidR="00E90D61">
        <w:t>We agree that it is unreasonable to set policy based on the concept that there would be one last bundled customer</w:t>
      </w:r>
      <w:r w:rsidR="00EE7B90">
        <w:t xml:space="preserve"> for any or </w:t>
      </w:r>
      <w:proofErr w:type="gramStart"/>
      <w:r w:rsidR="00EE7B90">
        <w:t>all of</w:t>
      </w:r>
      <w:proofErr w:type="gramEnd"/>
      <w:r w:rsidR="00EE7B90">
        <w:t xml:space="preserve"> the large electric utilities</w:t>
      </w:r>
      <w:r w:rsidR="00E90D61">
        <w:t>.</w:t>
      </w:r>
    </w:p>
    <w:p w:rsidRPr="000E270A" w:rsidR="000E270A" w:rsidP="000E270A" w:rsidRDefault="008032B2" w14:paraId="34D246CF" w14:textId="6F58AABE">
      <w:pPr>
        <w:pStyle w:val="Standard"/>
      </w:pPr>
      <w:r>
        <w:t xml:space="preserve">Other issues related to the </w:t>
      </w:r>
      <w:proofErr w:type="gramStart"/>
      <w:r>
        <w:t>PCIA</w:t>
      </w:r>
      <w:proofErr w:type="gramEnd"/>
      <w:r>
        <w:t xml:space="preserve"> </w:t>
      </w:r>
      <w:r w:rsidR="005646CD">
        <w:t>and other common cost-related issues</w:t>
      </w:r>
      <w:r w:rsidR="00EE7B90">
        <w:t xml:space="preserve"> may be addressed in a separate Commission proceeding (or proceedings).</w:t>
      </w:r>
    </w:p>
    <w:p w:rsidR="00603238" w:rsidP="00AC0810" w:rsidRDefault="00603238" w14:paraId="01F3556F" w14:textId="77777777">
      <w:pPr>
        <w:pStyle w:val="Heading1"/>
      </w:pPr>
      <w:bookmarkStart w:name="_Toc198551405" w:id="24"/>
      <w:bookmarkStart w:name="_Toc8123721" w:id="25"/>
      <w:r>
        <w:t>Summary of Public Comment</w:t>
      </w:r>
      <w:bookmarkEnd w:id="24"/>
    </w:p>
    <w:p w:rsidRPr="00B14F23" w:rsidR="00603238" w:rsidP="00284D8D" w:rsidRDefault="00603238" w14:paraId="6900BF7B" w14:textId="7E2D61B0">
      <w:pPr>
        <w:rPr>
          <w:rFonts w:ascii="Calibri" w:hAnsi="Calibri"/>
          <w:sz w:val="22"/>
        </w:rPr>
      </w:pPr>
      <w:r w:rsidRPr="00B14F2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00B14F23">
        <w:t xml:space="preserve"> No public comments </w:t>
      </w:r>
      <w:r w:rsidR="00B07919">
        <w:lastRenderedPageBreak/>
        <w:t>were</w:t>
      </w:r>
      <w:r w:rsidR="00B14F23">
        <w:t xml:space="preserve"> filed related to the issues raised in the Amended Scoping Memo and Ruling</w:t>
      </w:r>
      <w:r w:rsidR="00B07919">
        <w:t xml:space="preserve"> as of </w:t>
      </w:r>
      <w:r w:rsidR="00961CE2">
        <w:t>June 17</w:t>
      </w:r>
      <w:r w:rsidR="00B07919">
        <w:t>, 2025</w:t>
      </w:r>
      <w:r w:rsidR="00B14F23">
        <w:t>.</w:t>
      </w:r>
    </w:p>
    <w:p w:rsidR="00FA1B4F" w:rsidP="00FA1B4F" w:rsidRDefault="005939A5" w14:paraId="1C05EB7D" w14:textId="77777777">
      <w:pPr>
        <w:pStyle w:val="Heading1"/>
      </w:pPr>
      <w:bookmarkStart w:name="_Toc198551406" w:id="26"/>
      <w:r>
        <w:t>Conclusion</w:t>
      </w:r>
      <w:bookmarkEnd w:id="25"/>
      <w:bookmarkEnd w:id="26"/>
    </w:p>
    <w:p w:rsidRPr="00343E5C" w:rsidR="00343E5C" w:rsidP="00343E5C" w:rsidRDefault="0002380A" w14:paraId="2A27E138" w14:textId="11A8725E">
      <w:pPr>
        <w:pStyle w:val="Standard"/>
      </w:pPr>
      <w:r>
        <w:t xml:space="preserve">This decision defines </w:t>
      </w:r>
      <w:r w:rsidRPr="0002380A">
        <w:t>fixed generation costs as “</w:t>
      </w:r>
      <w:r w:rsidR="00A10BC5">
        <w:t>costs which do not rise and fall based on the amount of electricity customers use, or how long the large investor-owned electric utility’s portfolio of generation resources operate</w:t>
      </w:r>
      <w:r w:rsidRPr="0002380A">
        <w:t>.”</w:t>
      </w:r>
      <w:r>
        <w:t xml:space="preserve"> Other issues related to generation and distribution costs may be addressed in other Commission proceedings. </w:t>
      </w:r>
    </w:p>
    <w:p w:rsidR="004A1EAD" w:rsidP="004A1EAD" w:rsidRDefault="004A1EAD" w14:paraId="56F7EDC5" w14:textId="77777777">
      <w:pPr>
        <w:pStyle w:val="Heading1"/>
      </w:pPr>
      <w:bookmarkStart w:name="_Toc198551407" w:id="27"/>
      <w:bookmarkStart w:name="_Toc8123723" w:id="28"/>
      <w:r>
        <w:t>Procedural Matters</w:t>
      </w:r>
      <w:bookmarkEnd w:id="27"/>
    </w:p>
    <w:p w:rsidRPr="008B175A" w:rsidR="004A1EAD" w:rsidP="004A1EAD" w:rsidRDefault="004A1EAD" w14:paraId="006982E6" w14:textId="3FC912F3">
      <w:pPr>
        <w:pStyle w:val="Standard"/>
      </w:pPr>
      <w:r w:rsidRPr="008B175A">
        <w:t xml:space="preserve">This decision affirms all </w:t>
      </w:r>
      <w:proofErr w:type="gramStart"/>
      <w:r w:rsidRPr="008B175A">
        <w:t>rulings</w:t>
      </w:r>
      <w:proofErr w:type="gramEnd"/>
      <w:r w:rsidRPr="008B175A">
        <w:t xml:space="preserve"> made by the Administrative Law Judge and </w:t>
      </w:r>
      <w:proofErr w:type="gramStart"/>
      <w:r w:rsidRPr="008B175A">
        <w:t>assigned</w:t>
      </w:r>
      <w:proofErr w:type="gramEnd"/>
      <w:r w:rsidRPr="008B175A">
        <w:t xml:space="preserve"> Commissioner in this</w:t>
      </w:r>
      <w:r w:rsidR="00B14F23">
        <w:t xml:space="preserve"> consolidated</w:t>
      </w:r>
      <w:r w:rsidRPr="008B175A">
        <w:t xml:space="preserve"> proceeding. All motions not ruled on are deemed denied.</w:t>
      </w:r>
    </w:p>
    <w:p w:rsidR="005939A5" w:rsidP="005939A5" w:rsidRDefault="005939A5" w14:paraId="6ACF6D58" w14:textId="77777777">
      <w:pPr>
        <w:pStyle w:val="Heading1"/>
      </w:pPr>
      <w:bookmarkStart w:name="_Toc198551408" w:id="29"/>
      <w:r>
        <w:t>Comments on Proposed Decision</w:t>
      </w:r>
      <w:bookmarkEnd w:id="28"/>
      <w:bookmarkEnd w:id="29"/>
    </w:p>
    <w:p w:rsidR="005939A5" w:rsidP="005C58FA" w:rsidRDefault="005C58FA" w14:paraId="29C1C07B" w14:textId="58EC23AA">
      <w:pPr>
        <w:pStyle w:val="Standard"/>
      </w:pPr>
      <w:r w:rsidRPr="00B14F23">
        <w:t xml:space="preserve">The proposed decision of ALJ </w:t>
      </w:r>
      <w:r w:rsidRPr="00B14F23" w:rsidR="00B14F23">
        <w:t xml:space="preserve">Carrie Sisto </w:t>
      </w:r>
      <w:r w:rsidRPr="00B14F23">
        <w:t>was m</w:t>
      </w:r>
      <w:r>
        <w:t xml:space="preserve">ailed to the parties in accordance with Section 311 of the Public Utilities Code and comments were allowed under Rule 14.3 of the Commission’s Rules of Practice and Procedure.  Comments were filed on </w:t>
      </w:r>
      <w:r w:rsidR="009761B8">
        <w:t xml:space="preserve">July 9, 2025, by </w:t>
      </w:r>
      <w:r w:rsidR="00446642">
        <w:t>the CCA Parties</w:t>
      </w:r>
      <w:r w:rsidR="006A3DD6">
        <w:t xml:space="preserve"> and </w:t>
      </w:r>
      <w:r w:rsidR="009761B8">
        <w:t>PG&amp;E</w:t>
      </w:r>
      <w:r w:rsidR="006A3DD6">
        <w:t>. R</w:t>
      </w:r>
      <w:r>
        <w:t xml:space="preserve">eply comments were filed on </w:t>
      </w:r>
      <w:r w:rsidR="006A3DD6">
        <w:t xml:space="preserve">July 14, 2025, </w:t>
      </w:r>
      <w:r>
        <w:t xml:space="preserve">by </w:t>
      </w:r>
      <w:r w:rsidR="00446642">
        <w:t>the CCA Parties</w:t>
      </w:r>
      <w:r w:rsidR="006A3DD6">
        <w:t>, PG&amp;E, and SDG&amp;E.</w:t>
      </w:r>
      <w:r w:rsidRPr="00C878D5" w:rsidR="006A3DD6">
        <w:t xml:space="preserve"> </w:t>
      </w:r>
    </w:p>
    <w:p w:rsidR="005939A5" w:rsidP="005939A5" w:rsidRDefault="005939A5" w14:paraId="0902024F" w14:textId="77777777">
      <w:pPr>
        <w:pStyle w:val="Heading1"/>
      </w:pPr>
      <w:bookmarkStart w:name="_Toc8123724" w:id="30"/>
      <w:bookmarkStart w:name="_Toc198551409" w:id="31"/>
      <w:r>
        <w:t>Assignment of Proceeding</w:t>
      </w:r>
      <w:bookmarkEnd w:id="30"/>
      <w:bookmarkEnd w:id="31"/>
    </w:p>
    <w:p w:rsidR="005939A5" w:rsidP="006E6574" w:rsidRDefault="00B14F23" w14:paraId="2D1F3916" w14:textId="0299D51C">
      <w:pPr>
        <w:pStyle w:val="Standard"/>
      </w:pPr>
      <w:r>
        <w:t>John Reynolds</w:t>
      </w:r>
      <w:r w:rsidR="005939A5">
        <w:t xml:space="preserve"> is the assigned Commissioner and </w:t>
      </w:r>
      <w:r>
        <w:t>Carrie Sisto</w:t>
      </w:r>
      <w:r w:rsidR="005939A5">
        <w:t xml:space="preserve"> is the assigned Administrative Law Judge in this proceeding.</w:t>
      </w:r>
    </w:p>
    <w:p w:rsidR="005939A5" w:rsidP="005939A5" w:rsidRDefault="005939A5" w14:paraId="21DDD729" w14:textId="77777777">
      <w:pPr>
        <w:pStyle w:val="Dummy"/>
      </w:pPr>
      <w:bookmarkStart w:name="_Toc8123725" w:id="32"/>
      <w:bookmarkStart w:name="_Toc198551410" w:id="33"/>
      <w:bookmarkStart w:name="_Hlk199235202" w:id="34"/>
      <w:r>
        <w:t>Findings of Fact</w:t>
      </w:r>
      <w:bookmarkEnd w:id="32"/>
      <w:bookmarkEnd w:id="33"/>
    </w:p>
    <w:p w:rsidR="00F62B7A" w:rsidP="001E2A62" w:rsidRDefault="00AC2FEC" w14:paraId="56941563" w14:textId="659954EA">
      <w:pPr>
        <w:pStyle w:val="FoF"/>
      </w:pPr>
      <w:r>
        <w:t xml:space="preserve">The large electric utilities’ fixed generation costs have not decreased over time </w:t>
      </w:r>
      <w:r w:rsidR="00B07919">
        <w:t xml:space="preserve">in an amount </w:t>
      </w:r>
      <w:r>
        <w:t>comparabl</w:t>
      </w:r>
      <w:r w:rsidR="00B07919">
        <w:t>e</w:t>
      </w:r>
      <w:r>
        <w:t xml:space="preserve"> to the amount of load that is being served by other LSEs.</w:t>
      </w:r>
    </w:p>
    <w:p w:rsidR="00B07919" w:rsidP="00B07919" w:rsidRDefault="00AC2FEC" w14:paraId="4ECEE4C6" w14:textId="5E2FA548">
      <w:pPr>
        <w:pStyle w:val="FoF"/>
      </w:pPr>
      <w:r>
        <w:lastRenderedPageBreak/>
        <w:t xml:space="preserve">The definition of “fixed generation costs” </w:t>
      </w:r>
      <w:r w:rsidR="005646CD">
        <w:t xml:space="preserve">currently </w:t>
      </w:r>
      <w:r>
        <w:t>varies broadly across the large electric utilities</w:t>
      </w:r>
      <w:r w:rsidR="00480B1A">
        <w:t xml:space="preserve"> when filing their ERRA Forecast Proceeding applications</w:t>
      </w:r>
      <w:r>
        <w:t>.</w:t>
      </w:r>
    </w:p>
    <w:p w:rsidR="005939A5" w:rsidP="005939A5" w:rsidRDefault="005939A5" w14:paraId="01D67084" w14:textId="77777777">
      <w:pPr>
        <w:pStyle w:val="Dummy"/>
      </w:pPr>
      <w:bookmarkStart w:name="_Toc8123726" w:id="35"/>
      <w:bookmarkStart w:name="_Toc198551411" w:id="36"/>
      <w:r>
        <w:t>Conclusions of Law</w:t>
      </w:r>
      <w:bookmarkEnd w:id="35"/>
      <w:bookmarkEnd w:id="36"/>
    </w:p>
    <w:p w:rsidR="00AC0B2E" w:rsidP="00AC0B2E" w:rsidRDefault="00C87B50" w14:paraId="6CAB0F15" w14:textId="797C0C36">
      <w:pPr>
        <w:pStyle w:val="CoL"/>
      </w:pPr>
      <w:r>
        <w:t>“</w:t>
      </w:r>
      <w:r w:rsidR="00480B1A">
        <w:t xml:space="preserve">Costs which do not </w:t>
      </w:r>
      <w:proofErr w:type="gramStart"/>
      <w:r w:rsidR="00480B1A">
        <w:t>rise</w:t>
      </w:r>
      <w:proofErr w:type="gramEnd"/>
      <w:r w:rsidR="00480B1A">
        <w:t xml:space="preserve"> and fall based on the amount of electricity customers use, or how long the large electric utilit</w:t>
      </w:r>
      <w:r w:rsidR="00B07919">
        <w:t>ies’</w:t>
      </w:r>
      <w:r w:rsidR="00480B1A">
        <w:t xml:space="preserve"> portfolio</w:t>
      </w:r>
      <w:r w:rsidR="00B07919">
        <w:t>s</w:t>
      </w:r>
      <w:r w:rsidR="00480B1A">
        <w:t xml:space="preserve"> of generation resources operate</w:t>
      </w:r>
      <w:r w:rsidR="00955E8F">
        <w:t>”</w:t>
      </w:r>
      <w:r w:rsidR="00480B1A">
        <w:t xml:space="preserve"> </w:t>
      </w:r>
      <w:r w:rsidR="00955E8F">
        <w:t>is an effective definition of “</w:t>
      </w:r>
      <w:r w:rsidR="00480B1A">
        <w:t>fixed generation cost</w:t>
      </w:r>
      <w:r w:rsidR="00AC0B2E">
        <w:t>s.</w:t>
      </w:r>
      <w:r w:rsidR="00955E8F">
        <w:t>”</w:t>
      </w:r>
    </w:p>
    <w:p w:rsidR="00B07919" w:rsidP="00AC0B2E" w:rsidRDefault="00B07919" w14:paraId="31F53823" w14:textId="3227292D">
      <w:pPr>
        <w:pStyle w:val="CoL"/>
      </w:pPr>
      <w:r>
        <w:t>Adopting a uniform definition of fixed generation costs will streamline future evaluation of large electric utilities’ ERRA Forecast Proceeding applications.</w:t>
      </w:r>
    </w:p>
    <w:p w:rsidRPr="001E2A62" w:rsidR="00AC0B2E" w:rsidP="00AC0B2E" w:rsidRDefault="00AC0B2E" w14:paraId="413DA059" w14:textId="2E9A5181">
      <w:pPr>
        <w:pStyle w:val="CoL"/>
      </w:pPr>
      <w:r>
        <w:t>Adopting a uniform definition of fixed generation costs will not adversely affect ESJ communities.</w:t>
      </w:r>
    </w:p>
    <w:p w:rsidRPr="001E2A62" w:rsidR="00932865" w:rsidP="001E2A62" w:rsidRDefault="00480B1A" w14:paraId="19FAAF7C" w14:textId="762128F1">
      <w:pPr>
        <w:pStyle w:val="CoL"/>
      </w:pPr>
      <w:r>
        <w:t>Other issues related to PCIA calculations</w:t>
      </w:r>
      <w:r w:rsidR="00FE4F7E">
        <w:t>, including common cost allocation</w:t>
      </w:r>
      <w:r w:rsidR="008D728F">
        <w:t>,</w:t>
      </w:r>
      <w:r>
        <w:t xml:space="preserve"> </w:t>
      </w:r>
      <w:r w:rsidR="00FE4F7E">
        <w:t xml:space="preserve">may </w:t>
      </w:r>
      <w:r>
        <w:t>be evaluated in a separate Commission proceeding (or proceedings).</w:t>
      </w:r>
    </w:p>
    <w:p w:rsidR="00BB0243" w:rsidP="000A6E05" w:rsidRDefault="005939A5" w14:paraId="23EC9896" w14:textId="77777777">
      <w:pPr>
        <w:pStyle w:val="Mainex"/>
      </w:pPr>
      <w:bookmarkStart w:name="_Toc198551412" w:id="37"/>
      <w:r>
        <w:t>O</w:t>
      </w:r>
      <w:r w:rsidR="00722850">
        <w:t>RDER</w:t>
      </w:r>
      <w:bookmarkEnd w:id="37"/>
    </w:p>
    <w:p w:rsidR="00BB0243" w:rsidP="000A6E05" w:rsidRDefault="00BB0243" w14:paraId="46A67FD1" w14:textId="77777777">
      <w:pPr>
        <w:keepNext/>
      </w:pPr>
      <w:r w:rsidRPr="00BB0243">
        <w:rPr>
          <w:b/>
        </w:rPr>
        <w:t>IT IS ORDERED</w:t>
      </w:r>
      <w:r>
        <w:t xml:space="preserve"> that:</w:t>
      </w:r>
    </w:p>
    <w:p w:rsidR="00480B1A" w:rsidP="009A6FEC" w:rsidRDefault="00480B1A" w14:paraId="69316643" w14:textId="1FA9DCFE">
      <w:pPr>
        <w:pStyle w:val="CoL"/>
        <w:numPr>
          <w:ilvl w:val="0"/>
          <w:numId w:val="19"/>
        </w:numPr>
      </w:pPr>
      <w:r>
        <w:t xml:space="preserve">Pacific Gas and Electric Company, San Diego Gas &amp; Electric Company, and Southern California Edison Company </w:t>
      </w:r>
      <w:r w:rsidR="00EC3252">
        <w:t>must</w:t>
      </w:r>
      <w:r>
        <w:t xml:space="preserve"> ensure the fixed generation costs identified in all future Energy Resource Recovery Account applications </w:t>
      </w:r>
      <w:r w:rsidR="002235B0">
        <w:t>are defined as</w:t>
      </w:r>
      <w:r>
        <w:t xml:space="preserve"> </w:t>
      </w:r>
      <w:r w:rsidR="002235B0">
        <w:t>“</w:t>
      </w:r>
      <w:r w:rsidR="00256068">
        <w:t>costs that do not change based on the amount of electricity customers use or the amount of operating time associated with the electricity generation</w:t>
      </w:r>
      <w:r>
        <w:t>.</w:t>
      </w:r>
      <w:r w:rsidR="002235B0">
        <w:t>”</w:t>
      </w:r>
    </w:p>
    <w:p w:rsidR="00F6397D" w:rsidP="009A6FEC" w:rsidRDefault="0002380A" w14:paraId="30AF68DF" w14:textId="7FB1F5D8">
      <w:pPr>
        <w:pStyle w:val="CoL"/>
        <w:numPr>
          <w:ilvl w:val="0"/>
          <w:numId w:val="19"/>
        </w:numPr>
      </w:pPr>
      <w:r>
        <w:t>Applications 23-05-012, 23-05-013, 23-06-001, and 23-07-012 are</w:t>
      </w:r>
      <w:r w:rsidRPr="001E2A62" w:rsidR="00E23CBB">
        <w:t xml:space="preserve"> closed.</w:t>
      </w:r>
    </w:p>
    <w:p w:rsidR="008F0116" w:rsidP="008F0116" w:rsidRDefault="008F0116" w14:paraId="54570F8C" w14:textId="77777777">
      <w:r>
        <w:t>This order is effective today.</w:t>
      </w:r>
    </w:p>
    <w:bookmarkEnd w:id="34"/>
    <w:p w:rsidRPr="00714CF2" w:rsidR="00714CF2" w:rsidP="00816E05" w:rsidRDefault="008F0116" w14:paraId="2AFC5437" w14:textId="50ACAFC4">
      <w:r>
        <w:t xml:space="preserve">Dated </w:t>
      </w:r>
      <w:r>
        <w:rPr>
          <w:u w:val="single"/>
        </w:rPr>
        <w:tab/>
      </w:r>
      <w:r>
        <w:t>, at San Francisco, California</w:t>
      </w:r>
    </w:p>
    <w:sectPr w:rsidRPr="00714CF2" w:rsidR="00714CF2" w:rsidSect="00D45BBF">
      <w:headerReference w:type="default" r:id="rId11"/>
      <w:footerReference w:type="default" r:id="rId12"/>
      <w:headerReference w:type="first" r:id="rId13"/>
      <w:footerReference w:type="first" r:id="rId14"/>
      <w:pgSz w:w="12240" w:h="15840"/>
      <w:pgMar w:top="1728" w:right="1440" w:bottom="1440" w:left="1440" w:header="720" w:footer="720" w:gutter="0"/>
      <w:pgNumType w:fmt="numberInDash" w:start="1"/>
      <w:cols w:space="720"/>
      <w:titlePg/>
      <w:docGrid w:linePitch="360"/>
    </w:sectPr>
    <w:p>
      <w:r>
        <w:t xml:space="preserve"/>
      </w:r>
    </w:p>
    <w:p>
      <w:r>
        <w:t xml:space="preserve">Attachment 1: </w:t>
      </w:r>
    </w:p>
    <w:p>
      <w:hyperlink w:history="true" r:id="Ra43502c4a6b84c6e">
        <w:r w:rsidRPr="00CB1292">
          <w:rPr>
            <w:rStyle w:val="Hyperlink"/>
            <w:color w:val="2E74B5" w:themeColor="accent1" w:themeShade="BF"/>
            <w:u w:val="single"/>
          </w:rPr>
          <w:t>Redline - A.23-05-012.pdf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5A57" w14:textId="77777777" w:rsidR="00B03FF0" w:rsidRDefault="00B03FF0" w:rsidP="0098138E">
      <w:pPr>
        <w:spacing w:line="240" w:lineRule="auto"/>
      </w:pPr>
      <w:r>
        <w:separator/>
      </w:r>
    </w:p>
  </w:endnote>
  <w:endnote w:type="continuationSeparator" w:id="0">
    <w:p w14:paraId="2CDE5E13" w14:textId="77777777" w:rsidR="00B03FF0" w:rsidRDefault="00B03FF0"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BD87" w14:textId="3E9C09FE" w:rsidR="00F72673" w:rsidRDefault="00000000" w:rsidP="00A65E51">
    <w:pPr>
      <w:pStyle w:val="Footer"/>
      <w:ind w:firstLine="0"/>
      <w:jc w:val="center"/>
    </w:pPr>
    <w:sdt>
      <w:sdtPr>
        <w:id w:val="827724807"/>
        <w:docPartObj>
          <w:docPartGallery w:val="Page Numbers (Bottom of Page)"/>
          <w:docPartUnique/>
        </w:docPartObj>
      </w:sdtPr>
      <w:sdtEndPr>
        <w:rPr>
          <w:noProof/>
        </w:rPr>
      </w:sdtEndPr>
      <w:sdtContent>
        <w:r w:rsidR="00F72673">
          <w:fldChar w:fldCharType="begin"/>
        </w:r>
        <w:r w:rsidR="00F72673">
          <w:instrText xml:space="preserve"> PAGE   \* MERGEFORMAT </w:instrText>
        </w:r>
        <w:r w:rsidR="00F72673">
          <w:fldChar w:fldCharType="separate"/>
        </w:r>
        <w:r w:rsidR="00F72673">
          <w:rPr>
            <w:noProof/>
          </w:rPr>
          <w:t>2</w:t>
        </w:r>
        <w:r w:rsidR="00F72673">
          <w:rPr>
            <w:noProof/>
          </w:rPr>
          <w:fldChar w:fldCharType="end"/>
        </w:r>
      </w:sdtContent>
    </w:sdt>
  </w:p>
  <w:p w14:paraId="764ACD57" w14:textId="5D39B0CE" w:rsidR="00E23CBB" w:rsidRDefault="00E23CBB" w:rsidP="007E0FEE">
    <w:pP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1319" w14:textId="528CF199" w:rsidR="0064056E" w:rsidRDefault="0064056E" w:rsidP="0064056E">
    <w:pPr>
      <w:pStyle w:val="Footer"/>
      <w:ind w:firstLine="0"/>
    </w:pPr>
    <w:r w:rsidRPr="0064056E">
      <w:rPr>
        <w:sz w:val="16"/>
        <w:szCs w:val="16"/>
      </w:rPr>
      <w:t>573751585</w:t>
    </w:r>
    <w:r>
      <w:tab/>
    </w:r>
    <w:sdt>
      <w:sdtPr>
        <w:id w:val="-624309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1051C5" w14:textId="0B0BFF0C" w:rsidR="0064056E" w:rsidRPr="0064056E" w:rsidRDefault="0064056E" w:rsidP="0064056E">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C54BF" w14:textId="77777777" w:rsidR="00B03FF0" w:rsidRDefault="00B03FF0" w:rsidP="00DF58E7">
      <w:pPr>
        <w:spacing w:line="240" w:lineRule="auto"/>
        <w:ind w:firstLine="0"/>
      </w:pPr>
      <w:r>
        <w:separator/>
      </w:r>
    </w:p>
  </w:footnote>
  <w:footnote w:type="continuationSeparator" w:id="0">
    <w:p w14:paraId="227FB745" w14:textId="77777777" w:rsidR="00B03FF0" w:rsidRDefault="00B03FF0" w:rsidP="00DF58E7">
      <w:pPr>
        <w:spacing w:line="240" w:lineRule="auto"/>
        <w:ind w:firstLine="0"/>
      </w:pPr>
      <w:r>
        <w:continuationSeparator/>
      </w:r>
    </w:p>
  </w:footnote>
  <w:footnote w:type="continuationNotice" w:id="1">
    <w:p w14:paraId="4B858751" w14:textId="77777777" w:rsidR="00B03FF0" w:rsidRPr="00DF58E7" w:rsidRDefault="00B03FF0"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79F288F6" w14:textId="77777777" w:rsidR="00EC3252" w:rsidRPr="0093065C" w:rsidRDefault="00EC3252" w:rsidP="00EC3252">
      <w:pPr>
        <w:pStyle w:val="FootnoteText"/>
        <w:rPr>
          <w:rFonts w:ascii="Times New Roman" w:hAnsi="Times New Roman" w:cs="Times New Roman"/>
        </w:rPr>
      </w:pPr>
      <w:r w:rsidRPr="0093065C">
        <w:rPr>
          <w:rStyle w:val="FootnoteReference"/>
          <w:rFonts w:ascii="Times New Roman" w:hAnsi="Times New Roman" w:cs="Times New Roman"/>
        </w:rPr>
        <w:footnoteRef/>
      </w:r>
      <w:r w:rsidRPr="0093065C">
        <w:rPr>
          <w:rFonts w:ascii="Times New Roman" w:hAnsi="Times New Roman" w:cs="Times New Roman"/>
        </w:rPr>
        <w:t xml:space="preserve"> PG&amp;E filed Application (A.) 23-05-012 on May 15, 2023; SDG&amp;E filed A.23-05-013 on May 15, 2023; SCE filed A.23-06-001 on June 1, 2023.</w:t>
      </w:r>
    </w:p>
  </w:footnote>
  <w:footnote w:id="3">
    <w:p w14:paraId="140A16DB" w14:textId="77777777" w:rsidR="00AF3213" w:rsidRDefault="00AF3213" w:rsidP="00AF3213">
      <w:pPr>
        <w:pStyle w:val="FootnoteText"/>
      </w:pPr>
      <w:r w:rsidRPr="0093065C">
        <w:rPr>
          <w:rStyle w:val="FootnoteReference"/>
          <w:rFonts w:ascii="Times New Roman" w:hAnsi="Times New Roman" w:cs="Times New Roman"/>
        </w:rPr>
        <w:footnoteRef/>
      </w:r>
      <w:r w:rsidRPr="0093065C">
        <w:rPr>
          <w:rFonts w:ascii="Times New Roman" w:hAnsi="Times New Roman" w:cs="Times New Roman"/>
        </w:rPr>
        <w:t xml:space="preserve"> ALJ Rulings dated August 1, 2023, filed in A.23-05-012, A.23-05-013, and A.23-06-001.</w:t>
      </w:r>
    </w:p>
  </w:footnote>
  <w:footnote w:id="4">
    <w:p w14:paraId="0C6C2C4B" w14:textId="02224A98" w:rsidR="0070480E" w:rsidRDefault="0070480E">
      <w:pPr>
        <w:pStyle w:val="FootnoteText"/>
      </w:pPr>
      <w:r>
        <w:rPr>
          <w:rStyle w:val="FootnoteReference"/>
        </w:rPr>
        <w:footnoteRef/>
      </w:r>
      <w:r>
        <w:t xml:space="preserve"> </w:t>
      </w:r>
      <w:r w:rsidR="001C0EA3">
        <w:t>P</w:t>
      </w:r>
      <w:r w:rsidR="00C16C45">
        <w:t>u</w:t>
      </w:r>
      <w:r w:rsidR="001C0EA3">
        <w:t>b. Util. Code</w:t>
      </w:r>
      <w:r w:rsidR="007B6B5F">
        <w:t xml:space="preserve"> §§</w:t>
      </w:r>
      <w:r w:rsidR="007B6B5F" w:rsidRPr="007B6B5F">
        <w:t>366.1 and 366.2</w:t>
      </w:r>
      <w:r w:rsidR="007B6B5F">
        <w:t>.</w:t>
      </w:r>
      <w:r w:rsidR="00AD19AA">
        <w:t xml:space="preserve"> </w:t>
      </w:r>
      <w:r w:rsidR="00C16C45" w:rsidRPr="008438CB">
        <w:t>All further statutory references</w:t>
      </w:r>
      <w:r w:rsidR="00981B4C" w:rsidRPr="008438CB">
        <w:t>, indicated with a §,</w:t>
      </w:r>
      <w:r w:rsidR="00C16C45" w:rsidRPr="008438CB">
        <w:t xml:space="preserve"> are to the </w:t>
      </w:r>
      <w:r w:rsidR="007C6BD3" w:rsidRPr="008438CB">
        <w:t>Pub. Util. Code</w:t>
      </w:r>
      <w:r w:rsidR="00C16C45" w:rsidRPr="008438CB">
        <w:t xml:space="preserve"> unless otherwise noted</w:t>
      </w:r>
      <w:r w:rsidR="007C6BD3" w:rsidRPr="008438CB">
        <w:t>.</w:t>
      </w:r>
    </w:p>
  </w:footnote>
  <w:footnote w:id="5">
    <w:p w14:paraId="24262D3A" w14:textId="1B35B37B" w:rsidR="002D6D7D" w:rsidRDefault="002D6D7D">
      <w:pPr>
        <w:pStyle w:val="FootnoteText"/>
      </w:pPr>
      <w:r>
        <w:rPr>
          <w:rStyle w:val="FootnoteReference"/>
        </w:rPr>
        <w:footnoteRef/>
      </w:r>
      <w:r>
        <w:t xml:space="preserve"> </w:t>
      </w:r>
      <w:r w:rsidR="00A0607E">
        <w:t>Pub. Util. Code §366.2(d).</w:t>
      </w:r>
    </w:p>
  </w:footnote>
  <w:footnote w:id="6">
    <w:p w14:paraId="3F5D83C2" w14:textId="04B38FF0" w:rsidR="00D44DE4" w:rsidRDefault="00D44DE4">
      <w:pPr>
        <w:pStyle w:val="FootnoteText"/>
      </w:pPr>
      <w:r>
        <w:rPr>
          <w:rStyle w:val="FootnoteReference"/>
        </w:rPr>
        <w:footnoteRef/>
      </w:r>
      <w:r>
        <w:t xml:space="preserve"> PG&amp;E, SCE, SDG&amp;E, CalAdvocates, CalCCA, CEA/SDCP, and DACC, provided responses to the August 1, 2023, Ruling, which were separately filed on August 23, 2023, in A.23-05-012/A.23-07-012; A.23-05-013; and A.23-06-001. Commission staff identified disparities in the data.</w:t>
      </w:r>
    </w:p>
  </w:footnote>
  <w:footnote w:id="7">
    <w:p w14:paraId="63D2F822" w14:textId="55BFE94C" w:rsidR="00C737F2" w:rsidRDefault="00C737F2">
      <w:pPr>
        <w:pStyle w:val="FootnoteText"/>
      </w:pPr>
      <w:r>
        <w:rPr>
          <w:rStyle w:val="FootnoteReference"/>
        </w:rPr>
        <w:footnoteRef/>
      </w:r>
      <w:r>
        <w:t xml:space="preserve"> </w:t>
      </w:r>
      <w:r w:rsidR="00374085">
        <w:t xml:space="preserve">SDG&amp;E Opening Comments on the August 1, 2023, Ruling dated August 23, 2023, at </w:t>
      </w:r>
      <w:r w:rsidR="00855C5D">
        <w:t>3.</w:t>
      </w:r>
    </w:p>
  </w:footnote>
  <w:footnote w:id="8">
    <w:p w14:paraId="04EFAFCC" w14:textId="32D79E3C" w:rsidR="00855C5D" w:rsidRDefault="00855C5D">
      <w:pPr>
        <w:pStyle w:val="FootnoteText"/>
      </w:pPr>
      <w:r>
        <w:rPr>
          <w:rStyle w:val="FootnoteReference"/>
        </w:rPr>
        <w:footnoteRef/>
      </w:r>
      <w:r>
        <w:t xml:space="preserve"> SDG&amp;E Opening Comments on the August 1, 2023, Ruling dated August 23, 2023, at 3.</w:t>
      </w:r>
    </w:p>
  </w:footnote>
  <w:footnote w:id="9">
    <w:p w14:paraId="66DEBEDC" w14:textId="3B629323" w:rsidR="00C737F2" w:rsidRDefault="00C737F2" w:rsidP="00C737F2">
      <w:pPr>
        <w:pStyle w:val="FootnoteText"/>
      </w:pPr>
      <w:r>
        <w:rPr>
          <w:rStyle w:val="FootnoteReference"/>
        </w:rPr>
        <w:footnoteRef/>
      </w:r>
      <w:r>
        <w:t xml:space="preserve"> </w:t>
      </w:r>
      <w:r w:rsidR="001819AF">
        <w:t>PG&amp;E Opening Comments on the Au</w:t>
      </w:r>
      <w:r w:rsidR="004C2D92">
        <w:t xml:space="preserve">gust 1, 2023, Ruling, dated August 23, 2023, at 5-6 and </w:t>
      </w:r>
      <w:r>
        <w:t xml:space="preserve">PG&amp;E ERRA Forecast Testimony (A.23-05-012) at 9-10. </w:t>
      </w:r>
    </w:p>
  </w:footnote>
  <w:footnote w:id="10">
    <w:p w14:paraId="732A3C38" w14:textId="20418F1E" w:rsidR="001A25F1" w:rsidRDefault="001A25F1">
      <w:pPr>
        <w:pStyle w:val="FootnoteText"/>
      </w:pPr>
      <w:r>
        <w:rPr>
          <w:rStyle w:val="FootnoteReference"/>
        </w:rPr>
        <w:footnoteRef/>
      </w:r>
      <w:r>
        <w:t xml:space="preserve"> </w:t>
      </w:r>
      <w:r w:rsidR="00ED79AA">
        <w:t>SCE Opening Comments on the August 1, 2023, Ruling, dated August 23, 2023, at</w:t>
      </w:r>
      <w:r w:rsidR="001819AF">
        <w:t xml:space="preserve"> 3-4.</w:t>
      </w:r>
    </w:p>
  </w:footnote>
  <w:footnote w:id="11">
    <w:p w14:paraId="26C9926F" w14:textId="33C57E67" w:rsidR="00974056" w:rsidRDefault="00974056">
      <w:pPr>
        <w:pStyle w:val="FootnoteText"/>
      </w:pPr>
      <w:r>
        <w:rPr>
          <w:rStyle w:val="FootnoteReference"/>
        </w:rPr>
        <w:footnoteRef/>
      </w:r>
      <w:r>
        <w:t xml:space="preserve"> </w:t>
      </w:r>
      <w:r w:rsidR="002903E2">
        <w:t xml:space="preserve">PGE: </w:t>
      </w:r>
      <w:r w:rsidR="002903E2" w:rsidRPr="002903E2">
        <w:t>D</w:t>
      </w:r>
      <w:r w:rsidR="0063536D">
        <w:t>.</w:t>
      </w:r>
      <w:r w:rsidR="002903E2" w:rsidRPr="002903E2">
        <w:t>23</w:t>
      </w:r>
      <w:r w:rsidR="0063536D">
        <w:t>-</w:t>
      </w:r>
      <w:r w:rsidR="002903E2" w:rsidRPr="002903E2">
        <w:t>12</w:t>
      </w:r>
      <w:r w:rsidR="0063536D">
        <w:t>-</w:t>
      </w:r>
      <w:r w:rsidR="002903E2" w:rsidRPr="002903E2">
        <w:t xml:space="preserve">022 </w:t>
      </w:r>
      <w:r w:rsidR="0063536D">
        <w:t>in A.23-05-012/A.23-07-012;</w:t>
      </w:r>
      <w:r w:rsidR="00230BC0" w:rsidRPr="00230BC0">
        <w:rPr>
          <w:rFonts w:ascii="Arial" w:hAnsi="Arial" w:cs="Arial"/>
          <w:color w:val="000000"/>
          <w:sz w:val="18"/>
          <w:szCs w:val="18"/>
          <w:shd w:val="clear" w:color="auto" w:fill="F0F0F0"/>
        </w:rPr>
        <w:t xml:space="preserve"> </w:t>
      </w:r>
      <w:r w:rsidR="00230BC0" w:rsidRPr="00230BC0">
        <w:t>D</w:t>
      </w:r>
      <w:r w:rsidR="00230BC0">
        <w:t>.2</w:t>
      </w:r>
      <w:r w:rsidR="00230BC0" w:rsidRPr="00230BC0">
        <w:t>3</w:t>
      </w:r>
      <w:r w:rsidR="00230BC0">
        <w:t>-</w:t>
      </w:r>
      <w:r w:rsidR="00230BC0" w:rsidRPr="00230BC0">
        <w:t>12</w:t>
      </w:r>
      <w:r w:rsidR="00230BC0">
        <w:t>-</w:t>
      </w:r>
      <w:r w:rsidR="00230BC0" w:rsidRPr="00230BC0">
        <w:t>021</w:t>
      </w:r>
      <w:r w:rsidR="00230BC0">
        <w:t xml:space="preserve"> in A.23-05-013</w:t>
      </w:r>
      <w:r w:rsidR="006170B6">
        <w:t>; and D.</w:t>
      </w:r>
      <w:r w:rsidR="006170B6" w:rsidRPr="006170B6">
        <w:t>23</w:t>
      </w:r>
      <w:r w:rsidR="006170B6">
        <w:t>-</w:t>
      </w:r>
      <w:r w:rsidR="006170B6" w:rsidRPr="006170B6">
        <w:t>11</w:t>
      </w:r>
      <w:r w:rsidR="006170B6">
        <w:t>-</w:t>
      </w:r>
      <w:r w:rsidR="006170B6" w:rsidRPr="006170B6">
        <w:t>094</w:t>
      </w:r>
      <w:r w:rsidR="006170B6">
        <w:t xml:space="preserve">: </w:t>
      </w:r>
      <w:r w:rsidR="002903E2">
        <w:t>A.</w:t>
      </w:r>
      <w:r w:rsidR="002903E2" w:rsidRPr="002903E2">
        <w:t>23-05-012</w:t>
      </w:r>
      <w:r w:rsidR="002903E2">
        <w:t>, A.</w:t>
      </w:r>
      <w:r w:rsidR="002903E2" w:rsidRPr="002903E2">
        <w:t>23-07-012</w:t>
      </w:r>
      <w:r w:rsidR="0063536D">
        <w:t>, A.23-05-013, and A.23-06-001</w:t>
      </w:r>
      <w:r w:rsidR="002903E2" w:rsidRPr="002903E2">
        <w:t xml:space="preserve"> remain open to consider fixed generation costs.</w:t>
      </w:r>
    </w:p>
  </w:footnote>
  <w:footnote w:id="12">
    <w:p w14:paraId="051A0B42" w14:textId="3C03CFB8" w:rsidR="00B36A24" w:rsidRDefault="00B36A24">
      <w:pPr>
        <w:pStyle w:val="FootnoteText"/>
      </w:pPr>
      <w:r>
        <w:rPr>
          <w:rStyle w:val="FootnoteReference"/>
        </w:rPr>
        <w:footnoteRef/>
      </w:r>
      <w:r>
        <w:t xml:space="preserve"> </w:t>
      </w:r>
      <w:r w:rsidRPr="00B36A24">
        <w:t>A May 1, 2024, ALJ ruling amended the schedule to provide parties time to participate and resolve the IOUs’ 2025 ERRA Forecast proceedings, which are not consolidated with the instant proceeding.</w:t>
      </w:r>
    </w:p>
  </w:footnote>
  <w:footnote w:id="13">
    <w:p w14:paraId="04FA1E8E" w14:textId="68F18AB1" w:rsidR="00974056" w:rsidRDefault="00974056" w:rsidP="00974056">
      <w:pPr>
        <w:pStyle w:val="FootnoteText"/>
      </w:pPr>
      <w:r>
        <w:rPr>
          <w:rStyle w:val="FootnoteReference"/>
        </w:rPr>
        <w:footnoteRef/>
      </w:r>
      <w:r>
        <w:t xml:space="preserve"> Status Conference Transcript filed and served on January 31, 2025, at 8, 9, and 10.</w:t>
      </w:r>
      <w:r w:rsidR="00AF3213">
        <w:t xml:space="preserve"> The active parties to this proceeding are PG&amp;E, SCE, SDG&amp;E, the Alliance for Retail Energy Markets, the Clean Energy Alliance, the California Community Choice Association, the Direct Access Customer Coalition, the Public Advocates Office at the California Public Utilities Commission, and San Diego Community Power.</w:t>
      </w:r>
    </w:p>
  </w:footnote>
  <w:footnote w:id="14">
    <w:p w14:paraId="6E9818F5" w14:textId="0094F9AB" w:rsidR="00CB56A7" w:rsidRDefault="00CB56A7">
      <w:pPr>
        <w:pStyle w:val="FootnoteText"/>
      </w:pPr>
      <w:r>
        <w:rPr>
          <w:rStyle w:val="FootnoteReference"/>
        </w:rPr>
        <w:footnoteRef/>
      </w:r>
      <w:r>
        <w:t xml:space="preserve"> All future references to code in this decision refer to Public Utilities Code.</w:t>
      </w:r>
    </w:p>
  </w:footnote>
  <w:footnote w:id="15">
    <w:p w14:paraId="1F16ACCE" w14:textId="66FE6FDC" w:rsidR="00A15407" w:rsidRDefault="00A15407">
      <w:pPr>
        <w:pStyle w:val="FootnoteText"/>
      </w:pPr>
      <w:r>
        <w:rPr>
          <w:rStyle w:val="FootnoteReference"/>
        </w:rPr>
        <w:footnoteRef/>
      </w:r>
      <w:r>
        <w:t xml:space="preserve"> </w:t>
      </w:r>
      <w:r w:rsidR="008C00B7">
        <w:t>Pub. Util. Code §</w:t>
      </w:r>
      <w:r w:rsidR="00815991">
        <w:t>§</w:t>
      </w:r>
      <w:r w:rsidR="00EF5A91">
        <w:t>366.</w:t>
      </w:r>
      <w:r w:rsidR="00D307E8">
        <w:t xml:space="preserve">2 </w:t>
      </w:r>
      <w:r w:rsidR="00D37E74">
        <w:t>(c)</w:t>
      </w:r>
      <w:r w:rsidR="00240B38">
        <w:t xml:space="preserve"> 5, 20, </w:t>
      </w:r>
      <w:r w:rsidR="00906A35">
        <w:t xml:space="preserve">and </w:t>
      </w:r>
      <w:r w:rsidR="00240B38">
        <w:t>21</w:t>
      </w:r>
      <w:r w:rsidR="00906A35">
        <w:t xml:space="preserve">. </w:t>
      </w:r>
    </w:p>
  </w:footnote>
  <w:footnote w:id="16">
    <w:p w14:paraId="02480635" w14:textId="77777777" w:rsidR="00CF23A0" w:rsidRDefault="00CF23A0" w:rsidP="00CF23A0">
      <w:pPr>
        <w:pStyle w:val="FootnoteText"/>
      </w:pPr>
      <w:r>
        <w:rPr>
          <w:rStyle w:val="FootnoteReference"/>
        </w:rPr>
        <w:footnoteRef/>
      </w:r>
      <w:r>
        <w:t xml:space="preserve"> The definition provided in the Amended Scoping Memo and Ruling is identical to that proposed in the August 1, 2023, Ruling.</w:t>
      </w:r>
    </w:p>
  </w:footnote>
  <w:footnote w:id="17">
    <w:p w14:paraId="12F0BCC9" w14:textId="145DEC34" w:rsidR="00CD3A36" w:rsidRDefault="00CD3A36">
      <w:pPr>
        <w:pStyle w:val="FootnoteText"/>
      </w:pPr>
      <w:r>
        <w:rPr>
          <w:rStyle w:val="FootnoteReference"/>
        </w:rPr>
        <w:footnoteRef/>
      </w:r>
      <w:r>
        <w:t xml:space="preserve"> We note that the initial </w:t>
      </w:r>
      <w:r w:rsidR="00A1355C">
        <w:t>Amended Scoping Memo limiting the scope of this portion of A.23-05-012</w:t>
      </w:r>
      <w:r w:rsidR="00DA1D4E">
        <w:t>,</w:t>
      </w:r>
      <w:r w:rsidR="00A1355C">
        <w:t xml:space="preserve"> et al</w:t>
      </w:r>
      <w:r w:rsidR="00DA1D4E">
        <w:t>. to the issues considered in this decision</w:t>
      </w:r>
      <w:r w:rsidR="00A1355C">
        <w:t xml:space="preserve"> was issued on April </w:t>
      </w:r>
      <w:r w:rsidR="002D4B58">
        <w:t>2, 2024</w:t>
      </w:r>
      <w:r w:rsidR="00DA1D4E">
        <w:t>. However, t</w:t>
      </w:r>
      <w:r w:rsidR="002D4B58">
        <w:t>he Amended Scoping Memo consolidating A.23-05-012, A.23-05-013, A.23-06-001, and A.23-07-012, was issued on October 4, 2025.</w:t>
      </w:r>
    </w:p>
  </w:footnote>
  <w:footnote w:id="18">
    <w:p w14:paraId="5E665D04" w14:textId="580B46F9" w:rsidR="00F43788" w:rsidRDefault="00F43788">
      <w:pPr>
        <w:pStyle w:val="FootnoteText"/>
      </w:pPr>
      <w:r>
        <w:rPr>
          <w:rStyle w:val="FootnoteReference"/>
        </w:rPr>
        <w:footnoteRef/>
      </w:r>
      <w:r>
        <w:t xml:space="preserve"> </w:t>
      </w:r>
      <w:r w:rsidR="00D871DD">
        <w:t xml:space="preserve">PG&amp;E PHC </w:t>
      </w:r>
      <w:r w:rsidR="005834D7">
        <w:t xml:space="preserve">Statement dated January </w:t>
      </w:r>
      <w:r w:rsidR="005B7146">
        <w:t>5, 2024</w:t>
      </w:r>
      <w:r w:rsidR="00A33722">
        <w:t>,</w:t>
      </w:r>
      <w:r w:rsidR="004E5273">
        <w:t xml:space="preserve"> and Opening Brief dated February 3, 2025, at </w:t>
      </w:r>
      <w:r w:rsidR="00CA4132">
        <w:t>8</w:t>
      </w:r>
      <w:r w:rsidR="004E5273">
        <w:t>.</w:t>
      </w:r>
    </w:p>
  </w:footnote>
  <w:footnote w:id="19">
    <w:p w14:paraId="325B48A7" w14:textId="13FBEC66" w:rsidR="00CA4132" w:rsidRDefault="00CA4132">
      <w:pPr>
        <w:pStyle w:val="FootnoteText"/>
      </w:pPr>
      <w:r>
        <w:rPr>
          <w:rStyle w:val="FootnoteReference"/>
        </w:rPr>
        <w:footnoteRef/>
      </w:r>
      <w:r>
        <w:t xml:space="preserve"> PG&amp;E Reply Brief dated February 18, 2025, at 2-4.</w:t>
      </w:r>
    </w:p>
  </w:footnote>
  <w:footnote w:id="20">
    <w:p w14:paraId="195587E2" w14:textId="1AE4225C" w:rsidR="00CA4132" w:rsidRDefault="00CA4132">
      <w:pPr>
        <w:pStyle w:val="FootnoteText"/>
      </w:pPr>
      <w:r>
        <w:rPr>
          <w:rStyle w:val="FootnoteReference"/>
        </w:rPr>
        <w:footnoteRef/>
      </w:r>
      <w:r>
        <w:t xml:space="preserve"> PG&amp;E response to the August 1, 2023, Ruling at 4, </w:t>
      </w:r>
      <w:r w:rsidR="0073013D">
        <w:t>PG&amp;E PHC Statement dated January 5, 2025, at 6-11.</w:t>
      </w:r>
    </w:p>
  </w:footnote>
  <w:footnote w:id="21">
    <w:p w14:paraId="0E1FADD5" w14:textId="7900E9C2" w:rsidR="00C565EA" w:rsidRDefault="00C565EA">
      <w:pPr>
        <w:pStyle w:val="FootnoteText"/>
      </w:pPr>
      <w:r>
        <w:rPr>
          <w:rStyle w:val="FootnoteReference"/>
        </w:rPr>
        <w:footnoteRef/>
      </w:r>
      <w:r>
        <w:t xml:space="preserve"> PG&amp;E Opening Brief dated February 3, 2025, at 6-7, and footnote 17.</w:t>
      </w:r>
    </w:p>
  </w:footnote>
  <w:footnote w:id="22">
    <w:p w14:paraId="7A2A2405" w14:textId="7FEB17E7" w:rsidR="00A42332" w:rsidRDefault="00A42332">
      <w:pPr>
        <w:pStyle w:val="FootnoteText"/>
      </w:pPr>
      <w:r>
        <w:rPr>
          <w:rStyle w:val="FootnoteReference"/>
        </w:rPr>
        <w:footnoteRef/>
      </w:r>
      <w:r>
        <w:t xml:space="preserve"> </w:t>
      </w:r>
      <w:r w:rsidR="004F01A9">
        <w:t>PG&amp;E Opening Brief dated February 3, 2025, at 7.</w:t>
      </w:r>
    </w:p>
  </w:footnote>
  <w:footnote w:id="23">
    <w:p w14:paraId="7E5B8F65" w14:textId="70269022" w:rsidR="00BC53DC" w:rsidRDefault="00BC53DC">
      <w:pPr>
        <w:pStyle w:val="FootnoteText"/>
      </w:pPr>
      <w:r>
        <w:rPr>
          <w:rStyle w:val="FootnoteReference"/>
        </w:rPr>
        <w:footnoteRef/>
      </w:r>
      <w:r>
        <w:t xml:space="preserve"> </w:t>
      </w:r>
      <w:r w:rsidR="00C175CC">
        <w:t>PG&amp;E Reply Brief dated February 18, 2025, at 2-4</w:t>
      </w:r>
    </w:p>
  </w:footnote>
  <w:footnote w:id="24">
    <w:p w14:paraId="0F747872" w14:textId="28F03184" w:rsidR="0037686D" w:rsidRDefault="0037686D">
      <w:pPr>
        <w:pStyle w:val="FootnoteText"/>
      </w:pPr>
      <w:r>
        <w:rPr>
          <w:rStyle w:val="FootnoteReference"/>
        </w:rPr>
        <w:footnoteRef/>
      </w:r>
      <w:r>
        <w:t xml:space="preserve"> PG&amp;E Reply Brief dated February 18, 2025, </w:t>
      </w:r>
      <w:r w:rsidR="00A33722">
        <w:t xml:space="preserve">at </w:t>
      </w:r>
      <w:r w:rsidR="00C170BD">
        <w:t>3-4, citing D.24-12-038 at 30-34</w:t>
      </w:r>
      <w:r w:rsidR="00981B4C">
        <w:t>,</w:t>
      </w:r>
      <w:r w:rsidR="00C170BD">
        <w:t xml:space="preserve"> </w:t>
      </w:r>
      <w:r w:rsidR="00E52EED">
        <w:t>at 67</w:t>
      </w:r>
      <w:r w:rsidR="00A33722">
        <w:t>, and</w:t>
      </w:r>
      <w:r w:rsidR="00E52EED">
        <w:t xml:space="preserve"> Findings of Fact 3 and 4; and Conclusion of Law 2.</w:t>
      </w:r>
    </w:p>
  </w:footnote>
  <w:footnote w:id="25">
    <w:p w14:paraId="497D9217" w14:textId="7EBC1814" w:rsidR="0073013D" w:rsidRDefault="0073013D">
      <w:pPr>
        <w:pStyle w:val="FootnoteText"/>
      </w:pPr>
      <w:r>
        <w:rPr>
          <w:rStyle w:val="FootnoteReference"/>
        </w:rPr>
        <w:footnoteRef/>
      </w:r>
      <w:r>
        <w:t xml:space="preserve"> SDG&amp;E PHC Statement dated January 5, 2025, at 1-2.</w:t>
      </w:r>
    </w:p>
  </w:footnote>
  <w:footnote w:id="26">
    <w:p w14:paraId="2A49CC00" w14:textId="443FE564" w:rsidR="00CA3050" w:rsidRDefault="00CA3050">
      <w:pPr>
        <w:pStyle w:val="FootnoteText"/>
      </w:pPr>
      <w:r>
        <w:rPr>
          <w:rStyle w:val="FootnoteReference"/>
        </w:rPr>
        <w:footnoteRef/>
      </w:r>
      <w:r>
        <w:t xml:space="preserve"> SDG&amp;E Opening Brief dated February </w:t>
      </w:r>
      <w:r w:rsidR="00FD6FF6">
        <w:t>3</w:t>
      </w:r>
      <w:r>
        <w:t xml:space="preserve">, 2025, at </w:t>
      </w:r>
      <w:r w:rsidR="00056CDC">
        <w:t>5, and footnote 11.</w:t>
      </w:r>
    </w:p>
  </w:footnote>
  <w:footnote w:id="27">
    <w:p w14:paraId="30983689" w14:textId="58494414" w:rsidR="00665E31" w:rsidRDefault="00665E31">
      <w:pPr>
        <w:pStyle w:val="FootnoteText"/>
      </w:pPr>
      <w:r>
        <w:rPr>
          <w:rStyle w:val="FootnoteReference"/>
        </w:rPr>
        <w:footnoteRef/>
      </w:r>
      <w:r>
        <w:t xml:space="preserve"> </w:t>
      </w:r>
      <w:r w:rsidR="00666BD4">
        <w:t>SDG&amp;E Opening Brief dated February 3, 2025, at 5</w:t>
      </w:r>
      <w:r w:rsidR="000F2C6F">
        <w:t xml:space="preserve"> and 6</w:t>
      </w:r>
      <w:r w:rsidR="00666BD4">
        <w:t xml:space="preserve">, citing SDGE-18 at 2, </w:t>
      </w:r>
      <w:r w:rsidR="00EE32A5">
        <w:t xml:space="preserve">Exhibit </w:t>
      </w:r>
      <w:r w:rsidR="00666BD4">
        <w:t xml:space="preserve">AReM-01 at 9; </w:t>
      </w:r>
      <w:r w:rsidR="00EE32A5">
        <w:t xml:space="preserve">Exhibit </w:t>
      </w:r>
      <w:r w:rsidR="00666BD4">
        <w:t>CCA-01 at 11</w:t>
      </w:r>
      <w:r w:rsidR="00A92A81">
        <w:t xml:space="preserve">; </w:t>
      </w:r>
      <w:r w:rsidR="00EE32A5">
        <w:t xml:space="preserve">Exhibit </w:t>
      </w:r>
      <w:r w:rsidR="00A92A81">
        <w:t>PG&amp;E-07at 9</w:t>
      </w:r>
      <w:r w:rsidR="00EE32A5">
        <w:t xml:space="preserve">; </w:t>
      </w:r>
      <w:r w:rsidR="00A92A81">
        <w:t xml:space="preserve">and </w:t>
      </w:r>
      <w:r w:rsidR="00EE32A5">
        <w:t xml:space="preserve">Exhibit </w:t>
      </w:r>
      <w:r w:rsidR="00A92A81">
        <w:t>SCE-09 at 6</w:t>
      </w:r>
      <w:r w:rsidR="000F2C6F">
        <w:t>.</w:t>
      </w:r>
    </w:p>
  </w:footnote>
  <w:footnote w:id="28">
    <w:p w14:paraId="4A4313AD" w14:textId="7A319FBC" w:rsidR="00DE5D4A" w:rsidRDefault="00DE5D4A">
      <w:pPr>
        <w:pStyle w:val="FootnoteText"/>
      </w:pPr>
      <w:r>
        <w:rPr>
          <w:rStyle w:val="FootnoteReference"/>
        </w:rPr>
        <w:footnoteRef/>
      </w:r>
      <w:r>
        <w:t xml:space="preserve"> </w:t>
      </w:r>
      <w:r w:rsidR="00EE32A5">
        <w:t xml:space="preserve">Exhibit </w:t>
      </w:r>
      <w:r>
        <w:t>SCE</w:t>
      </w:r>
      <w:r w:rsidR="005A0E4F">
        <w:t>-09</w:t>
      </w:r>
      <w:r w:rsidR="00A45376">
        <w:t xml:space="preserve"> at 4; SCE</w:t>
      </w:r>
      <w:r>
        <w:t xml:space="preserve"> Opening Brief dated February 3, 2025, </w:t>
      </w:r>
      <w:r w:rsidR="00A45376">
        <w:t>at 6.</w:t>
      </w:r>
    </w:p>
  </w:footnote>
  <w:footnote w:id="29">
    <w:p w14:paraId="11DB6F51" w14:textId="6C6CD0C4" w:rsidR="002837C1" w:rsidRDefault="002837C1">
      <w:pPr>
        <w:pStyle w:val="FootnoteText"/>
      </w:pPr>
      <w:r>
        <w:rPr>
          <w:rStyle w:val="FootnoteReference"/>
        </w:rPr>
        <w:footnoteRef/>
      </w:r>
      <w:r>
        <w:t xml:space="preserve"> SCE Opening Brief dated February 3, 2025, at </w:t>
      </w:r>
      <w:r w:rsidR="00F25CEF">
        <w:t>9-10.</w:t>
      </w:r>
    </w:p>
  </w:footnote>
  <w:footnote w:id="30">
    <w:p w14:paraId="08415145" w14:textId="6219C935" w:rsidR="002F5F21" w:rsidRDefault="002F5F21">
      <w:pPr>
        <w:pStyle w:val="FootnoteText"/>
      </w:pPr>
      <w:r>
        <w:rPr>
          <w:rStyle w:val="FootnoteReference"/>
        </w:rPr>
        <w:footnoteRef/>
      </w:r>
      <w:r>
        <w:t xml:space="preserve"> </w:t>
      </w:r>
      <w:r w:rsidR="00EA2069" w:rsidRPr="00EA2069">
        <w:t>CCA Parties PHC Statement dated January 5, 2024, at 17. SDCP and CEA were granted party status to A.23-05-012, as consolidated with A.23-07-012, and A.23-06-001, on March 20, 2024, and refiled their PHC statements in those proceedings and A.23-05-013 on March 26, 2024.</w:t>
      </w:r>
    </w:p>
  </w:footnote>
  <w:footnote w:id="31">
    <w:p w14:paraId="739AD722" w14:textId="6AE71719" w:rsidR="006A46EC" w:rsidRDefault="006A46EC">
      <w:pPr>
        <w:pStyle w:val="FootnoteText"/>
      </w:pPr>
      <w:r>
        <w:rPr>
          <w:rStyle w:val="FootnoteReference"/>
        </w:rPr>
        <w:footnoteRef/>
      </w:r>
      <w:r>
        <w:t xml:space="preserve"> </w:t>
      </w:r>
      <w:r w:rsidR="00C10BAB">
        <w:t xml:space="preserve">Exhibit </w:t>
      </w:r>
      <w:r w:rsidR="0011148B">
        <w:t>CCA-01 at 9.</w:t>
      </w:r>
    </w:p>
  </w:footnote>
  <w:footnote w:id="32">
    <w:p w14:paraId="7A33E3F8" w14:textId="53E8CCC5" w:rsidR="00EA2069" w:rsidRDefault="00EA2069">
      <w:pPr>
        <w:pStyle w:val="FootnoteText"/>
      </w:pPr>
      <w:r>
        <w:rPr>
          <w:rStyle w:val="FootnoteReference"/>
        </w:rPr>
        <w:footnoteRef/>
      </w:r>
      <w:r>
        <w:t xml:space="preserve"> </w:t>
      </w:r>
      <w:r w:rsidR="00836312">
        <w:t>DACC PHC Statement dated January 5, 2024, at 1-2.</w:t>
      </w:r>
    </w:p>
  </w:footnote>
  <w:footnote w:id="33">
    <w:p w14:paraId="2EFB287C" w14:textId="4E120005" w:rsidR="000333D2" w:rsidRDefault="000333D2">
      <w:pPr>
        <w:pStyle w:val="FootnoteText"/>
      </w:pPr>
      <w:r>
        <w:rPr>
          <w:rStyle w:val="FootnoteReference"/>
        </w:rPr>
        <w:footnoteRef/>
      </w:r>
      <w:r>
        <w:t xml:space="preserve"> October 11, 2024, Amended Scoping Memo at 6.</w:t>
      </w:r>
    </w:p>
  </w:footnote>
  <w:footnote w:id="34">
    <w:p w14:paraId="5700ACBF" w14:textId="77777777" w:rsidR="00425C4E" w:rsidRDefault="00425C4E" w:rsidP="00425C4E">
      <w:pPr>
        <w:pStyle w:val="FootnoteText"/>
      </w:pPr>
      <w:r>
        <w:rPr>
          <w:rStyle w:val="FootnoteReference"/>
        </w:rPr>
        <w:footnoteRef/>
      </w:r>
      <w:r>
        <w:t xml:space="preserve"> PG&amp;E Reply Brief dated February 18, 2025, at 2-4; SDG&amp;E Reply Brief dated February 18, 2025, at 2-3.</w:t>
      </w:r>
    </w:p>
  </w:footnote>
  <w:footnote w:id="35">
    <w:p w14:paraId="4FEFF59A" w14:textId="712C8CE0" w:rsidR="00425C4E" w:rsidRDefault="00425C4E" w:rsidP="00425C4E">
      <w:pPr>
        <w:pStyle w:val="FootnoteText"/>
      </w:pPr>
      <w:r>
        <w:rPr>
          <w:rStyle w:val="FootnoteReference"/>
        </w:rPr>
        <w:footnoteRef/>
      </w:r>
      <w:r>
        <w:t xml:space="preserve"> PG&amp;E PHC Statement dated January 5, 2025, at 6</w:t>
      </w:r>
      <w:r w:rsidR="00F230C5">
        <w:t xml:space="preserve">, and Opening Comments on the Proposed Decision dated </w:t>
      </w:r>
      <w:r w:rsidR="00DA28C4">
        <w:t>July 9, 2025, at 2.</w:t>
      </w:r>
    </w:p>
  </w:footnote>
  <w:footnote w:id="36">
    <w:p w14:paraId="19814338" w14:textId="77AEC717" w:rsidR="00F30E08" w:rsidRDefault="00F30E08">
      <w:pPr>
        <w:pStyle w:val="FootnoteText"/>
      </w:pPr>
      <w:r>
        <w:rPr>
          <w:rStyle w:val="FootnoteReference"/>
        </w:rPr>
        <w:footnoteRef/>
      </w:r>
      <w:r>
        <w:t xml:space="preserve"> SDG&amp;E Opening Brief dated February 5, 2025, at 5; Exhibit CCA-01 at 4-5; Exhibit PGE-07 at 9; Exhibit SCE-09 at 5</w:t>
      </w:r>
      <w:r w:rsidR="0041586D">
        <w:t>; AReM Opening Brief dated February 5, 2025, at 4.</w:t>
      </w:r>
    </w:p>
  </w:footnote>
  <w:footnote w:id="37">
    <w:p w14:paraId="4E9959D8" w14:textId="701D666F" w:rsidR="00E30FF7" w:rsidRDefault="00E30FF7">
      <w:pPr>
        <w:pStyle w:val="FootnoteText"/>
      </w:pPr>
      <w:r>
        <w:rPr>
          <w:rStyle w:val="FootnoteReference"/>
        </w:rPr>
        <w:footnoteRef/>
      </w:r>
      <w:r>
        <w:t xml:space="preserve"> Exhibit PGE-07 at 9.</w:t>
      </w:r>
    </w:p>
  </w:footnote>
  <w:footnote w:id="38">
    <w:p w14:paraId="26D5C82F" w14:textId="552559CC" w:rsidR="00730055" w:rsidRDefault="00730055" w:rsidP="00730055">
      <w:pPr>
        <w:pStyle w:val="FootnoteText"/>
      </w:pPr>
      <w:r>
        <w:rPr>
          <w:rStyle w:val="FootnoteReference"/>
        </w:rPr>
        <w:footnoteRef/>
      </w:r>
      <w:r>
        <w:t xml:space="preserve"> </w:t>
      </w:r>
      <w:r w:rsidR="00446642">
        <w:t>The CCA Parties’</w:t>
      </w:r>
      <w:r>
        <w:t xml:space="preserve"> Joint Opening Brief dated February 5, 2025</w:t>
      </w:r>
      <w:r w:rsidR="00C10BAB">
        <w:t>,</w:t>
      </w:r>
      <w:r>
        <w:t xml:space="preserve"> at 8.</w:t>
      </w:r>
    </w:p>
  </w:footnote>
  <w:footnote w:id="39">
    <w:p w14:paraId="29400AE3" w14:textId="5B9CC0E1" w:rsidR="00E253C1" w:rsidRDefault="00E253C1">
      <w:pPr>
        <w:pStyle w:val="FootnoteText"/>
      </w:pPr>
      <w:r>
        <w:rPr>
          <w:rStyle w:val="FootnoteReference"/>
        </w:rPr>
        <w:footnoteRef/>
      </w:r>
      <w:r>
        <w:t xml:space="preserve"> SDG&amp;E Reply Brief dated February 18, 2025, at 5-6; SCE Reply Brief dated February 18, 2025, at 2; PG&amp;E Reply Brief dated February 18, 2025, at 2-4.</w:t>
      </w:r>
    </w:p>
  </w:footnote>
  <w:footnote w:id="40">
    <w:p w14:paraId="5E13C72D" w14:textId="096F0683" w:rsidR="00E60CAC" w:rsidRDefault="00E60CAC">
      <w:pPr>
        <w:pStyle w:val="FootnoteText"/>
      </w:pPr>
      <w:r>
        <w:rPr>
          <w:rStyle w:val="FootnoteReference"/>
        </w:rPr>
        <w:footnoteRef/>
      </w:r>
      <w:r>
        <w:t xml:space="preserve"> PG&amp;E Reply Brief dated February 18, 2025, at 2-4; SDG&amp;E Reply Brief dated February 18, 2025, at 2-3.</w:t>
      </w:r>
    </w:p>
  </w:footnote>
  <w:footnote w:id="41">
    <w:p w14:paraId="4369AD24" w14:textId="77777777" w:rsidR="0005789A" w:rsidRDefault="0005789A" w:rsidP="0005789A">
      <w:pPr>
        <w:pStyle w:val="FootnoteText"/>
      </w:pPr>
      <w:r>
        <w:rPr>
          <w:rStyle w:val="FootnoteReference"/>
        </w:rPr>
        <w:footnoteRef/>
      </w:r>
      <w:r>
        <w:t xml:space="preserve"> AReM Opening Brief dated February 5, 2025, at 2-5.</w:t>
      </w:r>
    </w:p>
  </w:footnote>
  <w:footnote w:id="42">
    <w:p w14:paraId="48241F69" w14:textId="77777777" w:rsidR="0005789A" w:rsidRDefault="0005789A" w:rsidP="0005789A">
      <w:pPr>
        <w:pStyle w:val="FootnoteText"/>
      </w:pPr>
      <w:r>
        <w:rPr>
          <w:rStyle w:val="FootnoteReference"/>
        </w:rPr>
        <w:footnoteRef/>
      </w:r>
      <w:r>
        <w:t xml:space="preserve"> AReM Opening Brief dated February 5, 2025, at 2-3.</w:t>
      </w:r>
    </w:p>
  </w:footnote>
  <w:footnote w:id="43">
    <w:p w14:paraId="2CD5D71D" w14:textId="77777777" w:rsidR="0005789A" w:rsidRDefault="0005789A" w:rsidP="0005789A">
      <w:pPr>
        <w:pStyle w:val="FootnoteText"/>
      </w:pPr>
      <w:r>
        <w:rPr>
          <w:rStyle w:val="FootnoteReference"/>
        </w:rPr>
        <w:footnoteRef/>
      </w:r>
      <w:r>
        <w:t xml:space="preserve"> AReM Opening Brief dated February 5, 2025, at 4.</w:t>
      </w:r>
    </w:p>
  </w:footnote>
  <w:footnote w:id="44">
    <w:p w14:paraId="6340FD4D" w14:textId="6D71D35F" w:rsidR="00295B58" w:rsidRDefault="00295B58">
      <w:pPr>
        <w:pStyle w:val="FootnoteText"/>
      </w:pPr>
      <w:r>
        <w:rPr>
          <w:rStyle w:val="FootnoteReference"/>
        </w:rPr>
        <w:footnoteRef/>
      </w:r>
      <w:r>
        <w:t xml:space="preserve"> </w:t>
      </w:r>
      <w:r w:rsidR="00446642">
        <w:t>The CCA Parties’</w:t>
      </w:r>
      <w:r>
        <w:t xml:space="preserve"> Opening Comments </w:t>
      </w:r>
      <w:r w:rsidR="004E2040">
        <w:t xml:space="preserve">on the Proposed Decision </w:t>
      </w:r>
      <w:r>
        <w:t xml:space="preserve">dated July 9, 2025, at </w:t>
      </w:r>
      <w:r w:rsidR="007B7585">
        <w:t>2-5</w:t>
      </w:r>
      <w:r w:rsidR="009761B8">
        <w:t>;</w:t>
      </w:r>
      <w:r w:rsidR="004E2040">
        <w:t xml:space="preserve"> PG&amp;E and SDG&amp;E Reply Comments on the Proposed Decision dated </w:t>
      </w:r>
      <w:r w:rsidR="000035A5">
        <w:t>July 14, 2025</w:t>
      </w:r>
      <w:r w:rsidR="00BF3304">
        <w:t>,</w:t>
      </w:r>
      <w:r w:rsidR="000035A5">
        <w:t xml:space="preserve"> at 2, and 1-2, respectively.</w:t>
      </w:r>
    </w:p>
  </w:footnote>
  <w:footnote w:id="45">
    <w:p w14:paraId="7C8CC9C3" w14:textId="24CAA150" w:rsidR="006C0096" w:rsidRDefault="006C0096">
      <w:pPr>
        <w:pStyle w:val="FootnoteText"/>
      </w:pPr>
      <w:r>
        <w:rPr>
          <w:rStyle w:val="FootnoteReference"/>
        </w:rPr>
        <w:footnoteRef/>
      </w:r>
      <w:r>
        <w:t xml:space="preserve"> AReM Opening Brief dated February 3, 2025, at 4; PG&amp;E Opening Brief dated February 3, 2025, at 10-11; SCE Opening Brief dated February 3, 2025, at 9-10, citing Exhibit PGE-07 at 11; SDG&amp;E Opening Brief dated February 3, 2025</w:t>
      </w:r>
      <w:r w:rsidR="001F38A5">
        <w:t>,</w:t>
      </w:r>
      <w:r>
        <w:t xml:space="preserve"> at </w:t>
      </w:r>
      <w:r w:rsidR="001F38A5">
        <w:t>6.</w:t>
      </w:r>
    </w:p>
  </w:footnote>
  <w:footnote w:id="46">
    <w:p w14:paraId="647ECDF2" w14:textId="722CC581" w:rsidR="003E78B9" w:rsidRDefault="003E78B9">
      <w:pPr>
        <w:pStyle w:val="FootnoteText"/>
      </w:pPr>
      <w:r>
        <w:rPr>
          <w:rStyle w:val="FootnoteReference"/>
        </w:rPr>
        <w:footnoteRef/>
      </w:r>
      <w:r>
        <w:t xml:space="preserve"> SCE Opening Comments on the August 1, 2023, Ruling at 3-4; PG&amp;E Opening Comments on the August 1, 2023</w:t>
      </w:r>
      <w:r w:rsidR="00BA0F20">
        <w:t>,</w:t>
      </w:r>
      <w:r>
        <w:t xml:space="preserve"> Ruling at 3-5; </w:t>
      </w:r>
      <w:r w:rsidR="008032B2">
        <w:t>SDG&amp;E Opening Comments on the August 1, 2023, Ruling at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BA90" w14:textId="7FA1CBDA" w:rsidR="00FE2351" w:rsidRDefault="0093065C" w:rsidP="00EE4315">
    <w:pPr>
      <w:pStyle w:val="Header"/>
      <w:tabs>
        <w:tab w:val="clear" w:pos="4680"/>
      </w:tabs>
      <w:ind w:firstLine="0"/>
      <w:rPr>
        <w:b/>
      </w:rPr>
    </w:pPr>
    <w:r>
      <w:t>A.23-05-012 et al.</w:t>
    </w:r>
    <w:r w:rsidR="00972688">
      <w:t xml:space="preserve"> ALJ</w:t>
    </w:r>
    <w:r>
      <w:t>/CS8/</w:t>
    </w:r>
    <w:proofErr w:type="spellStart"/>
    <w:r>
      <w:t>asf</w:t>
    </w:r>
    <w:proofErr w:type="spellEnd"/>
    <w:r w:rsidR="00FE2351">
      <w:tab/>
    </w:r>
    <w:r w:rsidR="00FE2351">
      <w:rPr>
        <w:b/>
      </w:rPr>
      <w:t>PROPOSED DECISION</w:t>
    </w:r>
    <w:r w:rsidR="0064056E">
      <w:rPr>
        <w:b/>
      </w:rPr>
      <w:t xml:space="preserve"> (Rev. 1)</w:t>
    </w:r>
  </w:p>
  <w:p w14:paraId="2C99BBEB" w14:textId="77777777" w:rsidR="0093065C" w:rsidRDefault="0093065C" w:rsidP="00B3087D">
    <w:pPr>
      <w:pStyle w:val="Header"/>
      <w:tabs>
        <w:tab w:val="clear" w:pos="4680"/>
      </w:tabs>
      <w:ind w:firstLine="0"/>
      <w:rPr>
        <w:i/>
        <w:color w:val="FF0000"/>
      </w:rPr>
    </w:pPr>
  </w:p>
  <w:p w14:paraId="237E2FB3" w14:textId="77777777" w:rsidR="0093065C" w:rsidRPr="00B3087D" w:rsidRDefault="0093065C" w:rsidP="00B3087D">
    <w:pPr>
      <w:pStyle w:val="Header"/>
      <w:tabs>
        <w:tab w:val="clear" w:pos="4680"/>
      </w:tabs>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2719" w14:textId="77777777" w:rsidR="00D45BBF" w:rsidRDefault="00D45BBF" w:rsidP="00F92385">
    <w:pPr>
      <w:pStyle w:val="Header"/>
      <w:ind w:firstLine="0"/>
      <w:rPr>
        <w:i/>
        <w:color w:val="FF0000"/>
      </w:rPr>
    </w:pPr>
  </w:p>
  <w:p w14:paraId="7A61B4A2" w14:textId="77777777" w:rsidR="00D45BBF" w:rsidRPr="00F92385" w:rsidRDefault="00D45BBF" w:rsidP="00F92385">
    <w:pPr>
      <w:pStyle w:val="Header"/>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4DF7486B"/>
    <w:multiLevelType w:val="hybridMultilevel"/>
    <w:tmpl w:val="D8966B36"/>
    <w:lvl w:ilvl="0" w:tplc="7AEC4E38">
      <w:start w:val="1"/>
      <w:numFmt w:val="decimal"/>
      <w:lvlText w:val="%1."/>
      <w:lvlJc w:val="left"/>
      <w:pPr>
        <w:ind w:left="1080" w:hanging="360"/>
      </w:pPr>
      <w:rPr>
        <w:rFonts w:hint="default"/>
        <w:b w:val="0"/>
        <w:i w:val="0"/>
        <w:caps w:val="0"/>
        <w:strike w:val="0"/>
        <w:dstrike w:val="0"/>
        <w:vanish w:val="0"/>
        <w:kern w:val="0"/>
        <w:position w:val="0"/>
        <w:sz w:val="26"/>
        <w:vertAlign w:val="baseline"/>
        <w14:ligatures w14:val="none"/>
        <w14:numSpacing w14:val="default"/>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61A25780"/>
    <w:multiLevelType w:val="multilevel"/>
    <w:tmpl w:val="3C526EDE"/>
    <w:numStyleLink w:val="Headings"/>
  </w:abstractNum>
  <w:abstractNum w:abstractNumId="1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A0AFE"/>
    <w:multiLevelType w:val="multilevel"/>
    <w:tmpl w:val="18F4A5AC"/>
    <w:numStyleLink w:val="FoFCoLOP"/>
  </w:abstractNum>
  <w:num w:numId="1" w16cid:durableId="1354526949">
    <w:abstractNumId w:val="12"/>
  </w:num>
  <w:num w:numId="2" w16cid:durableId="140774137">
    <w:abstractNumId w:val="1"/>
  </w:num>
  <w:num w:numId="3" w16cid:durableId="1898543446">
    <w:abstractNumId w:val="11"/>
  </w:num>
  <w:num w:numId="4" w16cid:durableId="701521005">
    <w:abstractNumId w:val="2"/>
  </w:num>
  <w:num w:numId="5" w16cid:durableId="2017029027">
    <w:abstractNumId w:val="15"/>
  </w:num>
  <w:num w:numId="6" w16cid:durableId="973756952">
    <w:abstractNumId w:val="9"/>
  </w:num>
  <w:num w:numId="7" w16cid:durableId="827667741">
    <w:abstractNumId w:val="5"/>
  </w:num>
  <w:num w:numId="8" w16cid:durableId="1760327020">
    <w:abstractNumId w:val="14"/>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8"/>
  </w:num>
  <w:num w:numId="15" w16cid:durableId="1714382259">
    <w:abstractNumId w:val="13"/>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num>
  <w:num w:numId="16" w16cid:durableId="548107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3"/>
  </w:num>
  <w:num w:numId="18" w16cid:durableId="337466427">
    <w:abstractNumId w:val="10"/>
  </w:num>
  <w:num w:numId="19" w16cid:durableId="1510095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A5"/>
    <w:rsid w:val="00000F6A"/>
    <w:rsid w:val="00001018"/>
    <w:rsid w:val="000035A5"/>
    <w:rsid w:val="000145C9"/>
    <w:rsid w:val="0002380A"/>
    <w:rsid w:val="00025BB0"/>
    <w:rsid w:val="000333D2"/>
    <w:rsid w:val="00035BB5"/>
    <w:rsid w:val="00036956"/>
    <w:rsid w:val="00040DC6"/>
    <w:rsid w:val="00044429"/>
    <w:rsid w:val="00046B9A"/>
    <w:rsid w:val="00051566"/>
    <w:rsid w:val="00055D2B"/>
    <w:rsid w:val="000561DA"/>
    <w:rsid w:val="00056CDC"/>
    <w:rsid w:val="00057602"/>
    <w:rsid w:val="0005789A"/>
    <w:rsid w:val="00060A97"/>
    <w:rsid w:val="00060BEA"/>
    <w:rsid w:val="000671EF"/>
    <w:rsid w:val="0007115A"/>
    <w:rsid w:val="00071577"/>
    <w:rsid w:val="00073F61"/>
    <w:rsid w:val="00075AFC"/>
    <w:rsid w:val="00076FBC"/>
    <w:rsid w:val="00077657"/>
    <w:rsid w:val="00077A56"/>
    <w:rsid w:val="0008271B"/>
    <w:rsid w:val="00084F8F"/>
    <w:rsid w:val="00087EE8"/>
    <w:rsid w:val="000973C8"/>
    <w:rsid w:val="000A1F3A"/>
    <w:rsid w:val="000A2AA9"/>
    <w:rsid w:val="000A56F2"/>
    <w:rsid w:val="000A592A"/>
    <w:rsid w:val="000A5F1A"/>
    <w:rsid w:val="000A6E05"/>
    <w:rsid w:val="000B12FA"/>
    <w:rsid w:val="000B2A95"/>
    <w:rsid w:val="000C08BF"/>
    <w:rsid w:val="000C3B9A"/>
    <w:rsid w:val="000D25A8"/>
    <w:rsid w:val="000D705B"/>
    <w:rsid w:val="000E270A"/>
    <w:rsid w:val="000E4C53"/>
    <w:rsid w:val="000E517E"/>
    <w:rsid w:val="000F2C6F"/>
    <w:rsid w:val="000F3D55"/>
    <w:rsid w:val="000F4571"/>
    <w:rsid w:val="000F48C6"/>
    <w:rsid w:val="000F4B5E"/>
    <w:rsid w:val="0011148B"/>
    <w:rsid w:val="00121089"/>
    <w:rsid w:val="00123912"/>
    <w:rsid w:val="00123CA7"/>
    <w:rsid w:val="00126C08"/>
    <w:rsid w:val="0016156C"/>
    <w:rsid w:val="00174A5C"/>
    <w:rsid w:val="001819AF"/>
    <w:rsid w:val="00184A8F"/>
    <w:rsid w:val="00190415"/>
    <w:rsid w:val="00196F0D"/>
    <w:rsid w:val="001A25F1"/>
    <w:rsid w:val="001A5EBB"/>
    <w:rsid w:val="001B4C51"/>
    <w:rsid w:val="001C0EA3"/>
    <w:rsid w:val="001C363F"/>
    <w:rsid w:val="001C4A78"/>
    <w:rsid w:val="001E2A62"/>
    <w:rsid w:val="001E3215"/>
    <w:rsid w:val="001F2819"/>
    <w:rsid w:val="001F38A5"/>
    <w:rsid w:val="001F4618"/>
    <w:rsid w:val="002043EC"/>
    <w:rsid w:val="002138FF"/>
    <w:rsid w:val="00214AF5"/>
    <w:rsid w:val="00222AAC"/>
    <w:rsid w:val="002235B0"/>
    <w:rsid w:val="00225AE3"/>
    <w:rsid w:val="00230BC0"/>
    <w:rsid w:val="00231627"/>
    <w:rsid w:val="00234F89"/>
    <w:rsid w:val="00237000"/>
    <w:rsid w:val="00240B38"/>
    <w:rsid w:val="002425D2"/>
    <w:rsid w:val="00243DC0"/>
    <w:rsid w:val="002441ED"/>
    <w:rsid w:val="00247477"/>
    <w:rsid w:val="00247F32"/>
    <w:rsid w:val="002514E1"/>
    <w:rsid w:val="0025263A"/>
    <w:rsid w:val="0025487F"/>
    <w:rsid w:val="00256068"/>
    <w:rsid w:val="002606D7"/>
    <w:rsid w:val="00263F1E"/>
    <w:rsid w:val="00265DFD"/>
    <w:rsid w:val="002661A1"/>
    <w:rsid w:val="00267776"/>
    <w:rsid w:val="00270440"/>
    <w:rsid w:val="00280946"/>
    <w:rsid w:val="0028132B"/>
    <w:rsid w:val="00281DFC"/>
    <w:rsid w:val="002837C1"/>
    <w:rsid w:val="00284AFD"/>
    <w:rsid w:val="00284D8D"/>
    <w:rsid w:val="00287BC5"/>
    <w:rsid w:val="002903E2"/>
    <w:rsid w:val="00293DEE"/>
    <w:rsid w:val="0029557F"/>
    <w:rsid w:val="00295B58"/>
    <w:rsid w:val="002A0B5D"/>
    <w:rsid w:val="002A372D"/>
    <w:rsid w:val="002A7575"/>
    <w:rsid w:val="002B0F26"/>
    <w:rsid w:val="002B32AA"/>
    <w:rsid w:val="002B49CB"/>
    <w:rsid w:val="002C7FE9"/>
    <w:rsid w:val="002D0C78"/>
    <w:rsid w:val="002D0DC5"/>
    <w:rsid w:val="002D33DB"/>
    <w:rsid w:val="002D4B58"/>
    <w:rsid w:val="002D4EFD"/>
    <w:rsid w:val="002D6D7D"/>
    <w:rsid w:val="002E11AB"/>
    <w:rsid w:val="002E6767"/>
    <w:rsid w:val="002E69F2"/>
    <w:rsid w:val="002F33DF"/>
    <w:rsid w:val="002F40AA"/>
    <w:rsid w:val="002F5F21"/>
    <w:rsid w:val="003039C7"/>
    <w:rsid w:val="0030667E"/>
    <w:rsid w:val="003109DB"/>
    <w:rsid w:val="00311D48"/>
    <w:rsid w:val="00314945"/>
    <w:rsid w:val="00315A97"/>
    <w:rsid w:val="00316071"/>
    <w:rsid w:val="0033034E"/>
    <w:rsid w:val="00336069"/>
    <w:rsid w:val="00343E5C"/>
    <w:rsid w:val="0034465C"/>
    <w:rsid w:val="00344FB8"/>
    <w:rsid w:val="00345ABB"/>
    <w:rsid w:val="0035711A"/>
    <w:rsid w:val="0036017B"/>
    <w:rsid w:val="00362562"/>
    <w:rsid w:val="00362755"/>
    <w:rsid w:val="00371EBE"/>
    <w:rsid w:val="00373B93"/>
    <w:rsid w:val="00374085"/>
    <w:rsid w:val="00374E59"/>
    <w:rsid w:val="0037576D"/>
    <w:rsid w:val="0037686D"/>
    <w:rsid w:val="00376E55"/>
    <w:rsid w:val="00380C0F"/>
    <w:rsid w:val="00380CD1"/>
    <w:rsid w:val="0039398E"/>
    <w:rsid w:val="00394866"/>
    <w:rsid w:val="003958BE"/>
    <w:rsid w:val="003A02CA"/>
    <w:rsid w:val="003A38F0"/>
    <w:rsid w:val="003B4D50"/>
    <w:rsid w:val="003C1EC7"/>
    <w:rsid w:val="003D08CE"/>
    <w:rsid w:val="003E78B9"/>
    <w:rsid w:val="003E7FB3"/>
    <w:rsid w:val="003F069A"/>
    <w:rsid w:val="003F4329"/>
    <w:rsid w:val="00400798"/>
    <w:rsid w:val="00405377"/>
    <w:rsid w:val="00406C28"/>
    <w:rsid w:val="00412534"/>
    <w:rsid w:val="0041294B"/>
    <w:rsid w:val="00412C83"/>
    <w:rsid w:val="0041586D"/>
    <w:rsid w:val="00415A75"/>
    <w:rsid w:val="00417407"/>
    <w:rsid w:val="00425C4E"/>
    <w:rsid w:val="00426014"/>
    <w:rsid w:val="0042607E"/>
    <w:rsid w:val="00426FD6"/>
    <w:rsid w:val="00431D96"/>
    <w:rsid w:val="004356FE"/>
    <w:rsid w:val="0044617E"/>
    <w:rsid w:val="00446642"/>
    <w:rsid w:val="0045339F"/>
    <w:rsid w:val="00454BF2"/>
    <w:rsid w:val="0046078B"/>
    <w:rsid w:val="00460B7D"/>
    <w:rsid w:val="00462749"/>
    <w:rsid w:val="0047011A"/>
    <w:rsid w:val="004755A8"/>
    <w:rsid w:val="00480B1A"/>
    <w:rsid w:val="00480CB0"/>
    <w:rsid w:val="00483603"/>
    <w:rsid w:val="0049382F"/>
    <w:rsid w:val="004A1EAD"/>
    <w:rsid w:val="004A47BE"/>
    <w:rsid w:val="004B34EA"/>
    <w:rsid w:val="004B5318"/>
    <w:rsid w:val="004B5494"/>
    <w:rsid w:val="004C1D6D"/>
    <w:rsid w:val="004C2158"/>
    <w:rsid w:val="004C24F6"/>
    <w:rsid w:val="004C2D92"/>
    <w:rsid w:val="004C3C66"/>
    <w:rsid w:val="004C646C"/>
    <w:rsid w:val="004C70A5"/>
    <w:rsid w:val="004C7A2B"/>
    <w:rsid w:val="004C7D3A"/>
    <w:rsid w:val="004D0526"/>
    <w:rsid w:val="004E2040"/>
    <w:rsid w:val="004E3F2D"/>
    <w:rsid w:val="004E5273"/>
    <w:rsid w:val="004F01A9"/>
    <w:rsid w:val="004F3237"/>
    <w:rsid w:val="004F5C1C"/>
    <w:rsid w:val="005018A8"/>
    <w:rsid w:val="00504C3D"/>
    <w:rsid w:val="00505A39"/>
    <w:rsid w:val="0051360D"/>
    <w:rsid w:val="00513E89"/>
    <w:rsid w:val="00514D32"/>
    <w:rsid w:val="00523F87"/>
    <w:rsid w:val="005240BF"/>
    <w:rsid w:val="00524EBD"/>
    <w:rsid w:val="00531EF0"/>
    <w:rsid w:val="00533385"/>
    <w:rsid w:val="00542F87"/>
    <w:rsid w:val="005457C5"/>
    <w:rsid w:val="00547412"/>
    <w:rsid w:val="005646CD"/>
    <w:rsid w:val="00571D9C"/>
    <w:rsid w:val="005726CE"/>
    <w:rsid w:val="0058079C"/>
    <w:rsid w:val="00582512"/>
    <w:rsid w:val="0058254B"/>
    <w:rsid w:val="005834D7"/>
    <w:rsid w:val="00585390"/>
    <w:rsid w:val="00587AA2"/>
    <w:rsid w:val="00592604"/>
    <w:rsid w:val="005939A5"/>
    <w:rsid w:val="0059483F"/>
    <w:rsid w:val="005A0E4F"/>
    <w:rsid w:val="005A148C"/>
    <w:rsid w:val="005A41AB"/>
    <w:rsid w:val="005A6C05"/>
    <w:rsid w:val="005B7146"/>
    <w:rsid w:val="005C0CD8"/>
    <w:rsid w:val="005C17E1"/>
    <w:rsid w:val="005C4747"/>
    <w:rsid w:val="005C58FA"/>
    <w:rsid w:val="005D1E9B"/>
    <w:rsid w:val="005D2421"/>
    <w:rsid w:val="005D5546"/>
    <w:rsid w:val="005E11A1"/>
    <w:rsid w:val="005F0DED"/>
    <w:rsid w:val="005F7E9D"/>
    <w:rsid w:val="006007A7"/>
    <w:rsid w:val="00603238"/>
    <w:rsid w:val="00605418"/>
    <w:rsid w:val="0060686E"/>
    <w:rsid w:val="006162CF"/>
    <w:rsid w:val="006170B6"/>
    <w:rsid w:val="006218AE"/>
    <w:rsid w:val="00623CE5"/>
    <w:rsid w:val="00632207"/>
    <w:rsid w:val="006328CE"/>
    <w:rsid w:val="0063491C"/>
    <w:rsid w:val="00634FEB"/>
    <w:rsid w:val="006351BE"/>
    <w:rsid w:val="0063536D"/>
    <w:rsid w:val="0064056E"/>
    <w:rsid w:val="006415A5"/>
    <w:rsid w:val="00641A5C"/>
    <w:rsid w:val="00657A87"/>
    <w:rsid w:val="00661AFE"/>
    <w:rsid w:val="00664CAD"/>
    <w:rsid w:val="006654CB"/>
    <w:rsid w:val="00665E31"/>
    <w:rsid w:val="00666BD4"/>
    <w:rsid w:val="006674CD"/>
    <w:rsid w:val="00673047"/>
    <w:rsid w:val="006800D2"/>
    <w:rsid w:val="00680F19"/>
    <w:rsid w:val="00681F8A"/>
    <w:rsid w:val="00683B2C"/>
    <w:rsid w:val="0068407A"/>
    <w:rsid w:val="0069298A"/>
    <w:rsid w:val="0069761B"/>
    <w:rsid w:val="006A3DD6"/>
    <w:rsid w:val="006A46EC"/>
    <w:rsid w:val="006B6229"/>
    <w:rsid w:val="006B7AFF"/>
    <w:rsid w:val="006C0096"/>
    <w:rsid w:val="006C1F10"/>
    <w:rsid w:val="006C4D75"/>
    <w:rsid w:val="006C7981"/>
    <w:rsid w:val="006D4E6F"/>
    <w:rsid w:val="006D6C8F"/>
    <w:rsid w:val="006E5421"/>
    <w:rsid w:val="006E5E28"/>
    <w:rsid w:val="006E6574"/>
    <w:rsid w:val="006F2AF3"/>
    <w:rsid w:val="006F3236"/>
    <w:rsid w:val="0070480E"/>
    <w:rsid w:val="0070504F"/>
    <w:rsid w:val="00713922"/>
    <w:rsid w:val="00714CF2"/>
    <w:rsid w:val="007156B9"/>
    <w:rsid w:val="00720817"/>
    <w:rsid w:val="00722075"/>
    <w:rsid w:val="00722850"/>
    <w:rsid w:val="0072376D"/>
    <w:rsid w:val="00726044"/>
    <w:rsid w:val="00727F18"/>
    <w:rsid w:val="00730055"/>
    <w:rsid w:val="0073013D"/>
    <w:rsid w:val="0073353F"/>
    <w:rsid w:val="007357D3"/>
    <w:rsid w:val="00735A91"/>
    <w:rsid w:val="00742E45"/>
    <w:rsid w:val="007447AF"/>
    <w:rsid w:val="007477DF"/>
    <w:rsid w:val="00750816"/>
    <w:rsid w:val="00753857"/>
    <w:rsid w:val="007644F1"/>
    <w:rsid w:val="007657C1"/>
    <w:rsid w:val="00771EE2"/>
    <w:rsid w:val="00773B47"/>
    <w:rsid w:val="0077755F"/>
    <w:rsid w:val="007934C0"/>
    <w:rsid w:val="00794427"/>
    <w:rsid w:val="00797D92"/>
    <w:rsid w:val="007A406D"/>
    <w:rsid w:val="007A62B0"/>
    <w:rsid w:val="007A76BA"/>
    <w:rsid w:val="007B4A98"/>
    <w:rsid w:val="007B6B5F"/>
    <w:rsid w:val="007B7585"/>
    <w:rsid w:val="007C0F99"/>
    <w:rsid w:val="007C19A5"/>
    <w:rsid w:val="007C5A0C"/>
    <w:rsid w:val="007C6978"/>
    <w:rsid w:val="007C6BD3"/>
    <w:rsid w:val="007D2F10"/>
    <w:rsid w:val="007D35D4"/>
    <w:rsid w:val="007E0FEE"/>
    <w:rsid w:val="007E131B"/>
    <w:rsid w:val="007E2724"/>
    <w:rsid w:val="007E3AF3"/>
    <w:rsid w:val="007F07AA"/>
    <w:rsid w:val="007F2017"/>
    <w:rsid w:val="008026C6"/>
    <w:rsid w:val="008032B2"/>
    <w:rsid w:val="0080390E"/>
    <w:rsid w:val="00815991"/>
    <w:rsid w:val="008159CF"/>
    <w:rsid w:val="00816E05"/>
    <w:rsid w:val="00821E62"/>
    <w:rsid w:val="00826E80"/>
    <w:rsid w:val="00827EEC"/>
    <w:rsid w:val="008339BB"/>
    <w:rsid w:val="00836312"/>
    <w:rsid w:val="0084138F"/>
    <w:rsid w:val="00842C21"/>
    <w:rsid w:val="00842F79"/>
    <w:rsid w:val="008438CB"/>
    <w:rsid w:val="0084463A"/>
    <w:rsid w:val="00844DD6"/>
    <w:rsid w:val="0084757E"/>
    <w:rsid w:val="00847DB6"/>
    <w:rsid w:val="0085114F"/>
    <w:rsid w:val="008547EF"/>
    <w:rsid w:val="00855C5D"/>
    <w:rsid w:val="00860824"/>
    <w:rsid w:val="00861CA4"/>
    <w:rsid w:val="00863356"/>
    <w:rsid w:val="0086419A"/>
    <w:rsid w:val="0087023B"/>
    <w:rsid w:val="00872452"/>
    <w:rsid w:val="00875F28"/>
    <w:rsid w:val="00892F9B"/>
    <w:rsid w:val="00893625"/>
    <w:rsid w:val="008949D0"/>
    <w:rsid w:val="008A08BF"/>
    <w:rsid w:val="008A179F"/>
    <w:rsid w:val="008A2083"/>
    <w:rsid w:val="008A2161"/>
    <w:rsid w:val="008B0864"/>
    <w:rsid w:val="008B175A"/>
    <w:rsid w:val="008B6127"/>
    <w:rsid w:val="008C00B7"/>
    <w:rsid w:val="008C3CB7"/>
    <w:rsid w:val="008C7413"/>
    <w:rsid w:val="008D16B7"/>
    <w:rsid w:val="008D4101"/>
    <w:rsid w:val="008D728F"/>
    <w:rsid w:val="008E6AE6"/>
    <w:rsid w:val="008F0116"/>
    <w:rsid w:val="008F143D"/>
    <w:rsid w:val="00905637"/>
    <w:rsid w:val="00905FE2"/>
    <w:rsid w:val="009061DF"/>
    <w:rsid w:val="00906A35"/>
    <w:rsid w:val="0093065C"/>
    <w:rsid w:val="00932865"/>
    <w:rsid w:val="00932F59"/>
    <w:rsid w:val="0093328C"/>
    <w:rsid w:val="009347D9"/>
    <w:rsid w:val="0093654D"/>
    <w:rsid w:val="00953393"/>
    <w:rsid w:val="00954E41"/>
    <w:rsid w:val="00955E8F"/>
    <w:rsid w:val="00960D2C"/>
    <w:rsid w:val="00961CE2"/>
    <w:rsid w:val="00961E95"/>
    <w:rsid w:val="00964F37"/>
    <w:rsid w:val="00972688"/>
    <w:rsid w:val="00972BEF"/>
    <w:rsid w:val="00972DB6"/>
    <w:rsid w:val="00973A02"/>
    <w:rsid w:val="00974056"/>
    <w:rsid w:val="009761B8"/>
    <w:rsid w:val="009772E7"/>
    <w:rsid w:val="0098138E"/>
    <w:rsid w:val="00981B4C"/>
    <w:rsid w:val="0098655A"/>
    <w:rsid w:val="00993A7B"/>
    <w:rsid w:val="009A2232"/>
    <w:rsid w:val="009A6E36"/>
    <w:rsid w:val="009A6FEC"/>
    <w:rsid w:val="009A754B"/>
    <w:rsid w:val="009D3D58"/>
    <w:rsid w:val="009E1C83"/>
    <w:rsid w:val="009E5F41"/>
    <w:rsid w:val="009E6052"/>
    <w:rsid w:val="009E7C7F"/>
    <w:rsid w:val="009F0A4B"/>
    <w:rsid w:val="009F3892"/>
    <w:rsid w:val="00A0607E"/>
    <w:rsid w:val="00A0676A"/>
    <w:rsid w:val="00A10BC5"/>
    <w:rsid w:val="00A1276F"/>
    <w:rsid w:val="00A12AB3"/>
    <w:rsid w:val="00A131A5"/>
    <w:rsid w:val="00A1355C"/>
    <w:rsid w:val="00A1394F"/>
    <w:rsid w:val="00A15407"/>
    <w:rsid w:val="00A17CE0"/>
    <w:rsid w:val="00A208AE"/>
    <w:rsid w:val="00A21130"/>
    <w:rsid w:val="00A214F0"/>
    <w:rsid w:val="00A23D48"/>
    <w:rsid w:val="00A24821"/>
    <w:rsid w:val="00A27646"/>
    <w:rsid w:val="00A33389"/>
    <w:rsid w:val="00A33722"/>
    <w:rsid w:val="00A35AAB"/>
    <w:rsid w:val="00A42306"/>
    <w:rsid w:val="00A42332"/>
    <w:rsid w:val="00A44E8D"/>
    <w:rsid w:val="00A45376"/>
    <w:rsid w:val="00A46EA8"/>
    <w:rsid w:val="00A479CA"/>
    <w:rsid w:val="00A52478"/>
    <w:rsid w:val="00A53337"/>
    <w:rsid w:val="00A55ACD"/>
    <w:rsid w:val="00A6266B"/>
    <w:rsid w:val="00A64DF8"/>
    <w:rsid w:val="00A65289"/>
    <w:rsid w:val="00A65E51"/>
    <w:rsid w:val="00A74F7C"/>
    <w:rsid w:val="00A76394"/>
    <w:rsid w:val="00A81B68"/>
    <w:rsid w:val="00A83B45"/>
    <w:rsid w:val="00A84B57"/>
    <w:rsid w:val="00A85D27"/>
    <w:rsid w:val="00A92A81"/>
    <w:rsid w:val="00A96ECF"/>
    <w:rsid w:val="00A97B7B"/>
    <w:rsid w:val="00AA157C"/>
    <w:rsid w:val="00AA26E0"/>
    <w:rsid w:val="00AA28C6"/>
    <w:rsid w:val="00AB2080"/>
    <w:rsid w:val="00AB26A7"/>
    <w:rsid w:val="00AB7875"/>
    <w:rsid w:val="00AC0810"/>
    <w:rsid w:val="00AC0B2E"/>
    <w:rsid w:val="00AC1907"/>
    <w:rsid w:val="00AC22C9"/>
    <w:rsid w:val="00AC2FEC"/>
    <w:rsid w:val="00AC39F7"/>
    <w:rsid w:val="00AC68EE"/>
    <w:rsid w:val="00AD043A"/>
    <w:rsid w:val="00AD1818"/>
    <w:rsid w:val="00AD19AA"/>
    <w:rsid w:val="00AD3C0A"/>
    <w:rsid w:val="00AD6BD9"/>
    <w:rsid w:val="00AD70D6"/>
    <w:rsid w:val="00AE2656"/>
    <w:rsid w:val="00AE56BC"/>
    <w:rsid w:val="00AF2E46"/>
    <w:rsid w:val="00AF3213"/>
    <w:rsid w:val="00AF5DA9"/>
    <w:rsid w:val="00AF7C67"/>
    <w:rsid w:val="00B0069C"/>
    <w:rsid w:val="00B00BD3"/>
    <w:rsid w:val="00B01F7E"/>
    <w:rsid w:val="00B03FF0"/>
    <w:rsid w:val="00B05E11"/>
    <w:rsid w:val="00B07919"/>
    <w:rsid w:val="00B13746"/>
    <w:rsid w:val="00B14F23"/>
    <w:rsid w:val="00B16C2A"/>
    <w:rsid w:val="00B17147"/>
    <w:rsid w:val="00B17A61"/>
    <w:rsid w:val="00B17D77"/>
    <w:rsid w:val="00B24E18"/>
    <w:rsid w:val="00B3087D"/>
    <w:rsid w:val="00B34794"/>
    <w:rsid w:val="00B36A24"/>
    <w:rsid w:val="00B37CE4"/>
    <w:rsid w:val="00B51654"/>
    <w:rsid w:val="00B5336A"/>
    <w:rsid w:val="00B60421"/>
    <w:rsid w:val="00B70B6D"/>
    <w:rsid w:val="00B77977"/>
    <w:rsid w:val="00B80C03"/>
    <w:rsid w:val="00B80FA5"/>
    <w:rsid w:val="00B81EB6"/>
    <w:rsid w:val="00B93248"/>
    <w:rsid w:val="00B97FA0"/>
    <w:rsid w:val="00BA0713"/>
    <w:rsid w:val="00BA0F20"/>
    <w:rsid w:val="00BA7808"/>
    <w:rsid w:val="00BB0243"/>
    <w:rsid w:val="00BC44E4"/>
    <w:rsid w:val="00BC53DC"/>
    <w:rsid w:val="00BC7285"/>
    <w:rsid w:val="00BD0394"/>
    <w:rsid w:val="00BD1311"/>
    <w:rsid w:val="00BD2151"/>
    <w:rsid w:val="00BE56E4"/>
    <w:rsid w:val="00BF01EA"/>
    <w:rsid w:val="00BF0FA4"/>
    <w:rsid w:val="00BF3304"/>
    <w:rsid w:val="00C03F94"/>
    <w:rsid w:val="00C06DDD"/>
    <w:rsid w:val="00C078CC"/>
    <w:rsid w:val="00C10B5F"/>
    <w:rsid w:val="00C10BAB"/>
    <w:rsid w:val="00C12550"/>
    <w:rsid w:val="00C16C45"/>
    <w:rsid w:val="00C170BD"/>
    <w:rsid w:val="00C175CC"/>
    <w:rsid w:val="00C3345C"/>
    <w:rsid w:val="00C34899"/>
    <w:rsid w:val="00C361B2"/>
    <w:rsid w:val="00C36985"/>
    <w:rsid w:val="00C46782"/>
    <w:rsid w:val="00C5126A"/>
    <w:rsid w:val="00C516CE"/>
    <w:rsid w:val="00C565EA"/>
    <w:rsid w:val="00C64AD6"/>
    <w:rsid w:val="00C737F2"/>
    <w:rsid w:val="00C878D5"/>
    <w:rsid w:val="00C87B50"/>
    <w:rsid w:val="00C9033B"/>
    <w:rsid w:val="00C913A1"/>
    <w:rsid w:val="00C936D7"/>
    <w:rsid w:val="00CA15BB"/>
    <w:rsid w:val="00CA3050"/>
    <w:rsid w:val="00CA4132"/>
    <w:rsid w:val="00CA7801"/>
    <w:rsid w:val="00CB03A6"/>
    <w:rsid w:val="00CB56A7"/>
    <w:rsid w:val="00CC1AA0"/>
    <w:rsid w:val="00CC4F0F"/>
    <w:rsid w:val="00CC6A99"/>
    <w:rsid w:val="00CD3A36"/>
    <w:rsid w:val="00CE4064"/>
    <w:rsid w:val="00CE79D6"/>
    <w:rsid w:val="00CF23A0"/>
    <w:rsid w:val="00D00AA3"/>
    <w:rsid w:val="00D01F1F"/>
    <w:rsid w:val="00D032BC"/>
    <w:rsid w:val="00D0504E"/>
    <w:rsid w:val="00D05210"/>
    <w:rsid w:val="00D07F73"/>
    <w:rsid w:val="00D14844"/>
    <w:rsid w:val="00D1795D"/>
    <w:rsid w:val="00D2041C"/>
    <w:rsid w:val="00D22B5D"/>
    <w:rsid w:val="00D22BAA"/>
    <w:rsid w:val="00D25ADE"/>
    <w:rsid w:val="00D2683C"/>
    <w:rsid w:val="00D307E8"/>
    <w:rsid w:val="00D3103F"/>
    <w:rsid w:val="00D3267D"/>
    <w:rsid w:val="00D37E74"/>
    <w:rsid w:val="00D42F56"/>
    <w:rsid w:val="00D43297"/>
    <w:rsid w:val="00D43C17"/>
    <w:rsid w:val="00D44DB6"/>
    <w:rsid w:val="00D44DE4"/>
    <w:rsid w:val="00D45BBF"/>
    <w:rsid w:val="00D50119"/>
    <w:rsid w:val="00D50B36"/>
    <w:rsid w:val="00D52B8C"/>
    <w:rsid w:val="00D6062E"/>
    <w:rsid w:val="00D72501"/>
    <w:rsid w:val="00D8090B"/>
    <w:rsid w:val="00D82A43"/>
    <w:rsid w:val="00D85819"/>
    <w:rsid w:val="00D871DD"/>
    <w:rsid w:val="00D9334E"/>
    <w:rsid w:val="00DA1D4E"/>
    <w:rsid w:val="00DA28C4"/>
    <w:rsid w:val="00DA6FE9"/>
    <w:rsid w:val="00DA7B5D"/>
    <w:rsid w:val="00DB1407"/>
    <w:rsid w:val="00DB4BA2"/>
    <w:rsid w:val="00DC384F"/>
    <w:rsid w:val="00DC3FDA"/>
    <w:rsid w:val="00DD0C3E"/>
    <w:rsid w:val="00DD1CFD"/>
    <w:rsid w:val="00DD2CDE"/>
    <w:rsid w:val="00DE420A"/>
    <w:rsid w:val="00DE5D4A"/>
    <w:rsid w:val="00DF4445"/>
    <w:rsid w:val="00DF58E7"/>
    <w:rsid w:val="00DF59DF"/>
    <w:rsid w:val="00DF5BCC"/>
    <w:rsid w:val="00E002E4"/>
    <w:rsid w:val="00E11876"/>
    <w:rsid w:val="00E15869"/>
    <w:rsid w:val="00E17D18"/>
    <w:rsid w:val="00E17E8F"/>
    <w:rsid w:val="00E213BE"/>
    <w:rsid w:val="00E23CBB"/>
    <w:rsid w:val="00E247EB"/>
    <w:rsid w:val="00E253C1"/>
    <w:rsid w:val="00E26CF3"/>
    <w:rsid w:val="00E30FF7"/>
    <w:rsid w:val="00E3225F"/>
    <w:rsid w:val="00E36DEC"/>
    <w:rsid w:val="00E37B59"/>
    <w:rsid w:val="00E461F7"/>
    <w:rsid w:val="00E47FF5"/>
    <w:rsid w:val="00E52552"/>
    <w:rsid w:val="00E52EED"/>
    <w:rsid w:val="00E53438"/>
    <w:rsid w:val="00E53F47"/>
    <w:rsid w:val="00E572A3"/>
    <w:rsid w:val="00E57D2C"/>
    <w:rsid w:val="00E60CAC"/>
    <w:rsid w:val="00E725FC"/>
    <w:rsid w:val="00E75A5F"/>
    <w:rsid w:val="00E86324"/>
    <w:rsid w:val="00E90D61"/>
    <w:rsid w:val="00E91916"/>
    <w:rsid w:val="00EA2069"/>
    <w:rsid w:val="00EA36C6"/>
    <w:rsid w:val="00EB2306"/>
    <w:rsid w:val="00EB27CF"/>
    <w:rsid w:val="00EC30F9"/>
    <w:rsid w:val="00EC3252"/>
    <w:rsid w:val="00EC5CAD"/>
    <w:rsid w:val="00EC70C0"/>
    <w:rsid w:val="00ED3EF7"/>
    <w:rsid w:val="00ED4831"/>
    <w:rsid w:val="00ED5725"/>
    <w:rsid w:val="00ED7031"/>
    <w:rsid w:val="00ED79AA"/>
    <w:rsid w:val="00ED7D77"/>
    <w:rsid w:val="00EE3060"/>
    <w:rsid w:val="00EE32A5"/>
    <w:rsid w:val="00EE4315"/>
    <w:rsid w:val="00EE78A4"/>
    <w:rsid w:val="00EE7B90"/>
    <w:rsid w:val="00EF4210"/>
    <w:rsid w:val="00EF5941"/>
    <w:rsid w:val="00EF5A91"/>
    <w:rsid w:val="00EF6925"/>
    <w:rsid w:val="00F07423"/>
    <w:rsid w:val="00F12118"/>
    <w:rsid w:val="00F21E75"/>
    <w:rsid w:val="00F230C5"/>
    <w:rsid w:val="00F25CEF"/>
    <w:rsid w:val="00F26ED3"/>
    <w:rsid w:val="00F30E08"/>
    <w:rsid w:val="00F42CBB"/>
    <w:rsid w:val="00F43788"/>
    <w:rsid w:val="00F5088C"/>
    <w:rsid w:val="00F62B7A"/>
    <w:rsid w:val="00F6397D"/>
    <w:rsid w:val="00F72673"/>
    <w:rsid w:val="00F7293E"/>
    <w:rsid w:val="00F75A12"/>
    <w:rsid w:val="00F76650"/>
    <w:rsid w:val="00F8050C"/>
    <w:rsid w:val="00F86F90"/>
    <w:rsid w:val="00F9048A"/>
    <w:rsid w:val="00F90760"/>
    <w:rsid w:val="00F9187B"/>
    <w:rsid w:val="00F92385"/>
    <w:rsid w:val="00FA1B4F"/>
    <w:rsid w:val="00FC2C30"/>
    <w:rsid w:val="00FC47F9"/>
    <w:rsid w:val="00FD2200"/>
    <w:rsid w:val="00FD2BA4"/>
    <w:rsid w:val="00FD66C0"/>
    <w:rsid w:val="00FD6FF6"/>
    <w:rsid w:val="00FE2351"/>
    <w:rsid w:val="00FE337D"/>
    <w:rsid w:val="00FE4F7E"/>
    <w:rsid w:val="00FE5580"/>
    <w:rsid w:val="00FF110C"/>
    <w:rsid w:val="00FF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F0A4"/>
  <w15:chartTrackingRefBased/>
  <w15:docId w15:val="{7BB990C4-3891-4E36-851F-55428552C0B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spacing w:after="120" w:line="240" w:lineRule="auto"/>
      <w:ind w:firstLine="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character" w:styleId="CommentReference">
    <w:name w:val="annotation reference"/>
    <w:basedOn w:val="DefaultParagraphFont"/>
    <w:uiPriority w:val="99"/>
    <w:semiHidden/>
    <w:unhideWhenUsed/>
    <w:rsid w:val="007934C0"/>
    <w:rPr>
      <w:sz w:val="16"/>
      <w:szCs w:val="16"/>
    </w:rPr>
  </w:style>
  <w:style w:type="paragraph" w:styleId="CommentText">
    <w:name w:val="annotation text"/>
    <w:basedOn w:val="Normal"/>
    <w:link w:val="CommentTextChar"/>
    <w:uiPriority w:val="99"/>
    <w:unhideWhenUsed/>
    <w:rsid w:val="007934C0"/>
    <w:pPr>
      <w:spacing w:line="240" w:lineRule="auto"/>
    </w:pPr>
    <w:rPr>
      <w:sz w:val="20"/>
      <w:szCs w:val="20"/>
    </w:rPr>
  </w:style>
  <w:style w:type="character" w:customStyle="1" w:styleId="CommentTextChar">
    <w:name w:val="Comment Text Char"/>
    <w:basedOn w:val="DefaultParagraphFont"/>
    <w:link w:val="CommentText"/>
    <w:uiPriority w:val="99"/>
    <w:rsid w:val="007934C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934C0"/>
    <w:rPr>
      <w:b/>
      <w:bCs/>
    </w:rPr>
  </w:style>
  <w:style w:type="character" w:customStyle="1" w:styleId="CommentSubjectChar">
    <w:name w:val="Comment Subject Char"/>
    <w:basedOn w:val="CommentTextChar"/>
    <w:link w:val="CommentSubject"/>
    <w:uiPriority w:val="99"/>
    <w:semiHidden/>
    <w:rsid w:val="007934C0"/>
    <w:rPr>
      <w:rFonts w:ascii="Book Antiqua" w:hAnsi="Book Antiqua"/>
      <w:b/>
      <w:bCs/>
      <w:sz w:val="20"/>
      <w:szCs w:val="20"/>
    </w:rPr>
  </w:style>
  <w:style w:type="character" w:styleId="UnresolvedMention">
    <w:name w:val="Unresolved Mention"/>
    <w:basedOn w:val="DefaultParagraphFont"/>
    <w:uiPriority w:val="99"/>
    <w:semiHidden/>
    <w:unhideWhenUsed/>
    <w:rsid w:val="00533385"/>
    <w:rPr>
      <w:color w:val="605E5C"/>
      <w:shd w:val="clear" w:color="auto" w:fill="E1DFDD"/>
    </w:rPr>
  </w:style>
  <w:style w:type="paragraph" w:styleId="Revision">
    <w:name w:val="Revision"/>
    <w:hidden/>
    <w:uiPriority w:val="99"/>
    <w:semiHidden/>
    <w:rsid w:val="00A53337"/>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73/K661/573661620.pdf" TargetMode="External" Id="Ra43502c4a6b84c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3098391F91B540A5A285F2DB1EA6BF" ma:contentTypeVersion="13" ma:contentTypeDescription="Create a new document." ma:contentTypeScope="" ma:versionID="6bca9719c9cf2460a5567ea2ce40284b">
  <xsd:schema xmlns:xsd="http://www.w3.org/2001/XMLSchema" xmlns:xs="http://www.w3.org/2001/XMLSchema" xmlns:p="http://schemas.microsoft.com/office/2006/metadata/properties" xmlns:ns3="862c233c-7adf-477d-960b-16d70d95573f" xmlns:ns4="c3834f5a-7154-4a2e-8150-69fab68a7a59" targetNamespace="http://schemas.microsoft.com/office/2006/metadata/properties" ma:root="true" ma:fieldsID="6ebd488f883c956e60b9634be7b0275b" ns3:_="" ns4:_="">
    <xsd:import namespace="862c233c-7adf-477d-960b-16d70d95573f"/>
    <xsd:import namespace="c3834f5a-7154-4a2e-8150-69fab68a7a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233c-7adf-477d-960b-16d70d955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34f5a-7154-4a2e-8150-69fab68a7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834f5a-7154-4a2e-8150-69fab68a7a59">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862c233c-7adf-477d-960b-16d70d9557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A688336F-9631-4A64-B091-13F0E553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233c-7adf-477d-960b-16d70d95573f"/>
    <ds:schemaRef ds:uri="c3834f5a-7154-4a2e-8150-69fab68a7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3834f5a-7154-4a2e-8150-69fab68a7a59"/>
    <ds:schemaRef ds:uri="862c233c-7adf-477d-960b-16d70d95573f"/>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3919</ap:Words>
  <ap:Characters>22342</ap:Characters>
  <ap:Application>Microsoft Office Word</ap:Application>
  <ap:DocSecurity>0</ap:DocSecurity>
  <ap:Lines>186</ap:Lines>
  <ap:Paragraphs>52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26209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2025-07-18T11:19:00Z</dcterms:created>
  <dcterms:modified xsi:type="dcterms:W3CDTF">2025-07-18T11:19:00Z</dcterms:modified>
</cp:coreProperties>
</file>