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858B3" w:rsidP="005858B3" w:rsidRDefault="005858B3" w14:paraId="6723EBD8" w14:textId="721D246A">
      <w:pPr>
        <w:tabs>
          <w:tab w:val="center" w:pos="4680"/>
          <w:tab w:val="right" w:pos="9360"/>
        </w:tabs>
        <w:spacing w:line="240" w:lineRule="auto"/>
        <w:ind w:firstLine="0"/>
        <w:rPr>
          <w:b/>
        </w:rPr>
      </w:pPr>
      <w:r>
        <w:t>COM/KDL/abb</w:t>
      </w:r>
      <w:r>
        <w:tab/>
      </w:r>
      <w:r>
        <w:tab/>
      </w:r>
      <w:r w:rsidRPr="00F03F72">
        <w:rPr>
          <w:rFonts w:cs="Arial"/>
          <w:b/>
          <w:szCs w:val="26"/>
        </w:rPr>
        <w:t>Date of Issuance</w:t>
      </w:r>
      <w:r>
        <w:rPr>
          <w:rFonts w:cs="Arial"/>
          <w:b/>
          <w:szCs w:val="26"/>
        </w:rPr>
        <w:t>:  8</w:t>
      </w:r>
      <w:r w:rsidRPr="00F03F72">
        <w:rPr>
          <w:rFonts w:cs="Arial"/>
          <w:b/>
          <w:szCs w:val="26"/>
        </w:rPr>
        <w:t>/</w:t>
      </w:r>
      <w:r w:rsidR="00E606BA">
        <w:rPr>
          <w:rFonts w:cs="Arial"/>
          <w:b/>
          <w:szCs w:val="26"/>
        </w:rPr>
        <w:t>1</w:t>
      </w:r>
      <w:r w:rsidRPr="00F03F72">
        <w:rPr>
          <w:rFonts w:cs="Arial"/>
          <w:b/>
          <w:szCs w:val="26"/>
        </w:rPr>
        <w:t>/2025</w:t>
      </w:r>
    </w:p>
    <w:p w:rsidR="005858B3" w:rsidP="005858B3" w:rsidRDefault="005858B3" w14:paraId="09F7F04A" w14:textId="77777777">
      <w:pPr>
        <w:spacing w:line="240" w:lineRule="auto"/>
        <w:ind w:firstLine="0"/>
        <w:rPr>
          <w:b/>
        </w:rPr>
      </w:pPr>
    </w:p>
    <w:p w:rsidR="005858B3" w:rsidP="005858B3" w:rsidRDefault="005858B3" w14:paraId="7E63FB5D" w14:textId="77777777">
      <w:pPr>
        <w:spacing w:line="240" w:lineRule="auto"/>
        <w:ind w:firstLine="0"/>
        <w:rPr>
          <w:b/>
        </w:rPr>
      </w:pPr>
    </w:p>
    <w:p w:rsidR="005858B3" w:rsidP="005858B3" w:rsidRDefault="005858B3" w14:paraId="07CA0FB8" w14:textId="152D1AA5">
      <w:pPr>
        <w:spacing w:line="240" w:lineRule="auto"/>
        <w:ind w:firstLine="0"/>
      </w:pPr>
      <w:r>
        <w:t>Decision </w:t>
      </w:r>
      <w:r w:rsidRPr="00F03F72">
        <w:t>25</w:t>
      </w:r>
      <w:r>
        <w:t>-</w:t>
      </w:r>
      <w:r w:rsidRPr="00F03F72">
        <w:t>07</w:t>
      </w:r>
      <w:r>
        <w:t>-</w:t>
      </w:r>
      <w:r w:rsidRPr="00F03F72">
        <w:t>016</w:t>
      </w:r>
      <w:r>
        <w:t xml:space="preserve">  July, 24, 2025</w:t>
      </w:r>
    </w:p>
    <w:p w:rsidRPr="006D2605" w:rsidR="006D2605" w:rsidP="006D2605" w:rsidRDefault="006D2605" w14:paraId="32ED015A" w14:textId="77777777">
      <w:pPr>
        <w:spacing w:line="240" w:lineRule="auto"/>
        <w:ind w:left="1080" w:hanging="1080"/>
      </w:pPr>
    </w:p>
    <w:p w:rsidR="00DA7B5D" w:rsidP="006D2605" w:rsidRDefault="00DA7B5D" w14:paraId="05725984" w14:textId="77777777">
      <w:pPr>
        <w:spacing w:line="240" w:lineRule="auto"/>
        <w:ind w:firstLine="0"/>
        <w:jc w:val="center"/>
        <w:rPr>
          <w:rFonts w:ascii="Arial" w:hAnsi="Arial" w:cs="Arial"/>
          <w:sz w:val="24"/>
          <w:szCs w:val="24"/>
        </w:rPr>
      </w:pPr>
      <w:r w:rsidRPr="00DA7B5D">
        <w:rPr>
          <w:rFonts w:ascii="Arial" w:hAnsi="Arial" w:cs="Arial"/>
          <w:b/>
          <w:sz w:val="24"/>
          <w:szCs w:val="24"/>
        </w:rPr>
        <w:t>BEFORE THE PUBLIC UTILITIES COMMISSION OF THE STATE OF CALIFORNIA</w:t>
      </w:r>
    </w:p>
    <w:p w:rsidR="00DA7B5D" w:rsidP="008F0116" w:rsidRDefault="00DA7B5D" w14:paraId="0EE0E2F1" w14:textId="77777777">
      <w:pPr>
        <w:spacing w:line="240" w:lineRule="auto"/>
        <w:ind w:firstLine="0"/>
        <w:rPr>
          <w:rFonts w:ascii="Arial" w:hAnsi="Arial" w:cs="Arial"/>
          <w:sz w:val="24"/>
          <w:szCs w:val="24"/>
        </w:rPr>
      </w:pPr>
    </w:p>
    <w:tbl>
      <w:tblPr>
        <w:tblStyle w:val="TableGrid"/>
        <w:tblW w:w="9360" w:type="dxa"/>
        <w:jc w:val="center"/>
        <w:tblLayout w:type="fixed"/>
        <w:tblLook w:val="04A0" w:firstRow="1" w:lastRow="0" w:firstColumn="1" w:lastColumn="0" w:noHBand="0" w:noVBand="1"/>
      </w:tblPr>
      <w:tblGrid>
        <w:gridCol w:w="4680"/>
        <w:gridCol w:w="4680"/>
      </w:tblGrid>
      <w:tr w:rsidR="00DA7B5D" w:rsidTr="00E725FC" w14:paraId="64B29FD4" w14:textId="77777777">
        <w:trPr>
          <w:jc w:val="center"/>
        </w:trPr>
        <w:tc>
          <w:tcPr>
            <w:tcW w:w="5040" w:type="dxa"/>
            <w:tcBorders>
              <w:top w:val="nil"/>
              <w:left w:val="nil"/>
              <w:bottom w:val="single" w:color="auto" w:sz="4" w:space="0"/>
              <w:right w:val="single" w:color="auto" w:sz="4" w:space="0"/>
            </w:tcBorders>
          </w:tcPr>
          <w:p w:rsidRPr="00DA7B5D" w:rsidR="00DA7B5D" w:rsidP="00C10B5F" w:rsidRDefault="00F31C82" w14:paraId="646EDDB0" w14:textId="4B7F0854">
            <w:pPr>
              <w:spacing w:line="240" w:lineRule="auto"/>
              <w:ind w:firstLine="0"/>
              <w:rPr>
                <w:rFonts w:cs="Arial"/>
                <w:szCs w:val="26"/>
              </w:rPr>
            </w:pPr>
            <w:r>
              <w:rPr>
                <w:rFonts w:cs="Arial"/>
                <w:szCs w:val="26"/>
              </w:rPr>
              <w:t>Order Instituting Rulemaking to Establish Policies, Processes, and Rules to Ensure Safe and Reliable Gas Systems in California and Perform Long-Term Gas System Planning.</w:t>
            </w:r>
            <w:r w:rsidRPr="00DA7B5D" w:rsidR="00DA7B5D">
              <w:rPr>
                <w:rFonts w:cs="Arial"/>
                <w:szCs w:val="26"/>
              </w:rPr>
              <w:br/>
            </w:r>
          </w:p>
        </w:tc>
        <w:tc>
          <w:tcPr>
            <w:tcW w:w="5040" w:type="dxa"/>
            <w:tcBorders>
              <w:top w:val="nil"/>
              <w:left w:val="single" w:color="auto" w:sz="4" w:space="0"/>
              <w:bottom w:val="nil"/>
              <w:right w:val="nil"/>
            </w:tcBorders>
            <w:vAlign w:val="center"/>
          </w:tcPr>
          <w:p w:rsidRPr="00DA7B5D" w:rsidR="00DA7B5D" w:rsidP="00412C83" w:rsidRDefault="00F31C82" w14:paraId="0C3B943D" w14:textId="7BB6D7C7">
            <w:pPr>
              <w:spacing w:line="240" w:lineRule="auto"/>
              <w:ind w:firstLine="0"/>
              <w:jc w:val="center"/>
              <w:rPr>
                <w:rFonts w:cs="Arial"/>
                <w:szCs w:val="26"/>
              </w:rPr>
            </w:pPr>
            <w:bookmarkStart w:name="_Hlk199511569" w:id="0"/>
            <w:r>
              <w:rPr>
                <w:rFonts w:cs="Arial"/>
                <w:szCs w:val="26"/>
              </w:rPr>
              <w:t>Rulemaking</w:t>
            </w:r>
            <w:r w:rsidR="00D11568">
              <w:rPr>
                <w:rFonts w:cs="Arial"/>
                <w:szCs w:val="26"/>
              </w:rPr>
              <w:t> </w:t>
            </w:r>
            <w:r>
              <w:rPr>
                <w:rFonts w:cs="Arial"/>
                <w:szCs w:val="26"/>
              </w:rPr>
              <w:t>24-09-012</w:t>
            </w:r>
            <w:bookmarkEnd w:id="0"/>
          </w:p>
        </w:tc>
      </w:tr>
    </w:tbl>
    <w:p w:rsidR="00DA7B5D" w:rsidP="008F0116" w:rsidRDefault="00DA7B5D" w14:paraId="33AA86A5" w14:textId="77777777">
      <w:pPr>
        <w:spacing w:line="240" w:lineRule="auto"/>
        <w:ind w:firstLine="0"/>
        <w:rPr>
          <w:rFonts w:ascii="Arial" w:hAnsi="Arial" w:cs="Arial"/>
          <w:sz w:val="24"/>
          <w:szCs w:val="24"/>
        </w:rPr>
      </w:pPr>
    </w:p>
    <w:p w:rsidR="00DA7B5D" w:rsidP="008F0116" w:rsidRDefault="00DA7B5D" w14:paraId="2FFC40BC" w14:textId="77777777">
      <w:pPr>
        <w:spacing w:line="240" w:lineRule="auto"/>
        <w:ind w:firstLine="0"/>
        <w:rPr>
          <w:rFonts w:ascii="Arial" w:hAnsi="Arial" w:cs="Arial"/>
          <w:sz w:val="24"/>
          <w:szCs w:val="24"/>
        </w:rPr>
      </w:pPr>
    </w:p>
    <w:p w:rsidR="00F92385" w:rsidP="00B3087D" w:rsidRDefault="00890A8E" w14:paraId="50FBD95F" w14:textId="08616D82">
      <w:pPr>
        <w:pStyle w:val="Dummy"/>
        <w:jc w:val="center"/>
      </w:pPr>
      <w:bookmarkStart w:name="_Toc204872316" w:id="1"/>
      <w:bookmarkStart w:name="_Hlk199494128" w:id="2"/>
      <w:r>
        <w:t>DECISION AUTHORIZING GAS UTILITIES TO ESTABLISH MEMORANDUM ACCOUNTS RELATED TO SB</w:t>
      </w:r>
      <w:r w:rsidR="000A1BD2">
        <w:t xml:space="preserve"> </w:t>
      </w:r>
      <w:r>
        <w:t>1221 MAPPING</w:t>
      </w:r>
      <w:bookmarkEnd w:id="1"/>
    </w:p>
    <w:bookmarkEnd w:id="2"/>
    <w:p w:rsidR="006D2605" w:rsidP="006D2605" w:rsidRDefault="006D2605" w14:paraId="64197986" w14:textId="77777777"/>
    <w:p w:rsidR="006D2605" w:rsidP="006D2605" w:rsidRDefault="006D2605" w14:paraId="073EB14D" w14:textId="77777777"/>
    <w:p w:rsidRPr="006D2605" w:rsidR="006D2605" w:rsidP="006D2605" w:rsidRDefault="006D2605" w14:paraId="7B4C2923" w14:textId="2ECA1228">
      <w:pPr>
        <w:sectPr w:rsidRPr="006D2605" w:rsidR="006D2605" w:rsidSect="00D44DB6">
          <w:headerReference w:type="default" r:id="rId11"/>
          <w:footerReference w:type="default" r:id="rId12"/>
          <w:headerReference w:type="first" r:id="rId13"/>
          <w:footerReference w:type="first" r:id="rId14"/>
          <w:footnotePr>
            <w:numRestart w:val="eachSect"/>
          </w:footnotePr>
          <w:pgSz w:w="12240" w:h="15840"/>
          <w:pgMar w:top="1440" w:right="1440" w:bottom="1440" w:left="1440" w:header="720" w:footer="720" w:gutter="0"/>
          <w:cols w:space="720"/>
          <w:titlePg/>
          <w:docGrid w:linePitch="360"/>
        </w:sectPr>
      </w:pPr>
    </w:p>
    <w:p w:rsidRPr="001E2A62" w:rsidR="00D50119" w:rsidP="00F76650" w:rsidRDefault="00D50119" w14:paraId="33D31070" w14:textId="77777777">
      <w:pPr>
        <w:pStyle w:val="Main"/>
        <w:rPr>
          <w:rFonts w:ascii="Book Antiqua" w:hAnsi="Book Antiqua"/>
        </w:rPr>
      </w:pPr>
      <w:r w:rsidRPr="001E2A62">
        <w:rPr>
          <w:rFonts w:ascii="Book Antiqua" w:hAnsi="Book Antiqua"/>
        </w:rPr>
        <w:lastRenderedPageBreak/>
        <w:t>TABLE OF CONTENTS</w:t>
      </w:r>
    </w:p>
    <w:p w:rsidRPr="00D50119" w:rsidR="00D50119" w:rsidP="007E0FEE" w:rsidRDefault="00D50119" w14:paraId="432A61BE" w14:textId="77777777">
      <w:pPr>
        <w:tabs>
          <w:tab w:val="right" w:pos="9360"/>
        </w:tabs>
        <w:ind w:firstLine="0"/>
      </w:pPr>
      <w:r w:rsidRPr="00D50119">
        <w:rPr>
          <w:b/>
        </w:rPr>
        <w:t>Title</w:t>
      </w:r>
      <w:r>
        <w:tab/>
      </w:r>
      <w:r w:rsidRPr="00D50119">
        <w:rPr>
          <w:b/>
        </w:rPr>
        <w:t>Page</w:t>
      </w:r>
    </w:p>
    <w:sdt>
      <w:sdtPr>
        <w:id w:val="-1224440197"/>
        <w:docPartObj>
          <w:docPartGallery w:val="Table of Contents"/>
          <w:docPartUnique/>
        </w:docPartObj>
      </w:sdtPr>
      <w:sdtEndPr>
        <w:rPr>
          <w:b/>
          <w:bCs/>
          <w:noProof/>
        </w:rPr>
      </w:sdtEndPr>
      <w:sdtContent>
        <w:p w:rsidR="005858B3" w:rsidRDefault="008C7413" w14:paraId="1BB60800" w14:textId="1D3166DE">
          <w:pPr>
            <w:pStyle w:val="TOC1"/>
            <w:tabs>
              <w:tab w:val="right" w:leader="dot" w:pos="9350"/>
            </w:tabs>
            <w:rPr>
              <w:rFonts w:asciiTheme="minorHAnsi" w:hAnsiTheme="minorHAnsi" w:cstheme="minorBidi"/>
              <w:noProof/>
              <w:kern w:val="2"/>
              <w:sz w:val="24"/>
              <w:szCs w:val="24"/>
              <w14:ligatures w14:val="standardContextual"/>
            </w:rPr>
          </w:pPr>
          <w:r>
            <w:rPr>
              <w:rFonts w:asciiTheme="minorHAnsi" w:hAnsiTheme="minorHAnsi"/>
              <w:sz w:val="22"/>
            </w:rPr>
            <w:fldChar w:fldCharType="begin"/>
          </w:r>
          <w:r>
            <w:rPr>
              <w:rFonts w:asciiTheme="minorHAnsi" w:hAnsiTheme="minorHAnsi"/>
              <w:sz w:val="22"/>
            </w:rPr>
            <w:instrText xml:space="preserve"> TOC \o "1-6" \h \z \u </w:instrText>
          </w:r>
          <w:r>
            <w:rPr>
              <w:rFonts w:asciiTheme="minorHAnsi" w:hAnsiTheme="minorHAnsi"/>
              <w:sz w:val="22"/>
            </w:rPr>
            <w:fldChar w:fldCharType="separate"/>
          </w:r>
          <w:hyperlink w:history="1" w:anchor="_Toc204872316">
            <w:r w:rsidRPr="009168B4" w:rsidR="005858B3">
              <w:rPr>
                <w:rStyle w:val="Hyperlink"/>
                <w:noProof/>
              </w:rPr>
              <w:t>DECISION AUTHORIZING GAS UTILITIES TO ESTABLISH MEMORANDUM ACCOUNTS RELATED TO SB 1221 MAPPING</w:t>
            </w:r>
            <w:r w:rsidR="005858B3">
              <w:rPr>
                <w:noProof/>
                <w:webHidden/>
              </w:rPr>
              <w:tab/>
            </w:r>
            <w:r w:rsidR="005858B3">
              <w:rPr>
                <w:noProof/>
                <w:webHidden/>
              </w:rPr>
              <w:fldChar w:fldCharType="begin"/>
            </w:r>
            <w:r w:rsidR="005858B3">
              <w:rPr>
                <w:noProof/>
                <w:webHidden/>
              </w:rPr>
              <w:instrText xml:space="preserve"> PAGEREF _Toc204872316 \h </w:instrText>
            </w:r>
            <w:r w:rsidR="005858B3">
              <w:rPr>
                <w:noProof/>
                <w:webHidden/>
              </w:rPr>
            </w:r>
            <w:r w:rsidR="005858B3">
              <w:rPr>
                <w:noProof/>
                <w:webHidden/>
              </w:rPr>
              <w:fldChar w:fldCharType="separate"/>
            </w:r>
            <w:r w:rsidR="005858B3">
              <w:rPr>
                <w:noProof/>
                <w:webHidden/>
              </w:rPr>
              <w:t>1</w:t>
            </w:r>
            <w:r w:rsidR="005858B3">
              <w:rPr>
                <w:noProof/>
                <w:webHidden/>
              </w:rPr>
              <w:fldChar w:fldCharType="end"/>
            </w:r>
          </w:hyperlink>
        </w:p>
        <w:p w:rsidR="005858B3" w:rsidRDefault="005858B3" w14:paraId="315DAA50" w14:textId="4BCE49BF">
          <w:pPr>
            <w:pStyle w:val="TOC1"/>
            <w:tabs>
              <w:tab w:val="right" w:leader="dot" w:pos="9350"/>
            </w:tabs>
            <w:rPr>
              <w:rFonts w:asciiTheme="minorHAnsi" w:hAnsiTheme="minorHAnsi" w:cstheme="minorBidi"/>
              <w:noProof/>
              <w:kern w:val="2"/>
              <w:sz w:val="24"/>
              <w:szCs w:val="24"/>
              <w14:ligatures w14:val="standardContextual"/>
            </w:rPr>
          </w:pPr>
          <w:hyperlink w:history="1" w:anchor="_Toc204872317">
            <w:r w:rsidRPr="009168B4">
              <w:rPr>
                <w:rStyle w:val="Hyperlink"/>
                <w:noProof/>
              </w:rPr>
              <w:t>Summary</w:t>
            </w:r>
            <w:r>
              <w:rPr>
                <w:noProof/>
                <w:webHidden/>
              </w:rPr>
              <w:tab/>
            </w:r>
            <w:r>
              <w:rPr>
                <w:noProof/>
                <w:webHidden/>
              </w:rPr>
              <w:fldChar w:fldCharType="begin"/>
            </w:r>
            <w:r>
              <w:rPr>
                <w:noProof/>
                <w:webHidden/>
              </w:rPr>
              <w:instrText xml:space="preserve"> PAGEREF _Toc204872317 \h </w:instrText>
            </w:r>
            <w:r>
              <w:rPr>
                <w:noProof/>
                <w:webHidden/>
              </w:rPr>
            </w:r>
            <w:r>
              <w:rPr>
                <w:noProof/>
                <w:webHidden/>
              </w:rPr>
              <w:fldChar w:fldCharType="separate"/>
            </w:r>
            <w:r>
              <w:rPr>
                <w:noProof/>
                <w:webHidden/>
              </w:rPr>
              <w:t>2</w:t>
            </w:r>
            <w:r>
              <w:rPr>
                <w:noProof/>
                <w:webHidden/>
              </w:rPr>
              <w:fldChar w:fldCharType="end"/>
            </w:r>
          </w:hyperlink>
        </w:p>
        <w:p w:rsidR="005858B3" w:rsidRDefault="005858B3" w14:paraId="715B8F62" w14:textId="673E1CA8">
          <w:pPr>
            <w:pStyle w:val="TOC1"/>
            <w:tabs>
              <w:tab w:val="right" w:leader="dot" w:pos="9350"/>
            </w:tabs>
            <w:rPr>
              <w:rFonts w:asciiTheme="minorHAnsi" w:hAnsiTheme="minorHAnsi" w:cstheme="minorBidi"/>
              <w:noProof/>
              <w:kern w:val="2"/>
              <w:sz w:val="24"/>
              <w:szCs w:val="24"/>
              <w14:ligatures w14:val="standardContextual"/>
            </w:rPr>
          </w:pPr>
          <w:hyperlink w:history="1" w:anchor="_Toc204872318">
            <w:r w:rsidRPr="009168B4">
              <w:rPr>
                <w:rStyle w:val="Hyperlink"/>
                <w:noProof/>
              </w:rPr>
              <w:t>1.</w:t>
            </w:r>
            <w:r>
              <w:rPr>
                <w:rFonts w:asciiTheme="minorHAnsi" w:hAnsiTheme="minorHAnsi" w:cstheme="minorBidi"/>
                <w:noProof/>
                <w:kern w:val="2"/>
                <w:sz w:val="24"/>
                <w:szCs w:val="24"/>
                <w14:ligatures w14:val="standardContextual"/>
              </w:rPr>
              <w:tab/>
            </w:r>
            <w:r w:rsidRPr="009168B4">
              <w:rPr>
                <w:rStyle w:val="Hyperlink"/>
                <w:noProof/>
              </w:rPr>
              <w:t>Background</w:t>
            </w:r>
            <w:r>
              <w:rPr>
                <w:noProof/>
                <w:webHidden/>
              </w:rPr>
              <w:tab/>
            </w:r>
            <w:r>
              <w:rPr>
                <w:noProof/>
                <w:webHidden/>
              </w:rPr>
              <w:fldChar w:fldCharType="begin"/>
            </w:r>
            <w:r>
              <w:rPr>
                <w:noProof/>
                <w:webHidden/>
              </w:rPr>
              <w:instrText xml:space="preserve"> PAGEREF _Toc204872318 \h </w:instrText>
            </w:r>
            <w:r>
              <w:rPr>
                <w:noProof/>
                <w:webHidden/>
              </w:rPr>
            </w:r>
            <w:r>
              <w:rPr>
                <w:noProof/>
                <w:webHidden/>
              </w:rPr>
              <w:fldChar w:fldCharType="separate"/>
            </w:r>
            <w:r>
              <w:rPr>
                <w:noProof/>
                <w:webHidden/>
              </w:rPr>
              <w:t>2</w:t>
            </w:r>
            <w:r>
              <w:rPr>
                <w:noProof/>
                <w:webHidden/>
              </w:rPr>
              <w:fldChar w:fldCharType="end"/>
            </w:r>
          </w:hyperlink>
        </w:p>
        <w:p w:rsidR="005858B3" w:rsidRDefault="005858B3" w14:paraId="60989803" w14:textId="6E604381">
          <w:pPr>
            <w:pStyle w:val="TOC2"/>
            <w:tabs>
              <w:tab w:val="right" w:leader="dot" w:pos="9350"/>
            </w:tabs>
            <w:rPr>
              <w:rFonts w:asciiTheme="minorHAnsi" w:hAnsiTheme="minorHAnsi" w:cstheme="minorBidi"/>
              <w:noProof/>
              <w:kern w:val="2"/>
              <w:sz w:val="24"/>
              <w:szCs w:val="24"/>
              <w14:ligatures w14:val="standardContextual"/>
            </w:rPr>
          </w:pPr>
          <w:hyperlink w:history="1" w:anchor="_Toc204872319">
            <w:r w:rsidRPr="009168B4">
              <w:rPr>
                <w:rStyle w:val="Hyperlink"/>
                <w:noProof/>
              </w:rPr>
              <w:t>1.1.</w:t>
            </w:r>
            <w:r>
              <w:rPr>
                <w:rFonts w:asciiTheme="minorHAnsi" w:hAnsiTheme="minorHAnsi" w:cstheme="minorBidi"/>
                <w:noProof/>
                <w:kern w:val="2"/>
                <w:sz w:val="24"/>
                <w:szCs w:val="24"/>
                <w14:ligatures w14:val="standardContextual"/>
              </w:rPr>
              <w:tab/>
            </w:r>
            <w:r w:rsidRPr="009168B4">
              <w:rPr>
                <w:rStyle w:val="Hyperlink"/>
                <w:noProof/>
              </w:rPr>
              <w:t>Submission Date</w:t>
            </w:r>
            <w:r>
              <w:rPr>
                <w:noProof/>
                <w:webHidden/>
              </w:rPr>
              <w:tab/>
            </w:r>
            <w:r>
              <w:rPr>
                <w:noProof/>
                <w:webHidden/>
              </w:rPr>
              <w:fldChar w:fldCharType="begin"/>
            </w:r>
            <w:r>
              <w:rPr>
                <w:noProof/>
                <w:webHidden/>
              </w:rPr>
              <w:instrText xml:space="preserve"> PAGEREF _Toc204872319 \h </w:instrText>
            </w:r>
            <w:r>
              <w:rPr>
                <w:noProof/>
                <w:webHidden/>
              </w:rPr>
            </w:r>
            <w:r>
              <w:rPr>
                <w:noProof/>
                <w:webHidden/>
              </w:rPr>
              <w:fldChar w:fldCharType="separate"/>
            </w:r>
            <w:r>
              <w:rPr>
                <w:noProof/>
                <w:webHidden/>
              </w:rPr>
              <w:t>6</w:t>
            </w:r>
            <w:r>
              <w:rPr>
                <w:noProof/>
                <w:webHidden/>
              </w:rPr>
              <w:fldChar w:fldCharType="end"/>
            </w:r>
          </w:hyperlink>
        </w:p>
        <w:p w:rsidR="005858B3" w:rsidRDefault="005858B3" w14:paraId="590C9D34" w14:textId="7924A92E">
          <w:pPr>
            <w:pStyle w:val="TOC1"/>
            <w:tabs>
              <w:tab w:val="right" w:leader="dot" w:pos="9350"/>
            </w:tabs>
            <w:rPr>
              <w:rFonts w:asciiTheme="minorHAnsi" w:hAnsiTheme="minorHAnsi" w:cstheme="minorBidi"/>
              <w:noProof/>
              <w:kern w:val="2"/>
              <w:sz w:val="24"/>
              <w:szCs w:val="24"/>
              <w14:ligatures w14:val="standardContextual"/>
            </w:rPr>
          </w:pPr>
          <w:hyperlink w:history="1" w:anchor="_Toc204872320">
            <w:r w:rsidRPr="009168B4">
              <w:rPr>
                <w:rStyle w:val="Hyperlink"/>
                <w:noProof/>
              </w:rPr>
              <w:t>2.</w:t>
            </w:r>
            <w:r>
              <w:rPr>
                <w:rFonts w:asciiTheme="minorHAnsi" w:hAnsiTheme="minorHAnsi" w:cstheme="minorBidi"/>
                <w:noProof/>
                <w:kern w:val="2"/>
                <w:sz w:val="24"/>
                <w:szCs w:val="24"/>
                <w14:ligatures w14:val="standardContextual"/>
              </w:rPr>
              <w:tab/>
            </w:r>
            <w:r w:rsidRPr="009168B4">
              <w:rPr>
                <w:rStyle w:val="Hyperlink"/>
                <w:noProof/>
              </w:rPr>
              <w:t>Issues Before the Commission</w:t>
            </w:r>
            <w:r>
              <w:rPr>
                <w:noProof/>
                <w:webHidden/>
              </w:rPr>
              <w:tab/>
            </w:r>
            <w:r>
              <w:rPr>
                <w:noProof/>
                <w:webHidden/>
              </w:rPr>
              <w:fldChar w:fldCharType="begin"/>
            </w:r>
            <w:r>
              <w:rPr>
                <w:noProof/>
                <w:webHidden/>
              </w:rPr>
              <w:instrText xml:space="preserve"> PAGEREF _Toc204872320 \h </w:instrText>
            </w:r>
            <w:r>
              <w:rPr>
                <w:noProof/>
                <w:webHidden/>
              </w:rPr>
            </w:r>
            <w:r>
              <w:rPr>
                <w:noProof/>
                <w:webHidden/>
              </w:rPr>
              <w:fldChar w:fldCharType="separate"/>
            </w:r>
            <w:r>
              <w:rPr>
                <w:noProof/>
                <w:webHidden/>
              </w:rPr>
              <w:t>6</w:t>
            </w:r>
            <w:r>
              <w:rPr>
                <w:noProof/>
                <w:webHidden/>
              </w:rPr>
              <w:fldChar w:fldCharType="end"/>
            </w:r>
          </w:hyperlink>
        </w:p>
        <w:p w:rsidR="005858B3" w:rsidRDefault="005858B3" w14:paraId="53F7C63B" w14:textId="29EF31D8">
          <w:pPr>
            <w:pStyle w:val="TOC1"/>
            <w:tabs>
              <w:tab w:val="right" w:leader="dot" w:pos="9350"/>
            </w:tabs>
            <w:rPr>
              <w:rFonts w:asciiTheme="minorHAnsi" w:hAnsiTheme="minorHAnsi" w:cstheme="minorBidi"/>
              <w:noProof/>
              <w:kern w:val="2"/>
              <w:sz w:val="24"/>
              <w:szCs w:val="24"/>
              <w14:ligatures w14:val="standardContextual"/>
            </w:rPr>
          </w:pPr>
          <w:hyperlink w:history="1" w:anchor="_Toc204872321">
            <w:r w:rsidRPr="009168B4">
              <w:rPr>
                <w:rStyle w:val="Hyperlink"/>
                <w:noProof/>
              </w:rPr>
              <w:t>3.</w:t>
            </w:r>
            <w:r>
              <w:rPr>
                <w:rFonts w:asciiTheme="minorHAnsi" w:hAnsiTheme="minorHAnsi" w:cstheme="minorBidi"/>
                <w:noProof/>
                <w:kern w:val="2"/>
                <w:sz w:val="24"/>
                <w:szCs w:val="24"/>
                <w14:ligatures w14:val="standardContextual"/>
              </w:rPr>
              <w:tab/>
            </w:r>
            <w:r w:rsidRPr="009168B4">
              <w:rPr>
                <w:rStyle w:val="Hyperlink"/>
                <w:noProof/>
              </w:rPr>
              <w:t>Legal Standard</w:t>
            </w:r>
            <w:r>
              <w:rPr>
                <w:noProof/>
                <w:webHidden/>
              </w:rPr>
              <w:tab/>
            </w:r>
            <w:r>
              <w:rPr>
                <w:noProof/>
                <w:webHidden/>
              </w:rPr>
              <w:fldChar w:fldCharType="begin"/>
            </w:r>
            <w:r>
              <w:rPr>
                <w:noProof/>
                <w:webHidden/>
              </w:rPr>
              <w:instrText xml:space="preserve"> PAGEREF _Toc204872321 \h </w:instrText>
            </w:r>
            <w:r>
              <w:rPr>
                <w:noProof/>
                <w:webHidden/>
              </w:rPr>
            </w:r>
            <w:r>
              <w:rPr>
                <w:noProof/>
                <w:webHidden/>
              </w:rPr>
              <w:fldChar w:fldCharType="separate"/>
            </w:r>
            <w:r>
              <w:rPr>
                <w:noProof/>
                <w:webHidden/>
              </w:rPr>
              <w:t>6</w:t>
            </w:r>
            <w:r>
              <w:rPr>
                <w:noProof/>
                <w:webHidden/>
              </w:rPr>
              <w:fldChar w:fldCharType="end"/>
            </w:r>
          </w:hyperlink>
        </w:p>
        <w:p w:rsidR="005858B3" w:rsidRDefault="005858B3" w14:paraId="637CA650" w14:textId="4138773F">
          <w:pPr>
            <w:pStyle w:val="TOC1"/>
            <w:tabs>
              <w:tab w:val="right" w:leader="dot" w:pos="9350"/>
            </w:tabs>
            <w:rPr>
              <w:rFonts w:asciiTheme="minorHAnsi" w:hAnsiTheme="minorHAnsi" w:cstheme="minorBidi"/>
              <w:noProof/>
              <w:kern w:val="2"/>
              <w:sz w:val="24"/>
              <w:szCs w:val="24"/>
              <w14:ligatures w14:val="standardContextual"/>
            </w:rPr>
          </w:pPr>
          <w:hyperlink w:history="1" w:anchor="_Toc204872322">
            <w:r w:rsidRPr="009168B4">
              <w:rPr>
                <w:rStyle w:val="Hyperlink"/>
                <w:noProof/>
              </w:rPr>
              <w:t>4.</w:t>
            </w:r>
            <w:r>
              <w:rPr>
                <w:rFonts w:asciiTheme="minorHAnsi" w:hAnsiTheme="minorHAnsi" w:cstheme="minorBidi"/>
                <w:noProof/>
                <w:kern w:val="2"/>
                <w:sz w:val="24"/>
                <w:szCs w:val="24"/>
                <w14:ligatures w14:val="standardContextual"/>
              </w:rPr>
              <w:tab/>
            </w:r>
            <w:r w:rsidRPr="009168B4">
              <w:rPr>
                <w:rStyle w:val="Hyperlink"/>
                <w:noProof/>
              </w:rPr>
              <w:t>Discussion</w:t>
            </w:r>
            <w:r>
              <w:rPr>
                <w:noProof/>
                <w:webHidden/>
              </w:rPr>
              <w:tab/>
            </w:r>
            <w:r>
              <w:rPr>
                <w:noProof/>
                <w:webHidden/>
              </w:rPr>
              <w:fldChar w:fldCharType="begin"/>
            </w:r>
            <w:r>
              <w:rPr>
                <w:noProof/>
                <w:webHidden/>
              </w:rPr>
              <w:instrText xml:space="preserve"> PAGEREF _Toc204872322 \h </w:instrText>
            </w:r>
            <w:r>
              <w:rPr>
                <w:noProof/>
                <w:webHidden/>
              </w:rPr>
            </w:r>
            <w:r>
              <w:rPr>
                <w:noProof/>
                <w:webHidden/>
              </w:rPr>
              <w:fldChar w:fldCharType="separate"/>
            </w:r>
            <w:r>
              <w:rPr>
                <w:noProof/>
                <w:webHidden/>
              </w:rPr>
              <w:t>6</w:t>
            </w:r>
            <w:r>
              <w:rPr>
                <w:noProof/>
                <w:webHidden/>
              </w:rPr>
              <w:fldChar w:fldCharType="end"/>
            </w:r>
          </w:hyperlink>
        </w:p>
        <w:p w:rsidR="005858B3" w:rsidRDefault="005858B3" w14:paraId="400545F2" w14:textId="6E4BAF4D">
          <w:pPr>
            <w:pStyle w:val="TOC2"/>
            <w:tabs>
              <w:tab w:val="right" w:leader="dot" w:pos="9350"/>
            </w:tabs>
            <w:rPr>
              <w:rFonts w:asciiTheme="minorHAnsi" w:hAnsiTheme="minorHAnsi" w:cstheme="minorBidi"/>
              <w:noProof/>
              <w:kern w:val="2"/>
              <w:sz w:val="24"/>
              <w:szCs w:val="24"/>
              <w14:ligatures w14:val="standardContextual"/>
            </w:rPr>
          </w:pPr>
          <w:hyperlink w:history="1" w:anchor="_Toc204872323">
            <w:r w:rsidRPr="009168B4">
              <w:rPr>
                <w:rStyle w:val="Hyperlink"/>
                <w:noProof/>
              </w:rPr>
              <w:t>4.1.</w:t>
            </w:r>
            <w:r>
              <w:rPr>
                <w:rFonts w:asciiTheme="minorHAnsi" w:hAnsiTheme="minorHAnsi" w:cstheme="minorBidi"/>
                <w:noProof/>
                <w:kern w:val="2"/>
                <w:sz w:val="24"/>
                <w:szCs w:val="24"/>
                <w14:ligatures w14:val="standardContextual"/>
              </w:rPr>
              <w:tab/>
            </w:r>
            <w:r w:rsidRPr="009168B4">
              <w:rPr>
                <w:rStyle w:val="Hyperlink"/>
                <w:noProof/>
              </w:rPr>
              <w:t>Utility Control of SB 1221 Mapping Costs</w:t>
            </w:r>
            <w:r>
              <w:rPr>
                <w:noProof/>
                <w:webHidden/>
              </w:rPr>
              <w:tab/>
            </w:r>
            <w:r>
              <w:rPr>
                <w:noProof/>
                <w:webHidden/>
              </w:rPr>
              <w:fldChar w:fldCharType="begin"/>
            </w:r>
            <w:r>
              <w:rPr>
                <w:noProof/>
                <w:webHidden/>
              </w:rPr>
              <w:instrText xml:space="preserve"> PAGEREF _Toc204872323 \h </w:instrText>
            </w:r>
            <w:r>
              <w:rPr>
                <w:noProof/>
                <w:webHidden/>
              </w:rPr>
            </w:r>
            <w:r>
              <w:rPr>
                <w:noProof/>
                <w:webHidden/>
              </w:rPr>
              <w:fldChar w:fldCharType="separate"/>
            </w:r>
            <w:r>
              <w:rPr>
                <w:noProof/>
                <w:webHidden/>
              </w:rPr>
              <w:t>7</w:t>
            </w:r>
            <w:r>
              <w:rPr>
                <w:noProof/>
                <w:webHidden/>
              </w:rPr>
              <w:fldChar w:fldCharType="end"/>
            </w:r>
          </w:hyperlink>
        </w:p>
        <w:p w:rsidR="005858B3" w:rsidRDefault="005858B3" w14:paraId="25592A8F" w14:textId="212A83C1">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204872324">
            <w:r w:rsidRPr="009168B4">
              <w:rPr>
                <w:rStyle w:val="Hyperlink"/>
                <w:noProof/>
              </w:rPr>
              <w:t>4.1.1.</w:t>
            </w:r>
            <w:r>
              <w:rPr>
                <w:rFonts w:asciiTheme="minorHAnsi" w:hAnsiTheme="minorHAnsi" w:cstheme="minorBidi"/>
                <w:noProof/>
                <w:kern w:val="2"/>
                <w:sz w:val="24"/>
                <w:szCs w:val="24"/>
                <w14:ligatures w14:val="standardContextual"/>
              </w:rPr>
              <w:tab/>
            </w:r>
            <w:r w:rsidRPr="009168B4">
              <w:rPr>
                <w:rStyle w:val="Hyperlink"/>
                <w:noProof/>
              </w:rPr>
              <w:t>Party Positions</w:t>
            </w:r>
            <w:r>
              <w:rPr>
                <w:noProof/>
                <w:webHidden/>
              </w:rPr>
              <w:tab/>
            </w:r>
            <w:r>
              <w:rPr>
                <w:noProof/>
                <w:webHidden/>
              </w:rPr>
              <w:fldChar w:fldCharType="begin"/>
            </w:r>
            <w:r>
              <w:rPr>
                <w:noProof/>
                <w:webHidden/>
              </w:rPr>
              <w:instrText xml:space="preserve"> PAGEREF _Toc204872324 \h </w:instrText>
            </w:r>
            <w:r>
              <w:rPr>
                <w:noProof/>
                <w:webHidden/>
              </w:rPr>
            </w:r>
            <w:r>
              <w:rPr>
                <w:noProof/>
                <w:webHidden/>
              </w:rPr>
              <w:fldChar w:fldCharType="separate"/>
            </w:r>
            <w:r>
              <w:rPr>
                <w:noProof/>
                <w:webHidden/>
              </w:rPr>
              <w:t>7</w:t>
            </w:r>
            <w:r>
              <w:rPr>
                <w:noProof/>
                <w:webHidden/>
              </w:rPr>
              <w:fldChar w:fldCharType="end"/>
            </w:r>
          </w:hyperlink>
        </w:p>
        <w:p w:rsidR="005858B3" w:rsidRDefault="005858B3" w14:paraId="68C27B06" w14:textId="5626F4A6">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204872325">
            <w:r w:rsidRPr="009168B4">
              <w:rPr>
                <w:rStyle w:val="Hyperlink"/>
                <w:noProof/>
              </w:rPr>
              <w:t>4.1.2.</w:t>
            </w:r>
            <w:r>
              <w:rPr>
                <w:rFonts w:asciiTheme="minorHAnsi" w:hAnsiTheme="minorHAnsi" w:cstheme="minorBidi"/>
                <w:noProof/>
                <w:kern w:val="2"/>
                <w:sz w:val="24"/>
                <w:szCs w:val="24"/>
                <w14:ligatures w14:val="standardContextual"/>
              </w:rPr>
              <w:tab/>
            </w:r>
            <w:r w:rsidRPr="009168B4">
              <w:rPr>
                <w:rStyle w:val="Hyperlink"/>
                <w:noProof/>
              </w:rPr>
              <w:t>Discussion</w:t>
            </w:r>
            <w:r>
              <w:rPr>
                <w:noProof/>
                <w:webHidden/>
              </w:rPr>
              <w:tab/>
            </w:r>
            <w:r>
              <w:rPr>
                <w:noProof/>
                <w:webHidden/>
              </w:rPr>
              <w:fldChar w:fldCharType="begin"/>
            </w:r>
            <w:r>
              <w:rPr>
                <w:noProof/>
                <w:webHidden/>
              </w:rPr>
              <w:instrText xml:space="preserve"> PAGEREF _Toc204872325 \h </w:instrText>
            </w:r>
            <w:r>
              <w:rPr>
                <w:noProof/>
                <w:webHidden/>
              </w:rPr>
            </w:r>
            <w:r>
              <w:rPr>
                <w:noProof/>
                <w:webHidden/>
              </w:rPr>
              <w:fldChar w:fldCharType="separate"/>
            </w:r>
            <w:r>
              <w:rPr>
                <w:noProof/>
                <w:webHidden/>
              </w:rPr>
              <w:t>9</w:t>
            </w:r>
            <w:r>
              <w:rPr>
                <w:noProof/>
                <w:webHidden/>
              </w:rPr>
              <w:fldChar w:fldCharType="end"/>
            </w:r>
          </w:hyperlink>
        </w:p>
        <w:p w:rsidR="005858B3" w:rsidRDefault="005858B3" w14:paraId="07F69589" w14:textId="0592324E">
          <w:pPr>
            <w:pStyle w:val="TOC2"/>
            <w:tabs>
              <w:tab w:val="right" w:leader="dot" w:pos="9350"/>
            </w:tabs>
            <w:rPr>
              <w:rFonts w:asciiTheme="minorHAnsi" w:hAnsiTheme="minorHAnsi" w:cstheme="minorBidi"/>
              <w:noProof/>
              <w:kern w:val="2"/>
              <w:sz w:val="24"/>
              <w:szCs w:val="24"/>
              <w14:ligatures w14:val="standardContextual"/>
            </w:rPr>
          </w:pPr>
          <w:hyperlink w:history="1" w:anchor="_Toc204872326">
            <w:r w:rsidRPr="009168B4">
              <w:rPr>
                <w:rStyle w:val="Hyperlink"/>
                <w:noProof/>
              </w:rPr>
              <w:t>4.2.</w:t>
            </w:r>
            <w:r>
              <w:rPr>
                <w:rFonts w:asciiTheme="minorHAnsi" w:hAnsiTheme="minorHAnsi" w:cstheme="minorBidi"/>
                <w:noProof/>
                <w:kern w:val="2"/>
                <w:sz w:val="24"/>
                <w:szCs w:val="24"/>
                <w14:ligatures w14:val="standardContextual"/>
              </w:rPr>
              <w:tab/>
            </w:r>
            <w:r w:rsidRPr="009168B4">
              <w:rPr>
                <w:rStyle w:val="Hyperlink"/>
                <w:noProof/>
              </w:rPr>
              <w:t>Utility Inclusion of Mapping Costs in Last GRC</w:t>
            </w:r>
            <w:r>
              <w:rPr>
                <w:noProof/>
                <w:webHidden/>
              </w:rPr>
              <w:tab/>
            </w:r>
            <w:r>
              <w:rPr>
                <w:noProof/>
                <w:webHidden/>
              </w:rPr>
              <w:fldChar w:fldCharType="begin"/>
            </w:r>
            <w:r>
              <w:rPr>
                <w:noProof/>
                <w:webHidden/>
              </w:rPr>
              <w:instrText xml:space="preserve"> PAGEREF _Toc204872326 \h </w:instrText>
            </w:r>
            <w:r>
              <w:rPr>
                <w:noProof/>
                <w:webHidden/>
              </w:rPr>
            </w:r>
            <w:r>
              <w:rPr>
                <w:noProof/>
                <w:webHidden/>
              </w:rPr>
              <w:fldChar w:fldCharType="separate"/>
            </w:r>
            <w:r>
              <w:rPr>
                <w:noProof/>
                <w:webHidden/>
              </w:rPr>
              <w:t>9</w:t>
            </w:r>
            <w:r>
              <w:rPr>
                <w:noProof/>
                <w:webHidden/>
              </w:rPr>
              <w:fldChar w:fldCharType="end"/>
            </w:r>
          </w:hyperlink>
        </w:p>
        <w:p w:rsidR="005858B3" w:rsidRDefault="005858B3" w14:paraId="19D36204" w14:textId="2E8FB4AF">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204872327">
            <w:r w:rsidRPr="009168B4">
              <w:rPr>
                <w:rStyle w:val="Hyperlink"/>
                <w:noProof/>
              </w:rPr>
              <w:t>4.2.1.</w:t>
            </w:r>
            <w:r>
              <w:rPr>
                <w:rFonts w:asciiTheme="minorHAnsi" w:hAnsiTheme="minorHAnsi" w:cstheme="minorBidi"/>
                <w:noProof/>
                <w:kern w:val="2"/>
                <w:sz w:val="24"/>
                <w:szCs w:val="24"/>
                <w14:ligatures w14:val="standardContextual"/>
              </w:rPr>
              <w:tab/>
            </w:r>
            <w:r w:rsidRPr="009168B4">
              <w:rPr>
                <w:rStyle w:val="Hyperlink"/>
                <w:noProof/>
              </w:rPr>
              <w:t>Party Positions</w:t>
            </w:r>
            <w:r>
              <w:rPr>
                <w:noProof/>
                <w:webHidden/>
              </w:rPr>
              <w:tab/>
            </w:r>
            <w:r>
              <w:rPr>
                <w:noProof/>
                <w:webHidden/>
              </w:rPr>
              <w:fldChar w:fldCharType="begin"/>
            </w:r>
            <w:r>
              <w:rPr>
                <w:noProof/>
                <w:webHidden/>
              </w:rPr>
              <w:instrText xml:space="preserve"> PAGEREF _Toc204872327 \h </w:instrText>
            </w:r>
            <w:r>
              <w:rPr>
                <w:noProof/>
                <w:webHidden/>
              </w:rPr>
            </w:r>
            <w:r>
              <w:rPr>
                <w:noProof/>
                <w:webHidden/>
              </w:rPr>
              <w:fldChar w:fldCharType="separate"/>
            </w:r>
            <w:r>
              <w:rPr>
                <w:noProof/>
                <w:webHidden/>
              </w:rPr>
              <w:t>9</w:t>
            </w:r>
            <w:r>
              <w:rPr>
                <w:noProof/>
                <w:webHidden/>
              </w:rPr>
              <w:fldChar w:fldCharType="end"/>
            </w:r>
          </w:hyperlink>
        </w:p>
        <w:p w:rsidR="005858B3" w:rsidRDefault="005858B3" w14:paraId="5D640499" w14:textId="361E4319">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204872328">
            <w:r w:rsidRPr="009168B4">
              <w:rPr>
                <w:rStyle w:val="Hyperlink"/>
                <w:noProof/>
              </w:rPr>
              <w:t>4.2.2.</w:t>
            </w:r>
            <w:r>
              <w:rPr>
                <w:rFonts w:asciiTheme="minorHAnsi" w:hAnsiTheme="minorHAnsi" w:cstheme="minorBidi"/>
                <w:noProof/>
                <w:kern w:val="2"/>
                <w:sz w:val="24"/>
                <w:szCs w:val="24"/>
                <w14:ligatures w14:val="standardContextual"/>
              </w:rPr>
              <w:tab/>
            </w:r>
            <w:r w:rsidRPr="009168B4">
              <w:rPr>
                <w:rStyle w:val="Hyperlink"/>
                <w:noProof/>
              </w:rPr>
              <w:t>Discussion</w:t>
            </w:r>
            <w:r>
              <w:rPr>
                <w:noProof/>
                <w:webHidden/>
              </w:rPr>
              <w:tab/>
            </w:r>
            <w:r>
              <w:rPr>
                <w:noProof/>
                <w:webHidden/>
              </w:rPr>
              <w:fldChar w:fldCharType="begin"/>
            </w:r>
            <w:r>
              <w:rPr>
                <w:noProof/>
                <w:webHidden/>
              </w:rPr>
              <w:instrText xml:space="preserve"> PAGEREF _Toc204872328 \h </w:instrText>
            </w:r>
            <w:r>
              <w:rPr>
                <w:noProof/>
                <w:webHidden/>
              </w:rPr>
            </w:r>
            <w:r>
              <w:rPr>
                <w:noProof/>
                <w:webHidden/>
              </w:rPr>
              <w:fldChar w:fldCharType="separate"/>
            </w:r>
            <w:r>
              <w:rPr>
                <w:noProof/>
                <w:webHidden/>
              </w:rPr>
              <w:t>11</w:t>
            </w:r>
            <w:r>
              <w:rPr>
                <w:noProof/>
                <w:webHidden/>
              </w:rPr>
              <w:fldChar w:fldCharType="end"/>
            </w:r>
          </w:hyperlink>
        </w:p>
        <w:p w:rsidR="005858B3" w:rsidRDefault="005858B3" w14:paraId="611156EB" w14:textId="364F2172">
          <w:pPr>
            <w:pStyle w:val="TOC2"/>
            <w:tabs>
              <w:tab w:val="right" w:leader="dot" w:pos="9350"/>
            </w:tabs>
            <w:rPr>
              <w:rFonts w:asciiTheme="minorHAnsi" w:hAnsiTheme="minorHAnsi" w:cstheme="minorBidi"/>
              <w:noProof/>
              <w:kern w:val="2"/>
              <w:sz w:val="24"/>
              <w:szCs w:val="24"/>
              <w14:ligatures w14:val="standardContextual"/>
            </w:rPr>
          </w:pPr>
          <w:hyperlink w:history="1" w:anchor="_Toc204872329">
            <w:r w:rsidRPr="009168B4">
              <w:rPr>
                <w:rStyle w:val="Hyperlink"/>
                <w:noProof/>
              </w:rPr>
              <w:t>4.3.</w:t>
            </w:r>
            <w:r>
              <w:rPr>
                <w:rFonts w:asciiTheme="minorHAnsi" w:hAnsiTheme="minorHAnsi" w:cstheme="minorBidi"/>
                <w:noProof/>
                <w:kern w:val="2"/>
                <w:sz w:val="24"/>
                <w:szCs w:val="24"/>
                <w14:ligatures w14:val="standardContextual"/>
              </w:rPr>
              <w:tab/>
            </w:r>
            <w:r w:rsidRPr="009168B4">
              <w:rPr>
                <w:rStyle w:val="Hyperlink"/>
                <w:noProof/>
              </w:rPr>
              <w:t>SB 1221 Mapping Costs Incurred Before Next GRC</w:t>
            </w:r>
            <w:r>
              <w:rPr>
                <w:noProof/>
                <w:webHidden/>
              </w:rPr>
              <w:tab/>
            </w:r>
            <w:r>
              <w:rPr>
                <w:noProof/>
                <w:webHidden/>
              </w:rPr>
              <w:fldChar w:fldCharType="begin"/>
            </w:r>
            <w:r>
              <w:rPr>
                <w:noProof/>
                <w:webHidden/>
              </w:rPr>
              <w:instrText xml:space="preserve"> PAGEREF _Toc204872329 \h </w:instrText>
            </w:r>
            <w:r>
              <w:rPr>
                <w:noProof/>
                <w:webHidden/>
              </w:rPr>
            </w:r>
            <w:r>
              <w:rPr>
                <w:noProof/>
                <w:webHidden/>
              </w:rPr>
              <w:fldChar w:fldCharType="separate"/>
            </w:r>
            <w:r>
              <w:rPr>
                <w:noProof/>
                <w:webHidden/>
              </w:rPr>
              <w:t>12</w:t>
            </w:r>
            <w:r>
              <w:rPr>
                <w:noProof/>
                <w:webHidden/>
              </w:rPr>
              <w:fldChar w:fldCharType="end"/>
            </w:r>
          </w:hyperlink>
        </w:p>
        <w:p w:rsidR="005858B3" w:rsidRDefault="005858B3" w14:paraId="71406071" w14:textId="139B1A8C">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204872330">
            <w:r w:rsidRPr="009168B4">
              <w:rPr>
                <w:rStyle w:val="Hyperlink"/>
                <w:noProof/>
              </w:rPr>
              <w:t>4.3.1.</w:t>
            </w:r>
            <w:r>
              <w:rPr>
                <w:rFonts w:asciiTheme="minorHAnsi" w:hAnsiTheme="minorHAnsi" w:cstheme="minorBidi"/>
                <w:noProof/>
                <w:kern w:val="2"/>
                <w:sz w:val="24"/>
                <w:szCs w:val="24"/>
                <w14:ligatures w14:val="standardContextual"/>
              </w:rPr>
              <w:tab/>
            </w:r>
            <w:r w:rsidRPr="009168B4">
              <w:rPr>
                <w:rStyle w:val="Hyperlink"/>
                <w:noProof/>
              </w:rPr>
              <w:t>Party Positions</w:t>
            </w:r>
            <w:r>
              <w:rPr>
                <w:noProof/>
                <w:webHidden/>
              </w:rPr>
              <w:tab/>
            </w:r>
            <w:r>
              <w:rPr>
                <w:noProof/>
                <w:webHidden/>
              </w:rPr>
              <w:fldChar w:fldCharType="begin"/>
            </w:r>
            <w:r>
              <w:rPr>
                <w:noProof/>
                <w:webHidden/>
              </w:rPr>
              <w:instrText xml:space="preserve"> PAGEREF _Toc204872330 \h </w:instrText>
            </w:r>
            <w:r>
              <w:rPr>
                <w:noProof/>
                <w:webHidden/>
              </w:rPr>
            </w:r>
            <w:r>
              <w:rPr>
                <w:noProof/>
                <w:webHidden/>
              </w:rPr>
              <w:fldChar w:fldCharType="separate"/>
            </w:r>
            <w:r>
              <w:rPr>
                <w:noProof/>
                <w:webHidden/>
              </w:rPr>
              <w:t>12</w:t>
            </w:r>
            <w:r>
              <w:rPr>
                <w:noProof/>
                <w:webHidden/>
              </w:rPr>
              <w:fldChar w:fldCharType="end"/>
            </w:r>
          </w:hyperlink>
        </w:p>
        <w:p w:rsidR="005858B3" w:rsidRDefault="005858B3" w14:paraId="4DC0BE8B" w14:textId="46F4A8F1">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204872331">
            <w:r w:rsidRPr="009168B4">
              <w:rPr>
                <w:rStyle w:val="Hyperlink"/>
                <w:noProof/>
              </w:rPr>
              <w:t>4.3.2.</w:t>
            </w:r>
            <w:r>
              <w:rPr>
                <w:rFonts w:asciiTheme="minorHAnsi" w:hAnsiTheme="minorHAnsi" w:cstheme="minorBidi"/>
                <w:noProof/>
                <w:kern w:val="2"/>
                <w:sz w:val="24"/>
                <w:szCs w:val="24"/>
                <w14:ligatures w14:val="standardContextual"/>
              </w:rPr>
              <w:tab/>
            </w:r>
            <w:r w:rsidRPr="009168B4">
              <w:rPr>
                <w:rStyle w:val="Hyperlink"/>
                <w:noProof/>
              </w:rPr>
              <w:t>Discussion</w:t>
            </w:r>
            <w:r>
              <w:rPr>
                <w:noProof/>
                <w:webHidden/>
              </w:rPr>
              <w:tab/>
            </w:r>
            <w:r>
              <w:rPr>
                <w:noProof/>
                <w:webHidden/>
              </w:rPr>
              <w:fldChar w:fldCharType="begin"/>
            </w:r>
            <w:r>
              <w:rPr>
                <w:noProof/>
                <w:webHidden/>
              </w:rPr>
              <w:instrText xml:space="preserve"> PAGEREF _Toc204872331 \h </w:instrText>
            </w:r>
            <w:r>
              <w:rPr>
                <w:noProof/>
                <w:webHidden/>
              </w:rPr>
            </w:r>
            <w:r>
              <w:rPr>
                <w:noProof/>
                <w:webHidden/>
              </w:rPr>
              <w:fldChar w:fldCharType="separate"/>
            </w:r>
            <w:r>
              <w:rPr>
                <w:noProof/>
                <w:webHidden/>
              </w:rPr>
              <w:t>12</w:t>
            </w:r>
            <w:r>
              <w:rPr>
                <w:noProof/>
                <w:webHidden/>
              </w:rPr>
              <w:fldChar w:fldCharType="end"/>
            </w:r>
          </w:hyperlink>
        </w:p>
        <w:p w:rsidR="005858B3" w:rsidRDefault="005858B3" w14:paraId="765ABF1F" w14:textId="715B9238">
          <w:pPr>
            <w:pStyle w:val="TOC2"/>
            <w:tabs>
              <w:tab w:val="right" w:leader="dot" w:pos="9350"/>
            </w:tabs>
            <w:rPr>
              <w:rFonts w:asciiTheme="minorHAnsi" w:hAnsiTheme="minorHAnsi" w:cstheme="minorBidi"/>
              <w:noProof/>
              <w:kern w:val="2"/>
              <w:sz w:val="24"/>
              <w:szCs w:val="24"/>
              <w14:ligatures w14:val="standardContextual"/>
            </w:rPr>
          </w:pPr>
          <w:hyperlink w:history="1" w:anchor="_Toc204872332">
            <w:r w:rsidRPr="009168B4">
              <w:rPr>
                <w:rStyle w:val="Hyperlink"/>
                <w:noProof/>
              </w:rPr>
              <w:t>4.4.</w:t>
            </w:r>
            <w:r>
              <w:rPr>
                <w:rFonts w:asciiTheme="minorHAnsi" w:hAnsiTheme="minorHAnsi" w:cstheme="minorBidi"/>
                <w:noProof/>
                <w:kern w:val="2"/>
                <w:sz w:val="24"/>
                <w:szCs w:val="24"/>
                <w14:ligatures w14:val="standardContextual"/>
              </w:rPr>
              <w:tab/>
            </w:r>
            <w:r w:rsidRPr="009168B4">
              <w:rPr>
                <w:rStyle w:val="Hyperlink"/>
                <w:noProof/>
              </w:rPr>
              <w:t>Amount of SB 1221 Mapping Costs</w:t>
            </w:r>
            <w:r>
              <w:rPr>
                <w:noProof/>
                <w:webHidden/>
              </w:rPr>
              <w:tab/>
            </w:r>
            <w:r>
              <w:rPr>
                <w:noProof/>
                <w:webHidden/>
              </w:rPr>
              <w:fldChar w:fldCharType="begin"/>
            </w:r>
            <w:r>
              <w:rPr>
                <w:noProof/>
                <w:webHidden/>
              </w:rPr>
              <w:instrText xml:space="preserve"> PAGEREF _Toc204872332 \h </w:instrText>
            </w:r>
            <w:r>
              <w:rPr>
                <w:noProof/>
                <w:webHidden/>
              </w:rPr>
            </w:r>
            <w:r>
              <w:rPr>
                <w:noProof/>
                <w:webHidden/>
              </w:rPr>
              <w:fldChar w:fldCharType="separate"/>
            </w:r>
            <w:r>
              <w:rPr>
                <w:noProof/>
                <w:webHidden/>
              </w:rPr>
              <w:t>12</w:t>
            </w:r>
            <w:r>
              <w:rPr>
                <w:noProof/>
                <w:webHidden/>
              </w:rPr>
              <w:fldChar w:fldCharType="end"/>
            </w:r>
          </w:hyperlink>
        </w:p>
        <w:p w:rsidR="005858B3" w:rsidRDefault="005858B3" w14:paraId="1263064B" w14:textId="251BE8E3">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204872333">
            <w:r w:rsidRPr="009168B4">
              <w:rPr>
                <w:rStyle w:val="Hyperlink"/>
                <w:noProof/>
              </w:rPr>
              <w:t>4.4.1.</w:t>
            </w:r>
            <w:r>
              <w:rPr>
                <w:rFonts w:asciiTheme="minorHAnsi" w:hAnsiTheme="minorHAnsi" w:cstheme="minorBidi"/>
                <w:noProof/>
                <w:kern w:val="2"/>
                <w:sz w:val="24"/>
                <w:szCs w:val="24"/>
                <w14:ligatures w14:val="standardContextual"/>
              </w:rPr>
              <w:tab/>
            </w:r>
            <w:r w:rsidRPr="009168B4">
              <w:rPr>
                <w:rStyle w:val="Hyperlink"/>
                <w:noProof/>
              </w:rPr>
              <w:t>Party Positions</w:t>
            </w:r>
            <w:r>
              <w:rPr>
                <w:noProof/>
                <w:webHidden/>
              </w:rPr>
              <w:tab/>
            </w:r>
            <w:r>
              <w:rPr>
                <w:noProof/>
                <w:webHidden/>
              </w:rPr>
              <w:fldChar w:fldCharType="begin"/>
            </w:r>
            <w:r>
              <w:rPr>
                <w:noProof/>
                <w:webHidden/>
              </w:rPr>
              <w:instrText xml:space="preserve"> PAGEREF _Toc204872333 \h </w:instrText>
            </w:r>
            <w:r>
              <w:rPr>
                <w:noProof/>
                <w:webHidden/>
              </w:rPr>
            </w:r>
            <w:r>
              <w:rPr>
                <w:noProof/>
                <w:webHidden/>
              </w:rPr>
              <w:fldChar w:fldCharType="separate"/>
            </w:r>
            <w:r>
              <w:rPr>
                <w:noProof/>
                <w:webHidden/>
              </w:rPr>
              <w:t>12</w:t>
            </w:r>
            <w:r>
              <w:rPr>
                <w:noProof/>
                <w:webHidden/>
              </w:rPr>
              <w:fldChar w:fldCharType="end"/>
            </w:r>
          </w:hyperlink>
        </w:p>
        <w:p w:rsidR="005858B3" w:rsidRDefault="005858B3" w14:paraId="7BF532CD" w14:textId="45137235">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204872334">
            <w:r w:rsidRPr="009168B4">
              <w:rPr>
                <w:rStyle w:val="Hyperlink"/>
                <w:noProof/>
              </w:rPr>
              <w:t>4.4.2.</w:t>
            </w:r>
            <w:r>
              <w:rPr>
                <w:rFonts w:asciiTheme="minorHAnsi" w:hAnsiTheme="minorHAnsi" w:cstheme="minorBidi"/>
                <w:noProof/>
                <w:kern w:val="2"/>
                <w:sz w:val="24"/>
                <w:szCs w:val="24"/>
                <w14:ligatures w14:val="standardContextual"/>
              </w:rPr>
              <w:tab/>
            </w:r>
            <w:r w:rsidRPr="009168B4">
              <w:rPr>
                <w:rStyle w:val="Hyperlink"/>
                <w:noProof/>
              </w:rPr>
              <w:t>Discussion</w:t>
            </w:r>
            <w:r>
              <w:rPr>
                <w:noProof/>
                <w:webHidden/>
              </w:rPr>
              <w:tab/>
            </w:r>
            <w:r>
              <w:rPr>
                <w:noProof/>
                <w:webHidden/>
              </w:rPr>
              <w:fldChar w:fldCharType="begin"/>
            </w:r>
            <w:r>
              <w:rPr>
                <w:noProof/>
                <w:webHidden/>
              </w:rPr>
              <w:instrText xml:space="preserve"> PAGEREF _Toc204872334 \h </w:instrText>
            </w:r>
            <w:r>
              <w:rPr>
                <w:noProof/>
                <w:webHidden/>
              </w:rPr>
            </w:r>
            <w:r>
              <w:rPr>
                <w:noProof/>
                <w:webHidden/>
              </w:rPr>
              <w:fldChar w:fldCharType="separate"/>
            </w:r>
            <w:r>
              <w:rPr>
                <w:noProof/>
                <w:webHidden/>
              </w:rPr>
              <w:t>15</w:t>
            </w:r>
            <w:r>
              <w:rPr>
                <w:noProof/>
                <w:webHidden/>
              </w:rPr>
              <w:fldChar w:fldCharType="end"/>
            </w:r>
          </w:hyperlink>
        </w:p>
        <w:p w:rsidR="005858B3" w:rsidRDefault="005858B3" w14:paraId="08AACE39" w14:textId="2C1D97AE">
          <w:pPr>
            <w:pStyle w:val="TOC2"/>
            <w:tabs>
              <w:tab w:val="right" w:leader="dot" w:pos="9350"/>
            </w:tabs>
            <w:rPr>
              <w:rFonts w:asciiTheme="minorHAnsi" w:hAnsiTheme="minorHAnsi" w:cstheme="minorBidi"/>
              <w:noProof/>
              <w:kern w:val="2"/>
              <w:sz w:val="24"/>
              <w:szCs w:val="24"/>
              <w14:ligatures w14:val="standardContextual"/>
            </w:rPr>
          </w:pPr>
          <w:hyperlink w:history="1" w:anchor="_Toc204872335">
            <w:r w:rsidRPr="009168B4">
              <w:rPr>
                <w:rStyle w:val="Hyperlink"/>
                <w:noProof/>
              </w:rPr>
              <w:t>4.5.</w:t>
            </w:r>
            <w:r>
              <w:rPr>
                <w:rFonts w:asciiTheme="minorHAnsi" w:hAnsiTheme="minorHAnsi" w:cstheme="minorBidi"/>
                <w:noProof/>
                <w:kern w:val="2"/>
                <w:sz w:val="24"/>
                <w:szCs w:val="24"/>
                <w14:ligatures w14:val="standardContextual"/>
              </w:rPr>
              <w:tab/>
            </w:r>
            <w:r w:rsidRPr="009168B4">
              <w:rPr>
                <w:rStyle w:val="Hyperlink"/>
                <w:noProof/>
              </w:rPr>
              <w:t>Benefit to Ratepayers</w:t>
            </w:r>
            <w:r>
              <w:rPr>
                <w:noProof/>
                <w:webHidden/>
              </w:rPr>
              <w:tab/>
            </w:r>
            <w:r>
              <w:rPr>
                <w:noProof/>
                <w:webHidden/>
              </w:rPr>
              <w:fldChar w:fldCharType="begin"/>
            </w:r>
            <w:r>
              <w:rPr>
                <w:noProof/>
                <w:webHidden/>
              </w:rPr>
              <w:instrText xml:space="preserve"> PAGEREF _Toc204872335 \h </w:instrText>
            </w:r>
            <w:r>
              <w:rPr>
                <w:noProof/>
                <w:webHidden/>
              </w:rPr>
            </w:r>
            <w:r>
              <w:rPr>
                <w:noProof/>
                <w:webHidden/>
              </w:rPr>
              <w:fldChar w:fldCharType="separate"/>
            </w:r>
            <w:r>
              <w:rPr>
                <w:noProof/>
                <w:webHidden/>
              </w:rPr>
              <w:t>17</w:t>
            </w:r>
            <w:r>
              <w:rPr>
                <w:noProof/>
                <w:webHidden/>
              </w:rPr>
              <w:fldChar w:fldCharType="end"/>
            </w:r>
          </w:hyperlink>
        </w:p>
        <w:p w:rsidR="005858B3" w:rsidRDefault="005858B3" w14:paraId="1BB61BFA" w14:textId="5F7441CE">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204872336">
            <w:r w:rsidRPr="009168B4">
              <w:rPr>
                <w:rStyle w:val="Hyperlink"/>
                <w:noProof/>
              </w:rPr>
              <w:t>4.5.1.</w:t>
            </w:r>
            <w:r>
              <w:rPr>
                <w:rFonts w:asciiTheme="minorHAnsi" w:hAnsiTheme="minorHAnsi" w:cstheme="minorBidi"/>
                <w:noProof/>
                <w:kern w:val="2"/>
                <w:sz w:val="24"/>
                <w:szCs w:val="24"/>
                <w14:ligatures w14:val="standardContextual"/>
              </w:rPr>
              <w:tab/>
            </w:r>
            <w:r w:rsidRPr="009168B4">
              <w:rPr>
                <w:rStyle w:val="Hyperlink"/>
                <w:noProof/>
              </w:rPr>
              <w:t>Party Positions</w:t>
            </w:r>
            <w:r>
              <w:rPr>
                <w:noProof/>
                <w:webHidden/>
              </w:rPr>
              <w:tab/>
            </w:r>
            <w:r>
              <w:rPr>
                <w:noProof/>
                <w:webHidden/>
              </w:rPr>
              <w:fldChar w:fldCharType="begin"/>
            </w:r>
            <w:r>
              <w:rPr>
                <w:noProof/>
                <w:webHidden/>
              </w:rPr>
              <w:instrText xml:space="preserve"> PAGEREF _Toc204872336 \h </w:instrText>
            </w:r>
            <w:r>
              <w:rPr>
                <w:noProof/>
                <w:webHidden/>
              </w:rPr>
            </w:r>
            <w:r>
              <w:rPr>
                <w:noProof/>
                <w:webHidden/>
              </w:rPr>
              <w:fldChar w:fldCharType="separate"/>
            </w:r>
            <w:r>
              <w:rPr>
                <w:noProof/>
                <w:webHidden/>
              </w:rPr>
              <w:t>17</w:t>
            </w:r>
            <w:r>
              <w:rPr>
                <w:noProof/>
                <w:webHidden/>
              </w:rPr>
              <w:fldChar w:fldCharType="end"/>
            </w:r>
          </w:hyperlink>
        </w:p>
        <w:p w:rsidR="005858B3" w:rsidRDefault="005858B3" w14:paraId="345C134C" w14:textId="3EA4E81D">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204872337">
            <w:r w:rsidRPr="009168B4">
              <w:rPr>
                <w:rStyle w:val="Hyperlink"/>
                <w:noProof/>
              </w:rPr>
              <w:t>4.5.2.</w:t>
            </w:r>
            <w:r>
              <w:rPr>
                <w:rFonts w:asciiTheme="minorHAnsi" w:hAnsiTheme="minorHAnsi" w:cstheme="minorBidi"/>
                <w:noProof/>
                <w:kern w:val="2"/>
                <w:sz w:val="24"/>
                <w:szCs w:val="24"/>
                <w14:ligatures w14:val="standardContextual"/>
              </w:rPr>
              <w:tab/>
            </w:r>
            <w:r w:rsidRPr="009168B4">
              <w:rPr>
                <w:rStyle w:val="Hyperlink"/>
                <w:noProof/>
              </w:rPr>
              <w:t>Discussion</w:t>
            </w:r>
            <w:r>
              <w:rPr>
                <w:noProof/>
                <w:webHidden/>
              </w:rPr>
              <w:tab/>
            </w:r>
            <w:r>
              <w:rPr>
                <w:noProof/>
                <w:webHidden/>
              </w:rPr>
              <w:fldChar w:fldCharType="begin"/>
            </w:r>
            <w:r>
              <w:rPr>
                <w:noProof/>
                <w:webHidden/>
              </w:rPr>
              <w:instrText xml:space="preserve"> PAGEREF _Toc204872337 \h </w:instrText>
            </w:r>
            <w:r>
              <w:rPr>
                <w:noProof/>
                <w:webHidden/>
              </w:rPr>
            </w:r>
            <w:r>
              <w:rPr>
                <w:noProof/>
                <w:webHidden/>
              </w:rPr>
              <w:fldChar w:fldCharType="separate"/>
            </w:r>
            <w:r>
              <w:rPr>
                <w:noProof/>
                <w:webHidden/>
              </w:rPr>
              <w:t>18</w:t>
            </w:r>
            <w:r>
              <w:rPr>
                <w:noProof/>
                <w:webHidden/>
              </w:rPr>
              <w:fldChar w:fldCharType="end"/>
            </w:r>
          </w:hyperlink>
        </w:p>
        <w:p w:rsidR="005858B3" w:rsidRDefault="005858B3" w14:paraId="4B5D1D68" w14:textId="01EAC4AF">
          <w:pPr>
            <w:pStyle w:val="TOC1"/>
            <w:tabs>
              <w:tab w:val="right" w:leader="dot" w:pos="9350"/>
            </w:tabs>
            <w:rPr>
              <w:rFonts w:asciiTheme="minorHAnsi" w:hAnsiTheme="minorHAnsi" w:cstheme="minorBidi"/>
              <w:noProof/>
              <w:kern w:val="2"/>
              <w:sz w:val="24"/>
              <w:szCs w:val="24"/>
              <w14:ligatures w14:val="standardContextual"/>
            </w:rPr>
          </w:pPr>
          <w:hyperlink w:history="1" w:anchor="_Toc204872338">
            <w:r w:rsidRPr="009168B4">
              <w:rPr>
                <w:rStyle w:val="Hyperlink"/>
                <w:noProof/>
              </w:rPr>
              <w:t>5.</w:t>
            </w:r>
            <w:r>
              <w:rPr>
                <w:rFonts w:asciiTheme="minorHAnsi" w:hAnsiTheme="minorHAnsi" w:cstheme="minorBidi"/>
                <w:noProof/>
                <w:kern w:val="2"/>
                <w:sz w:val="24"/>
                <w:szCs w:val="24"/>
                <w14:ligatures w14:val="standardContextual"/>
              </w:rPr>
              <w:tab/>
            </w:r>
            <w:r w:rsidRPr="009168B4">
              <w:rPr>
                <w:rStyle w:val="Hyperlink"/>
                <w:noProof/>
              </w:rPr>
              <w:t>Summary of Public Comment</w:t>
            </w:r>
            <w:r>
              <w:rPr>
                <w:noProof/>
                <w:webHidden/>
              </w:rPr>
              <w:tab/>
            </w:r>
            <w:r>
              <w:rPr>
                <w:noProof/>
                <w:webHidden/>
              </w:rPr>
              <w:fldChar w:fldCharType="begin"/>
            </w:r>
            <w:r>
              <w:rPr>
                <w:noProof/>
                <w:webHidden/>
              </w:rPr>
              <w:instrText xml:space="preserve"> PAGEREF _Toc204872338 \h </w:instrText>
            </w:r>
            <w:r>
              <w:rPr>
                <w:noProof/>
                <w:webHidden/>
              </w:rPr>
            </w:r>
            <w:r>
              <w:rPr>
                <w:noProof/>
                <w:webHidden/>
              </w:rPr>
              <w:fldChar w:fldCharType="separate"/>
            </w:r>
            <w:r>
              <w:rPr>
                <w:noProof/>
                <w:webHidden/>
              </w:rPr>
              <w:t>19</w:t>
            </w:r>
            <w:r>
              <w:rPr>
                <w:noProof/>
                <w:webHidden/>
              </w:rPr>
              <w:fldChar w:fldCharType="end"/>
            </w:r>
          </w:hyperlink>
        </w:p>
        <w:p w:rsidR="005858B3" w:rsidRDefault="005858B3" w14:paraId="4E3DED9B" w14:textId="4F82A03B">
          <w:pPr>
            <w:pStyle w:val="TOC1"/>
            <w:tabs>
              <w:tab w:val="right" w:leader="dot" w:pos="9350"/>
            </w:tabs>
            <w:rPr>
              <w:rFonts w:asciiTheme="minorHAnsi" w:hAnsiTheme="minorHAnsi" w:cstheme="minorBidi"/>
              <w:noProof/>
              <w:kern w:val="2"/>
              <w:sz w:val="24"/>
              <w:szCs w:val="24"/>
              <w14:ligatures w14:val="standardContextual"/>
            </w:rPr>
          </w:pPr>
          <w:hyperlink w:history="1" w:anchor="_Toc204872339">
            <w:r w:rsidRPr="009168B4">
              <w:rPr>
                <w:rStyle w:val="Hyperlink"/>
                <w:noProof/>
              </w:rPr>
              <w:t>6.</w:t>
            </w:r>
            <w:r>
              <w:rPr>
                <w:rFonts w:asciiTheme="minorHAnsi" w:hAnsiTheme="minorHAnsi" w:cstheme="minorBidi"/>
                <w:noProof/>
                <w:kern w:val="2"/>
                <w:sz w:val="24"/>
                <w:szCs w:val="24"/>
                <w14:ligatures w14:val="standardContextual"/>
              </w:rPr>
              <w:tab/>
            </w:r>
            <w:r w:rsidRPr="009168B4">
              <w:rPr>
                <w:rStyle w:val="Hyperlink"/>
                <w:noProof/>
              </w:rPr>
              <w:t>Conclusion</w:t>
            </w:r>
            <w:r>
              <w:rPr>
                <w:noProof/>
                <w:webHidden/>
              </w:rPr>
              <w:tab/>
            </w:r>
            <w:r>
              <w:rPr>
                <w:noProof/>
                <w:webHidden/>
              </w:rPr>
              <w:fldChar w:fldCharType="begin"/>
            </w:r>
            <w:r>
              <w:rPr>
                <w:noProof/>
                <w:webHidden/>
              </w:rPr>
              <w:instrText xml:space="preserve"> PAGEREF _Toc204872339 \h </w:instrText>
            </w:r>
            <w:r>
              <w:rPr>
                <w:noProof/>
                <w:webHidden/>
              </w:rPr>
            </w:r>
            <w:r>
              <w:rPr>
                <w:noProof/>
                <w:webHidden/>
              </w:rPr>
              <w:fldChar w:fldCharType="separate"/>
            </w:r>
            <w:r>
              <w:rPr>
                <w:noProof/>
                <w:webHidden/>
              </w:rPr>
              <w:t>19</w:t>
            </w:r>
            <w:r>
              <w:rPr>
                <w:noProof/>
                <w:webHidden/>
              </w:rPr>
              <w:fldChar w:fldCharType="end"/>
            </w:r>
          </w:hyperlink>
        </w:p>
        <w:p w:rsidR="005858B3" w:rsidRDefault="005858B3" w14:paraId="38D13072" w14:textId="6B8052F9">
          <w:pPr>
            <w:pStyle w:val="TOC1"/>
            <w:tabs>
              <w:tab w:val="right" w:leader="dot" w:pos="9350"/>
            </w:tabs>
            <w:rPr>
              <w:rFonts w:asciiTheme="minorHAnsi" w:hAnsiTheme="minorHAnsi" w:cstheme="minorBidi"/>
              <w:noProof/>
              <w:kern w:val="2"/>
              <w:sz w:val="24"/>
              <w:szCs w:val="24"/>
              <w14:ligatures w14:val="standardContextual"/>
            </w:rPr>
          </w:pPr>
          <w:hyperlink w:history="1" w:anchor="_Toc204872340">
            <w:r w:rsidRPr="009168B4">
              <w:rPr>
                <w:rStyle w:val="Hyperlink"/>
                <w:noProof/>
              </w:rPr>
              <w:t>7.</w:t>
            </w:r>
            <w:r>
              <w:rPr>
                <w:rFonts w:asciiTheme="minorHAnsi" w:hAnsiTheme="minorHAnsi" w:cstheme="minorBidi"/>
                <w:noProof/>
                <w:kern w:val="2"/>
                <w:sz w:val="24"/>
                <w:szCs w:val="24"/>
                <w14:ligatures w14:val="standardContextual"/>
              </w:rPr>
              <w:tab/>
            </w:r>
            <w:r w:rsidRPr="009168B4">
              <w:rPr>
                <w:rStyle w:val="Hyperlink"/>
                <w:noProof/>
              </w:rPr>
              <w:t>Comments on Proposed Decision</w:t>
            </w:r>
            <w:r>
              <w:rPr>
                <w:noProof/>
                <w:webHidden/>
              </w:rPr>
              <w:tab/>
            </w:r>
            <w:r>
              <w:rPr>
                <w:noProof/>
                <w:webHidden/>
              </w:rPr>
              <w:fldChar w:fldCharType="begin"/>
            </w:r>
            <w:r>
              <w:rPr>
                <w:noProof/>
                <w:webHidden/>
              </w:rPr>
              <w:instrText xml:space="preserve"> PAGEREF _Toc204872340 \h </w:instrText>
            </w:r>
            <w:r>
              <w:rPr>
                <w:noProof/>
                <w:webHidden/>
              </w:rPr>
            </w:r>
            <w:r>
              <w:rPr>
                <w:noProof/>
                <w:webHidden/>
              </w:rPr>
              <w:fldChar w:fldCharType="separate"/>
            </w:r>
            <w:r>
              <w:rPr>
                <w:noProof/>
                <w:webHidden/>
              </w:rPr>
              <w:t>20</w:t>
            </w:r>
            <w:r>
              <w:rPr>
                <w:noProof/>
                <w:webHidden/>
              </w:rPr>
              <w:fldChar w:fldCharType="end"/>
            </w:r>
          </w:hyperlink>
        </w:p>
        <w:p w:rsidR="005858B3" w:rsidRDefault="005858B3" w14:paraId="4C3C56C9" w14:textId="459AA286">
          <w:pPr>
            <w:pStyle w:val="TOC2"/>
            <w:tabs>
              <w:tab w:val="right" w:leader="dot" w:pos="9350"/>
            </w:tabs>
            <w:rPr>
              <w:rFonts w:asciiTheme="minorHAnsi" w:hAnsiTheme="minorHAnsi" w:cstheme="minorBidi"/>
              <w:noProof/>
              <w:kern w:val="2"/>
              <w:sz w:val="24"/>
              <w:szCs w:val="24"/>
              <w14:ligatures w14:val="standardContextual"/>
            </w:rPr>
          </w:pPr>
          <w:hyperlink w:history="1" w:anchor="_Toc204872341">
            <w:r w:rsidRPr="009168B4">
              <w:rPr>
                <w:rStyle w:val="Hyperlink"/>
                <w:noProof/>
              </w:rPr>
              <w:t>7.1.</w:t>
            </w:r>
            <w:r>
              <w:rPr>
                <w:rFonts w:asciiTheme="minorHAnsi" w:hAnsiTheme="minorHAnsi" w:cstheme="minorBidi"/>
                <w:noProof/>
                <w:kern w:val="2"/>
                <w:sz w:val="24"/>
                <w:szCs w:val="24"/>
                <w14:ligatures w14:val="standardContextual"/>
              </w:rPr>
              <w:tab/>
            </w:r>
            <w:r w:rsidRPr="009168B4">
              <w:rPr>
                <w:rStyle w:val="Hyperlink"/>
                <w:noProof/>
              </w:rPr>
              <w:t>Opening Comments on Proposed Decision</w:t>
            </w:r>
            <w:r>
              <w:rPr>
                <w:noProof/>
                <w:webHidden/>
              </w:rPr>
              <w:tab/>
            </w:r>
            <w:r>
              <w:rPr>
                <w:noProof/>
                <w:webHidden/>
              </w:rPr>
              <w:fldChar w:fldCharType="begin"/>
            </w:r>
            <w:r>
              <w:rPr>
                <w:noProof/>
                <w:webHidden/>
              </w:rPr>
              <w:instrText xml:space="preserve"> PAGEREF _Toc204872341 \h </w:instrText>
            </w:r>
            <w:r>
              <w:rPr>
                <w:noProof/>
                <w:webHidden/>
              </w:rPr>
            </w:r>
            <w:r>
              <w:rPr>
                <w:noProof/>
                <w:webHidden/>
              </w:rPr>
              <w:fldChar w:fldCharType="separate"/>
            </w:r>
            <w:r>
              <w:rPr>
                <w:noProof/>
                <w:webHidden/>
              </w:rPr>
              <w:t>21</w:t>
            </w:r>
            <w:r>
              <w:rPr>
                <w:noProof/>
                <w:webHidden/>
              </w:rPr>
              <w:fldChar w:fldCharType="end"/>
            </w:r>
          </w:hyperlink>
        </w:p>
        <w:p w:rsidR="005858B3" w:rsidRDefault="005858B3" w14:paraId="41DA40E6" w14:textId="0543A0F4">
          <w:pPr>
            <w:pStyle w:val="TOC2"/>
            <w:tabs>
              <w:tab w:val="right" w:leader="dot" w:pos="9350"/>
            </w:tabs>
            <w:rPr>
              <w:rFonts w:asciiTheme="minorHAnsi" w:hAnsiTheme="minorHAnsi" w:cstheme="minorBidi"/>
              <w:noProof/>
              <w:kern w:val="2"/>
              <w:sz w:val="24"/>
              <w:szCs w:val="24"/>
              <w14:ligatures w14:val="standardContextual"/>
            </w:rPr>
          </w:pPr>
          <w:hyperlink w:history="1" w:anchor="_Toc204872342">
            <w:r w:rsidRPr="009168B4">
              <w:rPr>
                <w:rStyle w:val="Hyperlink"/>
                <w:noProof/>
              </w:rPr>
              <w:t>7.2.</w:t>
            </w:r>
            <w:r>
              <w:rPr>
                <w:rFonts w:asciiTheme="minorHAnsi" w:hAnsiTheme="minorHAnsi" w:cstheme="minorBidi"/>
                <w:noProof/>
                <w:kern w:val="2"/>
                <w:sz w:val="24"/>
                <w:szCs w:val="24"/>
                <w14:ligatures w14:val="standardContextual"/>
              </w:rPr>
              <w:tab/>
            </w:r>
            <w:r w:rsidRPr="009168B4">
              <w:rPr>
                <w:rStyle w:val="Hyperlink"/>
                <w:noProof/>
              </w:rPr>
              <w:t>Reply Comments on Proposed Decision</w:t>
            </w:r>
            <w:r>
              <w:rPr>
                <w:noProof/>
                <w:webHidden/>
              </w:rPr>
              <w:tab/>
            </w:r>
            <w:r>
              <w:rPr>
                <w:noProof/>
                <w:webHidden/>
              </w:rPr>
              <w:fldChar w:fldCharType="begin"/>
            </w:r>
            <w:r>
              <w:rPr>
                <w:noProof/>
                <w:webHidden/>
              </w:rPr>
              <w:instrText xml:space="preserve"> PAGEREF _Toc204872342 \h </w:instrText>
            </w:r>
            <w:r>
              <w:rPr>
                <w:noProof/>
                <w:webHidden/>
              </w:rPr>
            </w:r>
            <w:r>
              <w:rPr>
                <w:noProof/>
                <w:webHidden/>
              </w:rPr>
              <w:fldChar w:fldCharType="separate"/>
            </w:r>
            <w:r>
              <w:rPr>
                <w:noProof/>
                <w:webHidden/>
              </w:rPr>
              <w:t>23</w:t>
            </w:r>
            <w:r>
              <w:rPr>
                <w:noProof/>
                <w:webHidden/>
              </w:rPr>
              <w:fldChar w:fldCharType="end"/>
            </w:r>
          </w:hyperlink>
        </w:p>
        <w:p w:rsidR="005858B3" w:rsidRDefault="005858B3" w14:paraId="6CF89643" w14:textId="39AC9711">
          <w:pPr>
            <w:pStyle w:val="TOC1"/>
            <w:tabs>
              <w:tab w:val="right" w:leader="dot" w:pos="9350"/>
            </w:tabs>
            <w:rPr>
              <w:rFonts w:asciiTheme="minorHAnsi" w:hAnsiTheme="minorHAnsi" w:cstheme="minorBidi"/>
              <w:noProof/>
              <w:kern w:val="2"/>
              <w:sz w:val="24"/>
              <w:szCs w:val="24"/>
              <w14:ligatures w14:val="standardContextual"/>
            </w:rPr>
          </w:pPr>
          <w:hyperlink w:history="1" w:anchor="_Toc204872343">
            <w:r w:rsidRPr="009168B4">
              <w:rPr>
                <w:rStyle w:val="Hyperlink"/>
                <w:noProof/>
              </w:rPr>
              <w:t>8.</w:t>
            </w:r>
            <w:r>
              <w:rPr>
                <w:rFonts w:asciiTheme="minorHAnsi" w:hAnsiTheme="minorHAnsi" w:cstheme="minorBidi"/>
                <w:noProof/>
                <w:kern w:val="2"/>
                <w:sz w:val="24"/>
                <w:szCs w:val="24"/>
                <w14:ligatures w14:val="standardContextual"/>
              </w:rPr>
              <w:tab/>
            </w:r>
            <w:r w:rsidRPr="009168B4">
              <w:rPr>
                <w:rStyle w:val="Hyperlink"/>
                <w:noProof/>
              </w:rPr>
              <w:t>Assignment of Proceeding</w:t>
            </w:r>
            <w:r>
              <w:rPr>
                <w:noProof/>
                <w:webHidden/>
              </w:rPr>
              <w:tab/>
            </w:r>
            <w:r>
              <w:rPr>
                <w:noProof/>
                <w:webHidden/>
              </w:rPr>
              <w:fldChar w:fldCharType="begin"/>
            </w:r>
            <w:r>
              <w:rPr>
                <w:noProof/>
                <w:webHidden/>
              </w:rPr>
              <w:instrText xml:space="preserve"> PAGEREF _Toc204872343 \h </w:instrText>
            </w:r>
            <w:r>
              <w:rPr>
                <w:noProof/>
                <w:webHidden/>
              </w:rPr>
            </w:r>
            <w:r>
              <w:rPr>
                <w:noProof/>
                <w:webHidden/>
              </w:rPr>
              <w:fldChar w:fldCharType="separate"/>
            </w:r>
            <w:r>
              <w:rPr>
                <w:noProof/>
                <w:webHidden/>
              </w:rPr>
              <w:t>24</w:t>
            </w:r>
            <w:r>
              <w:rPr>
                <w:noProof/>
                <w:webHidden/>
              </w:rPr>
              <w:fldChar w:fldCharType="end"/>
            </w:r>
          </w:hyperlink>
        </w:p>
        <w:p w:rsidR="005858B3" w:rsidRDefault="005858B3" w14:paraId="17A978F6" w14:textId="1209D332">
          <w:pPr>
            <w:pStyle w:val="TOC1"/>
            <w:tabs>
              <w:tab w:val="right" w:leader="dot" w:pos="9350"/>
            </w:tabs>
            <w:rPr>
              <w:rFonts w:asciiTheme="minorHAnsi" w:hAnsiTheme="minorHAnsi" w:cstheme="minorBidi"/>
              <w:noProof/>
              <w:kern w:val="2"/>
              <w:sz w:val="24"/>
              <w:szCs w:val="24"/>
              <w14:ligatures w14:val="standardContextual"/>
            </w:rPr>
          </w:pPr>
          <w:hyperlink w:history="1" w:anchor="_Toc204872344">
            <w:r w:rsidRPr="009168B4">
              <w:rPr>
                <w:rStyle w:val="Hyperlink"/>
                <w:noProof/>
              </w:rPr>
              <w:t>Findings of Fact</w:t>
            </w:r>
            <w:r>
              <w:rPr>
                <w:noProof/>
                <w:webHidden/>
              </w:rPr>
              <w:tab/>
            </w:r>
            <w:r>
              <w:rPr>
                <w:noProof/>
                <w:webHidden/>
              </w:rPr>
              <w:fldChar w:fldCharType="begin"/>
            </w:r>
            <w:r>
              <w:rPr>
                <w:noProof/>
                <w:webHidden/>
              </w:rPr>
              <w:instrText xml:space="preserve"> PAGEREF _Toc204872344 \h </w:instrText>
            </w:r>
            <w:r>
              <w:rPr>
                <w:noProof/>
                <w:webHidden/>
              </w:rPr>
            </w:r>
            <w:r>
              <w:rPr>
                <w:noProof/>
                <w:webHidden/>
              </w:rPr>
              <w:fldChar w:fldCharType="separate"/>
            </w:r>
            <w:r>
              <w:rPr>
                <w:noProof/>
                <w:webHidden/>
              </w:rPr>
              <w:t>24</w:t>
            </w:r>
            <w:r>
              <w:rPr>
                <w:noProof/>
                <w:webHidden/>
              </w:rPr>
              <w:fldChar w:fldCharType="end"/>
            </w:r>
          </w:hyperlink>
        </w:p>
        <w:p w:rsidR="005858B3" w:rsidRDefault="005858B3" w14:paraId="5B922924" w14:textId="46DD4D28">
          <w:pPr>
            <w:pStyle w:val="TOC1"/>
            <w:tabs>
              <w:tab w:val="right" w:leader="dot" w:pos="9350"/>
            </w:tabs>
            <w:rPr>
              <w:rFonts w:asciiTheme="minorHAnsi" w:hAnsiTheme="minorHAnsi" w:cstheme="minorBidi"/>
              <w:noProof/>
              <w:kern w:val="2"/>
              <w:sz w:val="24"/>
              <w:szCs w:val="24"/>
              <w14:ligatures w14:val="standardContextual"/>
            </w:rPr>
          </w:pPr>
          <w:hyperlink w:history="1" w:anchor="_Toc204872345">
            <w:r w:rsidRPr="009168B4">
              <w:rPr>
                <w:rStyle w:val="Hyperlink"/>
                <w:noProof/>
              </w:rPr>
              <w:t>Conclusions of Law</w:t>
            </w:r>
            <w:r>
              <w:rPr>
                <w:noProof/>
                <w:webHidden/>
              </w:rPr>
              <w:tab/>
            </w:r>
            <w:r>
              <w:rPr>
                <w:noProof/>
                <w:webHidden/>
              </w:rPr>
              <w:fldChar w:fldCharType="begin"/>
            </w:r>
            <w:r>
              <w:rPr>
                <w:noProof/>
                <w:webHidden/>
              </w:rPr>
              <w:instrText xml:space="preserve"> PAGEREF _Toc204872345 \h </w:instrText>
            </w:r>
            <w:r>
              <w:rPr>
                <w:noProof/>
                <w:webHidden/>
              </w:rPr>
            </w:r>
            <w:r>
              <w:rPr>
                <w:noProof/>
                <w:webHidden/>
              </w:rPr>
              <w:fldChar w:fldCharType="separate"/>
            </w:r>
            <w:r>
              <w:rPr>
                <w:noProof/>
                <w:webHidden/>
              </w:rPr>
              <w:t>26</w:t>
            </w:r>
            <w:r>
              <w:rPr>
                <w:noProof/>
                <w:webHidden/>
              </w:rPr>
              <w:fldChar w:fldCharType="end"/>
            </w:r>
          </w:hyperlink>
        </w:p>
        <w:p w:rsidR="005858B3" w:rsidRDefault="005858B3" w14:paraId="114137A0" w14:textId="36C60DDD">
          <w:pPr>
            <w:pStyle w:val="TOC1"/>
            <w:tabs>
              <w:tab w:val="right" w:leader="dot" w:pos="9350"/>
            </w:tabs>
            <w:rPr>
              <w:rFonts w:asciiTheme="minorHAnsi" w:hAnsiTheme="minorHAnsi" w:cstheme="minorBidi"/>
              <w:noProof/>
              <w:kern w:val="2"/>
              <w:sz w:val="24"/>
              <w:szCs w:val="24"/>
              <w14:ligatures w14:val="standardContextual"/>
            </w:rPr>
          </w:pPr>
          <w:hyperlink w:history="1" w:anchor="_Toc204872346">
            <w:r w:rsidRPr="009168B4">
              <w:rPr>
                <w:rStyle w:val="Hyperlink"/>
                <w:noProof/>
              </w:rPr>
              <w:t>ORDER</w:t>
            </w:r>
            <w:r>
              <w:rPr>
                <w:noProof/>
                <w:webHidden/>
              </w:rPr>
              <w:tab/>
            </w:r>
            <w:r>
              <w:rPr>
                <w:noProof/>
                <w:webHidden/>
              </w:rPr>
              <w:fldChar w:fldCharType="begin"/>
            </w:r>
            <w:r>
              <w:rPr>
                <w:noProof/>
                <w:webHidden/>
              </w:rPr>
              <w:instrText xml:space="preserve"> PAGEREF _Toc204872346 \h </w:instrText>
            </w:r>
            <w:r>
              <w:rPr>
                <w:noProof/>
                <w:webHidden/>
              </w:rPr>
            </w:r>
            <w:r>
              <w:rPr>
                <w:noProof/>
                <w:webHidden/>
              </w:rPr>
              <w:fldChar w:fldCharType="separate"/>
            </w:r>
            <w:r>
              <w:rPr>
                <w:noProof/>
                <w:webHidden/>
              </w:rPr>
              <w:t>27</w:t>
            </w:r>
            <w:r>
              <w:rPr>
                <w:noProof/>
                <w:webHidden/>
              </w:rPr>
              <w:fldChar w:fldCharType="end"/>
            </w:r>
          </w:hyperlink>
        </w:p>
        <w:p w:rsidR="00D82A43" w:rsidP="008C7413" w:rsidRDefault="008C7413" w14:paraId="1FEBAADC" w14:textId="0DFFBE09">
          <w:pPr>
            <w:pStyle w:val="TOC1"/>
            <w:tabs>
              <w:tab w:val="right" w:leader="dot" w:pos="9350"/>
            </w:tabs>
          </w:pPr>
          <w:r>
            <w:rPr>
              <w:rFonts w:asciiTheme="minorHAnsi" w:hAnsiTheme="minorHAnsi"/>
              <w:sz w:val="22"/>
            </w:rPr>
            <w:fldChar w:fldCharType="end"/>
          </w:r>
        </w:p>
      </w:sdtContent>
    </w:sdt>
    <w:p w:rsidR="00D44DB6" w:rsidP="00D44DB6" w:rsidRDefault="00D44DB6" w14:paraId="3F7905C4" w14:textId="77777777">
      <w:pPr>
        <w:spacing w:line="240" w:lineRule="auto"/>
        <w:ind w:firstLine="0"/>
        <w:rPr>
          <w:rFonts w:cs="Arial"/>
          <w:szCs w:val="26"/>
        </w:rPr>
      </w:pPr>
    </w:p>
    <w:p w:rsidR="00D44DB6" w:rsidP="00D44DB6" w:rsidRDefault="00D44DB6" w14:paraId="25DF8C80" w14:textId="77777777">
      <w:pPr>
        <w:spacing w:line="240" w:lineRule="auto"/>
        <w:ind w:firstLine="0"/>
        <w:rPr>
          <w:rFonts w:cs="Arial"/>
          <w:b/>
          <w:bCs/>
          <w:i/>
          <w:szCs w:val="26"/>
        </w:rPr>
      </w:pPr>
    </w:p>
    <w:p w:rsidRPr="00D44DB6" w:rsidR="006D2605" w:rsidP="00D44DB6" w:rsidRDefault="006D2605" w14:paraId="20DEF37E" w14:textId="25B76D43">
      <w:pPr>
        <w:spacing w:line="240" w:lineRule="auto"/>
        <w:ind w:firstLine="0"/>
        <w:rPr>
          <w:rFonts w:cs="Arial"/>
          <w:i/>
          <w:szCs w:val="26"/>
        </w:rPr>
        <w:sectPr w:rsidRPr="00D44DB6" w:rsidR="006D2605" w:rsidSect="00D44DB6">
          <w:headerReference w:type="default" r:id="rId15"/>
          <w:footerReference w:type="default" r:id="rId16"/>
          <w:footnotePr>
            <w:numRestart w:val="eachSect"/>
          </w:footnotePr>
          <w:pgSz w:w="12240" w:h="15840"/>
          <w:pgMar w:top="1728" w:right="1440" w:bottom="1440" w:left="1440" w:header="720" w:footer="720" w:gutter="0"/>
          <w:pgNumType w:fmt="lowerRoman" w:start="1"/>
          <w:cols w:space="720"/>
          <w:docGrid w:linePitch="360"/>
        </w:sectPr>
      </w:pPr>
    </w:p>
    <w:p w:rsidR="006D2605" w:rsidP="006D2605" w:rsidRDefault="003A736B" w14:paraId="34B2F31B" w14:textId="77777777">
      <w:pPr>
        <w:pStyle w:val="Main"/>
      </w:pPr>
      <w:r w:rsidRPr="00850455">
        <w:lastRenderedPageBreak/>
        <w:t>DECISION AUT</w:t>
      </w:r>
      <w:r w:rsidRPr="00850455" w:rsidR="00673C08">
        <w:t xml:space="preserve">HORIZING GAS UTILITIES TO ESTABLISH </w:t>
      </w:r>
    </w:p>
    <w:p w:rsidRPr="00850455" w:rsidR="0098655A" w:rsidP="006D2605" w:rsidRDefault="00673C08" w14:paraId="242FE099" w14:textId="312E0DED">
      <w:pPr>
        <w:pStyle w:val="Main"/>
        <w:spacing w:after="120"/>
      </w:pPr>
      <w:r w:rsidRPr="00850455">
        <w:t xml:space="preserve">MEMORANDUM ACCOUNTS RELATED TO </w:t>
      </w:r>
      <w:r w:rsidR="000A1BD2">
        <w:t>SB 1221</w:t>
      </w:r>
      <w:r w:rsidRPr="00850455" w:rsidR="005024BA">
        <w:t xml:space="preserve"> MAPPING</w:t>
      </w:r>
    </w:p>
    <w:p w:rsidRPr="00850455" w:rsidR="005A148C" w:rsidP="005A148C" w:rsidRDefault="005A148C" w14:paraId="5BC80D6B" w14:textId="77777777">
      <w:pPr>
        <w:pStyle w:val="Dummy"/>
      </w:pPr>
      <w:bookmarkStart w:name="_Toc8123714" w:id="4"/>
      <w:bookmarkStart w:name="_Toc204872317" w:id="5"/>
      <w:r w:rsidRPr="00850455">
        <w:t>Summary</w:t>
      </w:r>
      <w:bookmarkEnd w:id="4"/>
      <w:bookmarkEnd w:id="5"/>
    </w:p>
    <w:p w:rsidR="00F2372B" w:rsidP="008B4192" w:rsidRDefault="00EA426F" w14:paraId="683BBC68" w14:textId="3E547448">
      <w:pPr>
        <w:pStyle w:val="Standard"/>
      </w:pPr>
      <w:r w:rsidRPr="00850455">
        <w:t xml:space="preserve">This decision </w:t>
      </w:r>
      <w:r w:rsidR="00884855">
        <w:t>authorizes Pacific Gas and Electric Company, Southwest Gas Corporation, Southern California Gas Company, San Diego Gas &amp; Electric Company, and small gas utilities per Section 8 of</w:t>
      </w:r>
      <w:r w:rsidRPr="00850455" w:rsidDel="00884855" w:rsidR="00884855">
        <w:t xml:space="preserve"> </w:t>
      </w:r>
      <w:r w:rsidRPr="00850455" w:rsidR="00F2372B">
        <w:t xml:space="preserve">the Assigned Commissioner’s Ruling Issuing Senate Bill 1221 Mapping Directions to Utilities, filed on April 18, 2025, </w:t>
      </w:r>
      <w:r w:rsidRPr="00850455" w:rsidR="008B4192">
        <w:t>to</w:t>
      </w:r>
      <w:r w:rsidRPr="00850455" w:rsidR="00F2372B">
        <w:t xml:space="preserve"> establish a memorandum account to record expenses related to complying with mapping activities per Pub</w:t>
      </w:r>
      <w:r w:rsidRPr="00850455" w:rsidR="00AF2BE3">
        <w:t>lic</w:t>
      </w:r>
      <w:r w:rsidRPr="00850455" w:rsidR="00F2372B">
        <w:t xml:space="preserve"> Uti</w:t>
      </w:r>
      <w:r w:rsidRPr="00850455" w:rsidR="00AF2BE3">
        <w:t>lities</w:t>
      </w:r>
      <w:r w:rsidRPr="00850455" w:rsidR="00F2372B">
        <w:t xml:space="preserve"> Code Section</w:t>
      </w:r>
      <w:r w:rsidR="008C5DD8">
        <w:t> </w:t>
      </w:r>
      <w:r w:rsidRPr="00850455" w:rsidR="00F2372B">
        <w:t>661.</w:t>
      </w:r>
      <w:r w:rsidR="008C5DD8">
        <w:t xml:space="preserve"> </w:t>
      </w:r>
      <w:r w:rsidRPr="00850455" w:rsidR="00F2372B">
        <w:t xml:space="preserve"> The gas utilit</w:t>
      </w:r>
      <w:r w:rsidRPr="00850455" w:rsidR="006C4730">
        <w:t>y</w:t>
      </w:r>
      <w:r w:rsidRPr="00850455" w:rsidR="00F2372B">
        <w:t xml:space="preserve"> may record such expenses in </w:t>
      </w:r>
      <w:r w:rsidRPr="00850455" w:rsidR="006C4730">
        <w:t>its</w:t>
      </w:r>
      <w:r w:rsidRPr="00850455" w:rsidR="00F2372B">
        <w:t xml:space="preserve"> memorandum account </w:t>
      </w:r>
      <w:r w:rsidRPr="00DC164A" w:rsidR="00714704">
        <w:t>effective</w:t>
      </w:r>
      <w:r w:rsidRPr="00DC164A" w:rsidR="00F2372B">
        <w:t xml:space="preserve"> April 21, 202</w:t>
      </w:r>
      <w:r w:rsidRPr="00DC164A" w:rsidR="00BA0877">
        <w:t>5</w:t>
      </w:r>
      <w:r w:rsidRPr="00E34E3D" w:rsidR="00F2372B">
        <w:t>.</w:t>
      </w:r>
      <w:r w:rsidRPr="00850455" w:rsidR="00F2372B">
        <w:t xml:space="preserve"> </w:t>
      </w:r>
      <w:r w:rsidR="008C5DD8">
        <w:t xml:space="preserve"> </w:t>
      </w:r>
      <w:r w:rsidRPr="00850455" w:rsidR="00F2372B">
        <w:t xml:space="preserve">Each gas utility may record expenses in </w:t>
      </w:r>
      <w:r w:rsidRPr="00850455" w:rsidR="00732510">
        <w:t>its</w:t>
      </w:r>
      <w:r w:rsidRPr="00850455" w:rsidR="00F2372B">
        <w:t xml:space="preserve"> respective memorandum account until </w:t>
      </w:r>
      <w:r w:rsidR="0049385D">
        <w:t>January 1 of the Test Year</w:t>
      </w:r>
      <w:r w:rsidRPr="00850455" w:rsidR="00F2372B">
        <w:t xml:space="preserve"> of its next general rate case upon </w:t>
      </w:r>
      <w:r w:rsidRPr="00850455" w:rsidR="00211FDC">
        <w:t>which</w:t>
      </w:r>
      <w:r w:rsidRPr="00850455" w:rsidR="00F2372B">
        <w:t xml:space="preserve"> time recording in the memorandum account must cease and ongoing expenses related to mapping activities under Pub</w:t>
      </w:r>
      <w:r w:rsidR="00DE6443">
        <w:t>lic</w:t>
      </w:r>
      <w:r w:rsidRPr="00850455" w:rsidR="00F2372B">
        <w:t xml:space="preserve"> Util</w:t>
      </w:r>
      <w:r w:rsidR="0017413C">
        <w:t>ities</w:t>
      </w:r>
      <w:r w:rsidRPr="00850455" w:rsidR="00F2372B">
        <w:t xml:space="preserve"> Code Section</w:t>
      </w:r>
      <w:r w:rsidR="008C5DD8">
        <w:t> </w:t>
      </w:r>
      <w:r w:rsidRPr="00850455" w:rsidR="00F2372B">
        <w:t xml:space="preserve">661 </w:t>
      </w:r>
      <w:r w:rsidR="00DE6443">
        <w:t>will</w:t>
      </w:r>
      <w:r w:rsidRPr="00850455" w:rsidR="00DE6443">
        <w:t xml:space="preserve"> </w:t>
      </w:r>
      <w:r w:rsidRPr="00850455" w:rsidR="00F2372B">
        <w:t xml:space="preserve">be covered in </w:t>
      </w:r>
      <w:r w:rsidRPr="00850455" w:rsidR="00DA2537">
        <w:t>its</w:t>
      </w:r>
      <w:r w:rsidRPr="00850455" w:rsidR="00F2372B">
        <w:t xml:space="preserve"> new </w:t>
      </w:r>
      <w:r w:rsidRPr="00850455" w:rsidR="00512A10">
        <w:t>general rate case</w:t>
      </w:r>
      <w:r w:rsidRPr="00850455" w:rsidR="00F2372B">
        <w:t>.</w:t>
      </w:r>
      <w:r w:rsidR="004F0427">
        <w:t xml:space="preserve"> </w:t>
      </w:r>
      <w:r w:rsidR="008C5DD8">
        <w:t xml:space="preserve"> </w:t>
      </w:r>
      <w:r w:rsidR="004F0427">
        <w:t>The reasonableness and recovery of the expenses recorded in such memorandum accounts will not be reviewed in th</w:t>
      </w:r>
      <w:r w:rsidR="0017413C">
        <w:t>is</w:t>
      </w:r>
      <w:r w:rsidR="004F0427">
        <w:t xml:space="preserve"> proceeding</w:t>
      </w:r>
      <w:r w:rsidR="0017413C">
        <w:t>.</w:t>
      </w:r>
      <w:r w:rsidR="004F0427">
        <w:t xml:space="preserve"> </w:t>
      </w:r>
      <w:r w:rsidR="00761EB2">
        <w:t>The Commission will decide whether to authorize recovery of some or all costs in the gas utilities’ next general rate case</w:t>
      </w:r>
      <w:r w:rsidR="00AC1E59">
        <w:t>.</w:t>
      </w:r>
    </w:p>
    <w:p w:rsidRPr="00850455" w:rsidR="00BF17AB" w:rsidP="006D2605" w:rsidRDefault="006A0656" w14:paraId="555DB15E" w14:textId="48FDBA82">
      <w:pPr>
        <w:pStyle w:val="Standard"/>
      </w:pPr>
      <w:r>
        <w:t>This rulemaking remain</w:t>
      </w:r>
      <w:r w:rsidR="00C33648">
        <w:t>s</w:t>
      </w:r>
      <w:r>
        <w:t xml:space="preserve"> open.</w:t>
      </w:r>
    </w:p>
    <w:p w:rsidRPr="00850455" w:rsidR="0063491C" w:rsidP="00A50F54" w:rsidRDefault="002C7FE9" w14:paraId="78622C31" w14:textId="70267DF9">
      <w:pPr>
        <w:pStyle w:val="Heading1"/>
        <w:numPr>
          <w:ilvl w:val="0"/>
          <w:numId w:val="1"/>
        </w:numPr>
      </w:pPr>
      <w:bookmarkStart w:name="_Toc8123715" w:id="6"/>
      <w:bookmarkStart w:name="_Toc204872318" w:id="7"/>
      <w:r w:rsidRPr="00850455">
        <w:t>Background</w:t>
      </w:r>
      <w:bookmarkEnd w:id="6"/>
      <w:bookmarkEnd w:id="7"/>
    </w:p>
    <w:p w:rsidR="006D2605" w:rsidP="00A50F54" w:rsidRDefault="00A50F54" w14:paraId="75B895CE" w14:textId="77B4B852">
      <w:pPr>
        <w:pStyle w:val="Standard"/>
        <w:sectPr w:rsidR="006D2605" w:rsidSect="006D2605">
          <w:headerReference w:type="default" r:id="rId17"/>
          <w:footerReference w:type="default" r:id="rId18"/>
          <w:footnotePr>
            <w:numRestart w:val="eachSect"/>
          </w:footnotePr>
          <w:pgSz w:w="12240" w:h="15840"/>
          <w:pgMar w:top="1728" w:right="1440" w:bottom="1440" w:left="1440" w:header="720" w:footer="720" w:gutter="0"/>
          <w:pgNumType w:start="2"/>
          <w:cols w:space="720"/>
          <w:docGrid w:linePitch="360"/>
        </w:sectPr>
      </w:pPr>
      <w:r w:rsidRPr="00850455">
        <w:t>On September 26, 2024, the California Public Utilities Commission (Commission) opened this Order Instituting Rulemaking (OIR) to advance long</w:t>
      </w:r>
      <w:r w:rsidR="008C5DD8">
        <w:noBreakHyphen/>
      </w:r>
      <w:r w:rsidRPr="00850455">
        <w:t xml:space="preserve">term gas transition planning work and act on opportunities to advance decarbonization and mitigate risks. </w:t>
      </w:r>
      <w:r w:rsidR="008C5DD8">
        <w:t xml:space="preserve"> </w:t>
      </w:r>
      <w:r w:rsidRPr="00850455">
        <w:t xml:space="preserve">On January 31, 2025, the Assigned </w:t>
      </w:r>
    </w:p>
    <w:p w:rsidRPr="00850455" w:rsidR="00A50F54" w:rsidP="00A50F54" w:rsidRDefault="00A50F54" w14:paraId="25AD2A48" w14:textId="38ACEC51">
      <w:pPr>
        <w:pStyle w:val="Standard"/>
      </w:pPr>
      <w:r w:rsidRPr="00850455">
        <w:lastRenderedPageBreak/>
        <w:t>Commissioner</w:t>
      </w:r>
      <w:r w:rsidR="007B465B">
        <w:t xml:space="preserve"> issued the</w:t>
      </w:r>
      <w:r w:rsidRPr="00850455">
        <w:t xml:space="preserve"> Scoping Memo and Ruling (Scoping Memo) setting forth the issues </w:t>
      </w:r>
      <w:r w:rsidR="004A0DF9">
        <w:t xml:space="preserve">to be addressed in </w:t>
      </w:r>
      <w:r w:rsidRPr="00850455">
        <w:t>th</w:t>
      </w:r>
      <w:r w:rsidR="004A0DF9">
        <w:t>is</w:t>
      </w:r>
      <w:r w:rsidRPr="00850455">
        <w:t xml:space="preserve"> proceeding. </w:t>
      </w:r>
      <w:r w:rsidR="008C5DD8">
        <w:t xml:space="preserve"> </w:t>
      </w:r>
      <w:r w:rsidR="007B465B">
        <w:t xml:space="preserve">The Scoping Memo notified parties that the proceeding </w:t>
      </w:r>
      <w:r w:rsidRPr="00850455">
        <w:t>will examine S</w:t>
      </w:r>
      <w:r w:rsidR="007B465B">
        <w:t xml:space="preserve">enate </w:t>
      </w:r>
      <w:r w:rsidRPr="00850455">
        <w:t>B</w:t>
      </w:r>
      <w:r w:rsidR="007B465B">
        <w:t>ill (SB)</w:t>
      </w:r>
      <w:r w:rsidRPr="00850455">
        <w:t xml:space="preserve"> 1221 implementation issues in two tracks. </w:t>
      </w:r>
      <w:r w:rsidR="008C5DD8">
        <w:t xml:space="preserve"> </w:t>
      </w:r>
      <w:r w:rsidRPr="00850455">
        <w:t>Track</w:t>
      </w:r>
      <w:r w:rsidR="00FF50BD">
        <w:t xml:space="preserve"> </w:t>
      </w:r>
      <w:r w:rsidRPr="00850455">
        <w:t xml:space="preserve">1 will address </w:t>
      </w:r>
      <w:r w:rsidR="000A1BD2">
        <w:t>SB 1221</w:t>
      </w:r>
      <w:r w:rsidRPr="00850455">
        <w:t xml:space="preserve"> Mapping Requirements per Public Utilit</w:t>
      </w:r>
      <w:r w:rsidR="004A0DF9">
        <w:t>ies</w:t>
      </w:r>
      <w:r w:rsidR="007B465B">
        <w:t xml:space="preserve"> </w:t>
      </w:r>
      <w:r w:rsidRPr="00850455">
        <w:t xml:space="preserve">(Pub. Util.) Code Section 661. </w:t>
      </w:r>
      <w:r w:rsidR="008C5DD8">
        <w:t xml:space="preserve"> </w:t>
      </w:r>
      <w:r w:rsidRPr="00850455">
        <w:t>Track</w:t>
      </w:r>
      <w:r w:rsidR="008C5DD8">
        <w:noBreakHyphen/>
      </w:r>
      <w:r w:rsidRPr="00850455">
        <w:t>2 will address Priority Neighborhood Decarbonization Zones</w:t>
      </w:r>
      <w:r w:rsidRPr="00850455" w:rsidR="00AB6F8C">
        <w:t xml:space="preserve"> per Pub. Util. Code Section</w:t>
      </w:r>
      <w:r w:rsidR="008C5DD8">
        <w:t> </w:t>
      </w:r>
      <w:r w:rsidRPr="00850455" w:rsidR="00E95FE3">
        <w:t>662</w:t>
      </w:r>
      <w:r w:rsidRPr="00850455">
        <w:t>.</w:t>
      </w:r>
      <w:r w:rsidRPr="00850455">
        <w:rPr>
          <w:rStyle w:val="FootnoteReference"/>
        </w:rPr>
        <w:footnoteReference w:id="2"/>
      </w:r>
    </w:p>
    <w:p w:rsidR="007E40A0" w:rsidP="00EF5630" w:rsidRDefault="00EF5630" w14:paraId="418DDF05" w14:textId="62B3B5C6">
      <w:pPr>
        <w:pStyle w:val="Standard"/>
      </w:pPr>
      <w:r w:rsidRPr="00850455">
        <w:t xml:space="preserve">On February 20, 2025, the assigned Administrative Law Judges </w:t>
      </w:r>
      <w:r w:rsidR="00540F96">
        <w:t xml:space="preserve">(ALJs) </w:t>
      </w:r>
      <w:r w:rsidRPr="00850455">
        <w:t xml:space="preserve">issued a ruling </w:t>
      </w:r>
      <w:r w:rsidR="004A4236">
        <w:t>seeking</w:t>
      </w:r>
      <w:r w:rsidRPr="00850455" w:rsidR="004A4236">
        <w:t xml:space="preserve"> </w:t>
      </w:r>
      <w:r w:rsidRPr="00850455">
        <w:t xml:space="preserve">party </w:t>
      </w:r>
      <w:r w:rsidR="00116941">
        <w:t>comments</w:t>
      </w:r>
      <w:r w:rsidRPr="00850455" w:rsidR="00116941">
        <w:t xml:space="preserve"> </w:t>
      </w:r>
      <w:r w:rsidRPr="00850455">
        <w:t xml:space="preserve">on </w:t>
      </w:r>
      <w:r w:rsidRPr="00850455" w:rsidR="00BC1124">
        <w:t>the Energy</w:t>
      </w:r>
      <w:r w:rsidRPr="00850455">
        <w:t xml:space="preserve"> Division’s “Recommendations for </w:t>
      </w:r>
      <w:r w:rsidRPr="00850455" w:rsidR="007B5673">
        <w:t>Senate Bill (</w:t>
      </w:r>
      <w:r w:rsidRPr="00850455">
        <w:t>SB</w:t>
      </w:r>
      <w:r w:rsidRPr="00850455" w:rsidR="007B5673">
        <w:t>)</w:t>
      </w:r>
      <w:r w:rsidRPr="00850455">
        <w:t xml:space="preserve"> 1221 California Natural Gas System Mapping” (Staff Proposal). </w:t>
      </w:r>
      <w:r w:rsidR="008C5DD8">
        <w:t xml:space="preserve"> </w:t>
      </w:r>
      <w:r w:rsidR="007B465B">
        <w:t xml:space="preserve">The Staff Proposal </w:t>
      </w:r>
      <w:r w:rsidR="00116941">
        <w:t>recommends</w:t>
      </w:r>
      <w:r w:rsidR="00111148">
        <w:t xml:space="preserve"> </w:t>
      </w:r>
      <w:r w:rsidR="00116941">
        <w:t>that</w:t>
      </w:r>
      <w:r w:rsidR="00111148">
        <w:t xml:space="preserve"> Pacific Gas and Electric Company (PG&amp;E), Southern California Gas Company (SoCalGas), San</w:t>
      </w:r>
      <w:r w:rsidR="008C5DD8">
        <w:t> </w:t>
      </w:r>
      <w:r w:rsidR="00111148">
        <w:t xml:space="preserve">Diego Gas </w:t>
      </w:r>
      <w:r w:rsidR="004A4236">
        <w:t xml:space="preserve">&amp; </w:t>
      </w:r>
      <w:r w:rsidR="00111148">
        <w:t>Electric Company (SDG&amp;E), and Southwest Gas Corporation (Southwest) (together, gas utilities) should map and provide to the Commission</w:t>
      </w:r>
      <w:r w:rsidR="00116941">
        <w:t xml:space="preserve"> certain information</w:t>
      </w:r>
      <w:r w:rsidR="00111148">
        <w:t xml:space="preserve"> in compliance with Pub. Util. Code Section 661.</w:t>
      </w:r>
    </w:p>
    <w:p w:rsidRPr="00850455" w:rsidR="00EF5630" w:rsidP="00EF5630" w:rsidRDefault="00EF5630" w14:paraId="368970CC" w14:textId="1B199001">
      <w:pPr>
        <w:pStyle w:val="Standard"/>
      </w:pPr>
      <w:r w:rsidRPr="00850455">
        <w:t xml:space="preserve">After reviewing the Staff Proposal, the </w:t>
      </w:r>
      <w:r w:rsidRPr="00850455" w:rsidR="00DA131D">
        <w:t xml:space="preserve">gas </w:t>
      </w:r>
      <w:r w:rsidRPr="00850455">
        <w:t xml:space="preserve">utilities </w:t>
      </w:r>
      <w:r w:rsidR="004A4236">
        <w:t>raised</w:t>
      </w:r>
      <w:r w:rsidRPr="00850455" w:rsidR="004A4236">
        <w:t xml:space="preserve"> </w:t>
      </w:r>
      <w:r w:rsidRPr="00850455">
        <w:t xml:space="preserve">the need for cost recovery </w:t>
      </w:r>
      <w:r w:rsidRPr="00850455" w:rsidR="00B7535F">
        <w:t>for</w:t>
      </w:r>
      <w:r w:rsidRPr="00850455">
        <w:t xml:space="preserve"> their </w:t>
      </w:r>
      <w:r w:rsidR="000A1BD2">
        <w:t>SB 1221</w:t>
      </w:r>
      <w:r w:rsidRPr="00850455">
        <w:t xml:space="preserve"> mapping activities. </w:t>
      </w:r>
      <w:r w:rsidR="008C5DD8">
        <w:t xml:space="preserve"> </w:t>
      </w:r>
      <w:r w:rsidRPr="00850455">
        <w:t>SoCalGas and SDG&amp;E requested an immediate funding mechanism and assurance of timely and complete cost recovery.</w:t>
      </w:r>
      <w:r w:rsidRPr="00850455">
        <w:rPr>
          <w:rStyle w:val="FootnoteReference"/>
        </w:rPr>
        <w:footnoteReference w:id="3"/>
      </w:r>
      <w:r w:rsidRPr="00850455">
        <w:t xml:space="preserve"> </w:t>
      </w:r>
      <w:r w:rsidR="008C5DD8">
        <w:t xml:space="preserve"> </w:t>
      </w:r>
      <w:r w:rsidRPr="00850455">
        <w:t xml:space="preserve">PG&amp;E stated that it expected significant incremental costs of implementing </w:t>
      </w:r>
      <w:r w:rsidR="000A1BD2">
        <w:t>SB 1221</w:t>
      </w:r>
      <w:r w:rsidRPr="00850455">
        <w:t xml:space="preserve"> and requested that the Commission expeditiously authorize a new memorandum account.</w:t>
      </w:r>
      <w:r w:rsidRPr="00850455">
        <w:rPr>
          <w:rStyle w:val="FootnoteReference"/>
        </w:rPr>
        <w:footnoteReference w:id="4"/>
      </w:r>
      <w:r w:rsidRPr="00850455">
        <w:t xml:space="preserve"> </w:t>
      </w:r>
      <w:r w:rsidR="008C5DD8">
        <w:t xml:space="preserve"> </w:t>
      </w:r>
      <w:r w:rsidRPr="00850455">
        <w:t xml:space="preserve">In reply comments, PG&amp;E estimated that mapping data “could cost millions” and expressed its intent to request that </w:t>
      </w:r>
      <w:r w:rsidRPr="00850455">
        <w:lastRenderedPageBreak/>
        <w:t>the Commission issue a decision approving the utilities to file one</w:t>
      </w:r>
      <w:r w:rsidR="008C5DD8">
        <w:noBreakHyphen/>
      </w:r>
      <w:r w:rsidRPr="00850455">
        <w:t>way balancing accounts.</w:t>
      </w:r>
      <w:r w:rsidRPr="00850455">
        <w:rPr>
          <w:rStyle w:val="FootnoteReference"/>
        </w:rPr>
        <w:footnoteReference w:id="5"/>
      </w:r>
    </w:p>
    <w:p w:rsidRPr="00850455" w:rsidR="00EF5630" w:rsidP="00EF5630" w:rsidRDefault="00EF5630" w14:paraId="51B92025" w14:textId="053027C3">
      <w:pPr>
        <w:pStyle w:val="Standard"/>
      </w:pPr>
      <w:r w:rsidRPr="00850455">
        <w:t>The Utility Reform Network (TURN) opposed PG&amp;E’s request for a memorandum account.</w:t>
      </w:r>
      <w:r w:rsidRPr="00850455">
        <w:rPr>
          <w:rStyle w:val="FootnoteReference"/>
        </w:rPr>
        <w:footnoteReference w:id="6"/>
      </w:r>
      <w:r w:rsidRPr="00850455">
        <w:t xml:space="preserve"> </w:t>
      </w:r>
      <w:r w:rsidR="008C5DD8">
        <w:t xml:space="preserve"> </w:t>
      </w:r>
      <w:r w:rsidRPr="00850455">
        <w:t>According to TURN, the recovery PG&amp;E requests is “based on forecasted, speculative costs that may not be incremental to similar costs already included in its authorized revenue requirement.”</w:t>
      </w:r>
      <w:r w:rsidRPr="00850455">
        <w:rPr>
          <w:rStyle w:val="FootnoteReference"/>
        </w:rPr>
        <w:footnoteReference w:id="7"/>
      </w:r>
      <w:r w:rsidRPr="00850455">
        <w:t xml:space="preserve"> </w:t>
      </w:r>
      <w:r w:rsidR="008C5DD8">
        <w:t xml:space="preserve"> </w:t>
      </w:r>
      <w:r w:rsidRPr="00850455">
        <w:t xml:space="preserve">TURN asserted the Commission may have a basis for concluding that any data and </w:t>
      </w:r>
      <w:r w:rsidR="00116941">
        <w:t>mapping-related</w:t>
      </w:r>
      <w:r w:rsidRPr="00850455">
        <w:t xml:space="preserve"> costs are appropriately treated as covered and adopted</w:t>
      </w:r>
      <w:r w:rsidRPr="00850455" w:rsidR="006A3E48">
        <w:t xml:space="preserve"> in a</w:t>
      </w:r>
      <w:r w:rsidRPr="00850455">
        <w:t xml:space="preserve"> general rate case </w:t>
      </w:r>
      <w:r w:rsidRPr="00850455" w:rsidR="00DF1629">
        <w:t xml:space="preserve">(GRC) </w:t>
      </w:r>
      <w:r w:rsidRPr="00850455">
        <w:t>revenue requirement.</w:t>
      </w:r>
      <w:r w:rsidRPr="00850455">
        <w:rPr>
          <w:rStyle w:val="FootnoteReference"/>
        </w:rPr>
        <w:footnoteReference w:id="8"/>
      </w:r>
    </w:p>
    <w:p w:rsidR="007E40A0" w:rsidP="00EF5630" w:rsidRDefault="004A4236" w14:paraId="769C40B3" w14:textId="30DBD253">
      <w:pPr>
        <w:pStyle w:val="Standard"/>
      </w:pPr>
      <w:r>
        <w:t>T</w:t>
      </w:r>
      <w:r w:rsidR="007E40A0">
        <w:t>he assigned Commissioner</w:t>
      </w:r>
      <w:r w:rsidR="00113B57">
        <w:t>’s April 18, 2025 ruling</w:t>
      </w:r>
      <w:r w:rsidR="007E40A0">
        <w:t xml:space="preserve"> directed gas utilities to include certain information on the maps </w:t>
      </w:r>
      <w:r w:rsidR="009B443E">
        <w:t>required by SB 1221</w:t>
      </w:r>
      <w:r w:rsidR="007E40A0">
        <w:t>.</w:t>
      </w:r>
      <w:r w:rsidR="007E40A0">
        <w:rPr>
          <w:rStyle w:val="FootnoteReference"/>
        </w:rPr>
        <w:footnoteReference w:id="9"/>
      </w:r>
      <w:r w:rsidR="007E40A0">
        <w:t xml:space="preserve">  The Commissioner’s direction </w:t>
      </w:r>
      <w:r w:rsidR="00045128">
        <w:t>requires</w:t>
      </w:r>
      <w:r w:rsidR="007E40A0">
        <w:t xml:space="preserve"> only “a limited set of data” that “focuses on basic compliance with Pub. Util. Code Sections 661(a)(1)-(3)” and publicly available electric information</w:t>
      </w:r>
      <w:r w:rsidR="007E40A0">
        <w:rPr>
          <w:rStyle w:val="FootnoteReference"/>
        </w:rPr>
        <w:footnoteReference w:id="10"/>
      </w:r>
      <w:r w:rsidR="00647B72">
        <w:t xml:space="preserve"> be submitted in the July 1, 202</w:t>
      </w:r>
      <w:r w:rsidR="00360A06">
        <w:t>5 filing</w:t>
      </w:r>
      <w:r w:rsidR="007E40A0">
        <w:t>.</w:t>
      </w:r>
    </w:p>
    <w:p w:rsidRPr="00850455" w:rsidR="00EF5630" w:rsidP="00EF5630" w:rsidRDefault="000E3E56" w14:paraId="461303B5" w14:textId="020BAF58">
      <w:pPr>
        <w:pStyle w:val="Standard"/>
      </w:pPr>
      <w:r>
        <w:t>In response to comments filed by gas utilities and TURN on cost recovery issues, o</w:t>
      </w:r>
      <w:r w:rsidRPr="00850455">
        <w:t>n</w:t>
      </w:r>
      <w:r w:rsidRPr="00850455" w:rsidR="00EF5630">
        <w:t xml:space="preserve"> April 21, 2025, the assigned Commissioner </w:t>
      </w:r>
      <w:r w:rsidR="000B0D9C">
        <w:t xml:space="preserve">issued an Amendment to the Scoping Memo and Ruling and </w:t>
      </w:r>
      <w:r w:rsidR="00116941">
        <w:t>amended</w:t>
      </w:r>
      <w:r w:rsidRPr="00850455" w:rsidR="00EF5630">
        <w:t xml:space="preserve"> </w:t>
      </w:r>
      <w:r w:rsidR="004D2613">
        <w:t>the proceeding scope</w:t>
      </w:r>
      <w:r w:rsidRPr="00850455" w:rsidR="00EF5630">
        <w:t xml:space="preserve"> to include an additional issue in Phase</w:t>
      </w:r>
      <w:r w:rsidR="008C5DD8">
        <w:noBreakHyphen/>
      </w:r>
      <w:r w:rsidRPr="00850455" w:rsidR="00EF5630">
        <w:t>3, Track</w:t>
      </w:r>
      <w:r w:rsidR="008C5DD8">
        <w:noBreakHyphen/>
      </w:r>
      <w:r w:rsidRPr="00850455" w:rsidR="00EF5630">
        <w:t>1:</w:t>
      </w:r>
    </w:p>
    <w:p w:rsidRPr="003E41F2" w:rsidR="0063491C" w:rsidP="003E41F2" w:rsidRDefault="00EF5630" w14:paraId="4ACF3393" w14:textId="2A5DD205">
      <w:pPr>
        <w:pStyle w:val="Standard"/>
        <w:spacing w:after="160" w:line="240" w:lineRule="auto"/>
        <w:ind w:left="720" w:firstLine="0"/>
      </w:pPr>
      <w:r w:rsidRPr="003E41F2">
        <w:lastRenderedPageBreak/>
        <w:t>“e. Should the utilities be authorized to track costs associated with complying with Section 661 in a new or existing memorandum account for future recovery requests?”</w:t>
      </w:r>
      <w:r w:rsidRPr="003E41F2">
        <w:rPr>
          <w:rStyle w:val="FootnoteReference"/>
        </w:rPr>
        <w:footnoteReference w:id="11"/>
      </w:r>
    </w:p>
    <w:p w:rsidR="00275B98" w:rsidP="003E41F2" w:rsidRDefault="005C11EF" w14:paraId="70945AC5" w14:textId="324EEEAC">
      <w:pPr>
        <w:pStyle w:val="Standard"/>
        <w:ind w:firstLine="360"/>
      </w:pPr>
      <w:r w:rsidRPr="00850455">
        <w:t xml:space="preserve">Responding parties were </w:t>
      </w:r>
      <w:r w:rsidR="001827FA">
        <w:t>directed</w:t>
      </w:r>
      <w:r w:rsidRPr="00850455" w:rsidR="001827FA">
        <w:t xml:space="preserve"> </w:t>
      </w:r>
      <w:r w:rsidRPr="00850455">
        <w:t>to file and serve opening comments on the new</w:t>
      </w:r>
      <w:r w:rsidR="001827FA">
        <w:t>ly</w:t>
      </w:r>
      <w:r w:rsidRPr="00850455">
        <w:t xml:space="preserve"> </w:t>
      </w:r>
      <w:r w:rsidR="001827FA">
        <w:t>added</w:t>
      </w:r>
      <w:r w:rsidRPr="00850455" w:rsidR="001827FA">
        <w:t xml:space="preserve"> </w:t>
      </w:r>
      <w:r w:rsidRPr="00850455">
        <w:t>issue by May 2, 2025, and reply comments by May 9, 2025</w:t>
      </w:r>
      <w:r w:rsidR="00197F24">
        <w:t>,</w:t>
      </w:r>
      <w:r w:rsidRPr="00850455">
        <w:rPr>
          <w:rStyle w:val="FootnoteReference"/>
        </w:rPr>
        <w:footnoteReference w:id="12"/>
      </w:r>
      <w:r w:rsidR="00197F24">
        <w:t xml:space="preserve"> and directed the parties to</w:t>
      </w:r>
      <w:r w:rsidRPr="00850455" w:rsidR="00111148">
        <w:t xml:space="preserve"> justify their positions by explaining whether the costs associated with SB</w:t>
      </w:r>
      <w:r w:rsidR="009F6CC3">
        <w:t xml:space="preserve"> </w:t>
      </w:r>
      <w:r w:rsidRPr="00850455" w:rsidR="00111148">
        <w:t>1221 mapping</w:t>
      </w:r>
      <w:r w:rsidR="00275B98">
        <w:t>:</w:t>
      </w:r>
    </w:p>
    <w:p w:rsidR="00275B98" w:rsidP="00275B98" w:rsidRDefault="00275B98" w14:paraId="6F82F385" w14:textId="3B7439B2">
      <w:pPr>
        <w:pStyle w:val="Standard"/>
        <w:numPr>
          <w:ilvl w:val="0"/>
          <w:numId w:val="19"/>
        </w:numPr>
        <w:spacing w:after="120" w:line="240" w:lineRule="auto"/>
        <w:ind w:left="1080" w:right="1440"/>
      </w:pPr>
      <w:r>
        <w:t>A</w:t>
      </w:r>
      <w:r w:rsidRPr="00850455" w:rsidR="00111148">
        <w:t xml:space="preserve">re not under the utility’s </w:t>
      </w:r>
      <w:proofErr w:type="gramStart"/>
      <w:r w:rsidRPr="00850455" w:rsidR="00111148">
        <w:t>control</w:t>
      </w:r>
      <w:r>
        <w:t>;</w:t>
      </w:r>
      <w:proofErr w:type="gramEnd"/>
      <w:r w:rsidRPr="00850455" w:rsidR="00111148">
        <w:t xml:space="preserve"> </w:t>
      </w:r>
    </w:p>
    <w:p w:rsidR="00275B98" w:rsidP="00275B98" w:rsidRDefault="00275B98" w14:paraId="6135C5FA" w14:textId="594E1A31">
      <w:pPr>
        <w:pStyle w:val="Standard"/>
        <w:numPr>
          <w:ilvl w:val="0"/>
          <w:numId w:val="19"/>
        </w:numPr>
        <w:spacing w:after="120" w:line="240" w:lineRule="auto"/>
        <w:ind w:left="1080" w:right="1440"/>
      </w:pPr>
      <w:r>
        <w:t>C</w:t>
      </w:r>
      <w:r w:rsidRPr="00850455" w:rsidR="00111148">
        <w:t xml:space="preserve">ould not have been reasonably foreseen in the utility’s last general rate </w:t>
      </w:r>
      <w:proofErr w:type="gramStart"/>
      <w:r w:rsidRPr="00850455" w:rsidR="00111148">
        <w:t>case</w:t>
      </w:r>
      <w:r>
        <w:t>;</w:t>
      </w:r>
      <w:proofErr w:type="gramEnd"/>
    </w:p>
    <w:p w:rsidR="00275B98" w:rsidP="00275B98" w:rsidRDefault="00275B98" w14:paraId="7668B161" w14:textId="1D76A590">
      <w:pPr>
        <w:pStyle w:val="Standard"/>
        <w:numPr>
          <w:ilvl w:val="0"/>
          <w:numId w:val="19"/>
        </w:numPr>
        <w:spacing w:after="120" w:line="240" w:lineRule="auto"/>
        <w:ind w:left="1080" w:right="1440"/>
      </w:pPr>
      <w:r>
        <w:t>W</w:t>
      </w:r>
      <w:r w:rsidRPr="00850455" w:rsidR="00111148">
        <w:t xml:space="preserve">ill occur before the utility’s next scheduled rate </w:t>
      </w:r>
      <w:proofErr w:type="gramStart"/>
      <w:r w:rsidRPr="00850455" w:rsidR="00111148">
        <w:t>case</w:t>
      </w:r>
      <w:r>
        <w:t>;</w:t>
      </w:r>
      <w:proofErr w:type="gramEnd"/>
    </w:p>
    <w:p w:rsidR="00275B98" w:rsidP="00275B98" w:rsidRDefault="00275B98" w14:paraId="5D151635" w14:textId="51AB9A6B">
      <w:pPr>
        <w:pStyle w:val="Standard"/>
        <w:numPr>
          <w:ilvl w:val="0"/>
          <w:numId w:val="19"/>
        </w:numPr>
        <w:spacing w:after="120" w:line="240" w:lineRule="auto"/>
        <w:ind w:left="1080" w:right="1440"/>
      </w:pPr>
      <w:r>
        <w:t>A</w:t>
      </w:r>
      <w:r w:rsidRPr="00850455" w:rsidR="00111148">
        <w:t>re of a substantial nature in that the amount of money involved is worth the efforts of processing a memorandum account</w:t>
      </w:r>
      <w:r>
        <w:t>;</w:t>
      </w:r>
      <w:r w:rsidRPr="00850455" w:rsidR="00111148">
        <w:t xml:space="preserve"> and</w:t>
      </w:r>
    </w:p>
    <w:p w:rsidRPr="00850455" w:rsidR="00111148" w:rsidP="00275B98" w:rsidRDefault="00275B98" w14:paraId="1006E429" w14:textId="02ED3825">
      <w:pPr>
        <w:pStyle w:val="Standard"/>
        <w:numPr>
          <w:ilvl w:val="0"/>
          <w:numId w:val="19"/>
        </w:numPr>
        <w:spacing w:after="120" w:line="240" w:lineRule="auto"/>
        <w:ind w:left="1080" w:right="1440"/>
      </w:pPr>
      <w:r>
        <w:t>H</w:t>
      </w:r>
      <w:r w:rsidRPr="00850455" w:rsidR="00111148">
        <w:t>ave ratepayer benefits.</w:t>
      </w:r>
      <w:r w:rsidRPr="00850455" w:rsidR="00111148">
        <w:rPr>
          <w:rStyle w:val="FootnoteReference"/>
        </w:rPr>
        <w:footnoteReference w:id="13"/>
      </w:r>
    </w:p>
    <w:p w:rsidRPr="00850455" w:rsidR="00111148" w:rsidP="00111148" w:rsidRDefault="00111148" w14:paraId="736BC0F9" w14:textId="192701A5">
      <w:pPr>
        <w:pStyle w:val="Standard"/>
      </w:pPr>
      <w:r w:rsidRPr="00850455">
        <w:t xml:space="preserve">Opening </w:t>
      </w:r>
      <w:r w:rsidR="00116941">
        <w:t>c</w:t>
      </w:r>
      <w:r w:rsidRPr="00850455">
        <w:t>omments were filed by PG&amp;E; SDG&amp;E, SoCalGas, and Southwest (</w:t>
      </w:r>
      <w:r w:rsidR="00116941">
        <w:t>c</w:t>
      </w:r>
      <w:r w:rsidRPr="00850455">
        <w:t>ollectively the Joint Utilities); Southern California Edison</w:t>
      </w:r>
      <w:r w:rsidR="009F6CC3">
        <w:t xml:space="preserve"> Company</w:t>
      </w:r>
      <w:r w:rsidRPr="00850455">
        <w:t xml:space="preserve"> (SCE); the Public Advocates Office at the California Public Utilities Commission (Cal Advocates); Small </w:t>
      </w:r>
      <w:proofErr w:type="gramStart"/>
      <w:r w:rsidRPr="00850455">
        <w:t>Business Utility</w:t>
      </w:r>
      <w:proofErr w:type="gramEnd"/>
      <w:r w:rsidRPr="00850455">
        <w:t xml:space="preserve"> Advocates (SBUA); TURN; and Utility Consumers’ Action Network (UCAN).</w:t>
      </w:r>
    </w:p>
    <w:p w:rsidRPr="00850455" w:rsidR="004A780D" w:rsidP="00275B98" w:rsidRDefault="00111148" w14:paraId="33090746" w14:textId="54033138">
      <w:pPr>
        <w:pStyle w:val="Standard"/>
      </w:pPr>
      <w:r w:rsidRPr="00850455">
        <w:t xml:space="preserve">Reply </w:t>
      </w:r>
      <w:r w:rsidR="00116941">
        <w:t>c</w:t>
      </w:r>
      <w:r w:rsidRPr="00850455">
        <w:t>omments were filed by PG&amp;E, the Joint Utilities, Cal Advocates, TURN, UCAN, and joint</w:t>
      </w:r>
      <w:r w:rsidR="00116941">
        <w:t>ly</w:t>
      </w:r>
      <w:r w:rsidRPr="00850455">
        <w:t xml:space="preserve"> </w:t>
      </w:r>
      <w:r w:rsidR="00116941">
        <w:t xml:space="preserve">by </w:t>
      </w:r>
      <w:r w:rsidRPr="00850455">
        <w:t>Indicated Shippers and Agricultural Energy Consumers Association (</w:t>
      </w:r>
      <w:r w:rsidR="00215B56">
        <w:t>IS</w:t>
      </w:r>
      <w:r w:rsidR="00C56816">
        <w:t>-</w:t>
      </w:r>
      <w:r w:rsidRPr="00850455">
        <w:t>AECA).</w:t>
      </w:r>
    </w:p>
    <w:p w:rsidRPr="00850455" w:rsidR="00683B2C" w:rsidP="00683B2C" w:rsidRDefault="00683B2C" w14:paraId="66F3BEE4" w14:textId="77777777">
      <w:pPr>
        <w:pStyle w:val="Heading2"/>
      </w:pPr>
      <w:bookmarkStart w:name="_Toc204872319" w:id="8"/>
      <w:r w:rsidRPr="00850455">
        <w:lastRenderedPageBreak/>
        <w:t>Submission Date</w:t>
      </w:r>
      <w:bookmarkEnd w:id="8"/>
    </w:p>
    <w:p w:rsidRPr="00850455" w:rsidR="00683B2C" w:rsidP="00683B2C" w:rsidRDefault="00683B2C" w14:paraId="2FEF2112" w14:textId="682C644C">
      <w:pPr>
        <w:pStyle w:val="Standard"/>
      </w:pPr>
      <w:r w:rsidRPr="00850455">
        <w:t xml:space="preserve">This matter was submitted on </w:t>
      </w:r>
      <w:r w:rsidRPr="00850455" w:rsidR="003039C0">
        <w:t xml:space="preserve">May 9, </w:t>
      </w:r>
      <w:r w:rsidRPr="00850455" w:rsidR="00ED622B">
        <w:t>2025,</w:t>
      </w:r>
      <w:r w:rsidRPr="00850455">
        <w:t xml:space="preserve"> upon </w:t>
      </w:r>
      <w:r w:rsidRPr="00850455" w:rsidR="008D61A2">
        <w:t xml:space="preserve">the </w:t>
      </w:r>
      <w:r w:rsidRPr="00850455" w:rsidR="00DE0983">
        <w:t>filing</w:t>
      </w:r>
      <w:r w:rsidRPr="00850455" w:rsidR="008D61A2">
        <w:t xml:space="preserve"> of party reply comments.</w:t>
      </w:r>
    </w:p>
    <w:p w:rsidRPr="00850455" w:rsidR="005A148C" w:rsidP="005939A5" w:rsidRDefault="005939A5" w14:paraId="60825CA2" w14:textId="77777777">
      <w:pPr>
        <w:pStyle w:val="Heading1"/>
      </w:pPr>
      <w:bookmarkStart w:name="_Toc8123719" w:id="9"/>
      <w:bookmarkStart w:name="_Toc204872320" w:id="10"/>
      <w:r w:rsidRPr="00850455">
        <w:t xml:space="preserve">Issues Before the </w:t>
      </w:r>
      <w:bookmarkEnd w:id="9"/>
      <w:r w:rsidRPr="00850455" w:rsidR="008A08BF">
        <w:t>Commission</w:t>
      </w:r>
      <w:bookmarkEnd w:id="10"/>
    </w:p>
    <w:p w:rsidRPr="00850455" w:rsidR="0016418A" w:rsidP="00A44E8D" w:rsidRDefault="0016418A" w14:paraId="2994BE3E" w14:textId="0C1A71AC">
      <w:pPr>
        <w:pStyle w:val="Standard"/>
      </w:pPr>
      <w:r w:rsidRPr="00850455">
        <w:t xml:space="preserve">The </w:t>
      </w:r>
      <w:r w:rsidR="00111148">
        <w:t xml:space="preserve">single </w:t>
      </w:r>
      <w:r w:rsidRPr="00850455">
        <w:t xml:space="preserve">issue this decision </w:t>
      </w:r>
      <w:r w:rsidR="00111148">
        <w:t xml:space="preserve">addresses </w:t>
      </w:r>
      <w:r w:rsidRPr="00850455" w:rsidR="005C775B">
        <w:t>is whether</w:t>
      </w:r>
      <w:r w:rsidRPr="00850455" w:rsidR="0020224A">
        <w:t xml:space="preserve"> to allow the gas utilities to establish memorandum accounts for </w:t>
      </w:r>
      <w:r w:rsidRPr="00850455" w:rsidR="005C775B">
        <w:t>Pub. Util. Code Section</w:t>
      </w:r>
      <w:r w:rsidR="00275B98">
        <w:t> </w:t>
      </w:r>
      <w:r w:rsidRPr="00850455" w:rsidR="005C775B">
        <w:t>661 mapping activities.</w:t>
      </w:r>
      <w:r w:rsidR="00810981">
        <w:t xml:space="preserve"> </w:t>
      </w:r>
      <w:r w:rsidR="00275B98">
        <w:t xml:space="preserve"> </w:t>
      </w:r>
      <w:r w:rsidR="00810981">
        <w:t>The term “SB</w:t>
      </w:r>
      <w:r w:rsidR="00E06659">
        <w:t xml:space="preserve"> </w:t>
      </w:r>
      <w:r w:rsidR="00810981">
        <w:t>1221 Mapping” refers to requirements in Pub. Util. Code Section</w:t>
      </w:r>
      <w:r w:rsidR="00275B98">
        <w:t> </w:t>
      </w:r>
      <w:r w:rsidR="00810981">
        <w:t>661</w:t>
      </w:r>
      <w:r w:rsidR="00A14F55">
        <w:t xml:space="preserve"> and the Commission’s direction to utilities to implement these requirements</w:t>
      </w:r>
      <w:r w:rsidR="00EE6B75">
        <w:t>.</w:t>
      </w:r>
      <w:r w:rsidR="00A53CCA">
        <w:t xml:space="preserve"> </w:t>
      </w:r>
      <w:r w:rsidR="000E5ED2">
        <w:t xml:space="preserve">These memorandum accounts shall not be used to </w:t>
      </w:r>
      <w:r w:rsidR="00D511D3">
        <w:t>track costs beyond the implementation of SB 1221 mapping activities consistent with Pub. Util. Code 661.</w:t>
      </w:r>
    </w:p>
    <w:p w:rsidR="00E405D8" w:rsidP="00916D0A" w:rsidRDefault="00E405D8" w14:paraId="133663CB" w14:textId="273BD69B">
      <w:pPr>
        <w:pStyle w:val="Heading1"/>
      </w:pPr>
      <w:bookmarkStart w:name="_Toc204872321" w:id="11"/>
      <w:r>
        <w:t>Legal Standard</w:t>
      </w:r>
      <w:bookmarkEnd w:id="11"/>
    </w:p>
    <w:p w:rsidR="00275B98" w:rsidP="000B6FC6" w:rsidRDefault="00E405D8" w14:paraId="3AF64878" w14:textId="5EA4C63F">
      <w:pPr>
        <w:pStyle w:val="Standard"/>
      </w:pPr>
      <w:r>
        <w:t xml:space="preserve">According to Standard Practice U-27-W, memorandum accounts </w:t>
      </w:r>
      <w:r w:rsidR="000B6FC6">
        <w:t xml:space="preserve">represent an off-book accounting record. </w:t>
      </w:r>
      <w:r w:rsidR="00275B98">
        <w:t xml:space="preserve"> </w:t>
      </w:r>
      <w:r w:rsidR="00C37783">
        <w:t>Utilities may not use a memorandum account to track costs and seek recovery unless authorized by the Commission.</w:t>
      </w:r>
    </w:p>
    <w:p w:rsidR="00275B98" w:rsidP="00275B98" w:rsidRDefault="00C37783" w14:paraId="2081EC7A" w14:textId="77777777">
      <w:pPr>
        <w:pStyle w:val="Standard"/>
        <w:ind w:firstLine="0"/>
      </w:pPr>
      <w:r>
        <w:t xml:space="preserve">A </w:t>
      </w:r>
      <w:r w:rsidR="000B6FC6">
        <w:t>m</w:t>
      </w:r>
      <w:r>
        <w:t>em</w:t>
      </w:r>
      <w:r w:rsidR="000B6FC6">
        <w:t xml:space="preserve">orandum account </w:t>
      </w:r>
      <w:r>
        <w:t xml:space="preserve">may be appropriate </w:t>
      </w:r>
      <w:r w:rsidR="000B6FC6">
        <w:t>for costs that are</w:t>
      </w:r>
      <w:r w:rsidR="00275B98">
        <w:t>:</w:t>
      </w:r>
    </w:p>
    <w:p w:rsidR="00275B98" w:rsidP="00577BC6" w:rsidRDefault="00577BC6" w14:paraId="4405CE24" w14:textId="6D877BDE">
      <w:pPr>
        <w:pStyle w:val="Standard"/>
        <w:numPr>
          <w:ilvl w:val="0"/>
          <w:numId w:val="20"/>
        </w:numPr>
        <w:spacing w:after="120" w:line="240" w:lineRule="auto"/>
        <w:ind w:left="1080" w:right="1440"/>
      </w:pPr>
      <w:r>
        <w:t>N</w:t>
      </w:r>
      <w:r w:rsidR="000B6FC6">
        <w:t xml:space="preserve">ot under the utility’s </w:t>
      </w:r>
      <w:proofErr w:type="gramStart"/>
      <w:r w:rsidR="000B6FC6">
        <w:t>control</w:t>
      </w:r>
      <w:r w:rsidR="00E06659">
        <w:t>;</w:t>
      </w:r>
      <w:proofErr w:type="gramEnd"/>
    </w:p>
    <w:p w:rsidR="00275B98" w:rsidP="00577BC6" w:rsidRDefault="00577BC6" w14:paraId="0AF3DE2D" w14:textId="22B5EA5B">
      <w:pPr>
        <w:pStyle w:val="Standard"/>
        <w:numPr>
          <w:ilvl w:val="0"/>
          <w:numId w:val="20"/>
        </w:numPr>
        <w:spacing w:after="120" w:line="240" w:lineRule="auto"/>
        <w:ind w:left="1080" w:right="1440"/>
      </w:pPr>
      <w:r>
        <w:t>C</w:t>
      </w:r>
      <w:r w:rsidR="000B6FC6">
        <w:t xml:space="preserve">ould not have been reasonably foreseen in the utility’s last general rate case that will occur before the utility’s next scheduled rate </w:t>
      </w:r>
      <w:proofErr w:type="gramStart"/>
      <w:r w:rsidR="000B6FC6">
        <w:t>case</w:t>
      </w:r>
      <w:r w:rsidR="00F07404">
        <w:t>;</w:t>
      </w:r>
      <w:proofErr w:type="gramEnd"/>
    </w:p>
    <w:p w:rsidR="00275B98" w:rsidP="00577BC6" w:rsidRDefault="00577BC6" w14:paraId="18484383" w14:textId="093E0B38">
      <w:pPr>
        <w:pStyle w:val="Standard"/>
        <w:numPr>
          <w:ilvl w:val="0"/>
          <w:numId w:val="20"/>
        </w:numPr>
        <w:spacing w:after="120" w:line="240" w:lineRule="auto"/>
        <w:ind w:left="1080" w:right="1440"/>
      </w:pPr>
      <w:r>
        <w:t>A</w:t>
      </w:r>
      <w:r w:rsidR="000B6FC6">
        <w:t>re of a substantial nature in that the amount of money involved is worth the effort of processing a memorandum account</w:t>
      </w:r>
      <w:r>
        <w:t>;</w:t>
      </w:r>
      <w:r w:rsidR="000B6FC6">
        <w:t xml:space="preserve"> and</w:t>
      </w:r>
    </w:p>
    <w:p w:rsidR="00B147B4" w:rsidP="00577BC6" w:rsidRDefault="00577BC6" w14:paraId="289D9785" w14:textId="49D4D7DF">
      <w:pPr>
        <w:pStyle w:val="Standard"/>
        <w:numPr>
          <w:ilvl w:val="0"/>
          <w:numId w:val="20"/>
        </w:numPr>
        <w:spacing w:after="120" w:line="240" w:lineRule="auto"/>
        <w:ind w:left="1080" w:right="1440"/>
      </w:pPr>
      <w:r>
        <w:t>H</w:t>
      </w:r>
      <w:r w:rsidR="000B6FC6">
        <w:t>ave ratepayer benefits.</w:t>
      </w:r>
    </w:p>
    <w:p w:rsidR="00916D0A" w:rsidP="00DC164A" w:rsidRDefault="00916D0A" w14:paraId="7CE72D1D" w14:textId="3BA3BA7F">
      <w:pPr>
        <w:pStyle w:val="Heading1"/>
      </w:pPr>
      <w:bookmarkStart w:name="_Toc204085336" w:id="12"/>
      <w:bookmarkStart w:name="_Toc204872322" w:id="13"/>
      <w:bookmarkEnd w:id="12"/>
      <w:r>
        <w:t>Discussion</w:t>
      </w:r>
      <w:bookmarkEnd w:id="13"/>
    </w:p>
    <w:p w:rsidR="00D6421F" w:rsidP="00D6421F" w:rsidRDefault="00D6421F" w14:paraId="3030DA81" w14:textId="77777777">
      <w:pPr>
        <w:pStyle w:val="Standard"/>
      </w:pPr>
      <w:r>
        <w:t xml:space="preserve">Below, we apply the above-referenced Standard Practice U-27-W criteria and authorize the gas utilities to establish memorandum accounts for Pub. Util. </w:t>
      </w:r>
      <w:r>
        <w:lastRenderedPageBreak/>
        <w:t>Code Section 661 mapping activities and track those related costs. As discussed in the following sections of this decision, we find that:</w:t>
      </w:r>
    </w:p>
    <w:p w:rsidR="00D6421F" w:rsidP="00D6421F" w:rsidRDefault="00D6421F" w14:paraId="5D3B6605" w14:textId="77777777">
      <w:pPr>
        <w:pStyle w:val="Standard"/>
        <w:spacing w:line="240" w:lineRule="auto"/>
        <w:ind w:left="1080" w:right="1080" w:hanging="360"/>
      </w:pPr>
      <w:r>
        <w:t xml:space="preserve">(a) The gas utilities lack sufficient control of SB 1221 mapping </w:t>
      </w:r>
      <w:proofErr w:type="gramStart"/>
      <w:r>
        <w:t>costs;</w:t>
      </w:r>
      <w:proofErr w:type="gramEnd"/>
    </w:p>
    <w:p w:rsidR="00D6421F" w:rsidP="00D6421F" w:rsidRDefault="00D6421F" w14:paraId="4AC5C1E1" w14:textId="77777777">
      <w:pPr>
        <w:pStyle w:val="Standard"/>
        <w:spacing w:line="240" w:lineRule="auto"/>
        <w:ind w:left="1080" w:right="1080" w:hanging="360"/>
      </w:pPr>
      <w:r>
        <w:t xml:space="preserve">(b) The gas utilities could not have reasonably foreseen SB 1221 enactment and related mapping costs while developing their last GRC </w:t>
      </w:r>
      <w:proofErr w:type="gramStart"/>
      <w:r>
        <w:t>applications;</w:t>
      </w:r>
      <w:proofErr w:type="gramEnd"/>
    </w:p>
    <w:p w:rsidR="00D6421F" w:rsidP="00D6421F" w:rsidRDefault="00D6421F" w14:paraId="1FABBC71" w14:textId="77777777">
      <w:pPr>
        <w:pStyle w:val="Standard"/>
        <w:spacing w:line="240" w:lineRule="auto"/>
        <w:ind w:left="1080" w:right="1080" w:hanging="360"/>
      </w:pPr>
      <w:r>
        <w:t>(c) The costs associated with SB 1221 (which will exceed $1 million by all utility estimates) are worth the effort of processing a memorandum account; and</w:t>
      </w:r>
    </w:p>
    <w:p w:rsidR="00D6421F" w:rsidP="00D6421F" w:rsidRDefault="00D6421F" w14:paraId="1A68FD84" w14:textId="77777777">
      <w:pPr>
        <w:pStyle w:val="Standard"/>
        <w:spacing w:line="240" w:lineRule="auto"/>
        <w:ind w:left="1080" w:right="1080" w:hanging="360"/>
      </w:pPr>
      <w:r>
        <w:t>(d) It is beneficial for the gas utilities to utilize memorandum accounts to track and record their SB 1221 mapping costs to ensure a common transparent accounting mechanism for the Commission, parties, and the public to see the costs incurred with this activity.</w:t>
      </w:r>
    </w:p>
    <w:p w:rsidRPr="001A2DF4" w:rsidR="00D6421F" w:rsidP="00D6421F" w:rsidRDefault="00D6421F" w14:paraId="4B0D3A01" w14:textId="77777777">
      <w:pPr>
        <w:pStyle w:val="Standard"/>
      </w:pPr>
      <w:r>
        <w:t>This decision does not assess the reasonableness of any costs incurred or authorize any cost recovery.</w:t>
      </w:r>
    </w:p>
    <w:p w:rsidRPr="00916D0A" w:rsidR="00916D0A" w:rsidP="00916D0A" w:rsidRDefault="00916D0A" w14:paraId="23399E24" w14:textId="177F9609">
      <w:pPr>
        <w:pStyle w:val="Heading2"/>
      </w:pPr>
      <w:bookmarkStart w:name="_Toc204085338" w:id="14"/>
      <w:bookmarkStart w:name="_Toc204872323" w:id="15"/>
      <w:bookmarkEnd w:id="14"/>
      <w:r>
        <w:t xml:space="preserve">Utility Control of </w:t>
      </w:r>
      <w:r w:rsidRPr="00850455" w:rsidR="004F3B56">
        <w:t>SB</w:t>
      </w:r>
      <w:r w:rsidR="00D6421F">
        <w:t xml:space="preserve"> </w:t>
      </w:r>
      <w:r w:rsidRPr="00850455" w:rsidR="004F3B56">
        <w:t xml:space="preserve">1221 Mapping </w:t>
      </w:r>
      <w:r>
        <w:t>Costs</w:t>
      </w:r>
      <w:bookmarkEnd w:id="15"/>
    </w:p>
    <w:p w:rsidR="00916D0A" w:rsidP="00DC164A" w:rsidRDefault="00916D0A" w14:paraId="478C1B2C" w14:textId="2A7348BD">
      <w:pPr>
        <w:pStyle w:val="Heading3"/>
      </w:pPr>
      <w:bookmarkStart w:name="_Toc204872324" w:id="16"/>
      <w:r>
        <w:t xml:space="preserve">Party </w:t>
      </w:r>
      <w:r w:rsidR="00D6421F">
        <w:t>Positions</w:t>
      </w:r>
      <w:bookmarkEnd w:id="16"/>
    </w:p>
    <w:p w:rsidRPr="00850455" w:rsidR="00887A9B" w:rsidP="00887A9B" w:rsidRDefault="006C43E5" w14:paraId="3ED8597B" w14:textId="13DCF5C7">
      <w:pPr>
        <w:pStyle w:val="Standard"/>
      </w:pPr>
      <w:r w:rsidRPr="00850455">
        <w:t xml:space="preserve">All gas utilities </w:t>
      </w:r>
      <w:r w:rsidR="00D6421F">
        <w:t>argue</w:t>
      </w:r>
      <w:r w:rsidRPr="00850455" w:rsidR="00D6421F">
        <w:t xml:space="preserve"> </w:t>
      </w:r>
      <w:r w:rsidRPr="00850455">
        <w:t>that</w:t>
      </w:r>
      <w:r w:rsidRPr="00850455" w:rsidR="003174FE">
        <w:t xml:space="preserve"> SB</w:t>
      </w:r>
      <w:r w:rsidR="00D6421F">
        <w:t xml:space="preserve"> </w:t>
      </w:r>
      <w:r w:rsidRPr="00850455" w:rsidR="003174FE">
        <w:t xml:space="preserve">1221 mapping </w:t>
      </w:r>
      <w:r w:rsidRPr="00850455" w:rsidR="007B0D62">
        <w:t>costs are not under their control</w:t>
      </w:r>
      <w:r w:rsidR="00593011">
        <w:t xml:space="preserve"> because SB</w:t>
      </w:r>
      <w:r w:rsidR="00D6421F">
        <w:t xml:space="preserve"> </w:t>
      </w:r>
      <w:r w:rsidR="00593011">
        <w:t xml:space="preserve">1221 and Commission directions dictate what and how to map. </w:t>
      </w:r>
      <w:r w:rsidR="00577BC6">
        <w:t xml:space="preserve"> </w:t>
      </w:r>
      <w:r w:rsidRPr="00850455" w:rsidR="00B3474C">
        <w:t xml:space="preserve">PG&amp;E </w:t>
      </w:r>
      <w:r w:rsidRPr="00850455" w:rsidR="00F251D1">
        <w:t>claim</w:t>
      </w:r>
      <w:r w:rsidR="002C3852">
        <w:t>s</w:t>
      </w:r>
      <w:r w:rsidRPr="00850455" w:rsidR="00F251D1">
        <w:t xml:space="preserve"> that forcing utilities to absorb unforeseen costs to implement </w:t>
      </w:r>
      <w:r w:rsidR="000A1BD2">
        <w:t>SB 1221</w:t>
      </w:r>
      <w:r w:rsidRPr="00850455" w:rsidR="00F251D1">
        <w:t xml:space="preserve"> </w:t>
      </w:r>
      <w:r w:rsidRPr="00850455" w:rsidR="00055150">
        <w:t>violates</w:t>
      </w:r>
      <w:r w:rsidRPr="00850455" w:rsidR="00431F93">
        <w:t xml:space="preserve"> the rule against retroactive ratemaking.</w:t>
      </w:r>
      <w:r w:rsidRPr="00850455" w:rsidR="00762B06">
        <w:rPr>
          <w:rStyle w:val="FootnoteReference"/>
        </w:rPr>
        <w:footnoteReference w:id="14"/>
      </w:r>
      <w:r w:rsidRPr="00850455" w:rsidR="00887A9B">
        <w:t xml:space="preserve"> </w:t>
      </w:r>
      <w:r w:rsidR="00577BC6">
        <w:t xml:space="preserve"> </w:t>
      </w:r>
      <w:r w:rsidRPr="00850455" w:rsidR="00887A9B">
        <w:t xml:space="preserve">The Joint Utilities </w:t>
      </w:r>
      <w:r w:rsidR="002C3852">
        <w:t>claim</w:t>
      </w:r>
      <w:r w:rsidRPr="00850455" w:rsidR="00887A9B">
        <w:t xml:space="preserve"> that </w:t>
      </w:r>
      <w:r w:rsidR="00593011">
        <w:t xml:space="preserve">costs related to </w:t>
      </w:r>
      <w:r w:rsidR="000A1BD2">
        <w:t>SB 1221</w:t>
      </w:r>
      <w:r w:rsidRPr="00850455" w:rsidR="00887A9B">
        <w:t xml:space="preserve"> activities are outside of their respective GRC processes because </w:t>
      </w:r>
      <w:r w:rsidR="00593011">
        <w:t xml:space="preserve">the Legislature passed </w:t>
      </w:r>
      <w:r w:rsidR="000A1BD2">
        <w:t>SB 1221</w:t>
      </w:r>
      <w:r w:rsidR="00593011">
        <w:t xml:space="preserve"> after they filed their GRC</w:t>
      </w:r>
      <w:r w:rsidR="008614F9">
        <w:t>s</w:t>
      </w:r>
      <w:r w:rsidRPr="00850455" w:rsidR="00887A9B">
        <w:t>.</w:t>
      </w:r>
      <w:r w:rsidRPr="00850455" w:rsidR="008B75B9">
        <w:rPr>
          <w:rStyle w:val="FootnoteReference"/>
        </w:rPr>
        <w:footnoteReference w:id="15"/>
      </w:r>
    </w:p>
    <w:p w:rsidRPr="00850455" w:rsidR="00B21A92" w:rsidP="006C43E5" w:rsidRDefault="00B21A92" w14:paraId="4FA2F57A" w14:textId="0E8E4FED">
      <w:pPr>
        <w:pStyle w:val="Standard"/>
      </w:pPr>
      <w:r w:rsidRPr="00850455">
        <w:t xml:space="preserve">SCE </w:t>
      </w:r>
      <w:r w:rsidRPr="00850455" w:rsidR="008B35BB">
        <w:t xml:space="preserve">states that it is unclear if costs are outside of the </w:t>
      </w:r>
      <w:r w:rsidR="00916D0A">
        <w:t>gas utilities’</w:t>
      </w:r>
      <w:r w:rsidRPr="00850455" w:rsidR="008B35BB">
        <w:t xml:space="preserve"> control</w:t>
      </w:r>
      <w:r w:rsidR="007D740A">
        <w:t xml:space="preserve"> and explains that t</w:t>
      </w:r>
      <w:r w:rsidRPr="00850455" w:rsidR="00D459A9">
        <w:t>here are unknow</w:t>
      </w:r>
      <w:r w:rsidRPr="00850455" w:rsidR="009162AE">
        <w:t>n</w:t>
      </w:r>
      <w:r w:rsidRPr="00850455" w:rsidR="00D459A9">
        <w:t>s</w:t>
      </w:r>
      <w:r w:rsidR="002517ED">
        <w:t xml:space="preserve"> associated with the </w:t>
      </w:r>
      <w:r w:rsidR="000A1BD2">
        <w:t>SB 1221</w:t>
      </w:r>
      <w:r w:rsidR="002517ED">
        <w:t xml:space="preserve"> mapping protocol</w:t>
      </w:r>
      <w:r w:rsidRPr="00850455" w:rsidR="004241E6">
        <w:t>,</w:t>
      </w:r>
      <w:r w:rsidRPr="00850455" w:rsidR="00D459A9">
        <w:t xml:space="preserve"> including confidentiality </w:t>
      </w:r>
      <w:r w:rsidRPr="00850455" w:rsidR="009162AE">
        <w:t>concerns and</w:t>
      </w:r>
      <w:r w:rsidRPr="00850455" w:rsidR="00563903">
        <w:t xml:space="preserve"> additional</w:t>
      </w:r>
      <w:r w:rsidRPr="00850455" w:rsidR="00EA54D5">
        <w:t xml:space="preserve"> </w:t>
      </w:r>
      <w:r w:rsidRPr="00850455" w:rsidR="007272C9">
        <w:t xml:space="preserve">potential </w:t>
      </w:r>
      <w:r w:rsidRPr="00850455" w:rsidR="00563903">
        <w:lastRenderedPageBreak/>
        <w:t xml:space="preserve">Commission </w:t>
      </w:r>
      <w:r w:rsidRPr="00850455" w:rsidR="007272C9">
        <w:t>requirements</w:t>
      </w:r>
      <w:r w:rsidRPr="00850455" w:rsidR="00EA54D5">
        <w:t>.</w:t>
      </w:r>
      <w:r w:rsidRPr="00850455" w:rsidR="0012052C">
        <w:t xml:space="preserve"> </w:t>
      </w:r>
      <w:r w:rsidR="00577BC6">
        <w:t xml:space="preserve"> </w:t>
      </w:r>
      <w:r w:rsidR="00593011">
        <w:t>SCE asserts that i</w:t>
      </w:r>
      <w:r w:rsidRPr="00850455" w:rsidR="0012052C">
        <w:t xml:space="preserve">t is not possible to identify with any reasonable accuracy </w:t>
      </w:r>
      <w:r w:rsidR="00593011">
        <w:t xml:space="preserve">the </w:t>
      </w:r>
      <w:r w:rsidRPr="00850455" w:rsidR="0012052C">
        <w:t>costs associa</w:t>
      </w:r>
      <w:r w:rsidRPr="00850455" w:rsidR="00224737">
        <w:t>ted with implementing these protocols.</w:t>
      </w:r>
      <w:r w:rsidRPr="00850455" w:rsidR="00574567">
        <w:rPr>
          <w:rStyle w:val="FootnoteReference"/>
        </w:rPr>
        <w:footnoteReference w:id="16"/>
      </w:r>
    </w:p>
    <w:p w:rsidRPr="00850455" w:rsidR="005E296F" w:rsidP="006C43E5" w:rsidRDefault="008208A5" w14:paraId="7AB8C125" w14:textId="4D7B2131">
      <w:pPr>
        <w:pStyle w:val="Standard"/>
      </w:pPr>
      <w:r w:rsidRPr="00850455">
        <w:t xml:space="preserve">Cal Advocates </w:t>
      </w:r>
      <w:r w:rsidR="007D740A">
        <w:t>argues</w:t>
      </w:r>
      <w:r w:rsidRPr="00850455" w:rsidR="007D740A">
        <w:t xml:space="preserve"> </w:t>
      </w:r>
      <w:r w:rsidR="00B551A7">
        <w:t>that costs are under the gas utilities’ control</w:t>
      </w:r>
      <w:r w:rsidR="001D4EF1">
        <w:t xml:space="preserve">. </w:t>
      </w:r>
      <w:r w:rsidR="00B73BAD">
        <w:t>Cal</w:t>
      </w:r>
      <w:r w:rsidR="00577BC6">
        <w:t> </w:t>
      </w:r>
      <w:r w:rsidR="00B73BAD">
        <w:t xml:space="preserve">Advocates says that PG&amp;E’s statement that </w:t>
      </w:r>
      <w:r w:rsidR="00F41960">
        <w:t xml:space="preserve">it </w:t>
      </w:r>
      <w:r w:rsidR="00B73BAD">
        <w:t xml:space="preserve">“could cost millions” is </w:t>
      </w:r>
      <w:r w:rsidR="00876E97">
        <w:t>speculation.</w:t>
      </w:r>
      <w:r w:rsidR="00876E97">
        <w:rPr>
          <w:rStyle w:val="FootnoteReference"/>
        </w:rPr>
        <w:footnoteReference w:id="17"/>
      </w:r>
      <w:r w:rsidR="00876E97">
        <w:t xml:space="preserve"> </w:t>
      </w:r>
      <w:r w:rsidR="00577BC6">
        <w:t xml:space="preserve"> </w:t>
      </w:r>
      <w:r w:rsidR="00876E97">
        <w:t>Cal</w:t>
      </w:r>
      <w:r w:rsidR="00577BC6">
        <w:t> </w:t>
      </w:r>
      <w:r w:rsidR="00876E97">
        <w:t xml:space="preserve">Advocates </w:t>
      </w:r>
      <w:r w:rsidR="006D6C9F">
        <w:t xml:space="preserve">argues </w:t>
      </w:r>
      <w:r w:rsidR="00876E97">
        <w:t xml:space="preserve">that </w:t>
      </w:r>
      <w:r w:rsidR="00E92959">
        <w:t xml:space="preserve">additional </w:t>
      </w:r>
      <w:r w:rsidR="002A38C3">
        <w:t xml:space="preserve">detailed cost </w:t>
      </w:r>
      <w:r w:rsidR="00E92959">
        <w:t>information must be provided by the gas utilities</w:t>
      </w:r>
      <w:r w:rsidR="00613200">
        <w:t xml:space="preserve">, including </w:t>
      </w:r>
      <w:r w:rsidR="00114428">
        <w:t>recorded costs, a forecast of costs up to July 1, 2025, and a forecast of costs reasonably estimated for the period after July 1, 2025</w:t>
      </w:r>
      <w:r w:rsidR="00B74515">
        <w:t>.</w:t>
      </w:r>
      <w:r w:rsidRPr="00850455" w:rsidR="00064A4E">
        <w:rPr>
          <w:rStyle w:val="FootnoteReference"/>
        </w:rPr>
        <w:footnoteReference w:id="18"/>
      </w:r>
    </w:p>
    <w:p w:rsidRPr="00850455" w:rsidR="001729C6" w:rsidP="006C43E5" w:rsidRDefault="006825AA" w14:paraId="557C1FF5" w14:textId="1754D429">
      <w:pPr>
        <w:pStyle w:val="Standard"/>
      </w:pPr>
      <w:r w:rsidRPr="00850455">
        <w:t xml:space="preserve">TURN </w:t>
      </w:r>
      <w:r w:rsidR="006D6C9F">
        <w:t>argues</w:t>
      </w:r>
      <w:r w:rsidRPr="00850455" w:rsidR="006D6C9F">
        <w:t xml:space="preserve"> </w:t>
      </w:r>
      <w:r w:rsidRPr="00850455">
        <w:t xml:space="preserve">that “uncertainty” is not the same as costs being “speculative.” </w:t>
      </w:r>
      <w:r w:rsidR="00A82DB8">
        <w:t xml:space="preserve">Referring to when costs are “uncertain,” </w:t>
      </w:r>
      <w:r w:rsidRPr="00850455" w:rsidR="00320FB5">
        <w:t xml:space="preserve">TURN </w:t>
      </w:r>
      <w:r w:rsidR="006D6C9F">
        <w:t>claims</w:t>
      </w:r>
      <w:r w:rsidRPr="00850455" w:rsidR="006D6C9F">
        <w:t xml:space="preserve"> </w:t>
      </w:r>
      <w:r w:rsidRPr="00850455" w:rsidR="00320FB5">
        <w:t xml:space="preserve">the Commission has </w:t>
      </w:r>
      <w:r w:rsidR="00D61E8C">
        <w:t>authorized</w:t>
      </w:r>
      <w:r w:rsidR="00320FB5">
        <w:t xml:space="preserve"> </w:t>
      </w:r>
      <w:r w:rsidRPr="00850455" w:rsidR="00320FB5">
        <w:t xml:space="preserve">memorandum accounts with a wide range of possible costs to comply with new legislation.  </w:t>
      </w:r>
      <w:r w:rsidRPr="00850455" w:rsidR="00A82DB8">
        <w:t xml:space="preserve">In this case, TURN believes the costs are more speculative. </w:t>
      </w:r>
      <w:r w:rsidRPr="00850455" w:rsidR="00D476D4">
        <w:t xml:space="preserve">“Speculative” costs are those that </w:t>
      </w:r>
      <w:r w:rsidR="002517ED">
        <w:t>may not</w:t>
      </w:r>
      <w:r w:rsidRPr="00850455" w:rsidR="00962C79">
        <w:t xml:space="preserve"> need to be incurred based on reasonable information concerning implementation activities. </w:t>
      </w:r>
      <w:r w:rsidR="00DF30F7">
        <w:t>TURN</w:t>
      </w:r>
      <w:r w:rsidRPr="00850455" w:rsidR="00F636F9">
        <w:t xml:space="preserve"> </w:t>
      </w:r>
      <w:r w:rsidRPr="00850455" w:rsidR="00E97F47">
        <w:t>cites A</w:t>
      </w:r>
      <w:r w:rsidR="00916D0A">
        <w:t>pplication</w:t>
      </w:r>
      <w:r w:rsidR="00577BC6">
        <w:t> </w:t>
      </w:r>
      <w:r w:rsidRPr="00850455" w:rsidR="00E97F47">
        <w:t>21-</w:t>
      </w:r>
      <w:r w:rsidRPr="00850455" w:rsidR="006B0BC3">
        <w:t>05-010</w:t>
      </w:r>
      <w:r w:rsidR="002517ED">
        <w:t>,</w:t>
      </w:r>
      <w:r w:rsidRPr="00850455" w:rsidR="006B0BC3">
        <w:t xml:space="preserve"> where the Commission denied a request for a memorandum account by SoCalGas based on “vague</w:t>
      </w:r>
      <w:r w:rsidR="00577BC6">
        <w:t> </w:t>
      </w:r>
      <w:r w:rsidRPr="00850455" w:rsidR="006B0BC3">
        <w:t>assertions</w:t>
      </w:r>
      <w:r w:rsidRPr="00850455" w:rsidR="00FC456A">
        <w:t>” to comply with federal regulations.</w:t>
      </w:r>
      <w:r w:rsidRPr="00850455" w:rsidR="000018F5">
        <w:rPr>
          <w:rStyle w:val="FootnoteReference"/>
        </w:rPr>
        <w:footnoteReference w:id="19"/>
      </w:r>
    </w:p>
    <w:p w:rsidRPr="00850455" w:rsidR="00224737" w:rsidP="00FD1B9B" w:rsidRDefault="004A5076" w14:paraId="2B4DB2E7" w14:textId="73381EA5">
      <w:pPr>
        <w:pStyle w:val="Standard"/>
      </w:pPr>
      <w:r w:rsidRPr="00850455">
        <w:t>UC</w:t>
      </w:r>
      <w:r w:rsidRPr="00850455" w:rsidR="00A04A22">
        <w:t xml:space="preserve">AN </w:t>
      </w:r>
      <w:r w:rsidR="002517ED">
        <w:t>acknowledges that</w:t>
      </w:r>
      <w:r w:rsidRPr="00850455" w:rsidR="00604D28">
        <w:t xml:space="preserve"> the Commission will direct the gas utilities in some </w:t>
      </w:r>
      <w:proofErr w:type="gramStart"/>
      <w:r w:rsidRPr="00850455" w:rsidR="00604D28">
        <w:t>aspects</w:t>
      </w:r>
      <w:proofErr w:type="gramEnd"/>
      <w:r w:rsidR="002517ED">
        <w:t>.  However, UCAN asserts that</w:t>
      </w:r>
      <w:r w:rsidRPr="00850455" w:rsidR="00604D28">
        <w:t xml:space="preserve"> </w:t>
      </w:r>
      <w:r w:rsidRPr="00850455" w:rsidR="00EA23B5">
        <w:t>the utilities</w:t>
      </w:r>
      <w:r w:rsidRPr="00850455" w:rsidR="00604D28">
        <w:t xml:space="preserve"> </w:t>
      </w:r>
      <w:r w:rsidRPr="00850455" w:rsidR="00B27749">
        <w:t>are ultimately in control of costs because the</w:t>
      </w:r>
      <w:r w:rsidR="002517ED">
        <w:t xml:space="preserve"> utilities</w:t>
      </w:r>
      <w:r w:rsidRPr="00850455" w:rsidR="00B27749">
        <w:t xml:space="preserve"> will</w:t>
      </w:r>
      <w:r w:rsidRPr="00850455" w:rsidR="00604D28">
        <w:t xml:space="preserve"> make many decisions independent of the </w:t>
      </w:r>
      <w:r w:rsidRPr="00850455" w:rsidR="00604D28">
        <w:lastRenderedPageBreak/>
        <w:t>Commission’s direction</w:t>
      </w:r>
      <w:r w:rsidR="002517ED">
        <w:t>,</w:t>
      </w:r>
      <w:r w:rsidRPr="00850455" w:rsidR="00EA23B5">
        <w:t xml:space="preserve"> including </w:t>
      </w:r>
      <w:r w:rsidRPr="00850455" w:rsidR="00F833CB">
        <w:t>mapping processes, use of contractors, level of map completeness</w:t>
      </w:r>
      <w:r w:rsidRPr="00850455" w:rsidR="00F3060B">
        <w:t>, and map accessibility</w:t>
      </w:r>
      <w:r w:rsidRPr="00850455" w:rsidR="00604D28">
        <w:t>.</w:t>
      </w:r>
      <w:r w:rsidRPr="00850455" w:rsidR="00527562">
        <w:rPr>
          <w:rStyle w:val="FootnoteReference"/>
        </w:rPr>
        <w:footnoteReference w:id="20"/>
      </w:r>
    </w:p>
    <w:p w:rsidRPr="00850455" w:rsidR="0026394A" w:rsidP="0026394A" w:rsidRDefault="00916D0A" w14:paraId="5CC2981C" w14:textId="7497F822">
      <w:pPr>
        <w:pStyle w:val="Heading3"/>
      </w:pPr>
      <w:bookmarkStart w:name="_Toc204872325" w:id="17"/>
      <w:r>
        <w:t>Discussion</w:t>
      </w:r>
      <w:bookmarkEnd w:id="17"/>
    </w:p>
    <w:p w:rsidRPr="00850455" w:rsidR="00FD1B9B" w:rsidP="00FD1B9B" w:rsidRDefault="00FD1B9B" w14:paraId="652AB7BA" w14:textId="1AE618FA">
      <w:pPr>
        <w:pStyle w:val="Standard"/>
      </w:pPr>
      <w:r w:rsidRPr="00850455">
        <w:t xml:space="preserve">The Commission finds that while some aspects of </w:t>
      </w:r>
      <w:r w:rsidR="000A1BD2">
        <w:t>SB 1221</w:t>
      </w:r>
      <w:r w:rsidRPr="00850455">
        <w:t xml:space="preserve"> mapping have a degree of utility control, such as internal processes, data sourcing, and integration with other mapping and database activities in their GRCs, the fundamental tasks required of the gas utilities are directed by statute and</w:t>
      </w:r>
      <w:r w:rsidR="002517ED">
        <w:t xml:space="preserve"> the</w:t>
      </w:r>
      <w:r w:rsidRPr="00850455">
        <w:t xml:space="preserve"> Commission. </w:t>
      </w:r>
      <w:r w:rsidR="00577BC6">
        <w:t xml:space="preserve"> </w:t>
      </w:r>
      <w:r w:rsidRPr="00850455">
        <w:t>We</w:t>
      </w:r>
      <w:r w:rsidR="00916D0A">
        <w:t>,</w:t>
      </w:r>
      <w:r w:rsidRPr="00850455">
        <w:t xml:space="preserve"> therefore</w:t>
      </w:r>
      <w:r w:rsidR="00916D0A">
        <w:t>,</w:t>
      </w:r>
      <w:r w:rsidRPr="00850455">
        <w:t xml:space="preserve"> find that the gas utilities </w:t>
      </w:r>
      <w:r w:rsidR="006D6C9F">
        <w:t>lack</w:t>
      </w:r>
      <w:r w:rsidRPr="00850455">
        <w:t xml:space="preserve"> sufficient control of </w:t>
      </w:r>
      <w:r w:rsidR="000A1BD2">
        <w:t>SB 1221</w:t>
      </w:r>
      <w:r w:rsidRPr="00850455">
        <w:t xml:space="preserve"> mapping costs.</w:t>
      </w:r>
    </w:p>
    <w:p w:rsidRPr="001F0680" w:rsidR="001F0680" w:rsidP="001F0680" w:rsidRDefault="001F0680" w14:paraId="35FE5B84" w14:textId="35E6DD00">
      <w:pPr>
        <w:pStyle w:val="Heading2"/>
      </w:pPr>
      <w:bookmarkStart w:name="_Toc204872326" w:id="18"/>
      <w:r>
        <w:t>Utility Inclusion of Mapping Costs in Last GRC</w:t>
      </w:r>
      <w:bookmarkEnd w:id="18"/>
      <w:r w:rsidRPr="00850455" w:rsidR="00FF76B7">
        <w:t xml:space="preserve"> </w:t>
      </w:r>
    </w:p>
    <w:p w:rsidR="001F0680" w:rsidP="00DC164A" w:rsidRDefault="001F0680" w14:paraId="1C6F53F0" w14:textId="0858EB84">
      <w:pPr>
        <w:pStyle w:val="Heading3"/>
      </w:pPr>
      <w:bookmarkStart w:name="_Toc204872327" w:id="19"/>
      <w:r>
        <w:t xml:space="preserve">Party </w:t>
      </w:r>
      <w:r w:rsidR="006D6C9F">
        <w:t>Positions</w:t>
      </w:r>
      <w:bookmarkEnd w:id="19"/>
    </w:p>
    <w:p w:rsidR="00B55815" w:rsidP="00B55815" w:rsidRDefault="00B55815" w14:paraId="139FBBFD" w14:textId="77777777">
      <w:pPr>
        <w:pStyle w:val="Standard"/>
      </w:pPr>
      <w:r>
        <w:t>The Joint Utilities state that the last general rate case for the Sempra utilities</w:t>
      </w:r>
      <w:r>
        <w:rPr>
          <w:rStyle w:val="FootnoteReference"/>
        </w:rPr>
        <w:footnoteReference w:id="21"/>
      </w:r>
      <w:r>
        <w:t xml:space="preserve"> was filed on May 16, 2022</w:t>
      </w:r>
      <w:r>
        <w:rPr>
          <w:rStyle w:val="FootnoteReference"/>
        </w:rPr>
        <w:footnoteReference w:id="22"/>
      </w:r>
      <w:r>
        <w:t xml:space="preserve"> (A.22-05-016) and is still ongoing. The next scheduled rate case for the Sempra utilities will be filed in May 2026 using a Test Year of 2028.</w:t>
      </w:r>
      <w:r>
        <w:rPr>
          <w:rStyle w:val="FootnoteReference"/>
        </w:rPr>
        <w:footnoteReference w:id="23"/>
      </w:r>
      <w:r>
        <w:t xml:space="preserve"> For Southwest Gas, its current Test Year 2021 rate case was issued </w:t>
      </w:r>
      <w:proofErr w:type="gramStart"/>
      <w:r>
        <w:t>in</w:t>
      </w:r>
      <w:proofErr w:type="gramEnd"/>
      <w:r>
        <w:t xml:space="preserve"> D.21-03-052. Its 2026 Test Year GRC was filed on September 6, 2024 (A.24-09-001). The Joint Utilities state that because SB 1221 mapping costs are not known and measurable, it is not possible to incorporate these costs into the current Southwest Gas 2026 Test Year GRC. Southwest Gas’ next rate case will be for Test Year 2031. The Joint Utilities state that the authorized revenue requirements associated with these next rate cases will not be in effect until January 1, 2028, </w:t>
      </w:r>
      <w:r>
        <w:lastRenderedPageBreak/>
        <w:t>and January 1, 2031, respectively, two and a half years after the first mapping deliverable is due.</w:t>
      </w:r>
    </w:p>
    <w:p w:rsidR="00B55815" w:rsidP="00B55815" w:rsidRDefault="00B55815" w14:paraId="71FB9CDE" w14:textId="113B970A">
      <w:pPr>
        <w:pStyle w:val="Standard"/>
      </w:pPr>
      <w:r>
        <w:t xml:space="preserve">PG&amp;E states that its last GRC decision (D.23-11-069) was issued on November 17, 2023, and used a 2023 Test Year. PG&amp;E’s next general rate case </w:t>
      </w:r>
      <w:r w:rsidR="003E19D6">
        <w:t xml:space="preserve">is already underway </w:t>
      </w:r>
      <w:r w:rsidR="00620F9D">
        <w:t xml:space="preserve">in A.25-05-009 and </w:t>
      </w:r>
      <w:r>
        <w:t>will utilize a 2027 Test Year with an effective date of January 1, 2027.</w:t>
      </w:r>
      <w:r>
        <w:rPr>
          <w:rStyle w:val="FootnoteReference"/>
        </w:rPr>
        <w:footnoteReference w:id="24"/>
      </w:r>
    </w:p>
    <w:p w:rsidRPr="00850455" w:rsidR="00B55815" w:rsidP="00B55815" w:rsidRDefault="00B55815" w14:paraId="5CBDE72F" w14:textId="77777777">
      <w:pPr>
        <w:pStyle w:val="Standard"/>
      </w:pPr>
      <w:r>
        <w:t>SB 1221 was enacted into law in September 2024. Evident from this timeline, the gas utilities and SCE explain that because the gas utilities filed their previous GRC applications prior to SB 1221 being enacted, gas utilities would not have been able to reasonably foresee the costs of a statute not yet signed into law.</w:t>
      </w:r>
    </w:p>
    <w:p w:rsidRPr="00850455" w:rsidR="00603572" w:rsidP="009E50EA" w:rsidRDefault="00436888" w14:paraId="792EA240" w14:textId="560DA40A">
      <w:pPr>
        <w:pStyle w:val="Standard"/>
      </w:pPr>
      <w:r w:rsidRPr="00850455">
        <w:t>Cal Advocates states that</w:t>
      </w:r>
      <w:r w:rsidRPr="00850455" w:rsidR="00D139A2">
        <w:t xml:space="preserve"> a memorandum account is neither </w:t>
      </w:r>
      <w:r w:rsidRPr="00850455" w:rsidR="00A4778B">
        <w:t>necessary nor reasonable.</w:t>
      </w:r>
      <w:r w:rsidRPr="00850455" w:rsidR="003E2D86">
        <w:t xml:space="preserve"> </w:t>
      </w:r>
      <w:r w:rsidR="00577BC6">
        <w:t xml:space="preserve"> </w:t>
      </w:r>
      <w:r w:rsidRPr="00850455" w:rsidR="00566B05">
        <w:t>If</w:t>
      </w:r>
      <w:r w:rsidRPr="00850455" w:rsidR="003E2D86">
        <w:t xml:space="preserve"> there are unforeseen incremental costs, utilities should first be held to the prudent manager </w:t>
      </w:r>
      <w:r w:rsidRPr="00850455" w:rsidR="00BC19DF">
        <w:t xml:space="preserve">standard and should be required to make the necessary budget reallocations within their current revenue requirement. </w:t>
      </w:r>
      <w:r w:rsidRPr="00850455" w:rsidR="0039181D">
        <w:t>Cal</w:t>
      </w:r>
      <w:r w:rsidR="00577BC6">
        <w:t> </w:t>
      </w:r>
      <w:r w:rsidRPr="00850455" w:rsidR="0039181D">
        <w:t xml:space="preserve">Advocates </w:t>
      </w:r>
      <w:r w:rsidR="002517ED">
        <w:t>further</w:t>
      </w:r>
      <w:r w:rsidRPr="00850455" w:rsidR="0039181D">
        <w:t xml:space="preserve"> </w:t>
      </w:r>
      <w:r w:rsidR="00B55815">
        <w:t>argues</w:t>
      </w:r>
      <w:r w:rsidRPr="00850455" w:rsidR="00B55815">
        <w:t xml:space="preserve"> </w:t>
      </w:r>
      <w:r w:rsidRPr="00850455" w:rsidR="0039181D">
        <w:t xml:space="preserve">that utilities have other options, such as filing a separate </w:t>
      </w:r>
      <w:r w:rsidR="000A1BD2">
        <w:t>SB 1221</w:t>
      </w:r>
      <w:r w:rsidRPr="00850455" w:rsidR="0039181D">
        <w:t xml:space="preserve"> memorandum account application or requesting a Z</w:t>
      </w:r>
      <w:r w:rsidR="00577BC6">
        <w:noBreakHyphen/>
      </w:r>
      <w:r w:rsidRPr="00850455" w:rsidR="0039181D">
        <w:t>Factor memorandum account.</w:t>
      </w:r>
      <w:r w:rsidRPr="00850455" w:rsidR="00995A9C">
        <w:rPr>
          <w:rStyle w:val="FootnoteReference"/>
        </w:rPr>
        <w:footnoteReference w:id="25"/>
      </w:r>
    </w:p>
    <w:p w:rsidRPr="00850455" w:rsidR="009F3906" w:rsidP="009E50EA" w:rsidRDefault="000D496D" w14:paraId="0DEE14EE" w14:textId="54FD8637">
      <w:pPr>
        <w:pStyle w:val="Standard"/>
      </w:pPr>
      <w:r w:rsidRPr="00850455">
        <w:t xml:space="preserve">TURN </w:t>
      </w:r>
      <w:r w:rsidR="00B55815">
        <w:t>argues</w:t>
      </w:r>
      <w:r w:rsidRPr="00850455" w:rsidR="00B55815">
        <w:t xml:space="preserve"> </w:t>
      </w:r>
      <w:r w:rsidRPr="00850455">
        <w:t>that just because a particular activity cou</w:t>
      </w:r>
      <w:r w:rsidRPr="00850455" w:rsidR="00A65D22">
        <w:t>ld</w:t>
      </w:r>
      <w:r w:rsidRPr="00850455">
        <w:t xml:space="preserve"> not have been specifically included in the last rate case</w:t>
      </w:r>
      <w:r w:rsidRPr="00850455" w:rsidR="00A65A6F">
        <w:t xml:space="preserve"> forecast does not mean that the utility cannot control the related </w:t>
      </w:r>
      <w:r w:rsidRPr="00850455" w:rsidR="00C2613E">
        <w:t>costs or</w:t>
      </w:r>
      <w:r w:rsidRPr="00850455" w:rsidR="00A65A6F">
        <w:t xml:space="preserve"> fund the activity in existing rates by shifting or reprioritizing </w:t>
      </w:r>
      <w:r w:rsidRPr="00850455" w:rsidR="00140609">
        <w:t xml:space="preserve">spending. </w:t>
      </w:r>
      <w:r w:rsidR="00577BC6">
        <w:t xml:space="preserve"> </w:t>
      </w:r>
      <w:r w:rsidR="001F0680">
        <w:t>T</w:t>
      </w:r>
      <w:r w:rsidR="002517ED">
        <w:t>URN asserts that t</w:t>
      </w:r>
      <w:r w:rsidR="001F0680">
        <w:t xml:space="preserve">he Commission authorized </w:t>
      </w:r>
      <w:r w:rsidRPr="00850455" w:rsidR="00140609">
        <w:t xml:space="preserve">PG&amp;E and SoCalGas substantial amounts of money in their GRCs to perform mapping </w:t>
      </w:r>
      <w:r w:rsidRPr="00850455" w:rsidR="00140609">
        <w:lastRenderedPageBreak/>
        <w:t>and database work,</w:t>
      </w:r>
      <w:r w:rsidRPr="00850455" w:rsidR="00EB0258">
        <w:t xml:space="preserve"> akin to work being contemplated to comply with </w:t>
      </w:r>
      <w:r w:rsidR="000A1BD2">
        <w:t>SB 1221</w:t>
      </w:r>
      <w:r w:rsidRPr="00850455" w:rsidR="00EB0258">
        <w:t xml:space="preserve"> mapping requirements.</w:t>
      </w:r>
      <w:r w:rsidRPr="00850455" w:rsidR="006C3AF9">
        <w:rPr>
          <w:rStyle w:val="FootnoteReference"/>
        </w:rPr>
        <w:footnoteReference w:id="26"/>
      </w:r>
    </w:p>
    <w:p w:rsidRPr="00850455" w:rsidR="00DD1C99" w:rsidP="00DF5CB7" w:rsidRDefault="00F65332" w14:paraId="4D333B7B" w14:textId="1D12BD94">
      <w:pPr>
        <w:pStyle w:val="Standard"/>
      </w:pPr>
      <w:r w:rsidRPr="00850455">
        <w:t xml:space="preserve">UCAN </w:t>
      </w:r>
      <w:r w:rsidR="00B55815">
        <w:t>argues</w:t>
      </w:r>
      <w:r w:rsidRPr="00850455" w:rsidR="00B55815">
        <w:t xml:space="preserve"> </w:t>
      </w:r>
      <w:r w:rsidRPr="00850455">
        <w:t xml:space="preserve">that costs should have been foreseen and cites </w:t>
      </w:r>
      <w:r w:rsidR="00182957">
        <w:t xml:space="preserve">the utilities’ </w:t>
      </w:r>
      <w:r w:rsidRPr="00850455">
        <w:t>involvement in R</w:t>
      </w:r>
      <w:r w:rsidR="001F0680">
        <w:t>ulemaking</w:t>
      </w:r>
      <w:r w:rsidR="00577BC6">
        <w:t> </w:t>
      </w:r>
      <w:r w:rsidR="00C1029B">
        <w:t xml:space="preserve">(R.) </w:t>
      </w:r>
      <w:r w:rsidRPr="00850455">
        <w:t>20-01-007.</w:t>
      </w:r>
      <w:r w:rsidRPr="00850455" w:rsidR="007F668B">
        <w:rPr>
          <w:rStyle w:val="FootnoteReference"/>
        </w:rPr>
        <w:footnoteReference w:id="27"/>
      </w:r>
      <w:r w:rsidR="00E31378">
        <w:t xml:space="preserve"> UCAN noted that the dates of each of the gas utilities’ previous GRC applications were over a year after the Commission launched R</w:t>
      </w:r>
      <w:r w:rsidR="00083446">
        <w:t>. 20-01-007.</w:t>
      </w:r>
    </w:p>
    <w:p w:rsidRPr="00850455" w:rsidR="00DF5CB7" w:rsidP="00DF5CB7" w:rsidRDefault="001F0680" w14:paraId="05C856A4" w14:textId="73817290">
      <w:pPr>
        <w:pStyle w:val="Heading3"/>
      </w:pPr>
      <w:bookmarkStart w:name="_Toc204872328" w:id="20"/>
      <w:r>
        <w:t>Discussion</w:t>
      </w:r>
      <w:bookmarkEnd w:id="20"/>
    </w:p>
    <w:p w:rsidR="00DF5CB7" w:rsidP="00DF5CB7" w:rsidRDefault="00DF5CB7" w14:paraId="63DCA11E" w14:textId="2A14FA9A">
      <w:pPr>
        <w:pStyle w:val="Standard"/>
      </w:pPr>
      <w:r w:rsidRPr="00850455">
        <w:t>The Commission finds that the gas utilities could not have reasonably foreseen SB</w:t>
      </w:r>
      <w:r w:rsidR="00B55815">
        <w:t xml:space="preserve"> </w:t>
      </w:r>
      <w:r w:rsidRPr="00850455">
        <w:t xml:space="preserve">1221 </w:t>
      </w:r>
      <w:r w:rsidR="00417B8D">
        <w:t xml:space="preserve">enactment and related </w:t>
      </w:r>
      <w:r w:rsidRPr="00850455">
        <w:t>mapping costs while developing their last GRC</w:t>
      </w:r>
      <w:r w:rsidR="00417B8D">
        <w:t xml:space="preserve"> application</w:t>
      </w:r>
      <w:r w:rsidRPr="00850455">
        <w:t xml:space="preserve">s. </w:t>
      </w:r>
      <w:r w:rsidR="00577BC6">
        <w:t xml:space="preserve"> </w:t>
      </w:r>
      <w:r w:rsidRPr="00850455">
        <w:t xml:space="preserve">Though the gas utilities have been involved in long-term gas planning both in this proceeding and in its predecessor proceeding (R.20-01-007), the issue here is </w:t>
      </w:r>
      <w:r w:rsidR="002517ED">
        <w:t>the</w:t>
      </w:r>
      <w:r w:rsidRPr="00850455">
        <w:t xml:space="preserve"> mapping requirements of </w:t>
      </w:r>
      <w:r w:rsidR="000A1BD2">
        <w:t>SB 1221</w:t>
      </w:r>
      <w:r w:rsidRPr="00850455">
        <w:t xml:space="preserve">. </w:t>
      </w:r>
      <w:r w:rsidR="00577BC6">
        <w:t xml:space="preserve"> </w:t>
      </w:r>
      <w:r w:rsidRPr="00850455">
        <w:t xml:space="preserve">This issue was not present </w:t>
      </w:r>
      <w:proofErr w:type="gramStart"/>
      <w:r w:rsidRPr="00850455">
        <w:t>in</w:t>
      </w:r>
      <w:proofErr w:type="gramEnd"/>
      <w:r w:rsidRPr="00850455">
        <w:t xml:space="preserve"> R.20-01-007, nor was it included in the initial scope shown in the OIR for this proceeding. </w:t>
      </w:r>
      <w:r w:rsidR="0025623F">
        <w:t xml:space="preserve"> </w:t>
      </w:r>
      <w:r w:rsidRPr="00850455">
        <w:t xml:space="preserve">It was first included in the Scoping Memo </w:t>
      </w:r>
      <w:r w:rsidR="00417B8D">
        <w:t>issued</w:t>
      </w:r>
      <w:r w:rsidRPr="00850455" w:rsidR="00417B8D">
        <w:t xml:space="preserve"> </w:t>
      </w:r>
      <w:r w:rsidRPr="00850455">
        <w:t>on January 31, 2025.</w:t>
      </w:r>
    </w:p>
    <w:p w:rsidRPr="00850455" w:rsidR="00C30F9C" w:rsidP="00C30F9C" w:rsidRDefault="00C30F9C" w14:paraId="682C0CFB" w14:textId="77777777">
      <w:pPr>
        <w:pStyle w:val="Standard"/>
      </w:pPr>
      <w:r>
        <w:t>Unlike the other gas utilities, PG&amp;E developed its most recent GRC application after the SB 1221 mapping issue was included in the Scoping Memo and filed the application with the Commission on May 15, 2025. However, PG&amp;E’s May 15</w:t>
      </w:r>
      <w:r w:rsidRPr="00D93FF1">
        <w:rPr>
          <w:vertAlign w:val="superscript"/>
        </w:rPr>
        <w:t>th</w:t>
      </w:r>
      <w:r>
        <w:t xml:space="preserve"> GRC application forecasts costs in Test Year 2027.</w:t>
      </w:r>
      <w:r>
        <w:rPr>
          <w:rStyle w:val="FootnoteReference"/>
        </w:rPr>
        <w:footnoteReference w:id="28"/>
      </w:r>
      <w:r>
        <w:t xml:space="preserve"> PG&amp;E forecasted its costs for 2025 in its last GRC, which used a 2023 Test Year and was decided in 2023.</w:t>
      </w:r>
      <w:r>
        <w:rPr>
          <w:rStyle w:val="FootnoteReference"/>
        </w:rPr>
        <w:footnoteReference w:id="29"/>
      </w:r>
      <w:r>
        <w:t xml:space="preserve"> Therefore, like the other gas utilities, it could not have </w:t>
      </w:r>
      <w:r>
        <w:lastRenderedPageBreak/>
        <w:t>reasonably foreseen SB 1221 enactment and related mapping costs while forecasting costs for 2025.</w:t>
      </w:r>
    </w:p>
    <w:p w:rsidRPr="00850455" w:rsidR="00FF76B7" w:rsidP="00D11568" w:rsidRDefault="000A1BD2" w14:paraId="221F34D8" w14:textId="123FE2A5">
      <w:pPr>
        <w:pStyle w:val="Heading2"/>
        <w:ind w:right="1440"/>
      </w:pPr>
      <w:bookmarkStart w:name="_Toc204085345" w:id="21"/>
      <w:bookmarkStart w:name="_Toc204872329" w:id="22"/>
      <w:bookmarkEnd w:id="21"/>
      <w:r>
        <w:t>SB 1221</w:t>
      </w:r>
      <w:r w:rsidRPr="00850455" w:rsidR="00CB2C94">
        <w:t xml:space="preserve"> Mapping Costs</w:t>
      </w:r>
      <w:r w:rsidRPr="00850455" w:rsidR="0089688B">
        <w:t xml:space="preserve"> </w:t>
      </w:r>
      <w:r w:rsidR="001F0680">
        <w:t>Incurred Before Next</w:t>
      </w:r>
      <w:r w:rsidR="00D11568">
        <w:t xml:space="preserve"> </w:t>
      </w:r>
      <w:r w:rsidR="001F0680">
        <w:t>GRC</w:t>
      </w:r>
      <w:bookmarkEnd w:id="22"/>
    </w:p>
    <w:p w:rsidR="001F0680" w:rsidP="00DC164A" w:rsidRDefault="001F0680" w14:paraId="600D73A8" w14:textId="75AD72A7">
      <w:pPr>
        <w:pStyle w:val="Heading3"/>
      </w:pPr>
      <w:bookmarkStart w:name="_Toc204872330" w:id="23"/>
      <w:r>
        <w:t xml:space="preserve">Party </w:t>
      </w:r>
      <w:r w:rsidR="00C30F9C">
        <w:t>Positions</w:t>
      </w:r>
      <w:bookmarkEnd w:id="23"/>
    </w:p>
    <w:p w:rsidRPr="00850455" w:rsidR="00C358BC" w:rsidP="002D4384" w:rsidRDefault="00C358BC" w14:paraId="68676D5B" w14:textId="0EB3052D">
      <w:pPr>
        <w:pStyle w:val="Standard"/>
      </w:pPr>
      <w:r w:rsidRPr="00850455">
        <w:t xml:space="preserve">All </w:t>
      </w:r>
      <w:r w:rsidRPr="00850455" w:rsidR="00512B4C">
        <w:t xml:space="preserve">gas utilities </w:t>
      </w:r>
      <w:r w:rsidR="00C30F9C">
        <w:t>claim</w:t>
      </w:r>
      <w:r w:rsidRPr="00850455" w:rsidR="00C30F9C">
        <w:t xml:space="preserve"> </w:t>
      </w:r>
      <w:r w:rsidRPr="00850455" w:rsidR="000E6DC1">
        <w:t xml:space="preserve">that costs from complying with </w:t>
      </w:r>
      <w:r w:rsidR="000A1BD2">
        <w:t>SB 1221</w:t>
      </w:r>
      <w:r w:rsidRPr="00850455" w:rsidR="000E6DC1">
        <w:t xml:space="preserve"> mapping requirements will be incurred before</w:t>
      </w:r>
      <w:r w:rsidR="008D7A96">
        <w:t xml:space="preserve"> the filing of</w:t>
      </w:r>
      <w:r w:rsidRPr="00850455" w:rsidR="000E6DC1">
        <w:t xml:space="preserve"> their next GRC</w:t>
      </w:r>
      <w:r w:rsidR="008D7A96">
        <w:t xml:space="preserve"> application</w:t>
      </w:r>
      <w:r w:rsidRPr="00850455" w:rsidR="000E6DC1">
        <w:t xml:space="preserve">s. </w:t>
      </w:r>
      <w:r w:rsidR="0025623F">
        <w:t xml:space="preserve"> </w:t>
      </w:r>
      <w:r w:rsidRPr="00850455" w:rsidR="00B01F6D">
        <w:t xml:space="preserve">PG&amp;E’s next GRC effective date is January 1, 2027. </w:t>
      </w:r>
      <w:r w:rsidR="0025623F">
        <w:t xml:space="preserve"> </w:t>
      </w:r>
      <w:r w:rsidRPr="00850455" w:rsidR="00B93C86">
        <w:t>The Sempra GRC will be effective in 2028 and Southwest Gas in 2031.</w:t>
      </w:r>
      <w:r w:rsidRPr="00850455" w:rsidR="00B924ED">
        <w:rPr>
          <w:rStyle w:val="FootnoteReference"/>
        </w:rPr>
        <w:footnoteReference w:id="30"/>
      </w:r>
    </w:p>
    <w:p w:rsidRPr="00850455" w:rsidR="00BC7CB2" w:rsidP="00C358BC" w:rsidRDefault="00BC7CB2" w14:paraId="018A55DB" w14:textId="04DA5509">
      <w:pPr>
        <w:pStyle w:val="Standard"/>
      </w:pPr>
      <w:r w:rsidRPr="00850455">
        <w:t xml:space="preserve">SCE states it cannot opine on what costs will be </w:t>
      </w:r>
      <w:r w:rsidRPr="00850455" w:rsidR="00780D97">
        <w:t>ascertainable</w:t>
      </w:r>
      <w:r w:rsidRPr="00850455">
        <w:t xml:space="preserve"> when the gas </w:t>
      </w:r>
      <w:r w:rsidR="008D7A96">
        <w:t>utilitie</w:t>
      </w:r>
      <w:r w:rsidRPr="00850455" w:rsidR="008D7A96">
        <w:t xml:space="preserve">s </w:t>
      </w:r>
      <w:r w:rsidRPr="00850455">
        <w:t>file their next GRC applications</w:t>
      </w:r>
      <w:r w:rsidRPr="00850455" w:rsidR="00780D97">
        <w:t>.</w:t>
      </w:r>
    </w:p>
    <w:p w:rsidRPr="00850455" w:rsidR="008B20BC" w:rsidP="00DF5CB7" w:rsidRDefault="00780D97" w14:paraId="66FCB547" w14:textId="3DF430B3">
      <w:pPr>
        <w:pStyle w:val="Standard"/>
      </w:pPr>
      <w:r w:rsidRPr="00850455">
        <w:t xml:space="preserve">Cal Advocates </w:t>
      </w:r>
      <w:r w:rsidR="003D0EEB">
        <w:t>argues</w:t>
      </w:r>
      <w:r w:rsidRPr="00850455" w:rsidR="003D0EEB">
        <w:t xml:space="preserve"> </w:t>
      </w:r>
      <w:r w:rsidRPr="00850455">
        <w:t xml:space="preserve">that there is more than sufficient time </w:t>
      </w:r>
      <w:r w:rsidRPr="00850455" w:rsidR="00604E4B">
        <w:t>to incorporate forecasts in GRC revenue requirements</w:t>
      </w:r>
      <w:r w:rsidR="00716484">
        <w:t>,</w:t>
      </w:r>
      <w:r w:rsidRPr="00850455" w:rsidR="00953800">
        <w:t xml:space="preserve"> and t</w:t>
      </w:r>
      <w:r w:rsidRPr="00850455" w:rsidR="00604E4B">
        <w:t xml:space="preserve">he utilities should file and support those forecasts in their </w:t>
      </w:r>
      <w:r w:rsidR="003D0EEB">
        <w:t xml:space="preserve">next </w:t>
      </w:r>
      <w:r w:rsidRPr="00850455" w:rsidR="00604E4B">
        <w:t>respective GRC proceedings.</w:t>
      </w:r>
      <w:r w:rsidRPr="00850455" w:rsidR="00C911FB">
        <w:t xml:space="preserve"> </w:t>
      </w:r>
      <w:r w:rsidR="0025623F">
        <w:t xml:space="preserve"> </w:t>
      </w:r>
      <w:r w:rsidRPr="00850455" w:rsidR="00F17013">
        <w:t xml:space="preserve">UCAN states that </w:t>
      </w:r>
      <w:r w:rsidR="00ED6702">
        <w:t xml:space="preserve">these </w:t>
      </w:r>
      <w:r w:rsidRPr="00850455" w:rsidR="00F17013">
        <w:t xml:space="preserve">costs will </w:t>
      </w:r>
      <w:r w:rsidR="00ED6702">
        <w:t>be incurred</w:t>
      </w:r>
      <w:r w:rsidRPr="00850455" w:rsidR="00F17013">
        <w:t xml:space="preserve"> before the </w:t>
      </w:r>
      <w:r w:rsidR="00ED6702">
        <w:t>resolution of the next</w:t>
      </w:r>
      <w:r w:rsidRPr="00850455" w:rsidR="00ED6702">
        <w:t xml:space="preserve"> </w:t>
      </w:r>
      <w:r w:rsidRPr="00850455" w:rsidR="00F17013">
        <w:t xml:space="preserve">GRC </w:t>
      </w:r>
      <w:r w:rsidR="00ED6702">
        <w:t>application</w:t>
      </w:r>
      <w:r w:rsidRPr="00850455" w:rsidR="00ED6702">
        <w:t>s</w:t>
      </w:r>
      <w:r w:rsidRPr="00850455" w:rsidR="00F17013">
        <w:t>.</w:t>
      </w:r>
    </w:p>
    <w:p w:rsidRPr="00850455" w:rsidR="008869E0" w:rsidP="008869E0" w:rsidRDefault="009503D9" w14:paraId="2E8DD364" w14:textId="5BFD287B">
      <w:pPr>
        <w:pStyle w:val="Heading3"/>
      </w:pPr>
      <w:bookmarkStart w:name="_Toc204872331" w:id="24"/>
      <w:r>
        <w:t>Discussion</w:t>
      </w:r>
      <w:bookmarkEnd w:id="24"/>
    </w:p>
    <w:p w:rsidRPr="00850455" w:rsidR="00DF5CB7" w:rsidP="00DF5CB7" w:rsidRDefault="00DF5CB7" w14:paraId="58DB355A" w14:textId="518C6828">
      <w:pPr>
        <w:pStyle w:val="Standard"/>
      </w:pPr>
      <w:r w:rsidRPr="00850455">
        <w:t xml:space="preserve">The Commission </w:t>
      </w:r>
      <w:r w:rsidR="00137989">
        <w:t xml:space="preserve">agrees with all parties and </w:t>
      </w:r>
      <w:r w:rsidRPr="00850455">
        <w:t xml:space="preserve">finds that costs will be incurred prior to the </w:t>
      </w:r>
      <w:r w:rsidR="00137989">
        <w:t xml:space="preserve">resolution of gas utilities’ </w:t>
      </w:r>
      <w:r w:rsidRPr="00850455">
        <w:t>next GRC</w:t>
      </w:r>
      <w:r w:rsidR="009503D9">
        <w:t xml:space="preserve"> application</w:t>
      </w:r>
      <w:r w:rsidRPr="00850455">
        <w:t xml:space="preserve">s. </w:t>
      </w:r>
      <w:r w:rsidR="0025623F">
        <w:t xml:space="preserve"> </w:t>
      </w:r>
      <w:r w:rsidRPr="00850455">
        <w:t xml:space="preserve">The gas utilities shall include forecasts of </w:t>
      </w:r>
      <w:r w:rsidR="000A1BD2">
        <w:t>SB 1221</w:t>
      </w:r>
      <w:r w:rsidRPr="00850455">
        <w:t xml:space="preserve"> mapping costs in their next GRC applications.</w:t>
      </w:r>
    </w:p>
    <w:p w:rsidRPr="00850455" w:rsidR="0089688B" w:rsidP="00D2041C" w:rsidRDefault="0089688B" w14:paraId="7BA68562" w14:textId="266715C1">
      <w:pPr>
        <w:pStyle w:val="Heading2"/>
      </w:pPr>
      <w:bookmarkStart w:name="_Toc204872332" w:id="25"/>
      <w:r w:rsidRPr="00850455">
        <w:t>A</w:t>
      </w:r>
      <w:r w:rsidR="00137989">
        <w:t>mount of</w:t>
      </w:r>
      <w:r w:rsidRPr="00850455">
        <w:t xml:space="preserve"> </w:t>
      </w:r>
      <w:r w:rsidR="000A1BD2">
        <w:t>SB 1221</w:t>
      </w:r>
      <w:r w:rsidRPr="00850455">
        <w:t xml:space="preserve"> </w:t>
      </w:r>
      <w:r w:rsidRPr="00850455" w:rsidR="00CB2C94">
        <w:t>Mapping Costs</w:t>
      </w:r>
      <w:bookmarkEnd w:id="25"/>
    </w:p>
    <w:p w:rsidR="00D64470" w:rsidP="00DC164A" w:rsidRDefault="00D64470" w14:paraId="548424B4" w14:textId="3FCD91CD">
      <w:pPr>
        <w:pStyle w:val="Heading3"/>
      </w:pPr>
      <w:bookmarkStart w:name="_Toc204872333" w:id="26"/>
      <w:r>
        <w:t xml:space="preserve">Party </w:t>
      </w:r>
      <w:r w:rsidR="009503D9">
        <w:t>Positions</w:t>
      </w:r>
      <w:bookmarkEnd w:id="26"/>
    </w:p>
    <w:p w:rsidRPr="00850455" w:rsidR="00067B2A" w:rsidP="00067B2A" w:rsidRDefault="009C6F6E" w14:paraId="0E9FEE05" w14:textId="2FFFDA15">
      <w:pPr>
        <w:pStyle w:val="Standard"/>
      </w:pPr>
      <w:r w:rsidRPr="00850455">
        <w:t>PG&amp;E states that costs are expected to be at l</w:t>
      </w:r>
      <w:r w:rsidRPr="00850455" w:rsidR="001B3CAD">
        <w:t>e</w:t>
      </w:r>
      <w:r w:rsidRPr="00850455">
        <w:t>ast $1 million.</w:t>
      </w:r>
      <w:r w:rsidR="00813D84">
        <w:rPr>
          <w:rStyle w:val="FootnoteReference"/>
        </w:rPr>
        <w:footnoteReference w:id="31"/>
      </w:r>
      <w:r w:rsidRPr="00850455">
        <w:t xml:space="preserve"> </w:t>
      </w:r>
      <w:r w:rsidR="0025623F">
        <w:t xml:space="preserve"> </w:t>
      </w:r>
      <w:r w:rsidRPr="00850455" w:rsidR="006108FB">
        <w:t xml:space="preserve">PG&amp;E cites the </w:t>
      </w:r>
      <w:r w:rsidRPr="00850455" w:rsidR="001B3CAD">
        <w:t>costs of creating the map</w:t>
      </w:r>
      <w:r w:rsidRPr="00850455" w:rsidR="00CF045C">
        <w:t>;</w:t>
      </w:r>
      <w:r w:rsidRPr="00850455" w:rsidR="001B3CAD">
        <w:t xml:space="preserve"> developing a system for registering</w:t>
      </w:r>
      <w:r w:rsidRPr="00850455" w:rsidR="00D05ED0">
        <w:t xml:space="preserve">, qualifying, and providing access and its underlying data to the Commission and eligible </w:t>
      </w:r>
      <w:r w:rsidRPr="00850455" w:rsidR="00D05ED0">
        <w:lastRenderedPageBreak/>
        <w:t>public</w:t>
      </w:r>
      <w:r w:rsidRPr="00850455" w:rsidR="00CF045C">
        <w:t>;</w:t>
      </w:r>
      <w:r w:rsidRPr="00850455" w:rsidR="009C36B4">
        <w:t xml:space="preserve"> </w:t>
      </w:r>
      <w:r w:rsidR="00D64470">
        <w:t xml:space="preserve">and </w:t>
      </w:r>
      <w:r w:rsidR="00D46AB5">
        <w:t xml:space="preserve">ensuring </w:t>
      </w:r>
      <w:r w:rsidRPr="00850455" w:rsidR="00D46AB5">
        <w:t>cyber</w:t>
      </w:r>
      <w:r w:rsidR="0025623F">
        <w:noBreakHyphen/>
      </w:r>
      <w:r w:rsidRPr="00850455" w:rsidR="009C36B4">
        <w:t>security</w:t>
      </w:r>
      <w:r w:rsidR="00D64470">
        <w:t>,</w:t>
      </w:r>
      <w:r w:rsidRPr="00850455" w:rsidR="009C36B4">
        <w:t xml:space="preserve"> consumer useability</w:t>
      </w:r>
      <w:r w:rsidR="00D64470">
        <w:t>,</w:t>
      </w:r>
      <w:r w:rsidRPr="00850455" w:rsidR="00D64470">
        <w:t xml:space="preserve"> </w:t>
      </w:r>
      <w:r w:rsidRPr="00850455" w:rsidR="009C36B4">
        <w:t>and customer privacy</w:t>
      </w:r>
      <w:r w:rsidRPr="00850455" w:rsidR="00D05ED0">
        <w:t>.</w:t>
      </w:r>
      <w:r w:rsidR="00601910">
        <w:rPr>
          <w:rStyle w:val="FootnoteReference"/>
        </w:rPr>
        <w:footnoteReference w:id="32"/>
      </w:r>
      <w:r w:rsidRPr="00850455" w:rsidR="00D05ED0">
        <w:t xml:space="preserve"> </w:t>
      </w:r>
      <w:r w:rsidR="0025623F">
        <w:t xml:space="preserve"> </w:t>
      </w:r>
      <w:r w:rsidR="00716484">
        <w:t>PG&amp;E asserts that it</w:t>
      </w:r>
      <w:r w:rsidRPr="00850455" w:rsidR="003609AB">
        <w:t xml:space="preserve"> is also uncertain what scope and additional layers may be </w:t>
      </w:r>
      <w:r w:rsidRPr="00850455" w:rsidR="00732B32">
        <w:t>require</w:t>
      </w:r>
      <w:r w:rsidRPr="00850455" w:rsidR="003609AB">
        <w:t>d by the Commission.</w:t>
      </w:r>
      <w:r w:rsidRPr="00850455" w:rsidR="008817CE">
        <w:rPr>
          <w:rStyle w:val="FootnoteReference"/>
        </w:rPr>
        <w:footnoteReference w:id="33"/>
      </w:r>
      <w:r w:rsidRPr="00850455" w:rsidR="003609AB">
        <w:t xml:space="preserve"> </w:t>
      </w:r>
    </w:p>
    <w:p w:rsidRPr="00850455" w:rsidR="0037418A" w:rsidP="00067B2A" w:rsidRDefault="0037418A" w14:paraId="65EFC847" w14:textId="2B2267C5">
      <w:pPr>
        <w:pStyle w:val="Standard"/>
      </w:pPr>
      <w:r w:rsidRPr="00850455">
        <w:t xml:space="preserve">The Joint Utilities state that costs are likely to be substantial and worth the effort of processing </w:t>
      </w:r>
      <w:r w:rsidR="00115561">
        <w:t>(</w:t>
      </w:r>
      <w:r w:rsidRPr="003E41F2" w:rsidR="00115561">
        <w:rPr>
          <w:i/>
          <w:iCs/>
        </w:rPr>
        <w:t>e.g.,</w:t>
      </w:r>
      <w:r w:rsidR="00115561">
        <w:t xml:space="preserve"> opening, tracking, and considering) </w:t>
      </w:r>
      <w:r w:rsidRPr="00850455">
        <w:t>a memorandum account</w:t>
      </w:r>
      <w:r w:rsidRPr="00850455" w:rsidR="00ED197C">
        <w:t xml:space="preserve">. </w:t>
      </w:r>
      <w:r w:rsidR="0025623F">
        <w:t xml:space="preserve"> </w:t>
      </w:r>
      <w:r w:rsidR="00E819D2">
        <w:t>They estimate the c</w:t>
      </w:r>
      <w:r w:rsidRPr="00850455" w:rsidR="00ED197C">
        <w:t xml:space="preserve">osts </w:t>
      </w:r>
      <w:r w:rsidR="00E819D2">
        <w:t>at</w:t>
      </w:r>
      <w:r w:rsidRPr="00850455" w:rsidR="00ED197C">
        <w:t xml:space="preserve"> $12 million or more</w:t>
      </w:r>
      <w:r w:rsidR="0040092D">
        <w:t xml:space="preserve"> across all three utilities</w:t>
      </w:r>
      <w:r w:rsidR="00E819D2">
        <w:t>,</w:t>
      </w:r>
      <w:r w:rsidRPr="00850455" w:rsidR="00ED197C">
        <w:t xml:space="preserve"> with ongoing costs of $1.5</w:t>
      </w:r>
      <w:r w:rsidR="0025623F">
        <w:t> </w:t>
      </w:r>
      <w:r w:rsidRPr="00850455" w:rsidR="00CC5317">
        <w:t>million</w:t>
      </w:r>
      <w:r w:rsidRPr="00850455" w:rsidR="00ED197C">
        <w:t xml:space="preserve"> to $2</w:t>
      </w:r>
      <w:r w:rsidR="0025623F">
        <w:t> </w:t>
      </w:r>
      <w:r w:rsidRPr="00850455" w:rsidR="00ED197C">
        <w:t>million annually.</w:t>
      </w:r>
      <w:r w:rsidRPr="00850455" w:rsidR="00A97AF7">
        <w:rPr>
          <w:rStyle w:val="FootnoteReference"/>
        </w:rPr>
        <w:footnoteReference w:id="34"/>
      </w:r>
      <w:r w:rsidRPr="00850455" w:rsidR="00937924">
        <w:t xml:space="preserve"> </w:t>
      </w:r>
      <w:r w:rsidR="0025623F">
        <w:t xml:space="preserve"> </w:t>
      </w:r>
      <w:r w:rsidR="00E819D2">
        <w:t xml:space="preserve">They recommend implementing </w:t>
      </w:r>
      <w:r w:rsidRPr="00850455" w:rsidR="003543DA">
        <w:t>SB</w:t>
      </w:r>
      <w:r w:rsidR="00A64D96">
        <w:t xml:space="preserve"> </w:t>
      </w:r>
      <w:r w:rsidRPr="00850455" w:rsidR="003543DA">
        <w:t xml:space="preserve">1221 mapping efforts in a way that </w:t>
      </w:r>
      <w:r w:rsidRPr="00850455" w:rsidR="007F0996">
        <w:t>ensures</w:t>
      </w:r>
      <w:r w:rsidRPr="00850455" w:rsidR="003543DA">
        <w:t xml:space="preserve"> such costs are </w:t>
      </w:r>
      <w:proofErr w:type="gramStart"/>
      <w:r w:rsidRPr="00850455" w:rsidR="003543DA">
        <w:t>tracked</w:t>
      </w:r>
      <w:proofErr w:type="gramEnd"/>
      <w:r w:rsidRPr="00850455" w:rsidR="003543DA">
        <w:t xml:space="preserve"> and recovered in a transparent and comprehensive manner.</w:t>
      </w:r>
      <w:r w:rsidRPr="00850455" w:rsidR="00B254BC">
        <w:rPr>
          <w:rStyle w:val="FootnoteReference"/>
        </w:rPr>
        <w:footnoteReference w:id="35"/>
      </w:r>
    </w:p>
    <w:p w:rsidRPr="00850455" w:rsidR="00ED197C" w:rsidP="00067B2A" w:rsidRDefault="007108AF" w14:paraId="70719427" w14:textId="61F3BD97">
      <w:pPr>
        <w:pStyle w:val="Standard"/>
      </w:pPr>
      <w:r w:rsidRPr="00850455">
        <w:t xml:space="preserve">SCE </w:t>
      </w:r>
      <w:r w:rsidR="00115561">
        <w:t>contend</w:t>
      </w:r>
      <w:r w:rsidRPr="00850455" w:rsidR="00115561">
        <w:t xml:space="preserve">s </w:t>
      </w:r>
      <w:r w:rsidRPr="00850455">
        <w:t>it is premature to opine if costs will be substantial.</w:t>
      </w:r>
      <w:r w:rsidR="00DE0114">
        <w:rPr>
          <w:rStyle w:val="FootnoteReference"/>
        </w:rPr>
        <w:footnoteReference w:id="36"/>
      </w:r>
      <w:r w:rsidRPr="00850455">
        <w:t xml:space="preserve"> </w:t>
      </w:r>
      <w:r w:rsidR="0025623F">
        <w:t xml:space="preserve"> </w:t>
      </w:r>
      <w:r w:rsidRPr="00850455">
        <w:t xml:space="preserve">If they are, </w:t>
      </w:r>
      <w:r w:rsidR="00E819D2">
        <w:t xml:space="preserve">SCE argues that </w:t>
      </w:r>
      <w:r w:rsidRPr="00850455">
        <w:t xml:space="preserve">gas </w:t>
      </w:r>
      <w:r w:rsidRPr="00850455" w:rsidR="00C4759F">
        <w:t>utilities</w:t>
      </w:r>
      <w:r w:rsidRPr="00850455">
        <w:t xml:space="preserve"> can at least </w:t>
      </w:r>
      <w:r w:rsidRPr="00850455" w:rsidR="00C4759F">
        <w:t>track those costs in a memorandum account</w:t>
      </w:r>
      <w:r w:rsidR="00EB6AF7">
        <w:t xml:space="preserve">. </w:t>
      </w:r>
      <w:r w:rsidR="0025623F">
        <w:t xml:space="preserve"> </w:t>
      </w:r>
      <w:r w:rsidRPr="00850455" w:rsidR="0057757C">
        <w:t>SCE states that</w:t>
      </w:r>
      <w:r w:rsidRPr="00850455" w:rsidR="00C4759F">
        <w:t xml:space="preserve"> a balancing account may be more appropriate</w:t>
      </w:r>
      <w:r w:rsidR="00EB6AF7">
        <w:t xml:space="preserve"> because</w:t>
      </w:r>
      <w:r w:rsidRPr="00850455" w:rsidR="00C4759F">
        <w:t xml:space="preserve"> </w:t>
      </w:r>
      <w:r w:rsidR="00EB6AF7">
        <w:t>m</w:t>
      </w:r>
      <w:r w:rsidRPr="00850455" w:rsidR="00C4759F">
        <w:t xml:space="preserve">emorandum </w:t>
      </w:r>
      <w:r w:rsidRPr="00850455" w:rsidR="009E2BD3">
        <w:t>accounts</w:t>
      </w:r>
      <w:r w:rsidRPr="00850455" w:rsidR="00C4759F">
        <w:t xml:space="preserve"> merely track costs and do not authorize </w:t>
      </w:r>
      <w:r w:rsidRPr="00850455" w:rsidR="009E2BD3">
        <w:t>recovery of those costs.</w:t>
      </w:r>
      <w:r w:rsidR="009B21C0">
        <w:rPr>
          <w:rStyle w:val="FootnoteReference"/>
        </w:rPr>
        <w:footnoteReference w:id="37"/>
      </w:r>
      <w:r w:rsidRPr="00850455" w:rsidR="009E2BD3">
        <w:t xml:space="preserve"> </w:t>
      </w:r>
      <w:r w:rsidR="0025623F">
        <w:t xml:space="preserve"> </w:t>
      </w:r>
      <w:r w:rsidR="00EB6AF7">
        <w:t xml:space="preserve">SCE urges </w:t>
      </w:r>
      <w:r w:rsidRPr="00850455" w:rsidR="00B57407">
        <w:t xml:space="preserve">the Commission to authorize the utilities to track costs so that the Commission can later perform a reasonableness review either in other tracks </w:t>
      </w:r>
      <w:r w:rsidRPr="00850455" w:rsidR="0006240D">
        <w:t>of</w:t>
      </w:r>
      <w:r w:rsidRPr="00850455" w:rsidR="00B57407">
        <w:t xml:space="preserve"> this proceeding</w:t>
      </w:r>
      <w:r w:rsidRPr="00850455" w:rsidR="005D07F1">
        <w:t>, the respective GRCs of each utility, or other proceedings.</w:t>
      </w:r>
      <w:r w:rsidRPr="00850455" w:rsidR="000F7AB2">
        <w:rPr>
          <w:rStyle w:val="FootnoteReference"/>
        </w:rPr>
        <w:footnoteReference w:id="38"/>
      </w:r>
    </w:p>
    <w:p w:rsidR="0025623F" w:rsidP="00067B2A" w:rsidRDefault="00D514F5" w14:paraId="3DF99C8A" w14:textId="77777777">
      <w:pPr>
        <w:pStyle w:val="Standard"/>
      </w:pPr>
      <w:r w:rsidRPr="00850455">
        <w:t>Cal Advocates states that the utilities provide no details to support cost assertions</w:t>
      </w:r>
      <w:r w:rsidRPr="00850455" w:rsidR="00E6381F">
        <w:t xml:space="preserve"> </w:t>
      </w:r>
      <w:r w:rsidRPr="00850455" w:rsidR="00EE3B8D">
        <w:t xml:space="preserve">and the Commission should have actual evidence of substantial costs </w:t>
      </w:r>
      <w:r w:rsidRPr="00850455" w:rsidR="00EE3B8D">
        <w:lastRenderedPageBreak/>
        <w:t xml:space="preserve">before it approves </w:t>
      </w:r>
      <w:r w:rsidRPr="00850455" w:rsidR="008E7E26">
        <w:t>the</w:t>
      </w:r>
      <w:r w:rsidRPr="00850455" w:rsidR="00EE3B8D">
        <w:t xml:space="preserve"> memorandum accounts.</w:t>
      </w:r>
      <w:r w:rsidR="00302D6A">
        <w:rPr>
          <w:rStyle w:val="FootnoteReference"/>
        </w:rPr>
        <w:footnoteReference w:id="39"/>
      </w:r>
      <w:r w:rsidRPr="00850455" w:rsidR="00EE3B8D">
        <w:t xml:space="preserve"> </w:t>
      </w:r>
      <w:r w:rsidR="0025623F">
        <w:t xml:space="preserve"> </w:t>
      </w:r>
      <w:r w:rsidRPr="00850455" w:rsidR="00366111">
        <w:t xml:space="preserve">If the Commission approves memorandum accounts, </w:t>
      </w:r>
      <w:r w:rsidR="00EB6AF7">
        <w:t xml:space="preserve">Cal Advocates recommends that </w:t>
      </w:r>
      <w:r w:rsidRPr="00850455" w:rsidR="00366111">
        <w:t xml:space="preserve">the utilities </w:t>
      </w:r>
      <w:r w:rsidRPr="00850455" w:rsidR="0064639D">
        <w:t>should be required to file</w:t>
      </w:r>
      <w:r w:rsidR="0025623F">
        <w:t>:</w:t>
      </w:r>
    </w:p>
    <w:p w:rsidR="0025623F" w:rsidP="0025623F" w:rsidRDefault="0025623F" w14:paraId="43782150" w14:textId="375E34C1">
      <w:pPr>
        <w:pStyle w:val="Standard"/>
        <w:numPr>
          <w:ilvl w:val="0"/>
          <w:numId w:val="22"/>
        </w:numPr>
        <w:spacing w:after="120" w:line="240" w:lineRule="auto"/>
        <w:ind w:left="1080" w:right="1440"/>
      </w:pPr>
      <w:r>
        <w:t>R</w:t>
      </w:r>
      <w:r w:rsidRPr="00850455" w:rsidR="0064639D">
        <w:t xml:space="preserve">evised draft </w:t>
      </w:r>
      <w:r w:rsidRPr="00850455" w:rsidR="00A251B1">
        <w:t>p</w:t>
      </w:r>
      <w:r w:rsidRPr="00850455" w:rsidR="0064639D">
        <w:t xml:space="preserve">reliminary </w:t>
      </w:r>
      <w:r w:rsidRPr="00850455" w:rsidR="00A251B1">
        <w:t>s</w:t>
      </w:r>
      <w:r w:rsidRPr="00850455" w:rsidR="0064639D">
        <w:t xml:space="preserve">tatements that include limited mapping </w:t>
      </w:r>
      <w:proofErr w:type="gramStart"/>
      <w:r w:rsidRPr="00850455" w:rsidR="0064639D">
        <w:t>requirements</w:t>
      </w:r>
      <w:r>
        <w:t>;</w:t>
      </w:r>
      <w:proofErr w:type="gramEnd"/>
    </w:p>
    <w:p w:rsidR="0025623F" w:rsidP="0025623F" w:rsidRDefault="0025623F" w14:paraId="6C18318B" w14:textId="7379172B">
      <w:pPr>
        <w:pStyle w:val="Standard"/>
        <w:numPr>
          <w:ilvl w:val="0"/>
          <w:numId w:val="22"/>
        </w:numPr>
        <w:spacing w:after="120" w:line="240" w:lineRule="auto"/>
        <w:ind w:left="1080" w:right="1440"/>
      </w:pPr>
      <w:r>
        <w:t>H</w:t>
      </w:r>
      <w:r w:rsidRPr="00850455" w:rsidR="00452151">
        <w:t>ave an effective date no sooner than the Commission decision date</w:t>
      </w:r>
      <w:r>
        <w:t xml:space="preserve">; </w:t>
      </w:r>
      <w:r w:rsidRPr="00850455" w:rsidR="00452151">
        <w:t>and</w:t>
      </w:r>
    </w:p>
    <w:p w:rsidR="0025623F" w:rsidP="0025623F" w:rsidRDefault="0025623F" w14:paraId="44EFEEF7" w14:textId="5EBD3F91">
      <w:pPr>
        <w:pStyle w:val="Standard"/>
        <w:numPr>
          <w:ilvl w:val="0"/>
          <w:numId w:val="22"/>
        </w:numPr>
        <w:spacing w:after="120" w:line="240" w:lineRule="auto"/>
        <w:ind w:left="1080" w:right="1440"/>
      </w:pPr>
      <w:r>
        <w:t>D</w:t>
      </w:r>
      <w:r w:rsidRPr="00850455" w:rsidR="00452151">
        <w:t>etai</w:t>
      </w:r>
      <w:r w:rsidRPr="00850455" w:rsidR="00B06A37">
        <w:t>l</w:t>
      </w:r>
      <w:r w:rsidRPr="00850455" w:rsidR="007070C6">
        <w:t>ed</w:t>
      </w:r>
      <w:r w:rsidRPr="00850455" w:rsidR="00452151">
        <w:t xml:space="preserve"> cost information for SB</w:t>
      </w:r>
      <w:r w:rsidR="00A64D96">
        <w:t xml:space="preserve"> </w:t>
      </w:r>
      <w:r w:rsidRPr="00850455" w:rsidR="00452151">
        <w:t xml:space="preserve">1221 </w:t>
      </w:r>
      <w:r w:rsidRPr="00850455" w:rsidR="005D0FB5">
        <w:t>mapping requirements.</w:t>
      </w:r>
      <w:r w:rsidR="005D0C58">
        <w:rPr>
          <w:rStyle w:val="FootnoteReference"/>
        </w:rPr>
        <w:footnoteReference w:id="40"/>
      </w:r>
    </w:p>
    <w:p w:rsidRPr="00850455" w:rsidR="005D35AE" w:rsidP="00067B2A" w:rsidRDefault="00EB6AF7" w14:paraId="4863BCA2" w14:textId="03D4B97D">
      <w:pPr>
        <w:pStyle w:val="Standard"/>
      </w:pPr>
      <w:r>
        <w:t>Cal Advocates further recommends that d</w:t>
      </w:r>
      <w:r w:rsidRPr="00850455" w:rsidR="005D0FB5">
        <w:t xml:space="preserve">etailed </w:t>
      </w:r>
      <w:r w:rsidRPr="00850455" w:rsidR="00302D6A">
        <w:t>costs include</w:t>
      </w:r>
      <w:r w:rsidRPr="00850455" w:rsidR="005D0FB5">
        <w:t xml:space="preserve"> the recorded costs, a forecast of costs up to July 1, 2025, </w:t>
      </w:r>
      <w:r w:rsidRPr="00850455" w:rsidR="00A213B7">
        <w:t xml:space="preserve">and a forecast of costs reasonably estimated </w:t>
      </w:r>
      <w:r w:rsidRPr="00850455" w:rsidR="007B7270">
        <w:t>for the period after July 1, 2025</w:t>
      </w:r>
      <w:r>
        <w:t>,</w:t>
      </w:r>
      <w:r w:rsidRPr="00850455" w:rsidR="007B7270">
        <w:t xml:space="preserve"> </w:t>
      </w:r>
      <w:r w:rsidRPr="00850455" w:rsidR="005D0FB5">
        <w:t>until the utility’s next GRC.</w:t>
      </w:r>
      <w:r w:rsidR="00C34550">
        <w:rPr>
          <w:rStyle w:val="FootnoteReference"/>
        </w:rPr>
        <w:footnoteReference w:id="41"/>
      </w:r>
      <w:r w:rsidRPr="00850455" w:rsidR="005D0FB5">
        <w:t xml:space="preserve"> </w:t>
      </w:r>
      <w:r w:rsidR="0025623F">
        <w:t xml:space="preserve"> </w:t>
      </w:r>
      <w:r w:rsidRPr="00850455" w:rsidR="005D0FB5">
        <w:t xml:space="preserve">In its next GRC, the utilities can forecast ongoing costs and request cost recovery as part of </w:t>
      </w:r>
      <w:r w:rsidR="00716484">
        <w:t>their</w:t>
      </w:r>
      <w:r w:rsidRPr="00850455" w:rsidR="005D0FB5">
        <w:t xml:space="preserve"> revenue requirement</w:t>
      </w:r>
      <w:r w:rsidR="00716484">
        <w:t>s</w:t>
      </w:r>
      <w:r w:rsidRPr="00850455" w:rsidR="005D0FB5">
        <w:t>.</w:t>
      </w:r>
      <w:r w:rsidRPr="00850455" w:rsidR="003111C8">
        <w:rPr>
          <w:rStyle w:val="FootnoteReference"/>
        </w:rPr>
        <w:footnoteReference w:id="42"/>
      </w:r>
    </w:p>
    <w:p w:rsidRPr="00850455" w:rsidR="002F371C" w:rsidP="002F371C" w:rsidRDefault="00D06BA7" w14:paraId="5E4BA6AF" w14:textId="1D3C853B">
      <w:pPr>
        <w:pStyle w:val="Standard"/>
      </w:pPr>
      <w:r w:rsidRPr="00850455">
        <w:t xml:space="preserve">TURN </w:t>
      </w:r>
      <w:r w:rsidRPr="00850455" w:rsidR="00396868">
        <w:t>states that it believes the SB</w:t>
      </w:r>
      <w:r w:rsidR="00A64D96">
        <w:t xml:space="preserve"> </w:t>
      </w:r>
      <w:r w:rsidRPr="00850455" w:rsidR="00396868">
        <w:t>1221 mapping costs are speculative and may not be substantial</w:t>
      </w:r>
      <w:r w:rsidRPr="00850455">
        <w:t>.</w:t>
      </w:r>
      <w:r w:rsidRPr="00850455" w:rsidR="00396868">
        <w:rPr>
          <w:rStyle w:val="FootnoteReference"/>
        </w:rPr>
        <w:footnoteReference w:id="43"/>
      </w:r>
      <w:r w:rsidRPr="00850455" w:rsidR="002F371C">
        <w:t xml:space="preserve"> </w:t>
      </w:r>
      <w:r w:rsidR="0025623F">
        <w:t xml:space="preserve"> </w:t>
      </w:r>
      <w:r w:rsidRPr="00850455" w:rsidR="002F371C">
        <w:t xml:space="preserve">TURN </w:t>
      </w:r>
      <w:r w:rsidR="00716484">
        <w:t>recommends</w:t>
      </w:r>
      <w:r w:rsidR="00EB6AF7">
        <w:t xml:space="preserve"> requiring</w:t>
      </w:r>
      <w:r w:rsidRPr="00850455" w:rsidR="002F371C">
        <w:t xml:space="preserve"> the utilities to file a separate motion that quantifies and adequately supports the purported basis for the request.</w:t>
      </w:r>
      <w:r w:rsidRPr="00850455" w:rsidR="00937835">
        <w:rPr>
          <w:rStyle w:val="FootnoteReference"/>
        </w:rPr>
        <w:footnoteReference w:id="44"/>
      </w:r>
    </w:p>
    <w:p w:rsidRPr="00850455" w:rsidR="00D06BA7" w:rsidP="00067B2A" w:rsidRDefault="00D06BA7" w14:paraId="55BEFFAA" w14:textId="56ED7517">
      <w:pPr>
        <w:pStyle w:val="Standard"/>
      </w:pPr>
      <w:r w:rsidRPr="00850455">
        <w:t xml:space="preserve">UCAN </w:t>
      </w:r>
      <w:r w:rsidRPr="00850455" w:rsidR="00504B09">
        <w:t>states that</w:t>
      </w:r>
      <w:r w:rsidRPr="00850455" w:rsidR="00220D94">
        <w:t xml:space="preserve"> utilities have completed significant mapping of their systems to comply with state and federal safety standards.</w:t>
      </w:r>
      <w:r w:rsidR="007C06D2">
        <w:rPr>
          <w:rStyle w:val="FootnoteReference"/>
        </w:rPr>
        <w:footnoteReference w:id="45"/>
      </w:r>
      <w:r w:rsidRPr="00850455" w:rsidR="00220D94">
        <w:t xml:space="preserve"> </w:t>
      </w:r>
      <w:r w:rsidR="0025623F">
        <w:t xml:space="preserve"> </w:t>
      </w:r>
      <w:r w:rsidRPr="00850455" w:rsidR="00220D94">
        <w:t>UCAN notes that PG</w:t>
      </w:r>
      <w:r w:rsidRPr="00850455" w:rsidR="000771B1">
        <w:t xml:space="preserve">&amp;E did not provide the Commission with any calculations or work papers to </w:t>
      </w:r>
      <w:r w:rsidRPr="00850455" w:rsidR="000771B1">
        <w:lastRenderedPageBreak/>
        <w:t>justify costs.</w:t>
      </w:r>
      <w:r w:rsidRPr="00C23643" w:rsidR="00C23643">
        <w:rPr>
          <w:rStyle w:val="FootnoteReference"/>
        </w:rPr>
        <w:t xml:space="preserve"> </w:t>
      </w:r>
      <w:r w:rsidR="00C23643">
        <w:rPr>
          <w:rStyle w:val="FootnoteReference"/>
        </w:rPr>
        <w:footnoteReference w:id="46"/>
      </w:r>
      <w:r w:rsidRPr="00850455" w:rsidR="007928A5">
        <w:t xml:space="preserve"> </w:t>
      </w:r>
      <w:r w:rsidR="0025623F">
        <w:t xml:space="preserve"> </w:t>
      </w:r>
      <w:r w:rsidRPr="00850455" w:rsidR="007928A5">
        <w:t>UCAN states that the Commission should reject the utilities’ request for additional funding.</w:t>
      </w:r>
      <w:r w:rsidR="006C6E41">
        <w:rPr>
          <w:rStyle w:val="FootnoteReference"/>
        </w:rPr>
        <w:footnoteReference w:id="47"/>
      </w:r>
      <w:r w:rsidRPr="00850455" w:rsidR="007928A5">
        <w:t xml:space="preserve"> </w:t>
      </w:r>
      <w:r w:rsidR="0025623F">
        <w:t xml:space="preserve"> </w:t>
      </w:r>
      <w:r w:rsidRPr="00850455" w:rsidR="007928A5">
        <w:t xml:space="preserve">If the Commission allows </w:t>
      </w:r>
      <w:r w:rsidRPr="00850455" w:rsidR="00A55C99">
        <w:t xml:space="preserve">utilities to track mapping expenses, </w:t>
      </w:r>
      <w:r w:rsidR="00EB6AF7">
        <w:t xml:space="preserve">UCAN recommends that the </w:t>
      </w:r>
      <w:r w:rsidR="00716484">
        <w:t>Commission</w:t>
      </w:r>
      <w:r w:rsidRPr="00850455" w:rsidR="00A55C99">
        <w:t xml:space="preserve"> immediately issue a decision or ruling granting the utilities the option of opening a memorandum account to track costs for SB</w:t>
      </w:r>
      <w:r w:rsidR="006424C5">
        <w:t xml:space="preserve"> </w:t>
      </w:r>
      <w:r w:rsidRPr="00850455" w:rsidR="00A55C99">
        <w:t>1221</w:t>
      </w:r>
      <w:r w:rsidRPr="00850455" w:rsidR="0041129F">
        <w:t xml:space="preserve"> mapping activities.</w:t>
      </w:r>
      <w:r w:rsidR="002F2057">
        <w:rPr>
          <w:rStyle w:val="FootnoteReference"/>
        </w:rPr>
        <w:footnoteReference w:id="48"/>
      </w:r>
      <w:r w:rsidRPr="00850455" w:rsidR="0041129F">
        <w:t xml:space="preserve"> </w:t>
      </w:r>
      <w:r w:rsidR="0025623F">
        <w:t xml:space="preserve"> </w:t>
      </w:r>
      <w:r w:rsidR="00EB6AF7">
        <w:t xml:space="preserve">UCAN further recommends that the Commission require </w:t>
      </w:r>
      <w:r w:rsidRPr="00850455" w:rsidR="0041129F">
        <w:t xml:space="preserve">utilities </w:t>
      </w:r>
      <w:r w:rsidR="00EB6AF7">
        <w:t>to</w:t>
      </w:r>
      <w:r w:rsidRPr="00850455" w:rsidR="0041129F">
        <w:t xml:space="preserve"> file a joint application for cost recovery of SB</w:t>
      </w:r>
      <w:r w:rsidR="006424C5">
        <w:t xml:space="preserve"> </w:t>
      </w:r>
      <w:r w:rsidRPr="00850455" w:rsidR="0041129F">
        <w:t>1221 mapping costs within 30</w:t>
      </w:r>
      <w:r w:rsidR="0025623F">
        <w:noBreakHyphen/>
      </w:r>
      <w:r w:rsidRPr="00850455" w:rsidR="0041129F">
        <w:t xml:space="preserve">days of the Commission issuing a decision finding the final draft of </w:t>
      </w:r>
      <w:r w:rsidR="000A1BD2">
        <w:t>SB 1221</w:t>
      </w:r>
      <w:r w:rsidRPr="00850455" w:rsidR="0041129F">
        <w:t xml:space="preserve"> mapping has been completed.</w:t>
      </w:r>
      <w:r w:rsidRPr="00850455" w:rsidR="00562AA2">
        <w:rPr>
          <w:rStyle w:val="FootnoteReference"/>
        </w:rPr>
        <w:footnoteReference w:id="49"/>
      </w:r>
    </w:p>
    <w:p w:rsidRPr="00850455" w:rsidR="00B84A48" w:rsidP="00B84A48" w:rsidRDefault="00B84A48" w14:paraId="10DDDD67" w14:textId="264EE3B1">
      <w:pPr>
        <w:pStyle w:val="Standard"/>
      </w:pPr>
      <w:r w:rsidRPr="00850455">
        <w:t xml:space="preserve">SBUA supports the inclusion of memorandum accounts </w:t>
      </w:r>
      <w:r w:rsidR="00EB6AF7">
        <w:t xml:space="preserve">in the scope of the </w:t>
      </w:r>
      <w:proofErr w:type="gramStart"/>
      <w:r w:rsidR="00716484">
        <w:t>proceeding</w:t>
      </w:r>
      <w:proofErr w:type="gramEnd"/>
      <w:r w:rsidRPr="00850455">
        <w:t>.</w:t>
      </w:r>
    </w:p>
    <w:p w:rsidRPr="00850455" w:rsidR="001C18BD" w:rsidP="0074782B" w:rsidRDefault="00B84A48" w14:paraId="4C2BF25B" w14:textId="356D5099">
      <w:pPr>
        <w:pStyle w:val="Standard"/>
      </w:pPr>
      <w:r w:rsidRPr="00850455">
        <w:t>IS</w:t>
      </w:r>
      <w:r w:rsidR="00C56816">
        <w:t>-</w:t>
      </w:r>
      <w:r w:rsidRPr="00850455">
        <w:t xml:space="preserve">AECA states that </w:t>
      </w:r>
      <w:proofErr w:type="gramStart"/>
      <w:r w:rsidRPr="00850455">
        <w:t>parties</w:t>
      </w:r>
      <w:proofErr w:type="gramEnd"/>
      <w:r w:rsidRPr="00850455">
        <w:t xml:space="preserve">’ opening comments </w:t>
      </w:r>
      <w:r w:rsidRPr="00850455" w:rsidR="00457DE9">
        <w:t>show</w:t>
      </w:r>
      <w:r w:rsidRPr="00850455">
        <w:t xml:space="preserve"> it is neither necessary nor reasonable for the Commission to authorize a memorandum account for tracking compliance costs for SB</w:t>
      </w:r>
      <w:r w:rsidR="006424C5">
        <w:t xml:space="preserve"> </w:t>
      </w:r>
      <w:r w:rsidRPr="00850455">
        <w:t xml:space="preserve">1221 mapping. </w:t>
      </w:r>
      <w:r w:rsidR="0025623F">
        <w:t xml:space="preserve"> </w:t>
      </w:r>
      <w:r w:rsidRPr="00850455">
        <w:t>The Commission should decline to authorize memorandum account</w:t>
      </w:r>
      <w:r w:rsidRPr="00850455" w:rsidR="00671A51">
        <w:t>s</w:t>
      </w:r>
      <w:r w:rsidRPr="00850455">
        <w:t xml:space="preserve"> and instead require the gas utilities to accomplish the mapping activities by reallocating funds that have already been authorized for similar or related activities.</w:t>
      </w:r>
    </w:p>
    <w:p w:rsidRPr="00850455" w:rsidR="0074782B" w:rsidP="0074782B" w:rsidRDefault="00EB6AF7" w14:paraId="6154F80E" w14:textId="15AE2A33">
      <w:pPr>
        <w:pStyle w:val="Heading3"/>
      </w:pPr>
      <w:bookmarkStart w:name="_Toc204872334" w:id="27"/>
      <w:r>
        <w:t>Discussion</w:t>
      </w:r>
      <w:bookmarkEnd w:id="27"/>
    </w:p>
    <w:p w:rsidR="00A27B32" w:rsidP="0074782B" w:rsidRDefault="00C37783" w14:paraId="237BE033" w14:textId="23449651">
      <w:pPr>
        <w:pStyle w:val="Standard"/>
      </w:pPr>
      <w:r>
        <w:t xml:space="preserve">We agree with </w:t>
      </w:r>
      <w:r w:rsidR="00C0345C">
        <w:t>parties</w:t>
      </w:r>
      <w:r>
        <w:t xml:space="preserve"> that </w:t>
      </w:r>
      <w:r w:rsidR="000257EB">
        <w:t xml:space="preserve">it is </w:t>
      </w:r>
      <w:r w:rsidR="000D2271">
        <w:t xml:space="preserve">currently </w:t>
      </w:r>
      <w:r w:rsidR="000257EB">
        <w:t xml:space="preserve">unclear </w:t>
      </w:r>
      <w:r w:rsidR="009C1DA9">
        <w:t>if</w:t>
      </w:r>
      <w:r w:rsidR="00362D81">
        <w:t xml:space="preserve"> the costs gas utilities may inc</w:t>
      </w:r>
      <w:r w:rsidR="00F24F2E">
        <w:t xml:space="preserve">ur </w:t>
      </w:r>
      <w:proofErr w:type="gramStart"/>
      <w:r w:rsidR="00F24F2E">
        <w:t>as a result of</w:t>
      </w:r>
      <w:proofErr w:type="gramEnd"/>
      <w:r w:rsidR="00F24F2E">
        <w:t xml:space="preserve"> </w:t>
      </w:r>
      <w:r w:rsidR="002C539C">
        <w:t xml:space="preserve">their </w:t>
      </w:r>
      <w:r w:rsidR="000A1BD2">
        <w:t>SB 1221</w:t>
      </w:r>
      <w:r w:rsidR="000D2271">
        <w:t xml:space="preserve"> mapping </w:t>
      </w:r>
      <w:r w:rsidR="00F24F2E">
        <w:t xml:space="preserve">work </w:t>
      </w:r>
      <w:r w:rsidR="000D2271">
        <w:t>will be substantial</w:t>
      </w:r>
      <w:r w:rsidR="00362D81">
        <w:t xml:space="preserve">. </w:t>
      </w:r>
      <w:r w:rsidR="00BA7B5E">
        <w:t>Attempting to forecast such costs, with these uncertainties, would result in speculation.</w:t>
      </w:r>
      <w:r w:rsidR="00942EC9">
        <w:t xml:space="preserve"> </w:t>
      </w:r>
      <w:r w:rsidRPr="00850455" w:rsidR="0074782B">
        <w:t xml:space="preserve">There are outstanding questions about how maps should be created </w:t>
      </w:r>
      <w:r w:rsidRPr="00850455" w:rsidR="0074782B">
        <w:lastRenderedPageBreak/>
        <w:t xml:space="preserve">and coordinated across utilities, </w:t>
      </w:r>
      <w:r w:rsidR="00EB6AF7">
        <w:t xml:space="preserve">as well as </w:t>
      </w:r>
      <w:r w:rsidRPr="00850455" w:rsidR="0074782B">
        <w:t>data sharing questions</w:t>
      </w:r>
      <w:r w:rsidR="00EB6AF7">
        <w:t xml:space="preserve"> and</w:t>
      </w:r>
      <w:r w:rsidRPr="00850455" w:rsidR="0074782B">
        <w:t xml:space="preserve"> confidentiality and security issues that have yet to be resolved.  </w:t>
      </w:r>
      <w:r w:rsidR="00963C25">
        <w:t xml:space="preserve">Additionally, the Commission may require </w:t>
      </w:r>
      <w:r w:rsidR="002A0037">
        <w:t xml:space="preserve">the </w:t>
      </w:r>
      <w:r w:rsidR="00A5115E">
        <w:t xml:space="preserve">maps to include </w:t>
      </w:r>
      <w:r w:rsidR="00963C25">
        <w:t xml:space="preserve">additional </w:t>
      </w:r>
      <w:r w:rsidR="00C932E9">
        <w:t>information</w:t>
      </w:r>
      <w:r w:rsidR="00656E28">
        <w:t xml:space="preserve"> </w:t>
      </w:r>
      <w:r w:rsidR="00367783">
        <w:t xml:space="preserve">as needed </w:t>
      </w:r>
      <w:r w:rsidR="00656E28">
        <w:t>per Pub. Util. Code Section</w:t>
      </w:r>
      <w:r w:rsidR="0025623F">
        <w:t> </w:t>
      </w:r>
      <w:r w:rsidR="00656E28">
        <w:t>661(a)(4).</w:t>
      </w:r>
    </w:p>
    <w:p w:rsidRPr="00850455" w:rsidR="0074782B" w:rsidP="0074782B" w:rsidRDefault="0074782B" w14:paraId="473039D9" w14:textId="17B4085E">
      <w:pPr>
        <w:pStyle w:val="Standard"/>
      </w:pPr>
      <w:r w:rsidRPr="00850455">
        <w:t>SB</w:t>
      </w:r>
      <w:r w:rsidR="00BA7B5E">
        <w:t xml:space="preserve"> </w:t>
      </w:r>
      <w:r w:rsidRPr="00850455">
        <w:t xml:space="preserve">1221 mapping is also a multi-year effort. </w:t>
      </w:r>
      <w:r w:rsidR="00A27B32">
        <w:t>Gas utilities must submit m</w:t>
      </w:r>
      <w:r w:rsidRPr="00850455">
        <w:t>aps to the Commission by July 1 of each year until 2030</w:t>
      </w:r>
      <w:r w:rsidRPr="00850455" w:rsidR="00F607A3">
        <w:t xml:space="preserve">, upon which time the Commission may </w:t>
      </w:r>
      <w:r w:rsidR="00277D6B">
        <w:t>revisit whether to continue the</w:t>
      </w:r>
      <w:r w:rsidRPr="00850455" w:rsidR="007226D7">
        <w:t xml:space="preserve"> gas utilities</w:t>
      </w:r>
      <w:r w:rsidR="00277D6B">
        <w:t>’</w:t>
      </w:r>
      <w:r w:rsidRPr="00850455" w:rsidR="007226D7">
        <w:t xml:space="preserve"> mapping requirement</w:t>
      </w:r>
      <w:r w:rsidRPr="00850455">
        <w:t>.</w:t>
      </w:r>
      <w:r w:rsidRPr="00850455" w:rsidR="000E7279">
        <w:rPr>
          <w:rStyle w:val="FootnoteReference"/>
        </w:rPr>
        <w:footnoteReference w:id="50"/>
      </w:r>
      <w:r w:rsidRPr="00850455">
        <w:t xml:space="preserve"> </w:t>
      </w:r>
      <w:r w:rsidR="00942EC9">
        <w:t xml:space="preserve"> </w:t>
      </w:r>
      <w:r w:rsidRPr="00850455" w:rsidR="003F4537">
        <w:t xml:space="preserve">Over </w:t>
      </w:r>
      <w:r w:rsidRPr="00850455">
        <w:t>time</w:t>
      </w:r>
      <w:r w:rsidR="00A27B32">
        <w:t>,</w:t>
      </w:r>
      <w:r w:rsidRPr="00850455">
        <w:t xml:space="preserve"> </w:t>
      </w:r>
      <w:r w:rsidRPr="00850455" w:rsidR="003F4537">
        <w:t xml:space="preserve">the </w:t>
      </w:r>
      <w:r w:rsidRPr="00850455">
        <w:t>maps</w:t>
      </w:r>
      <w:r w:rsidRPr="00850455" w:rsidR="003F4537">
        <w:t xml:space="preserve"> and processes</w:t>
      </w:r>
      <w:r w:rsidRPr="00850455">
        <w:t xml:space="preserve"> will certainly improve </w:t>
      </w:r>
      <w:r w:rsidRPr="00850455" w:rsidR="00525F80">
        <w:t xml:space="preserve">as </w:t>
      </w:r>
      <w:r w:rsidRPr="00850455">
        <w:t xml:space="preserve">they evolve to meet the needs of </w:t>
      </w:r>
      <w:r w:rsidR="000A1BD2">
        <w:t>SB 1221</w:t>
      </w:r>
      <w:r w:rsidRPr="00850455">
        <w:t xml:space="preserve">. </w:t>
      </w:r>
    </w:p>
    <w:p w:rsidR="00A27B32" w:rsidP="0074782B" w:rsidRDefault="0074782B" w14:paraId="67F89B1D" w14:textId="2D71B2A9">
      <w:pPr>
        <w:pStyle w:val="Standard"/>
      </w:pPr>
      <w:r w:rsidRPr="00850455">
        <w:t xml:space="preserve">There is </w:t>
      </w:r>
      <w:r w:rsidR="00A27B32">
        <w:t xml:space="preserve">also </w:t>
      </w:r>
      <w:r w:rsidRPr="00850455">
        <w:t xml:space="preserve">no consensus among the parties as to how much </w:t>
      </w:r>
      <w:r w:rsidR="000A1BD2">
        <w:t>SB 1221</w:t>
      </w:r>
      <w:r w:rsidRPr="00850455">
        <w:t xml:space="preserve"> mapping activities will cost. Even among the gas utilities, estimates vary widely.  </w:t>
      </w:r>
    </w:p>
    <w:p w:rsidRPr="00850455" w:rsidR="0074782B" w:rsidP="0074782B" w:rsidRDefault="00C37783" w14:paraId="78C67289" w14:textId="69BCD72F">
      <w:pPr>
        <w:pStyle w:val="Standard"/>
      </w:pPr>
      <w:r>
        <w:t xml:space="preserve">Despite these questions, </w:t>
      </w:r>
      <w:r w:rsidR="006A4171">
        <w:t>we find that the costs associated with SB</w:t>
      </w:r>
      <w:r w:rsidR="00446C32">
        <w:t xml:space="preserve"> </w:t>
      </w:r>
      <w:r w:rsidR="006A4171">
        <w:t>1221 (which will exceed $1</w:t>
      </w:r>
      <w:r w:rsidR="00942EC9">
        <w:t> </w:t>
      </w:r>
      <w:r w:rsidR="006A4171">
        <w:t xml:space="preserve">million by all utility estimates) are worth the effort of processing a memorandum account. </w:t>
      </w:r>
      <w:r w:rsidRPr="00850455" w:rsidR="0074782B">
        <w:t xml:space="preserve"> </w:t>
      </w:r>
      <w:r w:rsidR="006A4171">
        <w:t>A memorandum account</w:t>
      </w:r>
      <w:r w:rsidRPr="00850455" w:rsidR="0074782B">
        <w:t xml:space="preserve"> will provide a  transparent accounting mechanism for the Commission, parties, and the public to see </w:t>
      </w:r>
      <w:r w:rsidR="00716484">
        <w:t xml:space="preserve">the </w:t>
      </w:r>
      <w:r w:rsidRPr="00850455" w:rsidR="0074782B">
        <w:t xml:space="preserve">costs incurred </w:t>
      </w:r>
      <w:r w:rsidRPr="00850455" w:rsidR="009D32A9">
        <w:t>from</w:t>
      </w:r>
      <w:r w:rsidRPr="00850455" w:rsidR="0074782B">
        <w:t xml:space="preserve"> this activity. </w:t>
      </w:r>
      <w:r w:rsidR="00942EC9">
        <w:t xml:space="preserve"> </w:t>
      </w:r>
      <w:r w:rsidRPr="00850455" w:rsidR="0074782B">
        <w:t xml:space="preserve">As SCE points out in its comments, </w:t>
      </w:r>
      <w:proofErr w:type="gramStart"/>
      <w:r w:rsidRPr="00850455" w:rsidR="0074782B">
        <w:t>memorandum</w:t>
      </w:r>
      <w:proofErr w:type="gramEnd"/>
      <w:r w:rsidRPr="00850455" w:rsidR="0074782B">
        <w:t xml:space="preserve"> accounts merely track costs and </w:t>
      </w:r>
      <w:proofErr w:type="gramStart"/>
      <w:r w:rsidRPr="00850455" w:rsidR="0074782B">
        <w:t>do</w:t>
      </w:r>
      <w:proofErr w:type="gramEnd"/>
      <w:r w:rsidRPr="00850455" w:rsidR="0074782B">
        <w:t xml:space="preserve"> not authorize recovery of those costs. </w:t>
      </w:r>
      <w:r w:rsidR="00942EC9">
        <w:t xml:space="preserve"> </w:t>
      </w:r>
      <w:r w:rsidR="00A27B32">
        <w:t>T</w:t>
      </w:r>
      <w:r w:rsidRPr="00850455" w:rsidR="0074782B">
        <w:t xml:space="preserve">he Commission </w:t>
      </w:r>
      <w:r w:rsidR="00446C32">
        <w:t>will</w:t>
      </w:r>
      <w:r w:rsidRPr="00850455" w:rsidR="0074782B">
        <w:t xml:space="preserve"> decide whether to </w:t>
      </w:r>
      <w:r w:rsidR="00A27B32">
        <w:t xml:space="preserve">authorize recovery of some or all </w:t>
      </w:r>
      <w:r w:rsidRPr="00850455" w:rsidR="0074782B">
        <w:t>costs</w:t>
      </w:r>
      <w:r w:rsidR="00A27B32">
        <w:t xml:space="preserve"> in </w:t>
      </w:r>
      <w:r w:rsidR="00716484">
        <w:t>the gas utilities’ next</w:t>
      </w:r>
      <w:r w:rsidR="00A27B32">
        <w:t xml:space="preserve"> GRC</w:t>
      </w:r>
      <w:r w:rsidRPr="00850455" w:rsidR="0074782B">
        <w:t>.</w:t>
      </w:r>
      <w:r w:rsidR="002C5EB1">
        <w:t xml:space="preserve"> In a utility’s request </w:t>
      </w:r>
      <w:r w:rsidR="00420535">
        <w:t xml:space="preserve">for cost recovery of funds spent on SB 1221 </w:t>
      </w:r>
      <w:r w:rsidR="00815FD0">
        <w:t>mapping activities, we require the applicant to demonstrate and quantify how it adhered to the Prudent Manager Standard.</w:t>
      </w:r>
      <w:r w:rsidR="002E0B5C">
        <w:rPr>
          <w:rStyle w:val="FootnoteReference"/>
        </w:rPr>
        <w:footnoteReference w:id="51"/>
      </w:r>
    </w:p>
    <w:p w:rsidRPr="00A27B32" w:rsidR="00A27B32" w:rsidP="00A27B32" w:rsidRDefault="00A27B32" w14:paraId="54E7D8CB" w14:textId="4DA1F12B">
      <w:pPr>
        <w:pStyle w:val="Heading2"/>
      </w:pPr>
      <w:bookmarkStart w:name="_Toc204872335" w:id="28"/>
      <w:r>
        <w:lastRenderedPageBreak/>
        <w:t>Benefit to Ratepayers</w:t>
      </w:r>
      <w:bookmarkEnd w:id="28"/>
    </w:p>
    <w:p w:rsidR="00A27B32" w:rsidP="00DC164A" w:rsidRDefault="005C57AB" w14:paraId="48440682" w14:textId="0C9822E9">
      <w:pPr>
        <w:pStyle w:val="Heading3"/>
      </w:pPr>
      <w:bookmarkStart w:name="_Toc204872336" w:id="29"/>
      <w:r>
        <w:t xml:space="preserve">Party </w:t>
      </w:r>
      <w:r w:rsidR="00446C32">
        <w:t>Positions</w:t>
      </w:r>
      <w:bookmarkEnd w:id="29"/>
    </w:p>
    <w:p w:rsidRPr="00850455" w:rsidR="00892954" w:rsidP="00892954" w:rsidRDefault="00833E2C" w14:paraId="3EFC2AA6" w14:textId="220928EB">
      <w:pPr>
        <w:pStyle w:val="Standard"/>
      </w:pPr>
      <w:r w:rsidRPr="00850455">
        <w:t xml:space="preserve">PG&amp;E states that </w:t>
      </w:r>
      <w:r w:rsidRPr="00850455" w:rsidR="00C837AD">
        <w:t>the Legislature and Commission have already determined that implementing SB</w:t>
      </w:r>
      <w:r w:rsidR="00446C32">
        <w:t xml:space="preserve"> </w:t>
      </w:r>
      <w:r w:rsidRPr="00850455" w:rsidR="00C837AD">
        <w:t>1221, including mapping requirements, will have ratepayer benefits.</w:t>
      </w:r>
      <w:r w:rsidRPr="00850455" w:rsidR="00A3720E">
        <w:rPr>
          <w:rStyle w:val="FootnoteReference"/>
        </w:rPr>
        <w:footnoteReference w:id="52"/>
      </w:r>
    </w:p>
    <w:p w:rsidRPr="00850455" w:rsidR="00C837AD" w:rsidP="00892954" w:rsidRDefault="00C837AD" w14:paraId="7E001FE1" w14:textId="2C5EEB46">
      <w:pPr>
        <w:pStyle w:val="Standard"/>
      </w:pPr>
      <w:r w:rsidRPr="00850455">
        <w:t>The Joint Utilities state that tracking costs</w:t>
      </w:r>
      <w:r w:rsidRPr="00850455" w:rsidR="00E46AE7">
        <w:t xml:space="preserve"> </w:t>
      </w:r>
      <w:r w:rsidR="00675AED">
        <w:t xml:space="preserve">and </w:t>
      </w:r>
      <w:r w:rsidRPr="00850455" w:rsidR="00E01B1B">
        <w:t>benefit</w:t>
      </w:r>
      <w:r w:rsidR="00A27B32">
        <w:t>s</w:t>
      </w:r>
      <w:r w:rsidRPr="00850455">
        <w:t xml:space="preserve"> </w:t>
      </w:r>
      <w:r w:rsidR="00675AED">
        <w:t xml:space="preserve">to </w:t>
      </w:r>
      <w:r w:rsidRPr="00850455">
        <w:t xml:space="preserve">ratepayers </w:t>
      </w:r>
      <w:r w:rsidR="00675AED">
        <w:t>will</w:t>
      </w:r>
      <w:r w:rsidRPr="00850455" w:rsidR="00675AED">
        <w:t xml:space="preserve"> </w:t>
      </w:r>
      <w:r w:rsidRPr="00850455">
        <w:t xml:space="preserve">accurately and transparently track and account for the full cost of </w:t>
      </w:r>
      <w:r w:rsidR="00675AED">
        <w:t xml:space="preserve">implementing </w:t>
      </w:r>
      <w:r w:rsidRPr="00850455">
        <w:t>SB</w:t>
      </w:r>
      <w:r w:rsidR="00675AED">
        <w:t xml:space="preserve"> </w:t>
      </w:r>
      <w:r w:rsidRPr="00850455">
        <w:t xml:space="preserve">1221. </w:t>
      </w:r>
      <w:r w:rsidR="00942EC9">
        <w:t xml:space="preserve"> </w:t>
      </w:r>
      <w:r w:rsidRPr="00850455">
        <w:t xml:space="preserve">Proper tracking </w:t>
      </w:r>
      <w:r w:rsidR="004E13C1">
        <w:t>can also show</w:t>
      </w:r>
      <w:r w:rsidRPr="00850455">
        <w:t xml:space="preserve"> whether and how </w:t>
      </w:r>
      <w:r w:rsidRPr="00850455" w:rsidR="00480A95">
        <w:t xml:space="preserve">non-pipeline alternatives </w:t>
      </w:r>
      <w:r w:rsidR="004E13C1">
        <w:t>c</w:t>
      </w:r>
      <w:r w:rsidRPr="00850455" w:rsidR="00480A95">
        <w:t>ould be proper</w:t>
      </w:r>
      <w:r w:rsidRPr="00850455" w:rsidR="00336152">
        <w:t>l</w:t>
      </w:r>
      <w:r w:rsidRPr="00850455" w:rsidR="00480A95">
        <w:t>y deployed.</w:t>
      </w:r>
      <w:r w:rsidRPr="00850455" w:rsidR="00BA5AFF">
        <w:rPr>
          <w:rStyle w:val="FootnoteReference"/>
        </w:rPr>
        <w:footnoteReference w:id="53"/>
      </w:r>
      <w:r w:rsidRPr="00850455" w:rsidR="009752EB">
        <w:t xml:space="preserve"> </w:t>
      </w:r>
      <w:r w:rsidR="00942EC9">
        <w:t xml:space="preserve"> </w:t>
      </w:r>
      <w:r w:rsidR="00A27B32">
        <w:t xml:space="preserve">The </w:t>
      </w:r>
      <w:r w:rsidRPr="00850455" w:rsidR="009752EB">
        <w:t xml:space="preserve">Joint Utilities state that </w:t>
      </w:r>
      <w:r w:rsidR="000A1BD2">
        <w:t>SB 1221</w:t>
      </w:r>
      <w:r w:rsidRPr="00850455" w:rsidR="00FD48D0">
        <w:t xml:space="preserve"> mapping costs have the potential to be substantial</w:t>
      </w:r>
      <w:r w:rsidRPr="00850455" w:rsidR="00F87184">
        <w:t xml:space="preserve">. </w:t>
      </w:r>
      <w:r w:rsidR="00942EC9">
        <w:t xml:space="preserve"> </w:t>
      </w:r>
      <w:r w:rsidR="00A27B32">
        <w:t xml:space="preserve">The Joint Utilities assert that </w:t>
      </w:r>
      <w:r w:rsidR="00B246CA">
        <w:t>an</w:t>
      </w:r>
      <w:r w:rsidRPr="00850455" w:rsidR="00FD48D0">
        <w:t xml:space="preserve"> important aspect of </w:t>
      </w:r>
      <w:r w:rsidR="000A1BD2">
        <w:t>SB 1221</w:t>
      </w:r>
      <w:r w:rsidRPr="00850455" w:rsidR="00FD48D0">
        <w:t xml:space="preserve"> is to assess cost</w:t>
      </w:r>
      <w:r w:rsidR="00942EC9">
        <w:noBreakHyphen/>
      </w:r>
      <w:r w:rsidRPr="00850455" w:rsidR="00FD48D0">
        <w:t>effectiveness</w:t>
      </w:r>
      <w:r w:rsidRPr="00850455" w:rsidR="009D2C79">
        <w:t>,</w:t>
      </w:r>
      <w:r w:rsidRPr="00850455" w:rsidR="00FD48D0">
        <w:t xml:space="preserve"> which necessitates calculation and quantification of ratepayer benefits and costs resulting from these activities.</w:t>
      </w:r>
      <w:r w:rsidRPr="00850455" w:rsidR="003F29AD">
        <w:rPr>
          <w:rStyle w:val="FootnoteReference"/>
        </w:rPr>
        <w:footnoteReference w:id="54"/>
      </w:r>
    </w:p>
    <w:p w:rsidRPr="00850455" w:rsidR="00480A95" w:rsidP="00942EC9" w:rsidRDefault="00480A95" w14:paraId="4DA98355" w14:textId="6955BDE5">
      <w:pPr>
        <w:pStyle w:val="Standard"/>
      </w:pPr>
      <w:r w:rsidRPr="00850455">
        <w:t xml:space="preserve">Cal Advocates </w:t>
      </w:r>
      <w:r w:rsidR="004E13C1">
        <w:t xml:space="preserve">notes that it </w:t>
      </w:r>
      <w:r w:rsidRPr="00850455">
        <w:t xml:space="preserve">is </w:t>
      </w:r>
      <w:r w:rsidR="00A27B32">
        <w:t>un</w:t>
      </w:r>
      <w:r w:rsidRPr="00850455">
        <w:t xml:space="preserve">aware of any previous </w:t>
      </w:r>
      <w:r w:rsidRPr="00850455" w:rsidR="00D512A7">
        <w:t xml:space="preserve">memorandum account request </w:t>
      </w:r>
      <w:r w:rsidR="004E13C1">
        <w:t xml:space="preserve">by </w:t>
      </w:r>
      <w:r w:rsidRPr="00850455" w:rsidR="00D512A7">
        <w:t xml:space="preserve">utilities </w:t>
      </w:r>
      <w:r w:rsidR="009825E7">
        <w:t>via</w:t>
      </w:r>
      <w:r w:rsidRPr="00850455" w:rsidR="00D512A7">
        <w:t xml:space="preserve"> comments or reply comments in a rulemaking</w:t>
      </w:r>
      <w:r w:rsidR="009825E7">
        <w:t xml:space="preserve"> and argues that t</w:t>
      </w:r>
      <w:r w:rsidRPr="00850455" w:rsidR="00D512A7">
        <w:t>he Commission has yet to be assured that memorandum accounts “have ratepayer benefits.”</w:t>
      </w:r>
      <w:r w:rsidRPr="00850455" w:rsidR="006C5C65">
        <w:rPr>
          <w:rStyle w:val="FootnoteReference"/>
        </w:rPr>
        <w:footnoteReference w:id="55"/>
      </w:r>
    </w:p>
    <w:p w:rsidRPr="00850455" w:rsidR="00D512A7" w:rsidP="00942EC9" w:rsidRDefault="0006718D" w14:paraId="77B99ACD" w14:textId="6CE55E99">
      <w:pPr>
        <w:pStyle w:val="Standard"/>
      </w:pPr>
      <w:r w:rsidRPr="00850455">
        <w:t xml:space="preserve">TURN </w:t>
      </w:r>
      <w:r w:rsidRPr="00850455" w:rsidR="004469A1">
        <w:t>states</w:t>
      </w:r>
      <w:r w:rsidRPr="00850455">
        <w:t xml:space="preserve"> that tracking costs in a memorandum account shifts risks to ratepayers, disincentivizes cost control measures, and will continue the trend of increased rate volatility.</w:t>
      </w:r>
      <w:r w:rsidRPr="00850455" w:rsidR="00AD0291">
        <w:rPr>
          <w:rStyle w:val="FootnoteReference"/>
        </w:rPr>
        <w:footnoteReference w:id="56"/>
      </w:r>
      <w:r w:rsidR="00942EC9">
        <w:t xml:space="preserve"> </w:t>
      </w:r>
      <w:r w:rsidRPr="00850455">
        <w:t xml:space="preserve"> </w:t>
      </w:r>
      <w:r w:rsidR="00A27B32">
        <w:t>TURN asserts that m</w:t>
      </w:r>
      <w:r w:rsidRPr="00850455" w:rsidR="0080712C">
        <w:t xml:space="preserve">emorandum accounts defer cost recovery, potentially diminishing the incentive for accurate forecasting and </w:t>
      </w:r>
      <w:r w:rsidRPr="00850455" w:rsidR="0080712C">
        <w:lastRenderedPageBreak/>
        <w:t>prudent budgeting as utilities anticipate future recovery through memorandum accounts rather than proactively managing costs.</w:t>
      </w:r>
      <w:r w:rsidR="00942EC9">
        <w:t xml:space="preserve"> </w:t>
      </w:r>
      <w:r w:rsidRPr="00850455" w:rsidR="0080712C">
        <w:t xml:space="preserve"> </w:t>
      </w:r>
      <w:r w:rsidR="00A27B32">
        <w:t>TURN further asserts that m</w:t>
      </w:r>
      <w:r w:rsidRPr="00850455" w:rsidR="0080712C">
        <w:t>emorandum accounts</w:t>
      </w:r>
      <w:r w:rsidR="00A27B32">
        <w:t xml:space="preserve"> fragment regulatory oversight and reduce transparency</w:t>
      </w:r>
      <w:r w:rsidRPr="00850455" w:rsidR="0080712C">
        <w:t xml:space="preserve"> by permitting isolated </w:t>
      </w:r>
      <w:r w:rsidRPr="00850455" w:rsidR="004469A1">
        <w:t>cost tracking across multiple accounts outside the GRC.</w:t>
      </w:r>
      <w:r w:rsidRPr="00850455" w:rsidR="000A5200">
        <w:rPr>
          <w:rStyle w:val="FootnoteReference"/>
        </w:rPr>
        <w:footnoteReference w:id="57"/>
      </w:r>
    </w:p>
    <w:p w:rsidRPr="00850455" w:rsidR="004469A1" w:rsidP="00942EC9" w:rsidRDefault="00FB27BD" w14:paraId="57D5EA08" w14:textId="1869B076">
      <w:pPr>
        <w:pStyle w:val="Standard"/>
      </w:pPr>
      <w:r w:rsidRPr="00850455">
        <w:t xml:space="preserve">UCAN states </w:t>
      </w:r>
      <w:r w:rsidRPr="00850455" w:rsidR="00FF7C03">
        <w:t xml:space="preserve">it is impossible </w:t>
      </w:r>
      <w:r w:rsidRPr="00850455" w:rsidR="00CF0B9B">
        <w:t>to determine at this point if</w:t>
      </w:r>
      <w:r w:rsidR="007741B9">
        <w:t xml:space="preserve"> the utilities’</w:t>
      </w:r>
      <w:r w:rsidRPr="00850455" w:rsidR="00CF0B9B">
        <w:t xml:space="preserve"> mapping activities will benefit ratepayers</w:t>
      </w:r>
      <w:r w:rsidRPr="00850455">
        <w:t xml:space="preserve">. </w:t>
      </w:r>
      <w:r w:rsidR="00942EC9">
        <w:t xml:space="preserve"> </w:t>
      </w:r>
      <w:r w:rsidRPr="00850455">
        <w:t xml:space="preserve">At most, </w:t>
      </w:r>
      <w:r w:rsidR="00A27B32">
        <w:t xml:space="preserve">UCAN recommends that </w:t>
      </w:r>
      <w:r w:rsidRPr="00850455">
        <w:t xml:space="preserve">the Commission grant the </w:t>
      </w:r>
      <w:r w:rsidR="00A27B32">
        <w:t>gas utilities</w:t>
      </w:r>
      <w:r w:rsidRPr="00850455">
        <w:t xml:space="preserve"> the option of opening a memorandum account, and that under no </w:t>
      </w:r>
      <w:r w:rsidR="00B246CA">
        <w:t>circumstances</w:t>
      </w:r>
      <w:r w:rsidRPr="00850455" w:rsidR="00B246CA">
        <w:t xml:space="preserve"> </w:t>
      </w:r>
      <w:r w:rsidRPr="00850455">
        <w:t>should the mapping costs be approved in any type of balancing account.</w:t>
      </w:r>
      <w:r w:rsidRPr="00850455" w:rsidR="00087EA7">
        <w:rPr>
          <w:rStyle w:val="FootnoteReference"/>
        </w:rPr>
        <w:footnoteReference w:id="58"/>
      </w:r>
    </w:p>
    <w:p w:rsidRPr="00850455" w:rsidR="00CA121A" w:rsidP="00942EC9" w:rsidRDefault="00AD502F" w14:paraId="01A79758" w14:textId="1F30F74B">
      <w:pPr>
        <w:pStyle w:val="Standard"/>
      </w:pPr>
      <w:r w:rsidRPr="00850455">
        <w:t>IS</w:t>
      </w:r>
      <w:r w:rsidR="00C56816">
        <w:t>-</w:t>
      </w:r>
      <w:r w:rsidRPr="00850455">
        <w:t xml:space="preserve">AECA </w:t>
      </w:r>
      <w:r w:rsidR="00A27B32">
        <w:t xml:space="preserve">assert that authorizing memorandum account treatment for </w:t>
      </w:r>
      <w:r w:rsidR="000A1BD2">
        <w:t>SB 1221</w:t>
      </w:r>
      <w:r w:rsidR="00A27B32">
        <w:t xml:space="preserve"> mapping costs would </w:t>
      </w:r>
      <w:r w:rsidRPr="00850455">
        <w:t>improperly shift risks to ratepayers</w:t>
      </w:r>
      <w:r w:rsidRPr="00850455" w:rsidR="00C8768B">
        <w:t>,</w:t>
      </w:r>
      <w:r w:rsidRPr="00850455">
        <w:t xml:space="preserve"> disincentiv</w:t>
      </w:r>
      <w:r w:rsidRPr="00850455" w:rsidR="00D4523A">
        <w:t>ize</w:t>
      </w:r>
      <w:r w:rsidRPr="00850455" w:rsidR="00C202AA">
        <w:t xml:space="preserve"> cost control measures, and contribute to rate volatility.</w:t>
      </w:r>
      <w:r w:rsidR="00A90E57">
        <w:rPr>
          <w:rStyle w:val="FootnoteReference"/>
        </w:rPr>
        <w:footnoteReference w:id="59"/>
      </w:r>
      <w:r w:rsidRPr="00850455" w:rsidR="00C202AA">
        <w:t xml:space="preserve"> </w:t>
      </w:r>
      <w:r w:rsidR="00942EC9">
        <w:t xml:space="preserve"> </w:t>
      </w:r>
      <w:r w:rsidR="00A27B32">
        <w:t>IS</w:t>
      </w:r>
      <w:r w:rsidR="00C56816">
        <w:t>-</w:t>
      </w:r>
      <w:r w:rsidR="00A27B32">
        <w:t xml:space="preserve">AECA state that </w:t>
      </w:r>
      <w:r w:rsidR="00B246CA">
        <w:t>these</w:t>
      </w:r>
      <w:r w:rsidRPr="00850455" w:rsidR="00C202AA">
        <w:t xml:space="preserve"> outcomes directly contravene the Commission’s stated objectives to maintain affordability and mitigate natural gas transition risks to ratepayers.</w:t>
      </w:r>
      <w:r w:rsidR="00A400CF">
        <w:rPr>
          <w:rStyle w:val="FootnoteReference"/>
        </w:rPr>
        <w:footnoteReference w:id="60"/>
      </w:r>
      <w:r w:rsidRPr="00850455" w:rsidR="002D1838">
        <w:t xml:space="preserve"> Critically, </w:t>
      </w:r>
      <w:r w:rsidR="009825E7">
        <w:t>IS</w:t>
      </w:r>
      <w:r w:rsidR="00C56816">
        <w:t>-</w:t>
      </w:r>
      <w:r w:rsidR="009825E7">
        <w:t xml:space="preserve">AECA argues that </w:t>
      </w:r>
      <w:r w:rsidRPr="00850455" w:rsidR="002D1838">
        <w:t xml:space="preserve">these </w:t>
      </w:r>
      <w:r w:rsidRPr="00850455" w:rsidR="00974231">
        <w:t xml:space="preserve">outcomes would also fail to promote </w:t>
      </w:r>
      <w:r w:rsidR="000A1BD2">
        <w:t>SB 1221</w:t>
      </w:r>
      <w:r w:rsidRPr="00850455" w:rsidR="00974231">
        <w:t>’s requirement that the Commission facilitate cost</w:t>
      </w:r>
      <w:r w:rsidR="00942EC9">
        <w:noBreakHyphen/>
      </w:r>
      <w:r w:rsidRPr="00850455" w:rsidR="00974231">
        <w:t>effective decarbonization efforts.</w:t>
      </w:r>
      <w:r w:rsidRPr="00850455" w:rsidR="00974231">
        <w:rPr>
          <w:rStyle w:val="FootnoteReference"/>
        </w:rPr>
        <w:footnoteReference w:id="61"/>
      </w:r>
    </w:p>
    <w:p w:rsidRPr="00850455" w:rsidR="00635DEA" w:rsidP="00152677" w:rsidRDefault="00116941" w14:paraId="6336364C" w14:textId="4724B808">
      <w:pPr>
        <w:pStyle w:val="Heading3"/>
      </w:pPr>
      <w:bookmarkStart w:name="_Toc204872337" w:id="30"/>
      <w:r>
        <w:t>Discussion</w:t>
      </w:r>
      <w:bookmarkEnd w:id="30"/>
    </w:p>
    <w:p w:rsidRPr="00850455" w:rsidR="00DD0E74" w:rsidP="00DD0E74" w:rsidRDefault="00E361E4" w14:paraId="60466A82" w14:textId="70428DA4">
      <w:pPr>
        <w:pStyle w:val="Standard"/>
      </w:pPr>
      <w:r>
        <w:t xml:space="preserve">In evaluating SoCalGas’ and SDG&amp;E’s last GRC application, the Commission found that memorandum accounts may reduce risks to ratepayers </w:t>
      </w:r>
      <w:r>
        <w:lastRenderedPageBreak/>
        <w:t>when some costs are too uncertain to forecast in GRCs.</w:t>
      </w:r>
      <w:r>
        <w:rPr>
          <w:rStyle w:val="FootnoteReference"/>
        </w:rPr>
        <w:footnoteReference w:id="62"/>
      </w:r>
      <w:r>
        <w:t xml:space="preserve"> Here, we have found that there is no consensus among the parties as to how much SB 1221 mapping activities will cost. However, we recognize that the Legislature has already determined that implementing SB 1221, including mapping requirements, will have ratepayer benefits.</w:t>
      </w:r>
      <w:r w:rsidR="00E93D0F">
        <w:rPr>
          <w:rStyle w:val="FootnoteReference"/>
        </w:rPr>
        <w:footnoteReference w:id="63"/>
      </w:r>
      <w:r>
        <w:t xml:space="preserve"> We also determine that </w:t>
      </w:r>
      <w:r w:rsidRPr="00850455" w:rsidR="00DD0E74">
        <w:t>the gas utilities</w:t>
      </w:r>
      <w:r w:rsidR="00D44713">
        <w:t>’</w:t>
      </w:r>
      <w:r w:rsidRPr="00850455" w:rsidR="00DD0E74">
        <w:t xml:space="preserve"> </w:t>
      </w:r>
      <w:r w:rsidR="00D44713">
        <w:t>use of</w:t>
      </w:r>
      <w:r w:rsidRPr="00850455" w:rsidR="00DD0E74">
        <w:t xml:space="preserve"> memorandum accounts to track and record their SB</w:t>
      </w:r>
      <w:r w:rsidR="00D44713">
        <w:t xml:space="preserve"> </w:t>
      </w:r>
      <w:r w:rsidRPr="00850455" w:rsidR="00DD0E74">
        <w:t>1221 mapping costs</w:t>
      </w:r>
      <w:r w:rsidR="00A6762D">
        <w:t xml:space="preserve"> </w:t>
      </w:r>
      <w:r w:rsidRPr="00850455" w:rsidR="00DD0E74">
        <w:t xml:space="preserve">will provide a common transparent accounting mechanism for </w:t>
      </w:r>
      <w:r w:rsidR="00A6762D">
        <w:t xml:space="preserve">ratepayers, </w:t>
      </w:r>
      <w:r w:rsidRPr="00850455" w:rsidR="00DD0E74">
        <w:t xml:space="preserve">the Commission, </w:t>
      </w:r>
      <w:r w:rsidR="0095053C">
        <w:t xml:space="preserve">and </w:t>
      </w:r>
      <w:r w:rsidRPr="00850455" w:rsidR="00DD0E74">
        <w:t xml:space="preserve">parties to see </w:t>
      </w:r>
      <w:r w:rsidR="00B246CA">
        <w:t xml:space="preserve">the </w:t>
      </w:r>
      <w:r w:rsidRPr="00850455" w:rsidR="00DD0E74">
        <w:t>costs incurred with this activity.</w:t>
      </w:r>
      <w:r w:rsidR="0095053C">
        <w:t xml:space="preserve"> The Commission will </w:t>
      </w:r>
      <w:proofErr w:type="gramStart"/>
      <w:r w:rsidR="0095053C">
        <w:t>the assess</w:t>
      </w:r>
      <w:proofErr w:type="gramEnd"/>
      <w:r w:rsidR="0095053C">
        <w:t xml:space="preserve"> whether these costs are reasonable.</w:t>
      </w:r>
    </w:p>
    <w:p w:rsidRPr="00850455" w:rsidR="00603238" w:rsidP="00FA1B4F" w:rsidRDefault="00603238" w14:paraId="44211C7C" w14:textId="77777777">
      <w:pPr>
        <w:pStyle w:val="Heading1"/>
      </w:pPr>
      <w:bookmarkStart w:name="_Toc204872338" w:id="31"/>
      <w:bookmarkStart w:name="_Toc8123721" w:id="32"/>
      <w:r w:rsidRPr="00850455">
        <w:t>Summary of Public Comment</w:t>
      </w:r>
      <w:bookmarkEnd w:id="31"/>
    </w:p>
    <w:p w:rsidRPr="00850455" w:rsidR="00603238" w:rsidP="00284D8D" w:rsidRDefault="00603238" w14:paraId="72F7CF60" w14:textId="00B6E37C">
      <w:pPr>
        <w:rPr>
          <w:rFonts w:ascii="Calibri" w:hAnsi="Calibri"/>
          <w:sz w:val="22"/>
        </w:rPr>
      </w:pPr>
      <w:r w:rsidRPr="00850455">
        <w:t>Rule 1.18 allows any member of the public to submit written comment in any Commission proceeding using the “Public Comment” tab of the online Docket Card for that proceeding on the Commission’s website.</w:t>
      </w:r>
      <w:r w:rsidR="00942EC9">
        <w:t xml:space="preserve">  </w:t>
      </w:r>
      <w:r w:rsidRPr="00850455">
        <w:t>Rule</w:t>
      </w:r>
      <w:r w:rsidR="00942EC9">
        <w:t> </w:t>
      </w:r>
      <w:r w:rsidRPr="00850455">
        <w:t>1.18(b) requires that relevant written comment submitted in a proceeding be summarized in the final decision issued in that proceeding.</w:t>
      </w:r>
    </w:p>
    <w:p w:rsidRPr="00850455" w:rsidR="00603238" w:rsidP="00603238" w:rsidRDefault="003E17EE" w14:paraId="27DB963B" w14:textId="7A72153D">
      <w:pPr>
        <w:pStyle w:val="Standard"/>
      </w:pPr>
      <w:r w:rsidRPr="00850455">
        <w:t xml:space="preserve">There are no public comments </w:t>
      </w:r>
      <w:r w:rsidRPr="00850455" w:rsidR="007D49E0">
        <w:t>on the Docket Card relevant to the establishment of memorandum accounts or cost recovery.</w:t>
      </w:r>
    </w:p>
    <w:p w:rsidRPr="00850455" w:rsidR="00FA1B4F" w:rsidP="00FA1B4F" w:rsidRDefault="005939A5" w14:paraId="2E1F0EC1" w14:textId="77777777">
      <w:pPr>
        <w:pStyle w:val="Heading1"/>
      </w:pPr>
      <w:bookmarkStart w:name="_Toc204872339" w:id="33"/>
      <w:r w:rsidRPr="00850455">
        <w:t>Conclusion</w:t>
      </w:r>
      <w:bookmarkEnd w:id="32"/>
      <w:bookmarkEnd w:id="33"/>
    </w:p>
    <w:p w:rsidRPr="00850455" w:rsidR="000937FE" w:rsidP="000937FE" w:rsidRDefault="00D31A00" w14:paraId="7856472B" w14:textId="3EA7C8EB">
      <w:pPr>
        <w:pStyle w:val="Standard"/>
      </w:pPr>
      <w:r w:rsidRPr="00CD368A">
        <w:t xml:space="preserve">Pub. Util. Code </w:t>
      </w:r>
      <w:r>
        <w:t>Section </w:t>
      </w:r>
      <w:r w:rsidRPr="00CD368A">
        <w:t xml:space="preserve">1731(a) </w:t>
      </w:r>
      <w:r w:rsidR="0095053C">
        <w:t>provides</w:t>
      </w:r>
      <w:r w:rsidRPr="00CD368A" w:rsidR="0095053C">
        <w:t xml:space="preserve"> </w:t>
      </w:r>
      <w:r w:rsidRPr="00CD368A">
        <w:t xml:space="preserve">that the Commission “may set the effective date of an order or decision before the date of issuance of the order or decision.” </w:t>
      </w:r>
      <w:r w:rsidR="00942EC9">
        <w:t xml:space="preserve"> </w:t>
      </w:r>
      <w:r>
        <w:t xml:space="preserve">The Commission has authorized recording in memorandum accounts prior to </w:t>
      </w:r>
      <w:r w:rsidR="004D5CAD">
        <w:t>a decision date</w:t>
      </w:r>
      <w:r>
        <w:t xml:space="preserve"> when deemed appropriate</w:t>
      </w:r>
      <w:r w:rsidR="00650B0E">
        <w:t>.</w:t>
      </w:r>
      <w:r w:rsidR="00665563">
        <w:rPr>
          <w:rStyle w:val="FootnoteReference"/>
        </w:rPr>
        <w:footnoteReference w:id="64"/>
      </w:r>
      <w:r w:rsidR="009F71F9">
        <w:t xml:space="preserve"> </w:t>
      </w:r>
      <w:r w:rsidR="00942EC9">
        <w:t xml:space="preserve"> </w:t>
      </w:r>
      <w:r w:rsidR="009F71F9">
        <w:t xml:space="preserve">In this case, </w:t>
      </w:r>
      <w:r w:rsidR="00E12E0B">
        <w:t xml:space="preserve"> authorizing </w:t>
      </w:r>
      <w:r w:rsidR="00AF077D">
        <w:lastRenderedPageBreak/>
        <w:t xml:space="preserve">memorandum accounts </w:t>
      </w:r>
      <w:r w:rsidR="00E12E0B">
        <w:t xml:space="preserve">is consistent with Standard Practice U-27-W criteria and </w:t>
      </w:r>
      <w:r w:rsidR="00AF077D">
        <w:t xml:space="preserve">will provide a </w:t>
      </w:r>
      <w:r w:rsidRPr="00850455" w:rsidR="00AF077D">
        <w:t>common</w:t>
      </w:r>
      <w:r w:rsidRPr="00850455" w:rsidR="000937FE">
        <w:t xml:space="preserve"> transparent accounting mechanism for the Commission, parties, and the public to see </w:t>
      </w:r>
      <w:r w:rsidR="000937FE">
        <w:t xml:space="preserve">the </w:t>
      </w:r>
      <w:r w:rsidRPr="00850455" w:rsidR="000937FE">
        <w:t>costs incurred with this activity.</w:t>
      </w:r>
    </w:p>
    <w:p w:rsidR="00371B9A" w:rsidP="00371B9A" w:rsidRDefault="007F2414" w14:paraId="74899A19" w14:textId="5A378E84">
      <w:pPr>
        <w:pStyle w:val="Standard"/>
      </w:pPr>
      <w:r>
        <w:t>This decision therefore authorizes e</w:t>
      </w:r>
      <w:r w:rsidRPr="00850455" w:rsidR="002835B8">
        <w:t>ach</w:t>
      </w:r>
      <w:r w:rsidRPr="00850455" w:rsidR="002338C4">
        <w:t xml:space="preserve"> gas utilit</w:t>
      </w:r>
      <w:r w:rsidRPr="00850455" w:rsidR="002835B8">
        <w:t>y</w:t>
      </w:r>
      <w:r w:rsidRPr="00850455" w:rsidR="002338C4">
        <w:t xml:space="preserve"> </w:t>
      </w:r>
      <w:r w:rsidRPr="00850455" w:rsidR="00E4521A">
        <w:t xml:space="preserve">subject to </w:t>
      </w:r>
      <w:r w:rsidRPr="00850455" w:rsidR="00E27A38">
        <w:t xml:space="preserve">the Assigned Commissioner’s Ruling Issuing Senate Bill 1221 Mapping Directions to Utilities, </w:t>
      </w:r>
      <w:r w:rsidR="00EF3B88">
        <w:t>issued</w:t>
      </w:r>
      <w:r w:rsidRPr="00850455" w:rsidR="00E27A38">
        <w:t xml:space="preserve"> on April 18, </w:t>
      </w:r>
      <w:r w:rsidRPr="00850455" w:rsidR="00C64040">
        <w:t>2025,</w:t>
      </w:r>
      <w:r w:rsidRPr="00850455" w:rsidR="00C02B03">
        <w:rPr>
          <w:rStyle w:val="FootnoteReference"/>
        </w:rPr>
        <w:footnoteReference w:id="65"/>
      </w:r>
      <w:r w:rsidRPr="00850455" w:rsidR="00EA34C1">
        <w:t xml:space="preserve"> </w:t>
      </w:r>
      <w:r w:rsidR="00EF3B88">
        <w:t>to</w:t>
      </w:r>
      <w:r w:rsidRPr="00850455" w:rsidR="009A4537">
        <w:t xml:space="preserve"> </w:t>
      </w:r>
      <w:r w:rsidRPr="00850455" w:rsidR="00EA34C1">
        <w:t xml:space="preserve">establish </w:t>
      </w:r>
      <w:r w:rsidRPr="00850455" w:rsidR="009A4537">
        <w:t xml:space="preserve">a </w:t>
      </w:r>
      <w:r w:rsidRPr="00850455" w:rsidR="00EA34C1">
        <w:t xml:space="preserve">memorandum account </w:t>
      </w:r>
      <w:r w:rsidRPr="00850455" w:rsidR="001F4AB3">
        <w:t xml:space="preserve">to </w:t>
      </w:r>
      <w:r w:rsidRPr="00850455" w:rsidR="005863CB">
        <w:t>record</w:t>
      </w:r>
      <w:r w:rsidRPr="00850455" w:rsidR="001F4AB3">
        <w:t xml:space="preserve"> expenses related to complying with</w:t>
      </w:r>
      <w:r w:rsidRPr="00850455" w:rsidR="008B7F74">
        <w:t xml:space="preserve"> mapping activities per</w:t>
      </w:r>
      <w:r w:rsidRPr="00850455" w:rsidR="001F4AB3">
        <w:t xml:space="preserve"> Pub. Util. Code Section 661.</w:t>
      </w:r>
      <w:r w:rsidRPr="00850455" w:rsidR="00434506">
        <w:t xml:space="preserve"> </w:t>
      </w:r>
      <w:r w:rsidR="00942EC9">
        <w:t xml:space="preserve"> </w:t>
      </w:r>
      <w:r w:rsidRPr="00850455" w:rsidR="002B23FF">
        <w:t xml:space="preserve">The gas utility may record such expenses in its memorandum account </w:t>
      </w:r>
      <w:r w:rsidRPr="00DC164A" w:rsidR="00714704">
        <w:t>effective</w:t>
      </w:r>
      <w:r w:rsidRPr="00DC164A" w:rsidR="002B23FF">
        <w:t xml:space="preserve"> April 21, 2025</w:t>
      </w:r>
      <w:r w:rsidRPr="00850455" w:rsidR="00E301D0">
        <w:t>.</w:t>
      </w:r>
      <w:r w:rsidR="00992AEA">
        <w:rPr>
          <w:rStyle w:val="FootnoteReference"/>
        </w:rPr>
        <w:footnoteReference w:id="66"/>
      </w:r>
      <w:r w:rsidRPr="00850455" w:rsidR="00E301D0">
        <w:t xml:space="preserve"> </w:t>
      </w:r>
      <w:r w:rsidR="00942EC9">
        <w:t xml:space="preserve"> </w:t>
      </w:r>
      <w:r w:rsidRPr="00850455" w:rsidR="00DA2537">
        <w:t xml:space="preserve">Each gas utility may record expenses in its respective memorandum account until </w:t>
      </w:r>
      <w:r w:rsidR="00925FB6">
        <w:t>January</w:t>
      </w:r>
      <w:r w:rsidR="00942EC9">
        <w:t> </w:t>
      </w:r>
      <w:r w:rsidR="00925FB6">
        <w:t>1 of the Test Year</w:t>
      </w:r>
      <w:r w:rsidRPr="00850455" w:rsidR="00DA2537">
        <w:t xml:space="preserve"> of its next general rate case upon which time recording in the memorandum account must cease and ongoing expenses related to mapping activities under Pub. Util. Code Section 661 must be covered in its new GRC.</w:t>
      </w:r>
      <w:r w:rsidR="00371B9A">
        <w:t xml:space="preserve"> </w:t>
      </w:r>
      <w:r w:rsidR="00942EC9">
        <w:t xml:space="preserve"> </w:t>
      </w:r>
      <w:r w:rsidR="00713E3D">
        <w:t>PG&amp;E’s next general rate case is already underway in A.25-05-009 and will utilize a 2027 Test Year with an effective date of January 1, 2027.</w:t>
      </w:r>
      <w:r w:rsidR="00D6761F">
        <w:t xml:space="preserve"> </w:t>
      </w:r>
      <w:r w:rsidR="00371B9A">
        <w:t>T</w:t>
      </w:r>
      <w:r w:rsidRPr="00850455" w:rsidR="00371B9A">
        <w:t xml:space="preserve">he Commission </w:t>
      </w:r>
      <w:r w:rsidR="00EF3B88">
        <w:t>will</w:t>
      </w:r>
      <w:r w:rsidRPr="00850455" w:rsidR="00371B9A">
        <w:t xml:space="preserve"> decide whether to </w:t>
      </w:r>
      <w:r w:rsidR="00371B9A">
        <w:t xml:space="preserve">authorize recovery of some or all </w:t>
      </w:r>
      <w:r w:rsidRPr="00850455" w:rsidR="00371B9A">
        <w:t>costs</w:t>
      </w:r>
      <w:r w:rsidR="00371B9A">
        <w:t xml:space="preserve"> in the gas utilities’ next GRC</w:t>
      </w:r>
      <w:r w:rsidRPr="00850455" w:rsidR="00371B9A">
        <w:t>.</w:t>
      </w:r>
    </w:p>
    <w:p w:rsidRPr="00850455" w:rsidR="00EF3B88" w:rsidP="00371B9A" w:rsidRDefault="00EF3B88" w14:paraId="6CC8AF29" w14:textId="08C4B330">
      <w:pPr>
        <w:pStyle w:val="Standard"/>
      </w:pPr>
      <w:r>
        <w:t>The proceeding remains open.</w:t>
      </w:r>
    </w:p>
    <w:p w:rsidRPr="00850455" w:rsidR="005939A5" w:rsidP="005939A5" w:rsidRDefault="005939A5" w14:paraId="32E4D293" w14:textId="77777777">
      <w:pPr>
        <w:pStyle w:val="Heading1"/>
      </w:pPr>
      <w:bookmarkStart w:name="_Toc8123723" w:id="34"/>
      <w:bookmarkStart w:name="_Toc204872340" w:id="35"/>
      <w:r w:rsidRPr="00850455">
        <w:t>Comments on Proposed Decision</w:t>
      </w:r>
      <w:bookmarkEnd w:id="34"/>
      <w:bookmarkEnd w:id="35"/>
    </w:p>
    <w:p w:rsidRPr="00850455" w:rsidR="005939A5" w:rsidP="005C58FA" w:rsidRDefault="005C58FA" w14:paraId="34C41340" w14:textId="53566904">
      <w:pPr>
        <w:pStyle w:val="Standard"/>
      </w:pPr>
      <w:r w:rsidRPr="00850455">
        <w:t xml:space="preserve">The proposed decision of Commissioner </w:t>
      </w:r>
      <w:r w:rsidRPr="00850455" w:rsidR="00121FCC">
        <w:t>Karen</w:t>
      </w:r>
      <w:r w:rsidR="00942EC9">
        <w:t> </w:t>
      </w:r>
      <w:r w:rsidRPr="00850455" w:rsidR="00121FCC">
        <w:t>Douglas</w:t>
      </w:r>
      <w:r w:rsidRPr="00850455">
        <w:t xml:space="preserve"> in this matter was mailed to the parties in accordance with Section</w:t>
      </w:r>
      <w:r w:rsidR="00942EC9">
        <w:t> </w:t>
      </w:r>
      <w:r w:rsidRPr="00850455">
        <w:t>311 of the Public Utilities Code and comments were allowed under Rule</w:t>
      </w:r>
      <w:r w:rsidR="00942EC9">
        <w:t> </w:t>
      </w:r>
      <w:r w:rsidRPr="00850455">
        <w:t xml:space="preserve">14.3 of the Commission’s Rules of Practice and Procedure.  </w:t>
      </w:r>
      <w:r w:rsidR="000B1228">
        <w:t>Opening c</w:t>
      </w:r>
      <w:r w:rsidRPr="00850455">
        <w:t xml:space="preserve">omments were filed on </w:t>
      </w:r>
      <w:r w:rsidR="0010435C">
        <w:t>July 14, 2025</w:t>
      </w:r>
      <w:r w:rsidR="00B96F6D">
        <w:t>,</w:t>
      </w:r>
      <w:r w:rsidR="0010435C">
        <w:t xml:space="preserve"> by </w:t>
      </w:r>
      <w:r w:rsidR="00ED5F7C">
        <w:lastRenderedPageBreak/>
        <w:t>IS</w:t>
      </w:r>
      <w:r w:rsidR="000B1228">
        <w:noBreakHyphen/>
      </w:r>
      <w:r w:rsidR="00ED5F7C">
        <w:t>AECA</w:t>
      </w:r>
      <w:r w:rsidR="0096367F">
        <w:t xml:space="preserve">, </w:t>
      </w:r>
      <w:r w:rsidR="00ED5F7C">
        <w:t>PG&amp;E, SCE and UCAN.</w:t>
      </w:r>
      <w:r w:rsidRPr="00850455" w:rsidR="0010435C">
        <w:t xml:space="preserve"> </w:t>
      </w:r>
      <w:r w:rsidR="00ED5F7C">
        <w:t>R</w:t>
      </w:r>
      <w:r w:rsidRPr="00850455">
        <w:t xml:space="preserve">eply comments were filed on </w:t>
      </w:r>
      <w:r w:rsidR="00B96F6D">
        <w:t>July 21, 2025,</w:t>
      </w:r>
      <w:r w:rsidRPr="00850455" w:rsidR="00B96F6D">
        <w:t xml:space="preserve"> </w:t>
      </w:r>
      <w:r w:rsidRPr="00850455">
        <w:t xml:space="preserve">by </w:t>
      </w:r>
      <w:r w:rsidR="000A3032">
        <w:t>UCAN</w:t>
      </w:r>
      <w:r w:rsidR="00425876">
        <w:t xml:space="preserve">, PG&amp;E, and </w:t>
      </w:r>
      <w:r w:rsidR="001870C6">
        <w:t>joint comments by SoCalGas and SDG&amp;E</w:t>
      </w:r>
      <w:r w:rsidRPr="00850455" w:rsidR="00C878D5">
        <w:t>.</w:t>
      </w:r>
    </w:p>
    <w:p w:rsidR="001A75FA" w:rsidP="001A75FA" w:rsidRDefault="007D202F" w14:paraId="0C718741" w14:textId="112214E3">
      <w:pPr>
        <w:pStyle w:val="Heading2"/>
      </w:pPr>
      <w:bookmarkStart w:name="_Toc204872341" w:id="36"/>
      <w:bookmarkStart w:name="_Toc8123724" w:id="37"/>
      <w:r>
        <w:t>Opening Comments on Proposed Decision</w:t>
      </w:r>
      <w:bookmarkEnd w:id="36"/>
    </w:p>
    <w:p w:rsidR="00217D36" w:rsidP="00751913" w:rsidRDefault="007D202F" w14:paraId="7CA61E77" w14:textId="795751FD">
      <w:pPr>
        <w:pStyle w:val="Standard"/>
      </w:pPr>
      <w:r>
        <w:t xml:space="preserve">Opening </w:t>
      </w:r>
      <w:r w:rsidR="00733BA9">
        <w:t>c</w:t>
      </w:r>
      <w:r>
        <w:t>omments were filed by IS</w:t>
      </w:r>
      <w:r w:rsidR="00FC5ED3">
        <w:t>-</w:t>
      </w:r>
      <w:r w:rsidR="0096367F">
        <w:t xml:space="preserve">AECA, </w:t>
      </w:r>
      <w:r w:rsidR="00310253">
        <w:t xml:space="preserve">UCAN, </w:t>
      </w:r>
      <w:r w:rsidR="0096367F">
        <w:t xml:space="preserve">PG&amp;E, </w:t>
      </w:r>
      <w:r w:rsidR="00310253">
        <w:t>and SCE</w:t>
      </w:r>
      <w:r w:rsidR="0096367F">
        <w:t xml:space="preserve">.  </w:t>
      </w:r>
      <w:r w:rsidR="00310253">
        <w:t>IS</w:t>
      </w:r>
      <w:r w:rsidR="00C56816">
        <w:t>-</w:t>
      </w:r>
      <w:r w:rsidR="00310253">
        <w:t xml:space="preserve">AECA </w:t>
      </w:r>
      <w:r w:rsidR="00DD3CD6">
        <w:t xml:space="preserve">comments that the proposed decision be </w:t>
      </w:r>
      <w:r w:rsidR="00EA133D">
        <w:t>revised to reject the utilities’ request to record SB 1221 mapping costs in a memorandum account</w:t>
      </w:r>
      <w:r w:rsidR="003730D5">
        <w:t>. IS</w:t>
      </w:r>
      <w:r w:rsidR="00C56816">
        <w:t>-</w:t>
      </w:r>
      <w:r w:rsidR="003730D5">
        <w:t xml:space="preserve">AECA </w:t>
      </w:r>
      <w:r w:rsidR="008A2B10">
        <w:t>recommends an alternative proposed decision modified to correct for ambiguity regarding the scope of costs that the utilities may record to the authorized memorandum accounts</w:t>
      </w:r>
      <w:r w:rsidR="00980BEC">
        <w:t>, and for the Commission to explicitly limit the scope of the memorandum account to the direct, incremental costs of complying with Pub. Util. Code Section 661.</w:t>
      </w:r>
    </w:p>
    <w:p w:rsidR="00A46664" w:rsidP="00751913" w:rsidRDefault="003F4E8B" w14:paraId="12D03086" w14:textId="5D3432C7">
      <w:pPr>
        <w:pStyle w:val="Standard"/>
      </w:pPr>
      <w:r>
        <w:t xml:space="preserve">We </w:t>
      </w:r>
      <w:r w:rsidR="00672B7A">
        <w:t xml:space="preserve">reject IS-AECA’s comments </w:t>
      </w:r>
      <w:r w:rsidR="00092CB2">
        <w:t xml:space="preserve">against the establishment of </w:t>
      </w:r>
      <w:proofErr w:type="gramStart"/>
      <w:r w:rsidR="00092CB2">
        <w:t>memorandum</w:t>
      </w:r>
      <w:proofErr w:type="gramEnd"/>
      <w:r w:rsidR="00092CB2">
        <w:t xml:space="preserve"> </w:t>
      </w:r>
      <w:proofErr w:type="gramStart"/>
      <w:r w:rsidR="00092CB2">
        <w:t>account, but</w:t>
      </w:r>
      <w:proofErr w:type="gramEnd"/>
      <w:r w:rsidR="00092CB2">
        <w:t xml:space="preserve"> </w:t>
      </w:r>
      <w:r>
        <w:t xml:space="preserve">provide further clarification that </w:t>
      </w:r>
      <w:r w:rsidR="00496C75">
        <w:t>the memorandum accounts are only to record SB 1221 mapping costs per Pub. Util. Code 661.</w:t>
      </w:r>
    </w:p>
    <w:p w:rsidR="001D28CE" w:rsidP="00751913" w:rsidRDefault="00C458E3" w14:paraId="550C7106" w14:textId="5986AB85">
      <w:pPr>
        <w:pStyle w:val="Standard"/>
      </w:pPr>
      <w:r>
        <w:t>UCAN</w:t>
      </w:r>
      <w:r w:rsidR="00A263C7">
        <w:t xml:space="preserve"> in its comments finds that the proposed decision makes </w:t>
      </w:r>
      <w:r w:rsidR="004D695C">
        <w:t xml:space="preserve">several well-supported findings. However, UCAN </w:t>
      </w:r>
      <w:proofErr w:type="gramStart"/>
      <w:r w:rsidR="00D975D5">
        <w:t>assert</w:t>
      </w:r>
      <w:r w:rsidR="004D695C">
        <w:t>s</w:t>
      </w:r>
      <w:proofErr w:type="gramEnd"/>
      <w:r w:rsidR="004D695C">
        <w:t xml:space="preserve"> the proposed decision makes a small number of factual or legal errors</w:t>
      </w:r>
      <w:r w:rsidR="008353D7">
        <w:t xml:space="preserve">. UCAN </w:t>
      </w:r>
      <w:r w:rsidR="00A761B3">
        <w:t xml:space="preserve">states that </w:t>
      </w:r>
      <w:r w:rsidR="00F6416E">
        <w:t>R.20-01-007</w:t>
      </w:r>
      <w:r w:rsidR="008B42F2">
        <w:t xml:space="preserve"> </w:t>
      </w:r>
      <w:r w:rsidR="00A761B3">
        <w:t>contained requirements for the gas utilities to provide data and mapping information</w:t>
      </w:r>
      <w:r w:rsidR="00F6416E">
        <w:t xml:space="preserve">. UCAN also states that allowing the </w:t>
      </w:r>
      <w:r w:rsidR="00CD6ECF">
        <w:t xml:space="preserve">gas utilities to track SB 1221 mapping costs </w:t>
      </w:r>
      <w:r w:rsidR="00650041">
        <w:t xml:space="preserve">starting </w:t>
      </w:r>
      <w:r w:rsidR="000948AF">
        <w:t>April</w:t>
      </w:r>
      <w:r w:rsidR="00650041">
        <w:t xml:space="preserve"> 21, 2025</w:t>
      </w:r>
      <w:r w:rsidR="00923E2D">
        <w:t>,</w:t>
      </w:r>
      <w:r w:rsidR="000948AF">
        <w:t xml:space="preserve"> </w:t>
      </w:r>
      <w:r w:rsidR="00CD6ECF">
        <w:t xml:space="preserve">prior to </w:t>
      </w:r>
      <w:r w:rsidR="00135FC0">
        <w:t>the effective date of the final decision</w:t>
      </w:r>
      <w:r w:rsidR="00923E2D">
        <w:t>,</w:t>
      </w:r>
      <w:r w:rsidR="00135FC0">
        <w:t xml:space="preserve"> violates Pub. Util. Code Section 728</w:t>
      </w:r>
      <w:r w:rsidR="00103F61">
        <w:t xml:space="preserve"> banning retroactive ratemaking. UCAN also requests </w:t>
      </w:r>
      <w:r w:rsidR="00E01E5F">
        <w:t>the proposed decision</w:t>
      </w:r>
      <w:r w:rsidR="00CC58EF">
        <w:t xml:space="preserve"> explicitly </w:t>
      </w:r>
      <w:proofErr w:type="gramStart"/>
      <w:r w:rsidR="00CC58EF">
        <w:t>highlight</w:t>
      </w:r>
      <w:proofErr w:type="gramEnd"/>
      <w:r w:rsidR="00CC58EF">
        <w:t xml:space="preserve"> the importance of the Prudent Manager Standard</w:t>
      </w:r>
      <w:r w:rsidR="00577522">
        <w:t>.</w:t>
      </w:r>
      <w:r w:rsidR="004B0B5B">
        <w:rPr>
          <w:rStyle w:val="FootnoteReference"/>
        </w:rPr>
        <w:footnoteReference w:id="67"/>
      </w:r>
    </w:p>
    <w:p w:rsidR="003362DA" w:rsidP="00751913" w:rsidRDefault="003362DA" w14:paraId="2A90B888" w14:textId="416886A5">
      <w:pPr>
        <w:pStyle w:val="Standard"/>
      </w:pPr>
      <w:r>
        <w:lastRenderedPageBreak/>
        <w:t xml:space="preserve">We reject UCAN’s assertion that mapping requirements </w:t>
      </w:r>
      <w:r w:rsidR="00463765">
        <w:t xml:space="preserve">as applicable to mapping requirements </w:t>
      </w:r>
      <w:r w:rsidR="004A7599">
        <w:t>in SB 1221 were foreseeable in R.20-01-007.</w:t>
      </w:r>
      <w:r w:rsidR="000934C9">
        <w:rPr>
          <w:rStyle w:val="FootnoteReference"/>
        </w:rPr>
        <w:footnoteReference w:id="68"/>
      </w:r>
      <w:r w:rsidR="004A7599">
        <w:t xml:space="preserve"> </w:t>
      </w:r>
      <w:r w:rsidR="004D589C">
        <w:t xml:space="preserve">We also reject UCAN’s assertion that authorizing </w:t>
      </w:r>
      <w:r w:rsidR="00836FF8">
        <w:t xml:space="preserve">the </w:t>
      </w:r>
      <w:r w:rsidR="004D589C">
        <w:t>recording</w:t>
      </w:r>
      <w:r w:rsidR="00F42D85">
        <w:t xml:space="preserve"> of</w:t>
      </w:r>
      <w:r w:rsidR="004D589C">
        <w:t xml:space="preserve"> SB 1221 mapping</w:t>
      </w:r>
      <w:r w:rsidR="00836FF8">
        <w:t xml:space="preserve"> in</w:t>
      </w:r>
      <w:r w:rsidR="004D589C">
        <w:t xml:space="preserve"> memorandum accounts starting April 21, 2025, violates Pub. Util. Code Section 728 prohibition against retroactive ratemaking. </w:t>
      </w:r>
      <w:r w:rsidR="00F42D85">
        <w:t xml:space="preserve">We </w:t>
      </w:r>
      <w:r w:rsidR="003726C6">
        <w:t xml:space="preserve">highlight the importance of the Prudent Manager Standard </w:t>
      </w:r>
      <w:r w:rsidR="00836FF8">
        <w:t>per D.18-07-025.</w:t>
      </w:r>
    </w:p>
    <w:p w:rsidR="00132868" w:rsidP="00751913" w:rsidRDefault="00132868" w14:paraId="713C9049" w14:textId="10972B9D">
      <w:pPr>
        <w:pStyle w:val="Standard"/>
      </w:pPr>
      <w:r>
        <w:t xml:space="preserve">PG&amp;E supports the proposed </w:t>
      </w:r>
      <w:r w:rsidR="00885AE0">
        <w:t>decision but</w:t>
      </w:r>
      <w:r>
        <w:t xml:space="preserve"> seeks clarification </w:t>
      </w:r>
      <w:r w:rsidR="007D5201">
        <w:t>that cost recovery</w:t>
      </w:r>
      <w:r w:rsidR="00B15213">
        <w:t xml:space="preserve"> for verifiable SB 1221 mapping costs recorded in the memorandum account be sought </w:t>
      </w:r>
      <w:r w:rsidR="0093255C">
        <w:t xml:space="preserve">for recovery in the gas utilities next GRC. </w:t>
      </w:r>
    </w:p>
    <w:p w:rsidR="00EC1AA8" w:rsidP="00EC1AA8" w:rsidRDefault="004F6A57" w14:paraId="3F88D724" w14:textId="03C9359F">
      <w:pPr>
        <w:pStyle w:val="Standard"/>
      </w:pPr>
      <w:r>
        <w:t xml:space="preserve">We confirm </w:t>
      </w:r>
      <w:r w:rsidR="00B23FA7">
        <w:t xml:space="preserve">that </w:t>
      </w:r>
      <w:r w:rsidR="0093198F">
        <w:t>a</w:t>
      </w:r>
      <w:r w:rsidR="00B23FA7">
        <w:t xml:space="preserve"> gas utilit</w:t>
      </w:r>
      <w:r w:rsidR="0093198F">
        <w:t>y</w:t>
      </w:r>
      <w:r w:rsidR="00B23FA7">
        <w:t xml:space="preserve"> </w:t>
      </w:r>
      <w:r w:rsidR="00BD7510">
        <w:t xml:space="preserve">shall seek recovery </w:t>
      </w:r>
      <w:r w:rsidR="008E411E">
        <w:t xml:space="preserve">for </w:t>
      </w:r>
      <w:r w:rsidR="00B23FA7">
        <w:t>SB 1221 mapping costs</w:t>
      </w:r>
      <w:r w:rsidR="0093198F">
        <w:t xml:space="preserve"> recorded the memorandum account in the gas utility’s next GRC. </w:t>
      </w:r>
      <w:r w:rsidR="00EC1AA8">
        <w:t xml:space="preserve">PG&amp;E </w:t>
      </w:r>
      <w:r w:rsidR="00082382">
        <w:t>shall seek recovery in its</w:t>
      </w:r>
      <w:r w:rsidR="00EC1AA8">
        <w:t xml:space="preserve"> general rate case </w:t>
      </w:r>
      <w:r w:rsidR="006A708A">
        <w:t>currently</w:t>
      </w:r>
      <w:r w:rsidR="00EC1AA8">
        <w:t xml:space="preserve"> underway in A.25-05-009 utiliz</w:t>
      </w:r>
      <w:r w:rsidR="006A708A">
        <w:t>ing</w:t>
      </w:r>
      <w:r w:rsidR="00EC1AA8">
        <w:t xml:space="preserve"> a 2027 Test Year.</w:t>
      </w:r>
    </w:p>
    <w:p w:rsidR="001E290D" w:rsidP="00751913" w:rsidRDefault="00903151" w14:paraId="61EE72B9" w14:textId="170A5159">
      <w:pPr>
        <w:pStyle w:val="Standard"/>
      </w:pPr>
      <w:r>
        <w:t xml:space="preserve">SCE </w:t>
      </w:r>
      <w:r w:rsidR="00476790">
        <w:t xml:space="preserve">supports </w:t>
      </w:r>
      <w:r w:rsidR="00BA7A7D">
        <w:t xml:space="preserve">the proposed decision’s outcome for the other gas utilities but requests that the Commission’s final decision authorize SCE to use a recently authorized memorandum account, SCE’s Catalina </w:t>
      </w:r>
      <w:r w:rsidR="00932617">
        <w:t xml:space="preserve">Electrification Transition Memorandum Account (CETMA), which the Commission recently approved in D.25-06-010. </w:t>
      </w:r>
      <w:r w:rsidR="001A55CA">
        <w:t xml:space="preserve"> SCE states that </w:t>
      </w:r>
      <w:r w:rsidR="00803468">
        <w:t>if</w:t>
      </w:r>
      <w:r w:rsidR="001A55CA">
        <w:t xml:space="preserve"> the Commission approved the CETMA before the </w:t>
      </w:r>
      <w:r w:rsidR="00FE1EF1">
        <w:t xml:space="preserve">submittal </w:t>
      </w:r>
      <w:r w:rsidR="001A55CA">
        <w:t>deadline for</w:t>
      </w:r>
      <w:r w:rsidR="00FE1EF1">
        <w:t xml:space="preserve"> </w:t>
      </w:r>
      <w:r w:rsidR="00123D6D">
        <w:t xml:space="preserve">earlier comments in this proceeding, SCE would have made its request earlier. </w:t>
      </w:r>
      <w:r w:rsidR="00EC5791">
        <w:t>D.</w:t>
      </w:r>
      <w:r w:rsidR="008B0D98">
        <w:t>25-06-010 approve</w:t>
      </w:r>
      <w:r w:rsidR="00253F50">
        <w:t>d</w:t>
      </w:r>
      <w:r w:rsidR="008B0D98">
        <w:t xml:space="preserve"> SCE’s Catalina Gas GRC settlement agreement</w:t>
      </w:r>
      <w:r w:rsidR="00147EC9">
        <w:t xml:space="preserve"> with the modification that SCE </w:t>
      </w:r>
      <w:r w:rsidR="00D1772E">
        <w:t>“</w:t>
      </w:r>
      <w:r w:rsidR="00147EC9">
        <w:t xml:space="preserve">(1) </w:t>
      </w:r>
      <w:r w:rsidR="00751913">
        <w:t>provide such maps in any future electr</w:t>
      </w:r>
      <w:r w:rsidR="00367338">
        <w:t xml:space="preserve">ification proposal, and (2) contact the Commission’s Energy Division to assess the possibility of participating in the SB 1221 pilot process, in order to potentially provide the Commission with more information </w:t>
      </w:r>
      <w:r w:rsidR="00B2065E">
        <w:t xml:space="preserve">for its </w:t>
      </w:r>
      <w:r w:rsidR="00B2065E">
        <w:lastRenderedPageBreak/>
        <w:t>whole-island electrification proposal.”</w:t>
      </w:r>
      <w:r w:rsidR="00B2065E">
        <w:rPr>
          <w:rStyle w:val="FootnoteReference"/>
        </w:rPr>
        <w:footnoteReference w:id="69"/>
      </w:r>
      <w:r w:rsidR="00895868">
        <w:t xml:space="preserve"> </w:t>
      </w:r>
      <w:r w:rsidR="00B422C2">
        <w:t xml:space="preserve">SCE requests the </w:t>
      </w:r>
      <w:r w:rsidR="00A60AB1">
        <w:t xml:space="preserve">Commission’s final decision in this proceeding recognize that SCE is authorized to track its incremental Section 661 mapping costs in the CETMA, and thus does not need to file an </w:t>
      </w:r>
      <w:r w:rsidR="001D28CE">
        <w:t>advice letter for approval of a different and new memorandum account.</w:t>
      </w:r>
      <w:r w:rsidR="005406E4">
        <w:t xml:space="preserve"> SCE states that this would </w:t>
      </w:r>
      <w:r w:rsidR="00A31BED">
        <w:t xml:space="preserve">promote </w:t>
      </w:r>
      <w:r w:rsidR="005406E4">
        <w:t>consistency, efficiency, and administrative simp</w:t>
      </w:r>
      <w:r w:rsidR="00A31BED">
        <w:t>licity.</w:t>
      </w:r>
    </w:p>
    <w:p w:rsidR="009069AF" w:rsidP="00751913" w:rsidRDefault="009069AF" w14:paraId="65A5ACDD" w14:textId="615C868E">
      <w:pPr>
        <w:pStyle w:val="Standard"/>
      </w:pPr>
      <w:r>
        <w:t xml:space="preserve">We recognize that D.25-06-010 authorizes SCE to record in its CETMA </w:t>
      </w:r>
      <w:r w:rsidR="006B5860">
        <w:t xml:space="preserve">SB 1221 mapping activities per Pub. Util. Code 661. SCE </w:t>
      </w:r>
      <w:r w:rsidR="000E61A9">
        <w:t>is not required to establish a new memorandum account and m</w:t>
      </w:r>
      <w:r w:rsidR="0061031D">
        <w:t>a</w:t>
      </w:r>
      <w:r w:rsidR="000E61A9">
        <w:t xml:space="preserve">y use its CETMA for this purpose. SCE shall </w:t>
      </w:r>
      <w:r w:rsidR="0061031D">
        <w:t xml:space="preserve">ensure SB 1221 mapping activities per Pub. Util. Code 661 are clearly </w:t>
      </w:r>
      <w:r w:rsidR="006023AF">
        <w:t>identified in its CETMA.</w:t>
      </w:r>
    </w:p>
    <w:p w:rsidR="00733BA9" w:rsidP="00733BA9" w:rsidRDefault="00733BA9" w14:paraId="4555DD03" w14:textId="319BB687">
      <w:pPr>
        <w:pStyle w:val="Heading2"/>
      </w:pPr>
      <w:bookmarkStart w:name="_Toc204872342" w:id="38"/>
      <w:r>
        <w:t>Reply Comments on Proposed Decision</w:t>
      </w:r>
      <w:bookmarkEnd w:id="38"/>
    </w:p>
    <w:p w:rsidR="00B200CA" w:rsidRDefault="00733BA9" w14:paraId="0EE8B243" w14:textId="092F4914">
      <w:pPr>
        <w:pStyle w:val="Standard"/>
      </w:pPr>
      <w:r>
        <w:t xml:space="preserve">Reply comments were filed by </w:t>
      </w:r>
      <w:r w:rsidR="00E56831">
        <w:t>UCAN</w:t>
      </w:r>
      <w:r w:rsidR="001870C6">
        <w:t>, PG&amp;E, and joint comments by SoCalGas and SDG&amp;E</w:t>
      </w:r>
      <w:r>
        <w:t>.</w:t>
      </w:r>
      <w:r w:rsidR="00E56831">
        <w:t xml:space="preserve"> </w:t>
      </w:r>
      <w:r w:rsidR="000A3152">
        <w:t xml:space="preserve">UCAN </w:t>
      </w:r>
      <w:r w:rsidR="00446150">
        <w:t xml:space="preserve">agrees with comments from </w:t>
      </w:r>
      <w:r w:rsidR="00D07866">
        <w:t xml:space="preserve">IS-AECA regarding comments clarifying incremental costs.  UCAN also </w:t>
      </w:r>
      <w:r w:rsidR="00456639">
        <w:t>agrees with SCE’s analysis that D.25-06-010 already allows SCE to track mapping costs in its CETMA</w:t>
      </w:r>
      <w:r w:rsidR="0020540A">
        <w:t>. Allowance for this will reduce ratepayer costs</w:t>
      </w:r>
      <w:r w:rsidR="00B200CA">
        <w:t xml:space="preserve"> by eliminating a duplicative memorandum account. UCAN also specifies that PG&amp;E </w:t>
      </w:r>
      <w:r w:rsidR="00A10914">
        <w:t xml:space="preserve">should apply for cost recovery </w:t>
      </w:r>
      <w:r w:rsidR="00851B74">
        <w:t>in its next GRC.</w:t>
      </w:r>
    </w:p>
    <w:p w:rsidR="004E4A0F" w:rsidRDefault="00962328" w14:paraId="6BF1A421" w14:textId="55C19F6D">
      <w:pPr>
        <w:pStyle w:val="Standard"/>
      </w:pPr>
      <w:r>
        <w:t>PG&amp;E</w:t>
      </w:r>
      <w:r w:rsidR="0003529F">
        <w:t>’s reply comments object to</w:t>
      </w:r>
      <w:r w:rsidR="00061314">
        <w:t xml:space="preserve"> </w:t>
      </w:r>
      <w:r w:rsidR="0003529F">
        <w:t>recommend</w:t>
      </w:r>
      <w:r w:rsidR="00061314">
        <w:t>ations</w:t>
      </w:r>
      <w:r w:rsidR="0003529F">
        <w:t xml:space="preserve"> by UCAN and IS-AECA. </w:t>
      </w:r>
      <w:r w:rsidR="00CA0221">
        <w:t xml:space="preserve">Specifically, </w:t>
      </w:r>
      <w:r w:rsidR="00C17A42">
        <w:t xml:space="preserve">PG&amp;E rejects UCAN’s assertion that </w:t>
      </w:r>
      <w:r w:rsidR="00DE4271">
        <w:t>SB 1221 mapping costs could have been anticipated in R.20-01-007</w:t>
      </w:r>
      <w:r w:rsidR="009650C3">
        <w:t xml:space="preserve"> and that the rule against retroactive ratemaking under Pub. Util. Code Section 728 is violated</w:t>
      </w:r>
      <w:r w:rsidR="00527159">
        <w:t xml:space="preserve"> in this proposed decision. PG&amp;E also rejects IS-AECA’s opposition to the memorandum account</w:t>
      </w:r>
      <w:r w:rsidR="00E25EBC">
        <w:t xml:space="preserve"> </w:t>
      </w:r>
      <w:r w:rsidR="00E25EBC">
        <w:lastRenderedPageBreak/>
        <w:t xml:space="preserve">generally. PG&amp;E also </w:t>
      </w:r>
      <w:r w:rsidR="004F5E81">
        <w:t>states that the proposed decision already limits expenses recorded in the memorandum account to Pub. Util. Code Section 661 mapping implementation costs.</w:t>
      </w:r>
    </w:p>
    <w:p w:rsidRPr="00733BA9" w:rsidR="005456F1" w:rsidP="003E41F2" w:rsidRDefault="005456F1" w14:paraId="4E52245A" w14:textId="37A4BEE4">
      <w:pPr>
        <w:pStyle w:val="Standard"/>
      </w:pPr>
      <w:r>
        <w:t xml:space="preserve">SoCalGas and SDG&amp;E </w:t>
      </w:r>
      <w:r w:rsidR="00781864">
        <w:t xml:space="preserve">(Joint Utilities) </w:t>
      </w:r>
      <w:r>
        <w:t xml:space="preserve">in their reply comments </w:t>
      </w:r>
      <w:r w:rsidR="00670C01">
        <w:t xml:space="preserve">support the proposed decision. </w:t>
      </w:r>
      <w:r w:rsidR="00781864">
        <w:t xml:space="preserve">The Joint Utilities </w:t>
      </w:r>
      <w:r w:rsidR="00997C0A">
        <w:t>disagree with IS-AECA</w:t>
      </w:r>
      <w:r w:rsidR="00A95245">
        <w:t>’s proposed revision to constrain the scope of the memorandum accounts</w:t>
      </w:r>
      <w:r w:rsidR="00DA2264">
        <w:t xml:space="preserve"> to incremental costs of complying Pub. Util. Code Section 661.</w:t>
      </w:r>
      <w:r w:rsidR="003352EC">
        <w:t xml:space="preserve"> The Joint Utilities also do not agree with UCAN’s </w:t>
      </w:r>
      <w:r w:rsidR="000D3BE2">
        <w:t>assertions that SB 1221 mapping activities were included in R.20-01-007</w:t>
      </w:r>
      <w:r w:rsidR="00D40A43">
        <w:t xml:space="preserve"> and that the proposed decision violates retroactive ratemaking under Pub. Util. Code Section 728.</w:t>
      </w:r>
      <w:r w:rsidR="00425F17">
        <w:t xml:space="preserve"> </w:t>
      </w:r>
      <w:r w:rsidR="00827611">
        <w:t>The Joint Utilities</w:t>
      </w:r>
      <w:r w:rsidR="00425F17">
        <w:t xml:space="preserve"> point out that Pub. Util. Code Section 1731(a) allows the Commission to set the effective date of an order or decision before the date of issuance.</w:t>
      </w:r>
    </w:p>
    <w:p w:rsidRPr="00850455" w:rsidR="005939A5" w:rsidP="005939A5" w:rsidRDefault="005939A5" w14:paraId="612356E3" w14:textId="7F5D9CD0">
      <w:pPr>
        <w:pStyle w:val="Heading1"/>
      </w:pPr>
      <w:bookmarkStart w:name="_Toc204872343" w:id="39"/>
      <w:r w:rsidRPr="00850455">
        <w:t>Assignment of Proceeding</w:t>
      </w:r>
      <w:bookmarkEnd w:id="37"/>
      <w:bookmarkEnd w:id="39"/>
    </w:p>
    <w:p w:rsidRPr="00850455" w:rsidR="005939A5" w:rsidP="006E6574" w:rsidRDefault="00AD076C" w14:paraId="23C93E19" w14:textId="325BAF9B">
      <w:pPr>
        <w:pStyle w:val="Standard"/>
      </w:pPr>
      <w:r w:rsidRPr="00850455">
        <w:t>Karen Douglas</w:t>
      </w:r>
      <w:r w:rsidRPr="00850455" w:rsidR="005939A5">
        <w:t xml:space="preserve"> is the assigned Commissioner and </w:t>
      </w:r>
      <w:r w:rsidRPr="00850455">
        <w:t>Robyn</w:t>
      </w:r>
      <w:r w:rsidR="00942EC9">
        <w:t> </w:t>
      </w:r>
      <w:r w:rsidRPr="00850455">
        <w:t>Purchia and David R. Van Dyken</w:t>
      </w:r>
      <w:r w:rsidRPr="00850455" w:rsidR="005939A5">
        <w:t xml:space="preserve"> </w:t>
      </w:r>
      <w:r w:rsidRPr="00850455">
        <w:t>are</w:t>
      </w:r>
      <w:r w:rsidRPr="00850455" w:rsidR="005939A5">
        <w:t xml:space="preserve"> the assigned Administrative Law Judge</w:t>
      </w:r>
      <w:r w:rsidRPr="00850455">
        <w:t>s</w:t>
      </w:r>
      <w:r w:rsidRPr="00850455" w:rsidR="005939A5">
        <w:t xml:space="preserve"> in this proceeding.</w:t>
      </w:r>
    </w:p>
    <w:p w:rsidRPr="00850455" w:rsidR="005939A5" w:rsidP="005939A5" w:rsidRDefault="005939A5" w14:paraId="7A6013AE" w14:textId="77777777">
      <w:pPr>
        <w:pStyle w:val="Dummy"/>
      </w:pPr>
      <w:bookmarkStart w:name="_Toc8123725" w:id="40"/>
      <w:bookmarkStart w:name="_Toc204872344" w:id="41"/>
      <w:r w:rsidRPr="00850455">
        <w:t>Findings of Fact</w:t>
      </w:r>
      <w:bookmarkEnd w:id="40"/>
      <w:bookmarkEnd w:id="41"/>
    </w:p>
    <w:p w:rsidRPr="00850455" w:rsidR="00F62B7A" w:rsidP="001E2A62" w:rsidRDefault="00532ABB" w14:paraId="52DFE8CE" w14:textId="1D4C8EDE">
      <w:pPr>
        <w:pStyle w:val="FoF"/>
      </w:pPr>
      <w:r>
        <w:t>The OIR in this proceeding was opened by the Commission on September</w:t>
      </w:r>
      <w:r w:rsidR="00942EC9">
        <w:t> </w:t>
      </w:r>
      <w:r>
        <w:t>26, 2024.</w:t>
      </w:r>
    </w:p>
    <w:p w:rsidRPr="00850455" w:rsidR="00F62B7A" w:rsidP="001E2A62" w:rsidRDefault="00BB2378" w14:paraId="72F30492" w14:textId="59C90DC8">
      <w:pPr>
        <w:pStyle w:val="FoF"/>
      </w:pPr>
      <w:r>
        <w:t xml:space="preserve">The </w:t>
      </w:r>
      <w:r w:rsidR="00FF1E41">
        <w:t xml:space="preserve">January 31, 2025 </w:t>
      </w:r>
      <w:r w:rsidR="00436D79">
        <w:t>Scoping Memo</w:t>
      </w:r>
      <w:r w:rsidR="00FF1E41">
        <w:t xml:space="preserve"> and Ruling</w:t>
      </w:r>
      <w:r w:rsidR="00436D79">
        <w:t xml:space="preserve"> for this proceeding </w:t>
      </w:r>
      <w:r w:rsidR="00B246CA">
        <w:t>includes</w:t>
      </w:r>
      <w:r w:rsidR="00B25851">
        <w:t xml:space="preserve"> implementation of SB</w:t>
      </w:r>
      <w:r w:rsidR="00864C09">
        <w:t xml:space="preserve"> </w:t>
      </w:r>
      <w:r w:rsidR="00B25851">
        <w:t>1221</w:t>
      </w:r>
      <w:r w:rsidR="00B246CA">
        <w:t>’s mapping provisions within the scope of this proceeding</w:t>
      </w:r>
      <w:r w:rsidR="00B25851">
        <w:t>.</w:t>
      </w:r>
    </w:p>
    <w:p w:rsidR="0082691C" w:rsidP="001E2A62" w:rsidRDefault="00A04F7A" w14:paraId="314530AF" w14:textId="761A6FA0">
      <w:pPr>
        <w:pStyle w:val="FoF"/>
      </w:pPr>
      <w:r>
        <w:t xml:space="preserve">On February 20, 2025, </w:t>
      </w:r>
      <w:r w:rsidR="00B246CA">
        <w:t>the</w:t>
      </w:r>
      <w:r w:rsidR="00E25375">
        <w:t xml:space="preserve"> ALJ</w:t>
      </w:r>
      <w:r w:rsidR="00B246CA">
        <w:t>s issued a</w:t>
      </w:r>
      <w:r w:rsidR="00E25375">
        <w:t xml:space="preserve"> ruling </w:t>
      </w:r>
      <w:r w:rsidR="00F77706">
        <w:t xml:space="preserve">seeking </w:t>
      </w:r>
      <w:r w:rsidR="00E25375">
        <w:t>comment on the Energy Division’s Staff Proposal</w:t>
      </w:r>
      <w:r w:rsidR="0082691C">
        <w:t>.</w:t>
      </w:r>
      <w:r w:rsidR="00323375">
        <w:t xml:space="preserve"> </w:t>
      </w:r>
    </w:p>
    <w:p w:rsidR="008E6AE6" w:rsidP="001E2A62" w:rsidRDefault="0082691C" w14:paraId="700337CB" w14:textId="3C79CBCF">
      <w:pPr>
        <w:pStyle w:val="FoF"/>
      </w:pPr>
      <w:r>
        <w:lastRenderedPageBreak/>
        <w:t>PG&amp;E</w:t>
      </w:r>
      <w:r w:rsidR="00323375">
        <w:t xml:space="preserve"> </w:t>
      </w:r>
      <w:r w:rsidR="00FA3DA9">
        <w:t xml:space="preserve">commented on the need for </w:t>
      </w:r>
      <w:r w:rsidR="00FB749F">
        <w:t xml:space="preserve">a memorandum account and other gas utilities commented on the need for </w:t>
      </w:r>
      <w:r w:rsidR="00FA3DA9">
        <w:t xml:space="preserve">cost recovery for </w:t>
      </w:r>
      <w:r w:rsidR="00FB749F">
        <w:t xml:space="preserve">costed related to </w:t>
      </w:r>
      <w:r w:rsidR="00FA3DA9">
        <w:t>SB</w:t>
      </w:r>
      <w:r w:rsidR="00FB749F">
        <w:t xml:space="preserve"> </w:t>
      </w:r>
      <w:r w:rsidR="00FA3DA9">
        <w:t>1221 mapping activities</w:t>
      </w:r>
      <w:r w:rsidR="00B75266">
        <w:t>.</w:t>
      </w:r>
    </w:p>
    <w:p w:rsidR="007E40A0" w:rsidP="00B246CA" w:rsidRDefault="007E40A0" w14:paraId="2BD215C5" w14:textId="278C980C">
      <w:pPr>
        <w:pStyle w:val="FoF"/>
      </w:pPr>
      <w:r>
        <w:t>On April 18, 2025, the assigned Commission</w:t>
      </w:r>
      <w:r w:rsidR="001035A7">
        <w:t>er</w:t>
      </w:r>
      <w:r>
        <w:t xml:space="preserve"> directed utilities to map a limited set of data than the data contemplated in the Staff Proposal.</w:t>
      </w:r>
    </w:p>
    <w:p w:rsidR="00B246CA" w:rsidP="00B246CA" w:rsidRDefault="00FD189F" w14:paraId="366FA6F9" w14:textId="21B40D58">
      <w:pPr>
        <w:pStyle w:val="FoF"/>
      </w:pPr>
      <w:r>
        <w:t xml:space="preserve">On April 21, 2025, the assigned Commissioner issued an </w:t>
      </w:r>
      <w:r w:rsidR="001035A7">
        <w:t>A</w:t>
      </w:r>
      <w:r>
        <w:t xml:space="preserve">mendment to the </w:t>
      </w:r>
      <w:r w:rsidR="00FF7C08">
        <w:t>S</w:t>
      </w:r>
      <w:r>
        <w:t xml:space="preserve">coping </w:t>
      </w:r>
      <w:r w:rsidR="00FF7C08">
        <w:t>M</w:t>
      </w:r>
      <w:r>
        <w:t>emo</w:t>
      </w:r>
      <w:r w:rsidR="00FF7C08">
        <w:t xml:space="preserve"> and Ruling</w:t>
      </w:r>
      <w:r>
        <w:t xml:space="preserve"> </w:t>
      </w:r>
      <w:r w:rsidR="00FF7C08">
        <w:t>and sought party comments on whether</w:t>
      </w:r>
      <w:r w:rsidR="00FB29CF">
        <w:t xml:space="preserve"> utilities should be authorized to track costs in a memorandum account.</w:t>
      </w:r>
    </w:p>
    <w:p w:rsidR="00CF4039" w:rsidP="001E2A62" w:rsidRDefault="00FD643D" w14:paraId="18F3F34D" w14:textId="1370B3C0">
      <w:pPr>
        <w:pStyle w:val="FoF"/>
      </w:pPr>
      <w:r>
        <w:t>The term “SB</w:t>
      </w:r>
      <w:r w:rsidR="00270352">
        <w:t xml:space="preserve"> </w:t>
      </w:r>
      <w:r>
        <w:t>1221 Mapping” refers to requirements in Pub. Util. Code Section 661</w:t>
      </w:r>
      <w:r w:rsidR="00EE6B75">
        <w:t>.</w:t>
      </w:r>
    </w:p>
    <w:p w:rsidR="000B6FC6" w:rsidP="000B6FC6" w:rsidRDefault="000B6FC6" w14:paraId="4B3166D1" w14:textId="77777777">
      <w:pPr>
        <w:pStyle w:val="FoF"/>
      </w:pPr>
      <w:r>
        <w:t>A memorandum account represents an off-book accounting record.</w:t>
      </w:r>
    </w:p>
    <w:p w:rsidR="00C37783" w:rsidP="000B6FC6" w:rsidRDefault="00C37783" w14:paraId="0DAE36D2" w14:textId="51282682">
      <w:pPr>
        <w:pStyle w:val="FoF"/>
      </w:pPr>
      <w:r>
        <w:t>U</w:t>
      </w:r>
      <w:r w:rsidR="000B6FC6">
        <w:t xml:space="preserve">tilities </w:t>
      </w:r>
      <w:r>
        <w:t xml:space="preserve">may only track and seek recovery for costs in a </w:t>
      </w:r>
      <w:r w:rsidR="000B6FC6">
        <w:t xml:space="preserve">memorandum account </w:t>
      </w:r>
      <w:r>
        <w:t>if authorized by the Commission.</w:t>
      </w:r>
    </w:p>
    <w:p w:rsidR="00942EC9" w:rsidP="000B6FC6" w:rsidRDefault="00EA0FEC" w14:paraId="0F3973E4" w14:textId="65AC8ADD">
      <w:pPr>
        <w:pStyle w:val="FoF"/>
      </w:pPr>
      <w:r>
        <w:t>Under Standard Practi</w:t>
      </w:r>
      <w:r w:rsidR="006B4EEB">
        <w:t>c</w:t>
      </w:r>
      <w:r>
        <w:t>e U-27-W, a</w:t>
      </w:r>
      <w:r w:rsidR="00C37783">
        <w:t xml:space="preserve"> memorandum account may be appropriate </w:t>
      </w:r>
      <w:r w:rsidR="000B6FC6">
        <w:t>for costs that are</w:t>
      </w:r>
      <w:r w:rsidR="00942EC9">
        <w:t>:</w:t>
      </w:r>
    </w:p>
    <w:p w:rsidR="00942EC9" w:rsidP="00C22826" w:rsidRDefault="00C22826" w14:paraId="19DC5BB3" w14:textId="30E74B2D">
      <w:pPr>
        <w:pStyle w:val="FoF"/>
        <w:numPr>
          <w:ilvl w:val="0"/>
          <w:numId w:val="23"/>
        </w:numPr>
        <w:spacing w:after="120" w:line="240" w:lineRule="auto"/>
        <w:ind w:left="1080" w:right="1440"/>
      </w:pPr>
      <w:r>
        <w:t>N</w:t>
      </w:r>
      <w:r w:rsidR="000B6FC6">
        <w:t xml:space="preserve">ot under the utility’s </w:t>
      </w:r>
      <w:proofErr w:type="gramStart"/>
      <w:r w:rsidR="000B6FC6">
        <w:t>control</w:t>
      </w:r>
      <w:r>
        <w:t>;</w:t>
      </w:r>
      <w:proofErr w:type="gramEnd"/>
    </w:p>
    <w:p w:rsidR="00942EC9" w:rsidP="00C22826" w:rsidRDefault="00C22826" w14:paraId="3A2A752C" w14:textId="528F529C">
      <w:pPr>
        <w:pStyle w:val="FoF"/>
        <w:numPr>
          <w:ilvl w:val="0"/>
          <w:numId w:val="23"/>
        </w:numPr>
        <w:spacing w:after="120" w:line="240" w:lineRule="auto"/>
        <w:ind w:left="1080" w:right="1440"/>
      </w:pPr>
      <w:r>
        <w:t>C</w:t>
      </w:r>
      <w:r w:rsidR="000B6FC6">
        <w:t xml:space="preserve">ould not have been reasonably foreseen in the utility’s last general rate </w:t>
      </w:r>
      <w:proofErr w:type="gramStart"/>
      <w:r w:rsidR="000B6FC6">
        <w:t>case</w:t>
      </w:r>
      <w:r>
        <w:t>;</w:t>
      </w:r>
      <w:proofErr w:type="gramEnd"/>
    </w:p>
    <w:p w:rsidR="00942EC9" w:rsidP="00C22826" w:rsidRDefault="00C22826" w14:paraId="21326BEA" w14:textId="30910E15">
      <w:pPr>
        <w:pStyle w:val="FoF"/>
        <w:numPr>
          <w:ilvl w:val="0"/>
          <w:numId w:val="23"/>
        </w:numPr>
        <w:spacing w:after="120" w:line="240" w:lineRule="auto"/>
        <w:ind w:left="1080" w:right="1440"/>
      </w:pPr>
      <w:r>
        <w:t>T</w:t>
      </w:r>
      <w:r w:rsidR="000B6FC6">
        <w:t xml:space="preserve">hat will occur before the utility’s next scheduled rate </w:t>
      </w:r>
      <w:proofErr w:type="gramStart"/>
      <w:r w:rsidR="000B6FC6">
        <w:t>case</w:t>
      </w:r>
      <w:r>
        <w:t>;</w:t>
      </w:r>
      <w:proofErr w:type="gramEnd"/>
    </w:p>
    <w:p w:rsidR="00942EC9" w:rsidP="00C22826" w:rsidRDefault="00C22826" w14:paraId="34963625" w14:textId="6E8B2A8E">
      <w:pPr>
        <w:pStyle w:val="FoF"/>
        <w:numPr>
          <w:ilvl w:val="0"/>
          <w:numId w:val="23"/>
        </w:numPr>
        <w:spacing w:after="120" w:line="240" w:lineRule="auto"/>
        <w:ind w:left="1080" w:right="1440"/>
      </w:pPr>
      <w:r>
        <w:t>A</w:t>
      </w:r>
      <w:r w:rsidR="000B6FC6">
        <w:t>re of a substantial nature in that the amount of money involved is worth the effort of processing a memorandum account</w:t>
      </w:r>
      <w:r w:rsidR="00942EC9">
        <w:t>;</w:t>
      </w:r>
      <w:r w:rsidR="000B6FC6">
        <w:t xml:space="preserve"> and </w:t>
      </w:r>
    </w:p>
    <w:p w:rsidR="000B6FC6" w:rsidP="00C22826" w:rsidRDefault="00C22826" w14:paraId="0DF2911D" w14:textId="2B4C0DB0">
      <w:pPr>
        <w:pStyle w:val="FoF"/>
        <w:numPr>
          <w:ilvl w:val="0"/>
          <w:numId w:val="23"/>
        </w:numPr>
        <w:spacing w:after="120" w:line="240" w:lineRule="auto"/>
        <w:ind w:left="1080" w:right="1440"/>
      </w:pPr>
      <w:r>
        <w:t>H</w:t>
      </w:r>
      <w:r w:rsidR="000B6FC6">
        <w:t>ave ratepayer benefits.</w:t>
      </w:r>
    </w:p>
    <w:p w:rsidR="00405C3E" w:rsidP="001E2A62" w:rsidRDefault="00405C3E" w14:paraId="6EEFD30F" w14:textId="200553A9">
      <w:pPr>
        <w:pStyle w:val="FoF"/>
      </w:pPr>
      <w:r>
        <w:t>Pub. Util. Code Section 1731(a) states that the Commission “may set the effective date of an order or decision before the date of issuance of the order or decision.”</w:t>
      </w:r>
    </w:p>
    <w:p w:rsidR="005B7D5F" w:rsidP="001E2A62" w:rsidRDefault="005B7D5F" w14:paraId="4DDE813B" w14:textId="7BD9D5E6">
      <w:pPr>
        <w:pStyle w:val="FoF"/>
      </w:pPr>
      <w:r>
        <w:lastRenderedPageBreak/>
        <w:t>The Commission has authorized recording in memorandum accounts prior to a decision date when deemed appropriate.</w:t>
      </w:r>
    </w:p>
    <w:p w:rsidR="009A0625" w:rsidP="009A0625" w:rsidRDefault="009A0625" w14:paraId="57DF480F" w14:textId="77777777">
      <w:pPr>
        <w:pStyle w:val="FoF"/>
      </w:pPr>
      <w:r>
        <w:t>The Commission has found that memorandum accounts may reduce risks to ratepayers when some costs are too uncertain to forecast in GRCs.</w:t>
      </w:r>
    </w:p>
    <w:p w:rsidR="009A0625" w:rsidP="009A0625" w:rsidRDefault="009A0625" w14:paraId="2BDC53B9" w14:textId="77777777">
      <w:pPr>
        <w:pStyle w:val="FoF"/>
      </w:pPr>
      <w:r>
        <w:t>While the costs associated with SB 1221 (which will exceed $1 million by all utility estimates) are worth the effort of processing a memorandum account, there is no consensus among the parties as to how much SB 1221 mapping activities will ultimately cost.</w:t>
      </w:r>
    </w:p>
    <w:p w:rsidR="00D4470C" w:rsidP="009A0625" w:rsidRDefault="009A0625" w14:paraId="0E38EB45" w14:textId="251E6EB1">
      <w:pPr>
        <w:pStyle w:val="FoF"/>
      </w:pPr>
      <w:r>
        <w:t>The Legislature has determined that implementing SB 1221, including mapping requirements, will have ratepayer benefits.</w:t>
      </w:r>
    </w:p>
    <w:p w:rsidR="008D6FE7" w:rsidP="001E2A62" w:rsidRDefault="00DD48A4" w14:paraId="69137272" w14:textId="27583061">
      <w:pPr>
        <w:pStyle w:val="FoF"/>
      </w:pPr>
      <w:r>
        <w:t>A memorandum account</w:t>
      </w:r>
      <w:r w:rsidRPr="00850455">
        <w:t xml:space="preserve"> will provide a transparent accounting mechanism for the Commission, parties, and the public to see </w:t>
      </w:r>
      <w:r>
        <w:t xml:space="preserve">the </w:t>
      </w:r>
      <w:r w:rsidRPr="00850455">
        <w:t xml:space="preserve">costs incurred from </w:t>
      </w:r>
      <w:r w:rsidR="00A00E4A">
        <w:t>SB</w:t>
      </w:r>
      <w:r w:rsidR="009A0625">
        <w:t xml:space="preserve"> </w:t>
      </w:r>
      <w:r w:rsidR="00A00E4A">
        <w:t>1221 mapping work</w:t>
      </w:r>
      <w:r w:rsidR="00461802">
        <w:t>.</w:t>
      </w:r>
    </w:p>
    <w:p w:rsidR="00B2442F" w:rsidP="00B2442F" w:rsidRDefault="00C51A1B" w14:paraId="6DE0D1A7" w14:textId="15407352">
      <w:pPr>
        <w:pStyle w:val="FoF"/>
      </w:pPr>
      <w:r>
        <w:t xml:space="preserve">D.25-06-010 authorizes </w:t>
      </w:r>
      <w:r w:rsidR="005E1806">
        <w:t xml:space="preserve">SCE to </w:t>
      </w:r>
      <w:r w:rsidR="00F175CA">
        <w:t xml:space="preserve">move forward with </w:t>
      </w:r>
      <w:r w:rsidR="003B48C1">
        <w:t>an</w:t>
      </w:r>
      <w:r w:rsidR="00F175CA">
        <w:t xml:space="preserve"> electrification proposal for Santa Catalina Island</w:t>
      </w:r>
      <w:r w:rsidR="00274A12">
        <w:t xml:space="preserve"> and to establish a memorandum account</w:t>
      </w:r>
      <w:r w:rsidR="00542680">
        <w:t>, referred to as CETMA,</w:t>
      </w:r>
      <w:r w:rsidR="004B5C6D">
        <w:t xml:space="preserve"> to track expenses</w:t>
      </w:r>
      <w:r w:rsidR="00F175CA">
        <w:t>.</w:t>
      </w:r>
      <w:r w:rsidR="00B2442F">
        <w:t xml:space="preserve"> </w:t>
      </w:r>
    </w:p>
    <w:p w:rsidR="00652D21" w:rsidP="00652D21" w:rsidRDefault="00652D21" w14:paraId="227BDCE2" w14:textId="41A5E9C0">
      <w:pPr>
        <w:pStyle w:val="FoF"/>
      </w:pPr>
      <w:proofErr w:type="gramStart"/>
      <w:r>
        <w:t>With the exception of</w:t>
      </w:r>
      <w:proofErr w:type="gramEnd"/>
      <w:r>
        <w:t xml:space="preserve"> SCE’s CETMA, the memorandum accounts authorized by this decision shall not be used to track costs beyond the implementation of SB 1221 mapping activities consistent with Pub. Util. Code 661.</w:t>
      </w:r>
    </w:p>
    <w:p w:rsidRPr="00850455" w:rsidR="00B10165" w:rsidP="00B10165" w:rsidRDefault="00B10165" w14:paraId="6CA94B7B" w14:textId="2C24A7D7">
      <w:pPr>
        <w:pStyle w:val="FoF"/>
      </w:pPr>
      <w:r>
        <w:t>T</w:t>
      </w:r>
      <w:r w:rsidRPr="00850455">
        <w:t xml:space="preserve">he Commission </w:t>
      </w:r>
      <w:r>
        <w:t>may</w:t>
      </w:r>
      <w:r w:rsidRPr="00850455">
        <w:t xml:space="preserve"> decide whether to </w:t>
      </w:r>
      <w:r>
        <w:t xml:space="preserve">authorize recovery of some or all </w:t>
      </w:r>
      <w:r w:rsidRPr="00850455">
        <w:t>costs</w:t>
      </w:r>
      <w:r>
        <w:t xml:space="preserve"> in the gas utilities’ next GRC</w:t>
      </w:r>
      <w:r w:rsidRPr="00850455">
        <w:t>.</w:t>
      </w:r>
    </w:p>
    <w:p w:rsidRPr="00850455" w:rsidR="005939A5" w:rsidP="005939A5" w:rsidRDefault="005939A5" w14:paraId="4680502C" w14:textId="77777777">
      <w:pPr>
        <w:pStyle w:val="Dummy"/>
      </w:pPr>
      <w:bookmarkStart w:name="_Toc8123726" w:id="42"/>
      <w:bookmarkStart w:name="_Toc204872345" w:id="43"/>
      <w:r w:rsidRPr="00850455">
        <w:t>Conclusions of Law</w:t>
      </w:r>
      <w:bookmarkEnd w:id="42"/>
      <w:bookmarkEnd w:id="43"/>
    </w:p>
    <w:p w:rsidR="00F802FB" w:rsidP="001E2A62" w:rsidRDefault="000B6FC6" w14:paraId="498E53FB" w14:textId="52DB8986">
      <w:pPr>
        <w:pStyle w:val="CoL"/>
      </w:pPr>
      <w:r>
        <w:t xml:space="preserve">It is reasonable for the gas utilities to </w:t>
      </w:r>
      <w:r w:rsidR="00224B00">
        <w:t xml:space="preserve">be authorized to establish memorandum accounts to </w:t>
      </w:r>
      <w:r>
        <w:t>track SB</w:t>
      </w:r>
      <w:r w:rsidR="00224B00">
        <w:t xml:space="preserve"> </w:t>
      </w:r>
      <w:r>
        <w:t>1221 mapping costs</w:t>
      </w:r>
      <w:r w:rsidR="0021630D">
        <w:t xml:space="preserve">, consistent with </w:t>
      </w:r>
      <w:r w:rsidR="00BF68B3">
        <w:t>Pub</w:t>
      </w:r>
      <w:r w:rsidR="00FA4B53">
        <w:t>.</w:t>
      </w:r>
      <w:r w:rsidR="00BF68B3">
        <w:t xml:space="preserve"> Util</w:t>
      </w:r>
      <w:r w:rsidR="00FA4B53">
        <w:t>.</w:t>
      </w:r>
      <w:r w:rsidR="00BF68B3">
        <w:t xml:space="preserve"> Code 661</w:t>
      </w:r>
      <w:r w:rsidR="00904FA9">
        <w:t>.</w:t>
      </w:r>
      <w:r>
        <w:t xml:space="preserve"> </w:t>
      </w:r>
    </w:p>
    <w:p w:rsidR="00415834" w:rsidP="001E2A62" w:rsidRDefault="00F802FB" w14:paraId="357E6BD3" w14:textId="4B37CA99">
      <w:pPr>
        <w:pStyle w:val="CoL"/>
      </w:pPr>
      <w:r>
        <w:lastRenderedPageBreak/>
        <w:t xml:space="preserve">Authorizing memorandum accounts to track SB 1221 mapping costs is consistent with Standard Practice U-27-W criteria </w:t>
      </w:r>
      <w:r w:rsidR="000B6FC6">
        <w:t xml:space="preserve">because the costs are not under the utility’s control, could not have been reasonably foreseen in the utility’s last general rate case, will occur before the utility’s next scheduled rate case, </w:t>
      </w:r>
      <w:r w:rsidR="006A4171">
        <w:t xml:space="preserve">are worth the effort of processing a memo account, </w:t>
      </w:r>
      <w:r w:rsidR="00C37783">
        <w:t>and have ratepayer benefits.</w:t>
      </w:r>
    </w:p>
    <w:p w:rsidR="00EF2F6C" w:rsidP="00EF2F6C" w:rsidRDefault="00415834" w14:paraId="05AF27F0" w14:textId="16AB7EEF">
      <w:pPr>
        <w:pStyle w:val="CoL"/>
      </w:pPr>
      <w:r>
        <w:t xml:space="preserve">The reasonable effective date for gas utilities to begin tracking SB 1221 mapping costs in a memorandum account is April 21, 2025, the date of the Amendment to the Scoping Memo and Ruling issued in this proceeding. </w:t>
      </w:r>
      <w:r w:rsidR="00EF2F6C">
        <w:t>Each gas utility should be authorized to record expenses in its respective memorandum account until January 1 of the Test Year of its next general rate case upon which time recording in the memorandum account should cease and ongoing expenses related to mapping activities under Pub. Util. Code Section 661 should be covered in its new GRC.</w:t>
      </w:r>
    </w:p>
    <w:p w:rsidR="00A742E6" w:rsidP="00EF2F6C" w:rsidRDefault="00A742E6" w14:paraId="3105FC07" w14:textId="5C600775">
      <w:pPr>
        <w:pStyle w:val="CoL"/>
      </w:pPr>
      <w:r>
        <w:t xml:space="preserve">D.25-06-010 authorizes SCE to utilize its CETMA to record costs </w:t>
      </w:r>
      <w:r w:rsidR="00E23F37">
        <w:t>associated with SB 1221 mapping activities under Pub. Util. Code Section 661.</w:t>
      </w:r>
    </w:p>
    <w:p w:rsidR="00EF2F6C" w:rsidP="00EF2F6C" w:rsidRDefault="00EF2F6C" w14:paraId="2B9BCDDF" w14:textId="77777777">
      <w:pPr>
        <w:pStyle w:val="CoL"/>
      </w:pPr>
      <w:r>
        <w:t>The Commission will decide whether to authorize recovery of some or all costs in the gas utilities’ next GRC.</w:t>
      </w:r>
    </w:p>
    <w:p w:rsidR="00415834" w:rsidP="00EF2F6C" w:rsidRDefault="00EF2F6C" w14:paraId="31451D12" w14:textId="64C9EA1C">
      <w:pPr>
        <w:pStyle w:val="CoL"/>
      </w:pPr>
      <w:r>
        <w:t>The proceeding remains open.</w:t>
      </w:r>
    </w:p>
    <w:p w:rsidR="00EF2F6C" w:rsidP="000A6E05" w:rsidRDefault="00EF2F6C" w14:paraId="50684D17" w14:textId="77777777">
      <w:pPr>
        <w:pStyle w:val="Mainex"/>
      </w:pPr>
    </w:p>
    <w:p w:rsidRPr="00850455" w:rsidR="00BB0243" w:rsidP="000A6E05" w:rsidRDefault="005939A5" w14:paraId="1CC0B01D" w14:textId="71B1E342">
      <w:pPr>
        <w:pStyle w:val="Mainex"/>
      </w:pPr>
      <w:bookmarkStart w:name="_Toc204872346" w:id="44"/>
      <w:r w:rsidRPr="00850455">
        <w:t>O</w:t>
      </w:r>
      <w:r w:rsidRPr="00850455" w:rsidR="00722850">
        <w:t>RDER</w:t>
      </w:r>
      <w:bookmarkEnd w:id="44"/>
    </w:p>
    <w:p w:rsidRPr="00850455" w:rsidR="00BB0243" w:rsidP="000A6E05" w:rsidRDefault="00BB0243" w14:paraId="27311BC8" w14:textId="77777777">
      <w:pPr>
        <w:keepNext/>
      </w:pPr>
      <w:r w:rsidRPr="00850455">
        <w:rPr>
          <w:b/>
        </w:rPr>
        <w:t>IT IS ORDERED</w:t>
      </w:r>
      <w:r w:rsidRPr="00850455">
        <w:t xml:space="preserve"> that:</w:t>
      </w:r>
    </w:p>
    <w:p w:rsidR="005E5D74" w:rsidP="00F326C0" w:rsidRDefault="00C10809" w14:paraId="50440F56" w14:textId="36DF6A14">
      <w:pPr>
        <w:pStyle w:val="OP"/>
      </w:pPr>
      <w:r>
        <w:t xml:space="preserve">Pacific Gas and Electric Company, </w:t>
      </w:r>
      <w:r w:rsidR="00DC2545">
        <w:t>Southern California Gas Company, San</w:t>
      </w:r>
      <w:r w:rsidR="00C22826">
        <w:t> </w:t>
      </w:r>
      <w:r w:rsidR="00DC2545">
        <w:t xml:space="preserve">Diego Gas </w:t>
      </w:r>
      <w:r w:rsidR="0087377E">
        <w:t xml:space="preserve">&amp; </w:t>
      </w:r>
      <w:r w:rsidR="00DC2545">
        <w:t>Electric Company, Southwest Gas Co</w:t>
      </w:r>
      <w:r w:rsidR="006A4171">
        <w:t>rporation</w:t>
      </w:r>
      <w:r w:rsidR="00DC2545">
        <w:t xml:space="preserve">, and </w:t>
      </w:r>
      <w:r w:rsidR="00D07A0C">
        <w:t>other small gas utilities that serve retail customers in California</w:t>
      </w:r>
      <w:r w:rsidR="006A2EFA">
        <w:t xml:space="preserve"> are authorized to establish their own Memorandum Accounts</w:t>
      </w:r>
      <w:r w:rsidR="00C67A51">
        <w:t xml:space="preserve"> to record costs related to Public Utilities Code Section 661 mapping work</w:t>
      </w:r>
      <w:r w:rsidR="006A2EFA">
        <w:t xml:space="preserve"> </w:t>
      </w:r>
      <w:r w:rsidR="00997EAB">
        <w:t xml:space="preserve">effective April 21, </w:t>
      </w:r>
      <w:r w:rsidR="00B16BCC">
        <w:t>2025,</w:t>
      </w:r>
      <w:r w:rsidR="0045760B">
        <w:t xml:space="preserve"> </w:t>
      </w:r>
      <w:r w:rsidR="00D0287C">
        <w:t xml:space="preserve">by </w:t>
      </w:r>
      <w:r w:rsidR="00F326C0">
        <w:t xml:space="preserve">submitting </w:t>
      </w:r>
      <w:r w:rsidR="00176F23">
        <w:t>a Tier</w:t>
      </w:r>
      <w:r w:rsidR="00F326C0">
        <w:t xml:space="preserve"> </w:t>
      </w:r>
      <w:r w:rsidR="00176F23">
        <w:t xml:space="preserve">1 Advice </w:t>
      </w:r>
      <w:r w:rsidR="00176F23">
        <w:lastRenderedPageBreak/>
        <w:t>Letter no later than 60</w:t>
      </w:r>
      <w:r w:rsidR="00C22826">
        <w:noBreakHyphen/>
      </w:r>
      <w:r w:rsidR="00176F23">
        <w:t xml:space="preserve">days from the </w:t>
      </w:r>
      <w:r w:rsidR="00F326C0">
        <w:t xml:space="preserve">issuance </w:t>
      </w:r>
      <w:r w:rsidR="00176F23">
        <w:t>date of this decision.</w:t>
      </w:r>
      <w:r w:rsidR="00A03233">
        <w:t xml:space="preserve"> Southern California Edison Company’s Catalina Gas utility is </w:t>
      </w:r>
      <w:r w:rsidR="00EA4E85">
        <w:t>not required to submit a Tier 1 Advice Letter and instead is authorized to track its Public Utilit</w:t>
      </w:r>
      <w:r w:rsidR="008300FC">
        <w:t>ies</w:t>
      </w:r>
      <w:r w:rsidR="00EA4E85">
        <w:t xml:space="preserve"> Code Section 661-related costs in its Catalina Electrification Transition Memorandum Account that the Commission approved in D.25-06-010.</w:t>
      </w:r>
    </w:p>
    <w:p w:rsidRPr="00850455" w:rsidR="00DC017F" w:rsidP="001E2A62" w:rsidRDefault="00D533FB" w14:paraId="737C98D9" w14:textId="78E75AE5">
      <w:pPr>
        <w:pStyle w:val="OP"/>
      </w:pPr>
      <w:r>
        <w:t xml:space="preserve">If </w:t>
      </w:r>
      <w:r w:rsidR="00675210">
        <w:t>Pacific Gas and Electric Company, Southern California Gas Company, San</w:t>
      </w:r>
      <w:r w:rsidR="00C22826">
        <w:t> </w:t>
      </w:r>
      <w:r w:rsidR="00675210">
        <w:t xml:space="preserve">Diego Gas </w:t>
      </w:r>
      <w:r>
        <w:t xml:space="preserve">&amp; </w:t>
      </w:r>
      <w:r w:rsidR="00675210">
        <w:t>Electric Company, Southwest Gas Co</w:t>
      </w:r>
      <w:r w:rsidR="006A4171">
        <w:t>rporation</w:t>
      </w:r>
      <w:r w:rsidR="00675210">
        <w:t>, and other small gas utilities that serve retail customers in California</w:t>
      </w:r>
      <w:r>
        <w:t xml:space="preserve"> choose to pursue a Memorandum Account, the Memorandum Account</w:t>
      </w:r>
      <w:r w:rsidR="00B055DD">
        <w:t xml:space="preserve"> tariff language must specify that only incremental costs may be recorded in the account, and such costs must be segregated by cost type, and expenses</w:t>
      </w:r>
      <w:r w:rsidR="00675210">
        <w:t xml:space="preserve"> </w:t>
      </w:r>
      <w:r w:rsidR="004214D9">
        <w:t>may</w:t>
      </w:r>
      <w:r w:rsidR="00241B63">
        <w:t xml:space="preserve"> only be</w:t>
      </w:r>
      <w:r w:rsidR="00384521">
        <w:t xml:space="preserve"> record</w:t>
      </w:r>
      <w:r w:rsidR="00241B63">
        <w:t>ed</w:t>
      </w:r>
      <w:r w:rsidR="00384521">
        <w:t xml:space="preserve"> </w:t>
      </w:r>
      <w:r w:rsidR="004214D9">
        <w:t xml:space="preserve">until </w:t>
      </w:r>
      <w:r w:rsidR="008022C6">
        <w:t>January</w:t>
      </w:r>
      <w:r w:rsidR="00C22826">
        <w:t> </w:t>
      </w:r>
      <w:r w:rsidR="008022C6">
        <w:t>1 of the Test Year</w:t>
      </w:r>
      <w:r w:rsidR="004214D9">
        <w:t xml:space="preserve"> of </w:t>
      </w:r>
      <w:r w:rsidR="00880234">
        <w:t xml:space="preserve">each utility’s </w:t>
      </w:r>
      <w:r w:rsidR="004214D9">
        <w:t>next general rate case</w:t>
      </w:r>
      <w:r w:rsidR="0036457E">
        <w:t xml:space="preserve"> </w:t>
      </w:r>
      <w:r w:rsidR="00675210">
        <w:t xml:space="preserve">(GRC) </w:t>
      </w:r>
      <w:r w:rsidR="0036457E">
        <w:t xml:space="preserve">upon which time recording in the memorandum account must cease and ongoing expenses related to mapping activities under Public Utilities Code Section 661 must be </w:t>
      </w:r>
      <w:r w:rsidR="00675210">
        <w:t>included in its new GRC.</w:t>
      </w:r>
    </w:p>
    <w:p w:rsidRPr="00850455" w:rsidR="00F6397D" w:rsidP="00B3087D" w:rsidRDefault="00E23CBB" w14:paraId="7F3503DE" w14:textId="0F1C9C98">
      <w:pPr>
        <w:pStyle w:val="OP"/>
      </w:pPr>
      <w:r w:rsidRPr="00850455">
        <w:t>Rulemaking</w:t>
      </w:r>
      <w:r w:rsidRPr="00850455" w:rsidR="00BE1771">
        <w:t xml:space="preserve"> 24</w:t>
      </w:r>
      <w:r w:rsidRPr="00850455">
        <w:t>-</w:t>
      </w:r>
      <w:r w:rsidRPr="00850455" w:rsidR="00BE1771">
        <w:t>09</w:t>
      </w:r>
      <w:r w:rsidRPr="00850455">
        <w:t>-</w:t>
      </w:r>
      <w:r w:rsidRPr="00850455" w:rsidR="00BE1771">
        <w:t>012</w:t>
      </w:r>
      <w:r w:rsidRPr="00850455">
        <w:t xml:space="preserve"> </w:t>
      </w:r>
      <w:r w:rsidRPr="00850455" w:rsidR="00BE1771">
        <w:t>remains open</w:t>
      </w:r>
      <w:r w:rsidRPr="00850455">
        <w:t>.</w:t>
      </w:r>
    </w:p>
    <w:p w:rsidRPr="00850455" w:rsidR="008F0116" w:rsidP="008F0116" w:rsidRDefault="008F0116" w14:paraId="2FE255A2" w14:textId="77777777">
      <w:r w:rsidRPr="00850455">
        <w:t>This order is effective today.</w:t>
      </w:r>
    </w:p>
    <w:p w:rsidR="005858B3" w:rsidP="005858B3" w:rsidRDefault="005858B3" w14:paraId="678FC747" w14:textId="77777777">
      <w:r w:rsidRPr="00850455">
        <w:t>Dated</w:t>
      </w:r>
      <w:r>
        <w:t> </w:t>
      </w:r>
      <w:r w:rsidRPr="00F03F72">
        <w:t>July 24,</w:t>
      </w:r>
      <w:r>
        <w:t> 2025, </w:t>
      </w:r>
      <w:r w:rsidRPr="00850455">
        <w:t>at San Francisco, California</w:t>
      </w:r>
    </w:p>
    <w:p w:rsidR="005858B3" w:rsidP="005858B3" w:rsidRDefault="005858B3" w14:paraId="11DCD9A5" w14:textId="77777777"/>
    <w:p w:rsidR="005858B3" w:rsidP="005858B3" w:rsidRDefault="005858B3" w14:paraId="6096432A" w14:textId="77777777"/>
    <w:p w:rsidRPr="009E42B9" w:rsidR="005858B3" w:rsidP="005858B3" w:rsidRDefault="005858B3" w14:paraId="7F9B933F" w14:textId="77777777">
      <w:pPr>
        <w:autoSpaceDE w:val="0"/>
        <w:autoSpaceDN w:val="0"/>
        <w:adjustRightInd w:val="0"/>
        <w:spacing w:line="240" w:lineRule="auto"/>
        <w:ind w:left="5760" w:firstLine="0"/>
        <w:jc w:val="both"/>
        <w:rPr>
          <w:rFonts w:eastAsia="Calibri" w:cs="Arial"/>
          <w:szCs w:val="20"/>
        </w:rPr>
      </w:pPr>
      <w:bookmarkStart w:name="_Hlk188608089" w:id="45"/>
      <w:r w:rsidRPr="009E42B9">
        <w:rPr>
          <w:rFonts w:eastAsia="Calibri" w:cs="Arial"/>
          <w:szCs w:val="20"/>
        </w:rPr>
        <w:t>ALICE REYNOLDS</w:t>
      </w:r>
    </w:p>
    <w:p w:rsidRPr="009E42B9" w:rsidR="005858B3" w:rsidP="005858B3" w:rsidRDefault="005858B3" w14:paraId="0E6CD4CC" w14:textId="77777777">
      <w:pPr>
        <w:autoSpaceDE w:val="0"/>
        <w:autoSpaceDN w:val="0"/>
        <w:adjustRightInd w:val="0"/>
        <w:spacing w:line="240" w:lineRule="auto"/>
        <w:ind w:left="1440"/>
        <w:jc w:val="both"/>
        <w:rPr>
          <w:rFonts w:eastAsia="Calibri" w:cs="Arial"/>
          <w:szCs w:val="20"/>
        </w:rPr>
      </w:pPr>
      <w:r w:rsidRPr="009E42B9">
        <w:rPr>
          <w:rFonts w:eastAsia="Calibri" w:cs="Arial"/>
          <w:szCs w:val="20"/>
        </w:rPr>
        <w:tab/>
      </w:r>
      <w:r w:rsidRPr="009E42B9">
        <w:rPr>
          <w:rFonts w:eastAsia="Calibri" w:cs="Arial"/>
          <w:szCs w:val="20"/>
        </w:rPr>
        <w:tab/>
      </w:r>
      <w:r w:rsidRPr="009E42B9">
        <w:rPr>
          <w:rFonts w:eastAsia="Calibri" w:cs="Arial"/>
          <w:szCs w:val="20"/>
        </w:rPr>
        <w:tab/>
      </w:r>
      <w:r w:rsidRPr="009E42B9">
        <w:rPr>
          <w:rFonts w:eastAsia="Calibri" w:cs="Arial"/>
          <w:szCs w:val="20"/>
        </w:rPr>
        <w:tab/>
      </w:r>
      <w:r w:rsidRPr="009E42B9">
        <w:rPr>
          <w:rFonts w:eastAsia="Calibri" w:cs="Arial"/>
          <w:szCs w:val="20"/>
        </w:rPr>
        <w:tab/>
        <w:t xml:space="preserve">                       President</w:t>
      </w:r>
    </w:p>
    <w:p w:rsidRPr="009E42B9" w:rsidR="005858B3" w:rsidP="005858B3" w:rsidRDefault="005858B3" w14:paraId="002C41CC" w14:textId="77777777">
      <w:pPr>
        <w:autoSpaceDE w:val="0"/>
        <w:autoSpaceDN w:val="0"/>
        <w:adjustRightInd w:val="0"/>
        <w:spacing w:line="240" w:lineRule="auto"/>
        <w:ind w:left="5040"/>
        <w:jc w:val="both"/>
        <w:rPr>
          <w:rFonts w:eastAsia="Calibri" w:cs="Arial"/>
          <w:szCs w:val="20"/>
        </w:rPr>
      </w:pPr>
      <w:r w:rsidRPr="009E42B9">
        <w:rPr>
          <w:rFonts w:eastAsia="Calibri" w:cs="Arial"/>
          <w:szCs w:val="20"/>
        </w:rPr>
        <w:t>DARCIE L. HOUCK</w:t>
      </w:r>
    </w:p>
    <w:p w:rsidRPr="009E42B9" w:rsidR="005858B3" w:rsidP="005858B3" w:rsidRDefault="005858B3" w14:paraId="3CE4DE9D" w14:textId="77777777">
      <w:pPr>
        <w:autoSpaceDE w:val="0"/>
        <w:autoSpaceDN w:val="0"/>
        <w:adjustRightInd w:val="0"/>
        <w:spacing w:line="240" w:lineRule="auto"/>
        <w:ind w:left="5040"/>
        <w:jc w:val="both"/>
        <w:rPr>
          <w:rFonts w:eastAsia="Calibri" w:cs="Arial"/>
          <w:szCs w:val="20"/>
        </w:rPr>
      </w:pPr>
      <w:r w:rsidRPr="009E42B9">
        <w:rPr>
          <w:rFonts w:eastAsia="Calibri" w:cs="Arial"/>
          <w:szCs w:val="20"/>
        </w:rPr>
        <w:t>JOHN REYNOLDS</w:t>
      </w:r>
    </w:p>
    <w:p w:rsidRPr="009E42B9" w:rsidR="005858B3" w:rsidP="005858B3" w:rsidRDefault="005858B3" w14:paraId="333D0D05" w14:textId="77777777">
      <w:pPr>
        <w:autoSpaceDE w:val="0"/>
        <w:autoSpaceDN w:val="0"/>
        <w:adjustRightInd w:val="0"/>
        <w:spacing w:line="240" w:lineRule="auto"/>
        <w:ind w:left="5040"/>
        <w:jc w:val="both"/>
        <w:rPr>
          <w:rFonts w:eastAsia="Times New Roman" w:cs="Calibri"/>
          <w:color w:val="000000"/>
          <w:szCs w:val="26"/>
        </w:rPr>
      </w:pPr>
      <w:r w:rsidRPr="009E42B9">
        <w:rPr>
          <w:rFonts w:eastAsia="Times New Roman" w:cs="Calibri"/>
          <w:color w:val="000000"/>
          <w:szCs w:val="26"/>
        </w:rPr>
        <w:t>KAREN DOUGLAS</w:t>
      </w:r>
    </w:p>
    <w:p w:rsidRPr="009E42B9" w:rsidR="005858B3" w:rsidP="005858B3" w:rsidRDefault="005858B3" w14:paraId="482954D4" w14:textId="77777777">
      <w:pPr>
        <w:autoSpaceDE w:val="0"/>
        <w:autoSpaceDN w:val="0"/>
        <w:adjustRightInd w:val="0"/>
        <w:spacing w:line="240" w:lineRule="auto"/>
        <w:ind w:left="5040"/>
        <w:jc w:val="both"/>
        <w:rPr>
          <w:rFonts w:eastAsia="Calibri" w:cs="Arial"/>
          <w:szCs w:val="20"/>
        </w:rPr>
      </w:pPr>
      <w:r w:rsidRPr="009E42B9">
        <w:rPr>
          <w:rFonts w:eastAsia="Times New Roman" w:cs="Calibri"/>
          <w:color w:val="000000"/>
          <w:szCs w:val="26"/>
        </w:rPr>
        <w:t>MATTHEW BAKER</w:t>
      </w:r>
    </w:p>
    <w:p w:rsidRPr="005858B3" w:rsidR="005858B3" w:rsidP="005858B3" w:rsidRDefault="005858B3" w14:paraId="52CC5EA7" w14:textId="2C7E2BA8">
      <w:pPr>
        <w:autoSpaceDE w:val="0"/>
        <w:autoSpaceDN w:val="0"/>
        <w:adjustRightInd w:val="0"/>
        <w:spacing w:line="240" w:lineRule="auto"/>
        <w:ind w:left="5760"/>
        <w:jc w:val="both"/>
        <w:rPr>
          <w:rFonts w:eastAsia="Calibri" w:cs="Arial"/>
          <w:szCs w:val="20"/>
        </w:rPr>
      </w:pPr>
      <w:r w:rsidRPr="009E42B9">
        <w:rPr>
          <w:rFonts w:eastAsia="Calibri" w:cs="Arial"/>
          <w:szCs w:val="20"/>
        </w:rPr>
        <w:t xml:space="preserve">            Commissioners</w:t>
      </w:r>
      <w:bookmarkEnd w:id="45"/>
    </w:p>
    <w:sectPr w:rsidRPr="005858B3" w:rsidR="005858B3" w:rsidSect="008C5DD8">
      <w:footerReference w:type="default" r:id="rId19"/>
      <w:footnotePr>
        <w:numRestart w:val="eachSect"/>
      </w:footnotePr>
      <w:pgSz w:w="12240" w:h="15840"/>
      <w:pgMar w:top="1728" w:right="1440" w:bottom="1440" w:left="1440" w:header="720" w:footer="720"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F729F" w14:textId="77777777" w:rsidR="008A3F4E" w:rsidRDefault="008A3F4E" w:rsidP="0098138E">
      <w:pPr>
        <w:spacing w:line="240" w:lineRule="auto"/>
      </w:pPr>
      <w:r>
        <w:separator/>
      </w:r>
    </w:p>
  </w:endnote>
  <w:endnote w:type="continuationSeparator" w:id="0">
    <w:p w14:paraId="4957BADF" w14:textId="77777777" w:rsidR="008A3F4E" w:rsidRDefault="008A3F4E" w:rsidP="009813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0FC78" w14:textId="5E96EE90" w:rsidR="00F92385" w:rsidRDefault="00A9471C" w:rsidP="001F0A71">
    <w:pPr>
      <w:ind w:firstLine="0"/>
    </w:pPr>
    <w:r w:rsidRPr="00A9471C">
      <w:rPr>
        <w:rFonts w:cs="Arial"/>
        <w:sz w:val="16"/>
        <w:szCs w:val="16"/>
      </w:rPr>
      <w:t>574213308</w:t>
    </w:r>
    <w:r w:rsidR="001F0A71">
      <w:rPr>
        <w:rFonts w:cs="Arial"/>
        <w:sz w:val="16"/>
        <w:szCs w:val="16"/>
      </w:rPr>
      <w:tab/>
    </w:r>
    <w:r w:rsidR="001F0A71">
      <w:rPr>
        <w:rFonts w:cs="Arial"/>
        <w:sz w:val="16"/>
        <w:szCs w:val="16"/>
      </w:rPr>
      <w:tab/>
    </w:r>
    <w:r w:rsidR="001F0A71">
      <w:rPr>
        <w:rFonts w:cs="Arial"/>
        <w:sz w:val="16"/>
        <w:szCs w:val="16"/>
      </w:rPr>
      <w:tab/>
    </w:r>
    <w:r w:rsidR="001F0A71">
      <w:rPr>
        <w:rFonts w:cs="Arial"/>
        <w:sz w:val="16"/>
        <w:szCs w:val="16"/>
      </w:rPr>
      <w:tab/>
    </w:r>
    <w:r w:rsidR="001F0A71">
      <w:rPr>
        <w:rFonts w:cs="Arial"/>
        <w:sz w:val="16"/>
        <w:szCs w:val="16"/>
      </w:rPr>
      <w:tab/>
    </w:r>
    <w:r w:rsidR="001F0A71">
      <w:rPr>
        <w:rFonts w:cs="Arial"/>
        <w:sz w:val="16"/>
        <w:szCs w:val="16"/>
      </w:rPr>
      <w:tab/>
    </w:r>
    <w:r w:rsidR="00F92385">
      <w:t>-</w:t>
    </w:r>
    <w:sdt>
      <w:sdtPr>
        <w:id w:val="-1472208903"/>
        <w:docPartObj>
          <w:docPartGallery w:val="Page Numbers (Bottom of Page)"/>
          <w:docPartUnique/>
        </w:docPartObj>
      </w:sdtPr>
      <w:sdtEndPr>
        <w:rPr>
          <w:noProof/>
        </w:rPr>
      </w:sdtEndPr>
      <w:sdtContent>
        <w:r w:rsidR="00AB1482">
          <w:t xml:space="preserve"> 1 </w:t>
        </w:r>
        <w:r w:rsidR="00F92385">
          <w:rPr>
            <w:noProof/>
          </w:rPr>
          <w: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1DF19" w14:textId="6F053F9E" w:rsidR="00632207" w:rsidRDefault="005858B3" w:rsidP="00877186">
    <w:pPr>
      <w:ind w:firstLine="0"/>
    </w:pPr>
    <w:r w:rsidRPr="005858B3">
      <w:rPr>
        <w:rFonts w:cs="Arial"/>
        <w:sz w:val="16"/>
        <w:szCs w:val="16"/>
      </w:rPr>
      <w:t>574961452</w:t>
    </w:r>
    <w:r w:rsidR="00877186">
      <w:rPr>
        <w:rFonts w:cs="Arial"/>
        <w:sz w:val="16"/>
        <w:szCs w:val="16"/>
      </w:rPr>
      <w:tab/>
    </w:r>
    <w:r w:rsidR="00877186">
      <w:rPr>
        <w:rFonts w:cs="Arial"/>
        <w:sz w:val="16"/>
        <w:szCs w:val="16"/>
      </w:rPr>
      <w:tab/>
    </w:r>
    <w:r w:rsidR="00877186">
      <w:rPr>
        <w:rFonts w:cs="Arial"/>
        <w:sz w:val="16"/>
        <w:szCs w:val="16"/>
      </w:rPr>
      <w:tab/>
    </w:r>
    <w:r w:rsidR="00877186">
      <w:rPr>
        <w:rFonts w:cs="Arial"/>
        <w:sz w:val="16"/>
        <w:szCs w:val="16"/>
      </w:rPr>
      <w:tab/>
    </w:r>
    <w:r w:rsidR="00877186">
      <w:rPr>
        <w:rFonts w:cs="Arial"/>
        <w:sz w:val="16"/>
        <w:szCs w:val="16"/>
      </w:rPr>
      <w:tab/>
    </w:r>
    <w:r w:rsidR="00877186">
      <w:rPr>
        <w:rFonts w:cs="Arial"/>
        <w:sz w:val="16"/>
        <w:szCs w:val="16"/>
      </w:rPr>
      <w:tab/>
    </w:r>
    <w:r w:rsidR="00877186">
      <w:t>-</w:t>
    </w:r>
    <w:sdt>
      <w:sdtPr>
        <w:id w:val="-162406033"/>
        <w:docPartObj>
          <w:docPartGallery w:val="Page Numbers (Bottom of Page)"/>
          <w:docPartUnique/>
        </w:docPartObj>
      </w:sdtPr>
      <w:sdtEndPr>
        <w:rPr>
          <w:noProof/>
        </w:rPr>
      </w:sdtEndPr>
      <w:sdtContent>
        <w:r w:rsidR="00877186">
          <w:t xml:space="preserve"> 1 </w:t>
        </w:r>
        <w:r w:rsidR="00877186">
          <w:rPr>
            <w:noProof/>
          </w:rPr>
          <w:t>-</w:t>
        </w:r>
      </w:sdtContent>
    </w:sdt>
    <w:sdt>
      <w:sdtPr>
        <w:id w:val="-1352874971"/>
        <w:docPartObj>
          <w:docPartGallery w:val="Page Numbers (Bottom of Page)"/>
          <w:docPartUnique/>
        </w:docPartObj>
      </w:sdtPr>
      <w:sdtEndPr>
        <w:rPr>
          <w:noProof/>
        </w:rPr>
      </w:sdtEndPr>
      <w:sdtContent>
        <w:r w:rsidR="00632207">
          <w:rPr>
            <w:rFonts w:ascii="Arial" w:hAnsi="Arial" w:cs="Arial"/>
            <w:sz w:val="16"/>
            <w:szCs w:val="16"/>
          </w:rPr>
          <w:tab/>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629CC" w14:textId="77777777" w:rsidR="00E23CBB" w:rsidRDefault="00E23CBB" w:rsidP="007E0FEE">
    <w:pPr>
      <w:ind w:firstLine="0"/>
      <w:jc w:val="center"/>
    </w:pPr>
    <w:r>
      <w:t>-</w:t>
    </w:r>
    <w:r w:rsidR="00EE4315">
      <w:t xml:space="preserve"> </w:t>
    </w:r>
    <w:sdt>
      <w:sdtPr>
        <w:id w:val="17931696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sidR="00EE4315">
          <w:rPr>
            <w:noProof/>
          </w:rPr>
          <w:t xml:space="preserve"> </w:t>
        </w:r>
        <w:r>
          <w:rPr>
            <w:noProof/>
          </w:rPr>
          <w:t>-</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53C8D" w14:textId="77777777" w:rsidR="00E23CBB" w:rsidRDefault="00E23CBB" w:rsidP="007E0FEE">
    <w:pPr>
      <w:ind w:firstLine="0"/>
      <w:jc w:val="center"/>
    </w:pPr>
    <w:r>
      <w:t>-</w:t>
    </w:r>
    <w:sdt>
      <w:sdtPr>
        <w:id w:val="-1034043401"/>
        <w:docPartObj>
          <w:docPartGallery w:val="Page Numbers (Bottom of Page)"/>
          <w:docPartUnique/>
        </w:docPartObj>
      </w:sdtPr>
      <w:sdtEndPr>
        <w:rPr>
          <w:noProof/>
        </w:rPr>
      </w:sdtEndPr>
      <w:sdtContent>
        <w:r w:rsidR="00EE4315">
          <w:t xml:space="preserve"> </w:t>
        </w:r>
        <w:r>
          <w:fldChar w:fldCharType="begin"/>
        </w:r>
        <w:r>
          <w:instrText xml:space="preserve"> PAGE   \* MERGEFORMAT </w:instrText>
        </w:r>
        <w:r>
          <w:fldChar w:fldCharType="separate"/>
        </w:r>
        <w:r>
          <w:rPr>
            <w:noProof/>
          </w:rPr>
          <w:t>2</w:t>
        </w:r>
        <w:r>
          <w:rPr>
            <w:noProof/>
          </w:rPr>
          <w:fldChar w:fldCharType="end"/>
        </w:r>
        <w:r w:rsidR="00EE4315">
          <w:rPr>
            <w:noProof/>
          </w:rPr>
          <w:t xml:space="preserve"> </w:t>
        </w:r>
        <w:r>
          <w:rPr>
            <w:noProof/>
          </w:rPr>
          <w:t>-</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EB49C" w14:textId="77777777" w:rsidR="008C5DD8" w:rsidRDefault="008C5DD8" w:rsidP="007E0FEE">
    <w:pPr>
      <w:ind w:firstLine="0"/>
      <w:jc w:val="center"/>
    </w:pPr>
    <w:r>
      <w:t>-</w:t>
    </w:r>
    <w:sdt>
      <w:sdtPr>
        <w:id w:val="1688413809"/>
        <w:docPartObj>
          <w:docPartGallery w:val="Page Numbers (Bottom of Page)"/>
          <w:docPartUnique/>
        </w:docPartObj>
      </w:sdtPr>
      <w:sdtEndPr>
        <w:rPr>
          <w:noProof/>
        </w:rPr>
      </w:sdtEndPr>
      <w:sdtContent>
        <w:r>
          <w:t xml:space="preserve"> </w:t>
        </w:r>
        <w:r>
          <w:fldChar w:fldCharType="begin"/>
        </w:r>
        <w:r>
          <w:instrText xml:space="preserve"> PAGE   \* MERGEFORMAT </w:instrText>
        </w:r>
        <w:r>
          <w:fldChar w:fldCharType="separate"/>
        </w:r>
        <w:r>
          <w:rPr>
            <w:noProof/>
          </w:rPr>
          <w:t>2</w:t>
        </w:r>
        <w:r>
          <w:rPr>
            <w:noProof/>
          </w:rPr>
          <w:fldChar w:fldCharType="end"/>
        </w:r>
        <w:r>
          <w:rPr>
            <w:noProof/>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19D3D" w14:textId="77777777" w:rsidR="008A3F4E" w:rsidRDefault="008A3F4E" w:rsidP="00DF58E7">
      <w:pPr>
        <w:spacing w:line="240" w:lineRule="auto"/>
        <w:ind w:firstLine="0"/>
      </w:pPr>
      <w:r>
        <w:separator/>
      </w:r>
    </w:p>
  </w:footnote>
  <w:footnote w:type="continuationSeparator" w:id="0">
    <w:p w14:paraId="109A6E52" w14:textId="77777777" w:rsidR="008A3F4E" w:rsidRDefault="008A3F4E" w:rsidP="00DF58E7">
      <w:pPr>
        <w:spacing w:line="240" w:lineRule="auto"/>
        <w:ind w:firstLine="0"/>
      </w:pPr>
      <w:r>
        <w:continuationSeparator/>
      </w:r>
    </w:p>
  </w:footnote>
  <w:footnote w:type="continuationNotice" w:id="1">
    <w:p w14:paraId="478E251B" w14:textId="77777777" w:rsidR="008A3F4E" w:rsidRPr="00DF58E7" w:rsidRDefault="008A3F4E" w:rsidP="00DF58E7">
      <w:pPr>
        <w:spacing w:line="240" w:lineRule="auto"/>
        <w:ind w:firstLine="0"/>
        <w:jc w:val="right"/>
        <w:rPr>
          <w:i/>
          <w:sz w:val="22"/>
        </w:rPr>
      </w:pPr>
      <w:r w:rsidRPr="00DF58E7">
        <w:rPr>
          <w:i/>
          <w:sz w:val="22"/>
        </w:rPr>
        <w:t xml:space="preserve">Footnote </w:t>
      </w:r>
      <w:proofErr w:type="gramStart"/>
      <w:r w:rsidRPr="00DF58E7">
        <w:rPr>
          <w:i/>
          <w:sz w:val="22"/>
        </w:rPr>
        <w:t>continued on</w:t>
      </w:r>
      <w:proofErr w:type="gramEnd"/>
      <w:r w:rsidRPr="00DF58E7">
        <w:rPr>
          <w:i/>
          <w:sz w:val="22"/>
        </w:rPr>
        <w:t xml:space="preserve"> next page.</w:t>
      </w:r>
    </w:p>
  </w:footnote>
  <w:footnote w:id="2">
    <w:p w14:paraId="7F3BE10C" w14:textId="2FC49613" w:rsidR="00A50F54" w:rsidRDefault="00A50F54" w:rsidP="00A50F54">
      <w:pPr>
        <w:pStyle w:val="FootnoteText"/>
      </w:pPr>
      <w:r>
        <w:rPr>
          <w:rStyle w:val="FootnoteReference"/>
        </w:rPr>
        <w:footnoteRef/>
      </w:r>
      <w:r>
        <w:t xml:space="preserve"> Scoping Memo at 3.</w:t>
      </w:r>
    </w:p>
  </w:footnote>
  <w:footnote w:id="3">
    <w:p w14:paraId="05C201C1" w14:textId="77777777" w:rsidR="00EF5630" w:rsidRDefault="00EF5630" w:rsidP="00EF5630">
      <w:pPr>
        <w:pStyle w:val="FootnoteText"/>
      </w:pPr>
      <w:r>
        <w:rPr>
          <w:rStyle w:val="FootnoteReference"/>
        </w:rPr>
        <w:footnoteRef/>
      </w:r>
      <w:r>
        <w:t xml:space="preserve"> Joint IOUs Opening Comments on Staff Proposal at 13-14.</w:t>
      </w:r>
    </w:p>
  </w:footnote>
  <w:footnote w:id="4">
    <w:p w14:paraId="7EC9EBBA" w14:textId="77777777" w:rsidR="00EF5630" w:rsidRDefault="00EF5630" w:rsidP="00EF5630">
      <w:pPr>
        <w:pStyle w:val="FootnoteText"/>
      </w:pPr>
      <w:r>
        <w:rPr>
          <w:rStyle w:val="FootnoteReference"/>
        </w:rPr>
        <w:footnoteRef/>
      </w:r>
      <w:r>
        <w:t xml:space="preserve"> PG&amp;E Opening Comments on Staff Proposal at 2, 6.</w:t>
      </w:r>
    </w:p>
  </w:footnote>
  <w:footnote w:id="5">
    <w:p w14:paraId="23653BA1" w14:textId="77777777" w:rsidR="00EF5630" w:rsidRDefault="00EF5630" w:rsidP="00EF5630">
      <w:pPr>
        <w:pStyle w:val="FootnoteText"/>
      </w:pPr>
      <w:r>
        <w:rPr>
          <w:rStyle w:val="FootnoteReference"/>
        </w:rPr>
        <w:footnoteRef/>
      </w:r>
      <w:r>
        <w:t xml:space="preserve"> PG&amp;E Reply Comments on Staff Proposal at 2, 8.</w:t>
      </w:r>
    </w:p>
  </w:footnote>
  <w:footnote w:id="6">
    <w:p w14:paraId="7DAD491B" w14:textId="77777777" w:rsidR="00EF5630" w:rsidRDefault="00EF5630" w:rsidP="00EF5630">
      <w:pPr>
        <w:pStyle w:val="FootnoteText"/>
      </w:pPr>
      <w:r>
        <w:rPr>
          <w:rStyle w:val="FootnoteReference"/>
        </w:rPr>
        <w:footnoteRef/>
      </w:r>
      <w:r>
        <w:t xml:space="preserve"> TURN Reply Comments on Staff Proposal at 4-6.</w:t>
      </w:r>
    </w:p>
  </w:footnote>
  <w:footnote w:id="7">
    <w:p w14:paraId="7BDA84CB" w14:textId="77777777" w:rsidR="00EF5630" w:rsidRDefault="00EF5630" w:rsidP="00EF5630">
      <w:pPr>
        <w:pStyle w:val="FootnoteText"/>
      </w:pPr>
      <w:r>
        <w:rPr>
          <w:rStyle w:val="FootnoteReference"/>
        </w:rPr>
        <w:footnoteRef/>
      </w:r>
      <w:r>
        <w:t xml:space="preserve"> </w:t>
      </w:r>
      <w:r w:rsidRPr="001112F3">
        <w:rPr>
          <w:i/>
          <w:iCs/>
        </w:rPr>
        <w:t>Id</w:t>
      </w:r>
      <w:r>
        <w:t>. at 5.</w:t>
      </w:r>
    </w:p>
  </w:footnote>
  <w:footnote w:id="8">
    <w:p w14:paraId="092566D8" w14:textId="77777777" w:rsidR="00EF5630" w:rsidRDefault="00EF5630" w:rsidP="00EF5630">
      <w:pPr>
        <w:pStyle w:val="FootnoteText"/>
      </w:pPr>
      <w:r>
        <w:rPr>
          <w:rStyle w:val="FootnoteReference"/>
        </w:rPr>
        <w:footnoteRef/>
      </w:r>
      <w:r>
        <w:t xml:space="preserve"> </w:t>
      </w:r>
      <w:r w:rsidRPr="00CB4DA9">
        <w:rPr>
          <w:i/>
          <w:iCs/>
        </w:rPr>
        <w:t>Ibid.</w:t>
      </w:r>
    </w:p>
  </w:footnote>
  <w:footnote w:id="9">
    <w:p w14:paraId="55953C1B" w14:textId="481885EA" w:rsidR="007E40A0" w:rsidRDefault="007E40A0">
      <w:pPr>
        <w:pStyle w:val="FootnoteText"/>
      </w:pPr>
      <w:r>
        <w:rPr>
          <w:rStyle w:val="FootnoteReference"/>
        </w:rPr>
        <w:footnoteRef/>
      </w:r>
      <w:r>
        <w:t xml:space="preserve"> </w:t>
      </w:r>
      <w:r>
        <w:rPr>
          <w:i/>
          <w:iCs/>
        </w:rPr>
        <w:t xml:space="preserve">See generally </w:t>
      </w:r>
      <w:r>
        <w:t>Assigned Commissioner’s Ruling Issuing Senate Bill 1221 Mapping Directions to Utilities (April 18, 2025) (directing utilities, in part, to comply with mapping requirements).</w:t>
      </w:r>
    </w:p>
  </w:footnote>
  <w:footnote w:id="10">
    <w:p w14:paraId="776904D1" w14:textId="0FBE9581" w:rsidR="007E40A0" w:rsidRPr="007E40A0" w:rsidRDefault="007E40A0">
      <w:pPr>
        <w:pStyle w:val="FootnoteText"/>
      </w:pPr>
      <w:r>
        <w:rPr>
          <w:rStyle w:val="FootnoteReference"/>
        </w:rPr>
        <w:footnoteRef/>
      </w:r>
      <w:r>
        <w:t xml:space="preserve"> </w:t>
      </w:r>
      <w:r>
        <w:rPr>
          <w:i/>
          <w:iCs/>
        </w:rPr>
        <w:t>Id</w:t>
      </w:r>
      <w:r>
        <w:t>. at 1.</w:t>
      </w:r>
    </w:p>
  </w:footnote>
  <w:footnote w:id="11">
    <w:p w14:paraId="7AE7331F" w14:textId="218B3CFF" w:rsidR="00EF5630" w:rsidRDefault="00EF5630" w:rsidP="00EF5630">
      <w:pPr>
        <w:pStyle w:val="FootnoteText"/>
      </w:pPr>
      <w:r>
        <w:rPr>
          <w:rStyle w:val="FootnoteReference"/>
        </w:rPr>
        <w:footnoteRef/>
      </w:r>
      <w:r>
        <w:t xml:space="preserve"> </w:t>
      </w:r>
      <w:r w:rsidRPr="0022599F">
        <w:rPr>
          <w:i/>
          <w:iCs/>
        </w:rPr>
        <w:t>See</w:t>
      </w:r>
      <w:r>
        <w:t xml:space="preserve"> Assigned Commissioner’s Amendment to Scoping Memo and Ruling and Requesting Comment on Cost Recovery Issue at 4.</w:t>
      </w:r>
    </w:p>
  </w:footnote>
  <w:footnote w:id="12">
    <w:p w14:paraId="3362F87A" w14:textId="575E1593" w:rsidR="005C11EF" w:rsidRPr="009D3E37" w:rsidRDefault="005C11EF" w:rsidP="005C11EF">
      <w:pPr>
        <w:pStyle w:val="FootnoteText"/>
        <w:rPr>
          <w:i/>
          <w:iCs/>
        </w:rPr>
      </w:pPr>
      <w:r w:rsidRPr="009D3E37">
        <w:rPr>
          <w:rStyle w:val="FootnoteReference"/>
          <w:i/>
          <w:iCs/>
        </w:rPr>
        <w:footnoteRef/>
      </w:r>
      <w:r w:rsidRPr="009D3E37">
        <w:rPr>
          <w:i/>
          <w:iCs/>
        </w:rPr>
        <w:t xml:space="preserve"> </w:t>
      </w:r>
      <w:r w:rsidRPr="0022599F">
        <w:rPr>
          <w:i/>
          <w:iCs/>
        </w:rPr>
        <w:t>See</w:t>
      </w:r>
      <w:r>
        <w:t xml:space="preserve"> Assigned Commissioner’s Amendment to Scoping Memo and Ruling and Requesting Comment on Cost Recovery Issue at 4.</w:t>
      </w:r>
    </w:p>
  </w:footnote>
  <w:footnote w:id="13">
    <w:p w14:paraId="5F25C678" w14:textId="77777777" w:rsidR="00111148" w:rsidRDefault="00111148" w:rsidP="00111148">
      <w:pPr>
        <w:pStyle w:val="FootnoteText"/>
      </w:pPr>
      <w:r>
        <w:rPr>
          <w:rStyle w:val="FootnoteReference"/>
        </w:rPr>
        <w:footnoteRef/>
      </w:r>
      <w:r>
        <w:t xml:space="preserve"> Standard Practice U-27-W at 44, available at </w:t>
      </w:r>
      <w:hyperlink r:id="rId1" w:anchor="P267_22467" w:history="1">
        <w:r>
          <w:rPr>
            <w:rStyle w:val="Hyperlink"/>
          </w:rPr>
          <w:t>https://docs.cpuc.ca.gov/published/REPORT/84069.htm#P267_22467</w:t>
        </w:r>
      </w:hyperlink>
    </w:p>
  </w:footnote>
  <w:footnote w:id="14">
    <w:p w14:paraId="66A4D7CE" w14:textId="4F6E7EB8" w:rsidR="00762B06" w:rsidRDefault="00762B06">
      <w:pPr>
        <w:pStyle w:val="FootnoteText"/>
      </w:pPr>
      <w:r>
        <w:rPr>
          <w:rStyle w:val="FootnoteReference"/>
        </w:rPr>
        <w:footnoteRef/>
      </w:r>
      <w:r>
        <w:t xml:space="preserve"> </w:t>
      </w:r>
      <w:r w:rsidRPr="00762B06">
        <w:rPr>
          <w:i/>
          <w:iCs/>
        </w:rPr>
        <w:t>See</w:t>
      </w:r>
      <w:r>
        <w:t xml:space="preserve"> PG&amp;E Opening </w:t>
      </w:r>
      <w:r w:rsidR="00E63AB9">
        <w:t>c</w:t>
      </w:r>
      <w:r>
        <w:t>omments at 1, 4.</w:t>
      </w:r>
    </w:p>
  </w:footnote>
  <w:footnote w:id="15">
    <w:p w14:paraId="49F80FE8" w14:textId="5D003C46" w:rsidR="008B75B9" w:rsidRDefault="008B75B9">
      <w:pPr>
        <w:pStyle w:val="FootnoteText"/>
      </w:pPr>
      <w:r>
        <w:rPr>
          <w:rStyle w:val="FootnoteReference"/>
        </w:rPr>
        <w:footnoteRef/>
      </w:r>
      <w:r>
        <w:t xml:space="preserve"> </w:t>
      </w:r>
      <w:r w:rsidRPr="008B75B9">
        <w:rPr>
          <w:i/>
          <w:iCs/>
        </w:rPr>
        <w:t>See</w:t>
      </w:r>
      <w:r>
        <w:t xml:space="preserve"> Joint Utilities Reply </w:t>
      </w:r>
      <w:r w:rsidR="00E63AB9">
        <w:t>c</w:t>
      </w:r>
      <w:r>
        <w:t>omments at 3.</w:t>
      </w:r>
    </w:p>
  </w:footnote>
  <w:footnote w:id="16">
    <w:p w14:paraId="5F00B442" w14:textId="35243272" w:rsidR="00574567" w:rsidRDefault="00574567">
      <w:pPr>
        <w:pStyle w:val="FootnoteText"/>
      </w:pPr>
      <w:r>
        <w:rPr>
          <w:rStyle w:val="FootnoteReference"/>
        </w:rPr>
        <w:footnoteRef/>
      </w:r>
      <w:r>
        <w:t xml:space="preserve"> </w:t>
      </w:r>
      <w:r w:rsidRPr="00574567">
        <w:rPr>
          <w:i/>
          <w:iCs/>
        </w:rPr>
        <w:t>See</w:t>
      </w:r>
      <w:r>
        <w:t xml:space="preserve"> SCE Opening Comments at </w:t>
      </w:r>
      <w:r w:rsidR="00ED0573">
        <w:t xml:space="preserve">2, </w:t>
      </w:r>
      <w:r>
        <w:t>3.</w:t>
      </w:r>
    </w:p>
  </w:footnote>
  <w:footnote w:id="17">
    <w:p w14:paraId="40EAAF10" w14:textId="01A2AADD" w:rsidR="00876E97" w:rsidRDefault="00876E97">
      <w:pPr>
        <w:pStyle w:val="FootnoteText"/>
      </w:pPr>
      <w:r>
        <w:rPr>
          <w:rStyle w:val="FootnoteReference"/>
        </w:rPr>
        <w:footnoteRef/>
      </w:r>
      <w:r>
        <w:t xml:space="preserve"> </w:t>
      </w:r>
      <w:r w:rsidR="00E63AB9" w:rsidRPr="00C209F4">
        <w:rPr>
          <w:i/>
          <w:iCs/>
        </w:rPr>
        <w:t>See</w:t>
      </w:r>
      <w:r w:rsidR="00E63AB9">
        <w:t xml:space="preserve"> Cal Advocates Opening comments at 2.</w:t>
      </w:r>
    </w:p>
  </w:footnote>
  <w:footnote w:id="18">
    <w:p w14:paraId="04BF7194" w14:textId="2DA56EE5" w:rsidR="00064A4E" w:rsidRDefault="00064A4E">
      <w:pPr>
        <w:pStyle w:val="FootnoteText"/>
      </w:pPr>
      <w:r>
        <w:rPr>
          <w:rStyle w:val="FootnoteReference"/>
        </w:rPr>
        <w:footnoteRef/>
      </w:r>
      <w:r>
        <w:t xml:space="preserve"> </w:t>
      </w:r>
      <w:r w:rsidRPr="00064A4E">
        <w:rPr>
          <w:i/>
          <w:iCs/>
        </w:rPr>
        <w:t>See</w:t>
      </w:r>
      <w:r>
        <w:t xml:space="preserve"> Cal Advocates </w:t>
      </w:r>
      <w:r w:rsidR="00BA4856">
        <w:t>Reply</w:t>
      </w:r>
      <w:r>
        <w:t xml:space="preserve"> comments at </w:t>
      </w:r>
      <w:r w:rsidR="00BA4856">
        <w:t>3</w:t>
      </w:r>
      <w:r>
        <w:t>.</w:t>
      </w:r>
    </w:p>
  </w:footnote>
  <w:footnote w:id="19">
    <w:p w14:paraId="12F464E9" w14:textId="7257A3E2" w:rsidR="000018F5" w:rsidRDefault="000018F5">
      <w:pPr>
        <w:pStyle w:val="FootnoteText"/>
      </w:pPr>
      <w:r>
        <w:rPr>
          <w:rStyle w:val="FootnoteReference"/>
        </w:rPr>
        <w:footnoteRef/>
      </w:r>
      <w:r>
        <w:t xml:space="preserve"> </w:t>
      </w:r>
      <w:r w:rsidRPr="009B7077">
        <w:rPr>
          <w:i/>
          <w:iCs/>
        </w:rPr>
        <w:t>See</w:t>
      </w:r>
      <w:r>
        <w:t xml:space="preserve"> Opening Comments of TURN at 5, citing </w:t>
      </w:r>
      <w:r w:rsidR="005E3D12">
        <w:t>D.22-02-011, at 6-7.</w:t>
      </w:r>
    </w:p>
  </w:footnote>
  <w:footnote w:id="20">
    <w:p w14:paraId="694D2E9A" w14:textId="75325093" w:rsidR="00527562" w:rsidRDefault="00527562">
      <w:pPr>
        <w:pStyle w:val="FootnoteText"/>
      </w:pPr>
      <w:r>
        <w:rPr>
          <w:rStyle w:val="FootnoteReference"/>
        </w:rPr>
        <w:footnoteRef/>
      </w:r>
      <w:r>
        <w:t xml:space="preserve"> </w:t>
      </w:r>
      <w:r w:rsidRPr="009B7077">
        <w:rPr>
          <w:i/>
          <w:iCs/>
        </w:rPr>
        <w:t>See</w:t>
      </w:r>
      <w:r>
        <w:t xml:space="preserve"> Opening Comments of UCAN at 3.</w:t>
      </w:r>
    </w:p>
  </w:footnote>
  <w:footnote w:id="21">
    <w:p w14:paraId="7C5ADDB2" w14:textId="77777777" w:rsidR="00B55815" w:rsidRDefault="00B55815" w:rsidP="00B55815">
      <w:pPr>
        <w:pStyle w:val="FootnoteText"/>
      </w:pPr>
      <w:r>
        <w:rPr>
          <w:rStyle w:val="FootnoteReference"/>
        </w:rPr>
        <w:footnoteRef/>
      </w:r>
      <w:r>
        <w:t xml:space="preserve"> Sempra utilities are comprised of SoCalGas and SDG&amp;E.</w:t>
      </w:r>
    </w:p>
  </w:footnote>
  <w:footnote w:id="22">
    <w:p w14:paraId="44F7FDE2" w14:textId="77777777" w:rsidR="00B55815" w:rsidRDefault="00B55815" w:rsidP="00B55815">
      <w:pPr>
        <w:pStyle w:val="FootnoteText"/>
      </w:pPr>
      <w:r>
        <w:rPr>
          <w:rStyle w:val="FootnoteReference"/>
        </w:rPr>
        <w:footnoteRef/>
      </w:r>
      <w:r>
        <w:t xml:space="preserve"> </w:t>
      </w:r>
      <w:r w:rsidRPr="00D93FF1">
        <w:rPr>
          <w:i/>
          <w:iCs/>
        </w:rPr>
        <w:t>See</w:t>
      </w:r>
      <w:r>
        <w:t xml:space="preserve"> Opening Comments of Joint Utilities at 4-5.</w:t>
      </w:r>
    </w:p>
  </w:footnote>
  <w:footnote w:id="23">
    <w:p w14:paraId="78D3A9A1" w14:textId="77777777" w:rsidR="00B55815" w:rsidRDefault="00B55815" w:rsidP="00B55815">
      <w:pPr>
        <w:pStyle w:val="FootnoteText"/>
      </w:pPr>
      <w:r>
        <w:rPr>
          <w:rStyle w:val="FootnoteReference"/>
        </w:rPr>
        <w:footnoteRef/>
      </w:r>
      <w:r>
        <w:t xml:space="preserve"> </w:t>
      </w:r>
      <w:r w:rsidRPr="00D93FF1">
        <w:rPr>
          <w:i/>
          <w:iCs/>
        </w:rPr>
        <w:t>See</w:t>
      </w:r>
      <w:r>
        <w:t xml:space="preserve"> Opening Comments of Joint Utilities at 5.</w:t>
      </w:r>
    </w:p>
  </w:footnote>
  <w:footnote w:id="24">
    <w:p w14:paraId="1903A65A" w14:textId="4689AF0C" w:rsidR="00533092" w:rsidRDefault="00B55815" w:rsidP="00B55815">
      <w:pPr>
        <w:pStyle w:val="FootnoteText"/>
      </w:pPr>
      <w:r>
        <w:rPr>
          <w:rStyle w:val="FootnoteReference"/>
        </w:rPr>
        <w:footnoteRef/>
      </w:r>
      <w:r>
        <w:t xml:space="preserve"> </w:t>
      </w:r>
      <w:r w:rsidRPr="00D93FF1">
        <w:rPr>
          <w:i/>
          <w:iCs/>
        </w:rPr>
        <w:t>See</w:t>
      </w:r>
      <w:r>
        <w:t xml:space="preserve"> Opening Comments of PG&amp;E at 2. PG&amp;E has since filed A.25-05-009, its 2027 Test Year GRC.</w:t>
      </w:r>
    </w:p>
  </w:footnote>
  <w:footnote w:id="25">
    <w:p w14:paraId="494EBB7A" w14:textId="4AC9525D" w:rsidR="00995A9C" w:rsidRDefault="00533092" w:rsidP="00995A9C">
      <w:pPr>
        <w:pStyle w:val="FootnoteText"/>
      </w:pPr>
      <w:r w:rsidRPr="003E41F2">
        <w:rPr>
          <w:vertAlign w:val="superscript"/>
        </w:rPr>
        <w:t>24</w:t>
      </w:r>
      <w:r>
        <w:t xml:space="preserve"> </w:t>
      </w:r>
      <w:r w:rsidR="00995A9C" w:rsidRPr="00ED47CF">
        <w:rPr>
          <w:i/>
          <w:iCs/>
        </w:rPr>
        <w:t>See</w:t>
      </w:r>
      <w:r w:rsidR="00995A9C">
        <w:t xml:space="preserve"> Opening Comments of Cal Advocates at 3.</w:t>
      </w:r>
    </w:p>
  </w:footnote>
  <w:footnote w:id="26">
    <w:p w14:paraId="23283FCB" w14:textId="77C0F6BB" w:rsidR="006C3AF9" w:rsidRDefault="00427FB1">
      <w:pPr>
        <w:pStyle w:val="FootnoteText"/>
      </w:pPr>
      <w:r w:rsidRPr="003E41F2">
        <w:rPr>
          <w:vertAlign w:val="superscript"/>
        </w:rPr>
        <w:t>25</w:t>
      </w:r>
      <w:r>
        <w:t xml:space="preserve"> </w:t>
      </w:r>
      <w:r w:rsidR="006C3AF9" w:rsidRPr="00C209F4">
        <w:rPr>
          <w:i/>
          <w:iCs/>
        </w:rPr>
        <w:t>See</w:t>
      </w:r>
      <w:r w:rsidR="006C3AF9">
        <w:t xml:space="preserve"> Opening Comments of TURN at 6.</w:t>
      </w:r>
    </w:p>
  </w:footnote>
  <w:footnote w:id="27">
    <w:p w14:paraId="096DF52C" w14:textId="142219E1" w:rsidR="007F668B" w:rsidRDefault="00427FB1">
      <w:pPr>
        <w:pStyle w:val="FootnoteText"/>
      </w:pPr>
      <w:r w:rsidRPr="003E41F2">
        <w:rPr>
          <w:vertAlign w:val="superscript"/>
        </w:rPr>
        <w:t>26</w:t>
      </w:r>
      <w:r>
        <w:t xml:space="preserve"> </w:t>
      </w:r>
      <w:r w:rsidR="007F668B" w:rsidRPr="007F668B">
        <w:rPr>
          <w:i/>
          <w:iCs/>
        </w:rPr>
        <w:t>See</w:t>
      </w:r>
      <w:r w:rsidR="007F668B">
        <w:t xml:space="preserve"> Opening Comments of UCAN at 3.</w:t>
      </w:r>
    </w:p>
  </w:footnote>
  <w:footnote w:id="28">
    <w:p w14:paraId="7CFADBA3" w14:textId="017EAA9D" w:rsidR="00C30F9C" w:rsidRDefault="00427FB1" w:rsidP="00C30F9C">
      <w:pPr>
        <w:pStyle w:val="FootnoteText"/>
      </w:pPr>
      <w:r w:rsidRPr="003E41F2">
        <w:rPr>
          <w:vertAlign w:val="superscript"/>
        </w:rPr>
        <w:t>27</w:t>
      </w:r>
      <w:r>
        <w:t xml:space="preserve"> </w:t>
      </w:r>
      <w:r w:rsidR="00C30F9C" w:rsidRPr="00D93FF1">
        <w:rPr>
          <w:i/>
          <w:iCs/>
        </w:rPr>
        <w:t>See</w:t>
      </w:r>
      <w:r w:rsidR="00C30F9C">
        <w:t xml:space="preserve"> A.25-05-009.</w:t>
      </w:r>
    </w:p>
  </w:footnote>
  <w:footnote w:id="29">
    <w:p w14:paraId="3EC8EFFB" w14:textId="5CB5CC74" w:rsidR="00C30F9C" w:rsidRDefault="00427FB1" w:rsidP="00C30F9C">
      <w:pPr>
        <w:pStyle w:val="FootnoteText"/>
      </w:pPr>
      <w:r w:rsidRPr="003E41F2">
        <w:rPr>
          <w:vertAlign w:val="superscript"/>
        </w:rPr>
        <w:t>28</w:t>
      </w:r>
      <w:r>
        <w:t xml:space="preserve"> </w:t>
      </w:r>
      <w:r w:rsidR="00C30F9C" w:rsidRPr="00D93FF1">
        <w:rPr>
          <w:i/>
          <w:iCs/>
        </w:rPr>
        <w:t>See generally</w:t>
      </w:r>
      <w:r w:rsidR="00C30F9C">
        <w:t xml:space="preserve"> D.23-11-069 (approving PG&amp;E’s Test Year 2023 GRC).</w:t>
      </w:r>
    </w:p>
  </w:footnote>
  <w:footnote w:id="30">
    <w:p w14:paraId="641F73A8" w14:textId="29B33990" w:rsidR="00B924ED" w:rsidRDefault="00427FB1" w:rsidP="00B924ED">
      <w:pPr>
        <w:pStyle w:val="FootnoteText"/>
      </w:pPr>
      <w:r w:rsidRPr="003E41F2">
        <w:rPr>
          <w:vertAlign w:val="superscript"/>
        </w:rPr>
        <w:t>29</w:t>
      </w:r>
      <w:r>
        <w:t xml:space="preserve"> </w:t>
      </w:r>
      <w:r w:rsidR="00B924ED">
        <w:t>The Sempra utilities are comprised of SoCalGas and SDG&amp;E.</w:t>
      </w:r>
    </w:p>
  </w:footnote>
  <w:footnote w:id="31">
    <w:p w14:paraId="444D1FE4" w14:textId="2590850E" w:rsidR="00813D84" w:rsidRDefault="00427FB1">
      <w:pPr>
        <w:pStyle w:val="FootnoteText"/>
      </w:pPr>
      <w:r w:rsidRPr="003E41F2">
        <w:rPr>
          <w:vertAlign w:val="superscript"/>
        </w:rPr>
        <w:t>30</w:t>
      </w:r>
      <w:r>
        <w:t xml:space="preserve"> </w:t>
      </w:r>
      <w:r w:rsidR="00813D84" w:rsidRPr="00982B2B">
        <w:rPr>
          <w:i/>
          <w:iCs/>
        </w:rPr>
        <w:t>See</w:t>
      </w:r>
      <w:r w:rsidR="00813D84">
        <w:t xml:space="preserve"> Opening Comments of PG&amp;E at 2-3.</w:t>
      </w:r>
    </w:p>
  </w:footnote>
  <w:footnote w:id="32">
    <w:p w14:paraId="07888F30" w14:textId="0DD5AA97" w:rsidR="00601910" w:rsidRDefault="00427FB1">
      <w:pPr>
        <w:pStyle w:val="FootnoteText"/>
      </w:pPr>
      <w:r w:rsidRPr="003E41F2">
        <w:rPr>
          <w:vertAlign w:val="superscript"/>
        </w:rPr>
        <w:t>31</w:t>
      </w:r>
      <w:r>
        <w:t xml:space="preserve"> </w:t>
      </w:r>
      <w:r w:rsidR="00601910" w:rsidRPr="00DC164A">
        <w:rPr>
          <w:i/>
          <w:iCs/>
        </w:rPr>
        <w:t>Ibid.</w:t>
      </w:r>
    </w:p>
  </w:footnote>
  <w:footnote w:id="33">
    <w:p w14:paraId="10FF4A79" w14:textId="2899F64F" w:rsidR="008817CE" w:rsidRDefault="00427FB1">
      <w:pPr>
        <w:pStyle w:val="FootnoteText"/>
      </w:pPr>
      <w:r w:rsidRPr="003E41F2">
        <w:rPr>
          <w:vertAlign w:val="superscript"/>
        </w:rPr>
        <w:t>32</w:t>
      </w:r>
      <w:r>
        <w:t xml:space="preserve"> </w:t>
      </w:r>
      <w:r w:rsidR="00813D84">
        <w:rPr>
          <w:i/>
          <w:iCs/>
        </w:rPr>
        <w:t>Ibid.</w:t>
      </w:r>
    </w:p>
  </w:footnote>
  <w:footnote w:id="34">
    <w:p w14:paraId="36AFD2F9" w14:textId="2FEAF623" w:rsidR="00A97AF7" w:rsidRDefault="00427FB1">
      <w:pPr>
        <w:pStyle w:val="FootnoteText"/>
      </w:pPr>
      <w:r w:rsidRPr="003E41F2">
        <w:rPr>
          <w:vertAlign w:val="superscript"/>
        </w:rPr>
        <w:t>33</w:t>
      </w:r>
      <w:r>
        <w:t xml:space="preserve"> </w:t>
      </w:r>
      <w:r w:rsidR="00A97AF7" w:rsidRPr="00A97AF7">
        <w:rPr>
          <w:i/>
          <w:iCs/>
        </w:rPr>
        <w:t>See</w:t>
      </w:r>
      <w:r w:rsidR="00A97AF7">
        <w:t xml:space="preserve"> Opening Comments of Joint Utilities at 6-7.</w:t>
      </w:r>
    </w:p>
  </w:footnote>
  <w:footnote w:id="35">
    <w:p w14:paraId="5709589C" w14:textId="4078019B" w:rsidR="00B254BC" w:rsidRDefault="00427FB1">
      <w:pPr>
        <w:pStyle w:val="FootnoteText"/>
      </w:pPr>
      <w:r w:rsidRPr="003E41F2">
        <w:rPr>
          <w:vertAlign w:val="superscript"/>
        </w:rPr>
        <w:t>34</w:t>
      </w:r>
      <w:r>
        <w:t xml:space="preserve"> </w:t>
      </w:r>
      <w:r w:rsidR="00B254BC" w:rsidRPr="00B254BC">
        <w:rPr>
          <w:i/>
          <w:iCs/>
        </w:rPr>
        <w:t>See</w:t>
      </w:r>
      <w:r w:rsidR="00B254BC">
        <w:t xml:space="preserve"> Reply Comments of Joint Utilities at 3.</w:t>
      </w:r>
    </w:p>
  </w:footnote>
  <w:footnote w:id="36">
    <w:p w14:paraId="6869B34E" w14:textId="45B46C27" w:rsidR="00DE0114" w:rsidRDefault="00427FB1">
      <w:pPr>
        <w:pStyle w:val="FootnoteText"/>
      </w:pPr>
      <w:r>
        <w:rPr>
          <w:rStyle w:val="FootnoteReference"/>
        </w:rPr>
        <w:t>35</w:t>
      </w:r>
      <w:r>
        <w:t xml:space="preserve"> </w:t>
      </w:r>
      <w:r w:rsidR="00DE0114" w:rsidRPr="00E3436B">
        <w:rPr>
          <w:i/>
          <w:iCs/>
        </w:rPr>
        <w:t>See</w:t>
      </w:r>
      <w:r w:rsidR="00DE0114">
        <w:t xml:space="preserve"> Opening Comments of SCE at 4.</w:t>
      </w:r>
    </w:p>
  </w:footnote>
  <w:footnote w:id="37">
    <w:p w14:paraId="2EA2E8F5" w14:textId="398615F3" w:rsidR="009B21C0" w:rsidRDefault="00427FB1">
      <w:pPr>
        <w:pStyle w:val="FootnoteText"/>
      </w:pPr>
      <w:r>
        <w:rPr>
          <w:rStyle w:val="FootnoteReference"/>
        </w:rPr>
        <w:t>36</w:t>
      </w:r>
      <w:r>
        <w:t xml:space="preserve"> </w:t>
      </w:r>
      <w:r w:rsidR="009B21C0" w:rsidRPr="00DC164A">
        <w:rPr>
          <w:i/>
          <w:iCs/>
        </w:rPr>
        <w:t>Ibid.</w:t>
      </w:r>
    </w:p>
  </w:footnote>
  <w:footnote w:id="38">
    <w:p w14:paraId="7A5881BF" w14:textId="206EAF35" w:rsidR="000F7AB2" w:rsidRDefault="00427FB1">
      <w:pPr>
        <w:pStyle w:val="FootnoteText"/>
      </w:pPr>
      <w:r>
        <w:rPr>
          <w:rStyle w:val="FootnoteReference"/>
        </w:rPr>
        <w:t>37</w:t>
      </w:r>
      <w:r>
        <w:t xml:space="preserve"> </w:t>
      </w:r>
      <w:r w:rsidR="00DE0114">
        <w:rPr>
          <w:i/>
          <w:iCs/>
        </w:rPr>
        <w:t>Ibid</w:t>
      </w:r>
      <w:r w:rsidR="00E3436B">
        <w:t>.</w:t>
      </w:r>
    </w:p>
  </w:footnote>
  <w:footnote w:id="39">
    <w:p w14:paraId="66F18823" w14:textId="4553A1FB" w:rsidR="00302D6A" w:rsidRDefault="00427FB1">
      <w:pPr>
        <w:pStyle w:val="FootnoteText"/>
      </w:pPr>
      <w:r>
        <w:rPr>
          <w:rStyle w:val="FootnoteReference"/>
        </w:rPr>
        <w:t>38</w:t>
      </w:r>
      <w:r>
        <w:t xml:space="preserve"> </w:t>
      </w:r>
      <w:r w:rsidR="00302D6A" w:rsidRPr="00BD0A96">
        <w:rPr>
          <w:i/>
          <w:iCs/>
        </w:rPr>
        <w:t>See</w:t>
      </w:r>
      <w:r w:rsidR="00302D6A">
        <w:t xml:space="preserve"> Reply Comments of Cal Advocates at 3.</w:t>
      </w:r>
    </w:p>
  </w:footnote>
  <w:footnote w:id="40">
    <w:p w14:paraId="5B5DE7F5" w14:textId="4343367E" w:rsidR="005D0C58" w:rsidRDefault="00427FB1">
      <w:pPr>
        <w:pStyle w:val="FootnoteText"/>
      </w:pPr>
      <w:r>
        <w:rPr>
          <w:rStyle w:val="FootnoteReference"/>
        </w:rPr>
        <w:t>39</w:t>
      </w:r>
      <w:r>
        <w:t xml:space="preserve"> </w:t>
      </w:r>
      <w:r w:rsidR="005D0C58" w:rsidRPr="00DC164A">
        <w:rPr>
          <w:i/>
          <w:iCs/>
        </w:rPr>
        <w:t>Ibid.</w:t>
      </w:r>
    </w:p>
  </w:footnote>
  <w:footnote w:id="41">
    <w:p w14:paraId="6FC657A7" w14:textId="64BD25F2" w:rsidR="00C34550" w:rsidRDefault="00427FB1">
      <w:pPr>
        <w:pStyle w:val="FootnoteText"/>
      </w:pPr>
      <w:r>
        <w:rPr>
          <w:rStyle w:val="FootnoteReference"/>
        </w:rPr>
        <w:t>40</w:t>
      </w:r>
      <w:r>
        <w:t xml:space="preserve"> </w:t>
      </w:r>
      <w:r w:rsidR="00C34550" w:rsidRPr="00DC164A">
        <w:rPr>
          <w:i/>
          <w:iCs/>
        </w:rPr>
        <w:t>Ibid.</w:t>
      </w:r>
    </w:p>
  </w:footnote>
  <w:footnote w:id="42">
    <w:p w14:paraId="038BE10B" w14:textId="21416FD6" w:rsidR="003111C8" w:rsidRDefault="00427FB1">
      <w:pPr>
        <w:pStyle w:val="FootnoteText"/>
      </w:pPr>
      <w:r>
        <w:rPr>
          <w:rStyle w:val="FootnoteReference"/>
        </w:rPr>
        <w:t>41</w:t>
      </w:r>
      <w:r>
        <w:t xml:space="preserve"> </w:t>
      </w:r>
      <w:r w:rsidR="00302D6A">
        <w:rPr>
          <w:i/>
          <w:iCs/>
        </w:rPr>
        <w:t>Ibid</w:t>
      </w:r>
      <w:r w:rsidR="00BD0A96">
        <w:t>.</w:t>
      </w:r>
    </w:p>
  </w:footnote>
  <w:footnote w:id="43">
    <w:p w14:paraId="5D95A3AE" w14:textId="5CA1E5BD" w:rsidR="00396868" w:rsidRDefault="00427FB1">
      <w:pPr>
        <w:pStyle w:val="FootnoteText"/>
      </w:pPr>
      <w:r>
        <w:rPr>
          <w:rStyle w:val="FootnoteReference"/>
        </w:rPr>
        <w:t>42</w:t>
      </w:r>
      <w:r>
        <w:t xml:space="preserve"> </w:t>
      </w:r>
      <w:r w:rsidR="00396868" w:rsidRPr="00396868">
        <w:rPr>
          <w:i/>
          <w:iCs/>
        </w:rPr>
        <w:t>See</w:t>
      </w:r>
      <w:r w:rsidR="00396868">
        <w:t xml:space="preserve"> Opening Comments of TURN at 4.</w:t>
      </w:r>
    </w:p>
  </w:footnote>
  <w:footnote w:id="44">
    <w:p w14:paraId="63CCA329" w14:textId="327181AC" w:rsidR="00937835" w:rsidRDefault="00427FB1">
      <w:pPr>
        <w:pStyle w:val="FootnoteText"/>
      </w:pPr>
      <w:r>
        <w:rPr>
          <w:rStyle w:val="FootnoteReference"/>
        </w:rPr>
        <w:t>43</w:t>
      </w:r>
      <w:r>
        <w:t xml:space="preserve"> </w:t>
      </w:r>
      <w:r w:rsidR="007C126B" w:rsidRPr="007C126B">
        <w:rPr>
          <w:i/>
          <w:iCs/>
        </w:rPr>
        <w:t>See</w:t>
      </w:r>
      <w:r w:rsidR="007C126B">
        <w:t xml:space="preserve"> Opening Comments of TURN at 3.</w:t>
      </w:r>
    </w:p>
  </w:footnote>
  <w:footnote w:id="45">
    <w:p w14:paraId="09E63E1B" w14:textId="58D83ADC" w:rsidR="007C06D2" w:rsidRDefault="00427FB1">
      <w:pPr>
        <w:pStyle w:val="FootnoteText"/>
      </w:pPr>
      <w:r>
        <w:rPr>
          <w:rStyle w:val="FootnoteReference"/>
        </w:rPr>
        <w:t>44</w:t>
      </w:r>
      <w:r>
        <w:t xml:space="preserve"> </w:t>
      </w:r>
      <w:r w:rsidR="007C06D2" w:rsidRPr="00DC164A">
        <w:rPr>
          <w:i/>
          <w:iCs/>
        </w:rPr>
        <w:t>See</w:t>
      </w:r>
      <w:r w:rsidR="007C06D2">
        <w:t xml:space="preserve"> Opening </w:t>
      </w:r>
      <w:r w:rsidR="00615144">
        <w:t>c</w:t>
      </w:r>
      <w:r w:rsidR="007C06D2">
        <w:t>omments of UCAN at 4.</w:t>
      </w:r>
    </w:p>
  </w:footnote>
  <w:footnote w:id="46">
    <w:p w14:paraId="2681691A" w14:textId="7432AD13" w:rsidR="00C23643" w:rsidRDefault="00427FB1" w:rsidP="00C23643">
      <w:pPr>
        <w:pStyle w:val="FootnoteText"/>
      </w:pPr>
      <w:r>
        <w:rPr>
          <w:rStyle w:val="FootnoteReference"/>
        </w:rPr>
        <w:t>45</w:t>
      </w:r>
      <w:r>
        <w:t xml:space="preserve"> </w:t>
      </w:r>
      <w:r w:rsidR="00C23643" w:rsidRPr="005633FD">
        <w:rPr>
          <w:i/>
          <w:iCs/>
        </w:rPr>
        <w:t>Ibid.</w:t>
      </w:r>
    </w:p>
  </w:footnote>
  <w:footnote w:id="47">
    <w:p w14:paraId="33325124" w14:textId="02A28686" w:rsidR="006C6E41" w:rsidRDefault="00427FB1">
      <w:pPr>
        <w:pStyle w:val="FootnoteText"/>
      </w:pPr>
      <w:r>
        <w:rPr>
          <w:rStyle w:val="FootnoteReference"/>
        </w:rPr>
        <w:t>46</w:t>
      </w:r>
      <w:r>
        <w:t xml:space="preserve"> </w:t>
      </w:r>
      <w:r w:rsidR="006C6E41" w:rsidRPr="00E05B1E">
        <w:rPr>
          <w:i/>
          <w:iCs/>
        </w:rPr>
        <w:t>See</w:t>
      </w:r>
      <w:r w:rsidR="006C6E41">
        <w:t xml:space="preserve"> Opening Comments of UCAN at 1.</w:t>
      </w:r>
    </w:p>
  </w:footnote>
  <w:footnote w:id="48">
    <w:p w14:paraId="51111C6B" w14:textId="5DFDB9A4" w:rsidR="002F2057" w:rsidRDefault="00427FB1">
      <w:pPr>
        <w:pStyle w:val="FootnoteText"/>
      </w:pPr>
      <w:r>
        <w:rPr>
          <w:rStyle w:val="FootnoteReference"/>
        </w:rPr>
        <w:t>47</w:t>
      </w:r>
      <w:r>
        <w:t xml:space="preserve"> </w:t>
      </w:r>
      <w:r w:rsidR="002F2057" w:rsidRPr="00DC164A">
        <w:rPr>
          <w:i/>
          <w:iCs/>
        </w:rPr>
        <w:t>Ibid.</w:t>
      </w:r>
    </w:p>
  </w:footnote>
  <w:footnote w:id="49">
    <w:p w14:paraId="771BF696" w14:textId="2D9A12EB" w:rsidR="00562AA2" w:rsidRDefault="009C2172">
      <w:pPr>
        <w:pStyle w:val="FootnoteText"/>
      </w:pPr>
      <w:r>
        <w:rPr>
          <w:rStyle w:val="FootnoteReference"/>
        </w:rPr>
        <w:t>48</w:t>
      </w:r>
      <w:r>
        <w:t xml:space="preserve"> </w:t>
      </w:r>
      <w:r w:rsidR="002F2057">
        <w:rPr>
          <w:i/>
          <w:iCs/>
        </w:rPr>
        <w:t>Ibid.</w:t>
      </w:r>
    </w:p>
  </w:footnote>
  <w:footnote w:id="50">
    <w:p w14:paraId="42C86683" w14:textId="19A97469" w:rsidR="000E7279" w:rsidRDefault="009C2172">
      <w:pPr>
        <w:pStyle w:val="FootnoteText"/>
      </w:pPr>
      <w:r>
        <w:rPr>
          <w:rStyle w:val="FootnoteReference"/>
        </w:rPr>
        <w:t>49</w:t>
      </w:r>
      <w:r>
        <w:t xml:space="preserve"> </w:t>
      </w:r>
      <w:r w:rsidR="000E7279" w:rsidRPr="00C209F4">
        <w:rPr>
          <w:i/>
          <w:iCs/>
        </w:rPr>
        <w:t>See</w:t>
      </w:r>
      <w:r w:rsidR="000E7279">
        <w:t xml:space="preserve"> Pub. Util. Code Section 661, </w:t>
      </w:r>
      <w:r w:rsidR="000E7279" w:rsidRPr="000E7279">
        <w:rPr>
          <w:i/>
          <w:iCs/>
        </w:rPr>
        <w:t>et. seq</w:t>
      </w:r>
      <w:r w:rsidR="000E7279">
        <w:t>.</w:t>
      </w:r>
    </w:p>
  </w:footnote>
  <w:footnote w:id="51">
    <w:p w14:paraId="29D338A1" w14:textId="7E09D9BC" w:rsidR="002E0B5C" w:rsidRDefault="009C2172">
      <w:pPr>
        <w:pStyle w:val="FootnoteText"/>
      </w:pPr>
      <w:r>
        <w:rPr>
          <w:rStyle w:val="FootnoteReference"/>
        </w:rPr>
        <w:t>50</w:t>
      </w:r>
      <w:r>
        <w:t xml:space="preserve"> </w:t>
      </w:r>
      <w:r w:rsidR="002E0B5C" w:rsidRPr="003E41F2">
        <w:rPr>
          <w:i/>
          <w:iCs/>
        </w:rPr>
        <w:t>See</w:t>
      </w:r>
      <w:r w:rsidR="002E0B5C">
        <w:t xml:space="preserve"> D.18-07-025 at 4-6.</w:t>
      </w:r>
    </w:p>
  </w:footnote>
  <w:footnote w:id="52">
    <w:p w14:paraId="3912F119" w14:textId="36DB2544" w:rsidR="00A3720E" w:rsidRDefault="009C2172">
      <w:pPr>
        <w:pStyle w:val="FootnoteText"/>
      </w:pPr>
      <w:r>
        <w:rPr>
          <w:rStyle w:val="FootnoteReference"/>
        </w:rPr>
        <w:t>51</w:t>
      </w:r>
      <w:r>
        <w:t xml:space="preserve"> </w:t>
      </w:r>
      <w:r w:rsidR="00A3720E" w:rsidRPr="00BA5AFF">
        <w:rPr>
          <w:i/>
          <w:iCs/>
        </w:rPr>
        <w:t>See</w:t>
      </w:r>
      <w:r w:rsidR="00A3720E">
        <w:t xml:space="preserve"> Opening Comments of PG&amp;E at 3.</w:t>
      </w:r>
    </w:p>
  </w:footnote>
  <w:footnote w:id="53">
    <w:p w14:paraId="49754A72" w14:textId="5463406B" w:rsidR="00BA5AFF" w:rsidRDefault="009C2172">
      <w:pPr>
        <w:pStyle w:val="FootnoteText"/>
      </w:pPr>
      <w:r>
        <w:rPr>
          <w:rStyle w:val="FootnoteReference"/>
        </w:rPr>
        <w:t>52</w:t>
      </w:r>
      <w:r>
        <w:t xml:space="preserve"> </w:t>
      </w:r>
      <w:r w:rsidR="00BA5AFF" w:rsidRPr="00BA5AFF">
        <w:rPr>
          <w:i/>
          <w:iCs/>
        </w:rPr>
        <w:t>See</w:t>
      </w:r>
      <w:r w:rsidR="00BA5AFF">
        <w:t xml:space="preserve"> Opening Comments of Joint Utilities at 8.</w:t>
      </w:r>
    </w:p>
  </w:footnote>
  <w:footnote w:id="54">
    <w:p w14:paraId="4772E666" w14:textId="084AFBAE" w:rsidR="003F29AD" w:rsidRDefault="009C2172">
      <w:pPr>
        <w:pStyle w:val="FootnoteText"/>
      </w:pPr>
      <w:r>
        <w:rPr>
          <w:rStyle w:val="FootnoteReference"/>
        </w:rPr>
        <w:t>53</w:t>
      </w:r>
      <w:r>
        <w:t xml:space="preserve"> </w:t>
      </w:r>
      <w:r w:rsidR="003F29AD" w:rsidRPr="003F29AD">
        <w:rPr>
          <w:i/>
          <w:iCs/>
        </w:rPr>
        <w:t>See</w:t>
      </w:r>
      <w:r w:rsidR="003F29AD">
        <w:t xml:space="preserve"> Reply Comments of Joint Utilities at 3.</w:t>
      </w:r>
    </w:p>
  </w:footnote>
  <w:footnote w:id="55">
    <w:p w14:paraId="64FA661D" w14:textId="5AA18BB2" w:rsidR="006C5C65" w:rsidRDefault="009C2172">
      <w:pPr>
        <w:pStyle w:val="FootnoteText"/>
      </w:pPr>
      <w:r>
        <w:rPr>
          <w:rStyle w:val="FootnoteReference"/>
        </w:rPr>
        <w:t>54</w:t>
      </w:r>
      <w:r>
        <w:t xml:space="preserve"> </w:t>
      </w:r>
      <w:r w:rsidR="006C5C65" w:rsidRPr="006C5C65">
        <w:rPr>
          <w:i/>
          <w:iCs/>
        </w:rPr>
        <w:t>See</w:t>
      </w:r>
      <w:r w:rsidR="006C5C65">
        <w:t xml:space="preserve"> Opening Comments of Cal Advocates at 4.</w:t>
      </w:r>
    </w:p>
  </w:footnote>
  <w:footnote w:id="56">
    <w:p w14:paraId="05AA4490" w14:textId="7C97C0B3" w:rsidR="00AD0291" w:rsidRDefault="009C2172">
      <w:pPr>
        <w:pStyle w:val="FootnoteText"/>
      </w:pPr>
      <w:r>
        <w:rPr>
          <w:rStyle w:val="FootnoteReference"/>
        </w:rPr>
        <w:t>55</w:t>
      </w:r>
      <w:r>
        <w:t xml:space="preserve"> </w:t>
      </w:r>
      <w:r w:rsidR="00AD0291" w:rsidRPr="00AD0291">
        <w:rPr>
          <w:i/>
          <w:iCs/>
        </w:rPr>
        <w:t>See</w:t>
      </w:r>
      <w:r w:rsidR="00AD0291">
        <w:t xml:space="preserve"> Opening Comments of TURN at 3.</w:t>
      </w:r>
    </w:p>
  </w:footnote>
  <w:footnote w:id="57">
    <w:p w14:paraId="3917C2CB" w14:textId="7A8F0C18" w:rsidR="000A5200" w:rsidRDefault="009C2172">
      <w:pPr>
        <w:pStyle w:val="FootnoteText"/>
      </w:pPr>
      <w:r>
        <w:rPr>
          <w:rStyle w:val="FootnoteReference"/>
        </w:rPr>
        <w:t>56</w:t>
      </w:r>
      <w:r>
        <w:t xml:space="preserve"> </w:t>
      </w:r>
      <w:r w:rsidR="000A5200" w:rsidRPr="00087EA7">
        <w:rPr>
          <w:i/>
          <w:iCs/>
        </w:rPr>
        <w:t>See</w:t>
      </w:r>
      <w:r w:rsidR="000A5200">
        <w:t xml:space="preserve"> Opening Comments of TURN at 8-9.</w:t>
      </w:r>
    </w:p>
  </w:footnote>
  <w:footnote w:id="58">
    <w:p w14:paraId="6ABB1D10" w14:textId="2DEE9659" w:rsidR="00087EA7" w:rsidRDefault="009C2172">
      <w:pPr>
        <w:pStyle w:val="FootnoteText"/>
      </w:pPr>
      <w:r>
        <w:rPr>
          <w:rStyle w:val="FootnoteReference"/>
        </w:rPr>
        <w:t>57</w:t>
      </w:r>
      <w:r>
        <w:t xml:space="preserve"> </w:t>
      </w:r>
      <w:r w:rsidR="00087EA7" w:rsidRPr="00087EA7">
        <w:rPr>
          <w:i/>
          <w:iCs/>
        </w:rPr>
        <w:t>See</w:t>
      </w:r>
      <w:r w:rsidR="00087EA7">
        <w:t xml:space="preserve"> Opening Comments of UCAN at 6.</w:t>
      </w:r>
    </w:p>
  </w:footnote>
  <w:footnote w:id="59">
    <w:p w14:paraId="2065B8FF" w14:textId="54BC8984" w:rsidR="00A90E57" w:rsidRDefault="009C2172">
      <w:pPr>
        <w:pStyle w:val="FootnoteText"/>
      </w:pPr>
      <w:r>
        <w:rPr>
          <w:rStyle w:val="FootnoteReference"/>
        </w:rPr>
        <w:t>58</w:t>
      </w:r>
      <w:r>
        <w:t xml:space="preserve"> </w:t>
      </w:r>
      <w:r w:rsidR="00A400CF" w:rsidRPr="00974231">
        <w:rPr>
          <w:i/>
          <w:iCs/>
        </w:rPr>
        <w:t>See</w:t>
      </w:r>
      <w:r w:rsidR="00A400CF">
        <w:t xml:space="preserve"> Reply Comments of IS</w:t>
      </w:r>
      <w:r w:rsidR="00C56816">
        <w:t>-</w:t>
      </w:r>
      <w:r w:rsidR="00A400CF">
        <w:t>AECA at 2.</w:t>
      </w:r>
    </w:p>
  </w:footnote>
  <w:footnote w:id="60">
    <w:p w14:paraId="6C6C0548" w14:textId="3DBC4F8F" w:rsidR="00A400CF" w:rsidRDefault="009C2172">
      <w:pPr>
        <w:pStyle w:val="FootnoteText"/>
      </w:pPr>
      <w:r>
        <w:rPr>
          <w:rStyle w:val="FootnoteReference"/>
        </w:rPr>
        <w:t>59</w:t>
      </w:r>
      <w:r>
        <w:t xml:space="preserve"> </w:t>
      </w:r>
      <w:r w:rsidR="00A400CF" w:rsidRPr="00DC164A">
        <w:rPr>
          <w:i/>
          <w:iCs/>
        </w:rPr>
        <w:t>Ibid.</w:t>
      </w:r>
    </w:p>
  </w:footnote>
  <w:footnote w:id="61">
    <w:p w14:paraId="6EFB0A3F" w14:textId="7A08CF13" w:rsidR="00974231" w:rsidRDefault="009C2172">
      <w:pPr>
        <w:pStyle w:val="FootnoteText"/>
      </w:pPr>
      <w:r>
        <w:rPr>
          <w:rStyle w:val="FootnoteReference"/>
        </w:rPr>
        <w:t>60</w:t>
      </w:r>
      <w:r>
        <w:t xml:space="preserve"> </w:t>
      </w:r>
      <w:r w:rsidR="00A400CF">
        <w:rPr>
          <w:i/>
          <w:iCs/>
        </w:rPr>
        <w:t>Ibid</w:t>
      </w:r>
      <w:r w:rsidR="00974231">
        <w:t>.</w:t>
      </w:r>
    </w:p>
  </w:footnote>
  <w:footnote w:id="62">
    <w:p w14:paraId="4648236F" w14:textId="0A4DD603" w:rsidR="00E361E4" w:rsidRDefault="009C2172" w:rsidP="00E361E4">
      <w:pPr>
        <w:pStyle w:val="FootnoteText"/>
      </w:pPr>
      <w:r>
        <w:rPr>
          <w:rStyle w:val="FootnoteReference"/>
        </w:rPr>
        <w:t>61</w:t>
      </w:r>
      <w:r>
        <w:t xml:space="preserve"> </w:t>
      </w:r>
      <w:r w:rsidR="00E361E4">
        <w:t>D.24-12-074 at 26.</w:t>
      </w:r>
    </w:p>
  </w:footnote>
  <w:footnote w:id="63">
    <w:p w14:paraId="444ABCD7" w14:textId="19860D6A" w:rsidR="00E93D0F" w:rsidRDefault="009C2172">
      <w:pPr>
        <w:pStyle w:val="FootnoteText"/>
      </w:pPr>
      <w:r>
        <w:rPr>
          <w:rStyle w:val="FootnoteReference"/>
        </w:rPr>
        <w:t>62</w:t>
      </w:r>
      <w:r>
        <w:t xml:space="preserve"> </w:t>
      </w:r>
      <w:r w:rsidR="002641A2" w:rsidRPr="009F2EEB">
        <w:rPr>
          <w:i/>
          <w:iCs/>
        </w:rPr>
        <w:t>See generally</w:t>
      </w:r>
      <w:r w:rsidR="002641A2">
        <w:t xml:space="preserve"> SB 1221, Section 1 (Min), Stats. 2024, ch. 602</w:t>
      </w:r>
    </w:p>
  </w:footnote>
  <w:footnote w:id="64">
    <w:p w14:paraId="54197EEA" w14:textId="669D55F3" w:rsidR="00665563" w:rsidRDefault="009C2172">
      <w:pPr>
        <w:pStyle w:val="FootnoteText"/>
      </w:pPr>
      <w:r>
        <w:rPr>
          <w:rStyle w:val="FootnoteReference"/>
        </w:rPr>
        <w:t>63</w:t>
      </w:r>
      <w:r>
        <w:t xml:space="preserve"> </w:t>
      </w:r>
      <w:r w:rsidR="00665563" w:rsidRPr="00E41038">
        <w:rPr>
          <w:i/>
          <w:iCs/>
        </w:rPr>
        <w:t>See</w:t>
      </w:r>
      <w:r w:rsidR="00665563">
        <w:t xml:space="preserve"> D. </w:t>
      </w:r>
      <w:r w:rsidR="000D0526">
        <w:t>18-06-029, D.18-11-051, and D.20-11-034</w:t>
      </w:r>
      <w:r w:rsidR="00C81CC6">
        <w:t xml:space="preserve">, authorizing PG&amp;E, SCE, and Liberty Utilities to establish Wildfire Expense Memorandum Accounts </w:t>
      </w:r>
      <w:r w:rsidR="004D5CAD">
        <w:t>before the decision date.</w:t>
      </w:r>
    </w:p>
  </w:footnote>
  <w:footnote w:id="65">
    <w:p w14:paraId="1A6D08B9" w14:textId="63035ACE" w:rsidR="00C02B03" w:rsidRDefault="00282318">
      <w:pPr>
        <w:pStyle w:val="FootnoteText"/>
      </w:pPr>
      <w:r w:rsidRPr="003E41F2">
        <w:rPr>
          <w:vertAlign w:val="superscript"/>
        </w:rPr>
        <w:t>64</w:t>
      </w:r>
      <w:r>
        <w:t xml:space="preserve"> </w:t>
      </w:r>
      <w:r w:rsidR="009C2172">
        <w:t>S</w:t>
      </w:r>
      <w:r w:rsidR="000C2D7C">
        <w:t>ubject utilities include PG&amp;E, Southwest Gas, SoCalGas, SDG&amp;E</w:t>
      </w:r>
      <w:r w:rsidR="0040126D">
        <w:t>,</w:t>
      </w:r>
      <w:r w:rsidR="000C2D7C">
        <w:t xml:space="preserve"> and Small Gas Utilities </w:t>
      </w:r>
      <w:r w:rsidR="0003090D">
        <w:t>per Section 8 of the Assigned Commissioner’s Ruling Issuing Senate Bill 1221 Mapping Directions to Utilities, filed April 18, 2025.</w:t>
      </w:r>
    </w:p>
  </w:footnote>
  <w:footnote w:id="66">
    <w:p w14:paraId="4A436586" w14:textId="55AE3209" w:rsidR="00992AEA" w:rsidRDefault="00282318">
      <w:pPr>
        <w:pStyle w:val="FootnoteText"/>
      </w:pPr>
      <w:r>
        <w:rPr>
          <w:rStyle w:val="FootnoteReference"/>
        </w:rPr>
        <w:t>65</w:t>
      </w:r>
      <w:r>
        <w:t xml:space="preserve"> </w:t>
      </w:r>
      <w:r w:rsidR="00792FD0">
        <w:t>April 21, 2025</w:t>
      </w:r>
      <w:r w:rsidR="009C2172">
        <w:t>,</w:t>
      </w:r>
      <w:r w:rsidR="00792FD0">
        <w:t xml:space="preserve"> is the </w:t>
      </w:r>
      <w:r w:rsidR="00F45BC6">
        <w:t xml:space="preserve">issuance date of the </w:t>
      </w:r>
      <w:r w:rsidR="00017E26">
        <w:t>Assigned Commissioner’s Amendment to the Scoping Memo.</w:t>
      </w:r>
    </w:p>
  </w:footnote>
  <w:footnote w:id="67">
    <w:p w14:paraId="4A04C277" w14:textId="393B8FB1" w:rsidR="004B0B5B" w:rsidRDefault="00282318">
      <w:pPr>
        <w:pStyle w:val="FootnoteText"/>
      </w:pPr>
      <w:r>
        <w:rPr>
          <w:rStyle w:val="FootnoteReference"/>
        </w:rPr>
        <w:t>66</w:t>
      </w:r>
      <w:r>
        <w:t xml:space="preserve"> </w:t>
      </w:r>
      <w:r w:rsidR="00150A4E">
        <w:t xml:space="preserve">For Prudent Manager Standard, </w:t>
      </w:r>
      <w:r w:rsidR="00150A4E" w:rsidRPr="003E41F2">
        <w:rPr>
          <w:i/>
          <w:iCs/>
        </w:rPr>
        <w:t>see</w:t>
      </w:r>
      <w:r w:rsidR="00150A4E">
        <w:t xml:space="preserve"> e.g., D.18-07-025 at 4-6.</w:t>
      </w:r>
    </w:p>
  </w:footnote>
  <w:footnote w:id="68">
    <w:p w14:paraId="620239FC" w14:textId="663C08AF" w:rsidR="000934C9" w:rsidRDefault="00282318">
      <w:pPr>
        <w:pStyle w:val="FootnoteText"/>
      </w:pPr>
      <w:r w:rsidRPr="003E41F2">
        <w:rPr>
          <w:vertAlign w:val="superscript"/>
        </w:rPr>
        <w:t>67</w:t>
      </w:r>
      <w:r>
        <w:t xml:space="preserve"> </w:t>
      </w:r>
      <w:r w:rsidR="002D06FE" w:rsidRPr="003E41F2">
        <w:rPr>
          <w:i/>
          <w:iCs/>
        </w:rPr>
        <w:t>See</w:t>
      </w:r>
      <w:r w:rsidR="002D06FE">
        <w:t xml:space="preserve"> Assigned Commissioner’s Ruling filed November 12, 2024, at </w:t>
      </w:r>
      <w:r w:rsidR="00A260AE">
        <w:t>3-4.</w:t>
      </w:r>
    </w:p>
  </w:footnote>
  <w:footnote w:id="69">
    <w:p w14:paraId="7534F691" w14:textId="57EAF7FC" w:rsidR="00B2065E" w:rsidRDefault="00282318">
      <w:pPr>
        <w:pStyle w:val="FootnoteText"/>
      </w:pPr>
      <w:r w:rsidRPr="003E41F2">
        <w:rPr>
          <w:vertAlign w:val="superscript"/>
        </w:rPr>
        <w:t>68</w:t>
      </w:r>
      <w:r>
        <w:t xml:space="preserve"> </w:t>
      </w:r>
      <w:r w:rsidR="00B2065E" w:rsidRPr="003E41F2">
        <w:rPr>
          <w:i/>
          <w:iCs/>
        </w:rPr>
        <w:t>See</w:t>
      </w:r>
      <w:r w:rsidR="00B2065E">
        <w:t xml:space="preserve"> D.25-06-010 at 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E571B" w14:textId="13410230" w:rsidR="00BD2BF2" w:rsidRDefault="00BD2BF2" w:rsidP="00BD2BF2">
    <w:pPr>
      <w:pStyle w:val="Header"/>
      <w:tabs>
        <w:tab w:val="clear" w:pos="4680"/>
      </w:tabs>
      <w:ind w:firstLine="0"/>
      <w:rPr>
        <w:b/>
      </w:rPr>
    </w:pPr>
  </w:p>
  <w:p w14:paraId="1AA74F42" w14:textId="77777777" w:rsidR="00BD2BF2" w:rsidRDefault="00BD2BF2" w:rsidP="00BD2BF2">
    <w:pPr>
      <w:pStyle w:val="Header"/>
      <w:tabs>
        <w:tab w:val="clear" w:pos="4680"/>
      </w:tabs>
      <w:ind w:firstLine="0"/>
      <w:rPr>
        <w:b/>
      </w:rPr>
    </w:pPr>
  </w:p>
  <w:p w14:paraId="321C426A" w14:textId="77777777" w:rsidR="00BD2BF2" w:rsidRPr="00585390" w:rsidRDefault="00BD2BF2" w:rsidP="00BD2BF2">
    <w:pPr>
      <w:pStyle w:val="Header"/>
      <w:tabs>
        <w:tab w:val="clear" w:pos="4680"/>
      </w:tabs>
      <w:ind w:firstLine="0"/>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74A84" w14:textId="77777777" w:rsidR="00D11568" w:rsidRPr="00F92385" w:rsidRDefault="00D11568" w:rsidP="00F92385">
    <w:pPr>
      <w:pStyle w:val="Header"/>
      <w:ind w:firstLine="0"/>
      <w:rPr>
        <w:i/>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E1241" w14:textId="7CE5F2B3" w:rsidR="00D11568" w:rsidRDefault="00D11568" w:rsidP="00B3087D">
    <w:pPr>
      <w:pStyle w:val="Header"/>
      <w:tabs>
        <w:tab w:val="clear" w:pos="4680"/>
      </w:tabs>
      <w:ind w:firstLine="0"/>
      <w:rPr>
        <w:b/>
      </w:rPr>
    </w:pPr>
    <w:bookmarkStart w:id="3" w:name="_Hlk199511775"/>
    <w:r>
      <w:t>R.</w:t>
    </w:r>
    <w:r w:rsidRPr="00D11568">
      <w:t>24-09-012</w:t>
    </w:r>
    <w:r>
      <w:t xml:space="preserve">  </w:t>
    </w:r>
    <w:r w:rsidR="008825BE">
      <w:t>COM</w:t>
    </w:r>
    <w:r w:rsidRPr="00D11568">
      <w:t>/</w:t>
    </w:r>
    <w:r w:rsidR="000F2701">
      <w:t>KDL</w:t>
    </w:r>
    <w:r w:rsidRPr="00D11568">
      <w:t>/abb</w:t>
    </w:r>
    <w:bookmarkEnd w:id="3"/>
  </w:p>
  <w:p w14:paraId="3F397090" w14:textId="30639C50" w:rsidR="00BD2BF2" w:rsidRDefault="00BD2BF2" w:rsidP="00B3087D">
    <w:pPr>
      <w:pStyle w:val="Header"/>
      <w:tabs>
        <w:tab w:val="clear" w:pos="4680"/>
      </w:tabs>
      <w:ind w:firstLine="0"/>
      <w:rPr>
        <w:b/>
      </w:rPr>
    </w:pPr>
  </w:p>
  <w:p w14:paraId="0E0498FC" w14:textId="77777777" w:rsidR="00BD2BF2" w:rsidRPr="00BD2BF2" w:rsidRDefault="00BD2BF2" w:rsidP="00B3087D">
    <w:pPr>
      <w:pStyle w:val="Header"/>
      <w:tabs>
        <w:tab w:val="clear" w:pos="4680"/>
      </w:tabs>
      <w:ind w:firstLine="0"/>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CE587" w14:textId="45DD5DB1" w:rsidR="00D11568" w:rsidRDefault="00D11568" w:rsidP="00B3087D">
    <w:pPr>
      <w:pStyle w:val="Header"/>
      <w:tabs>
        <w:tab w:val="clear" w:pos="4680"/>
      </w:tabs>
      <w:ind w:firstLine="0"/>
      <w:rPr>
        <w:b/>
      </w:rPr>
    </w:pPr>
    <w:r w:rsidRPr="00D11568">
      <w:t xml:space="preserve">R.24-09-012  </w:t>
    </w:r>
    <w:r w:rsidR="008825BE">
      <w:t>COM</w:t>
    </w:r>
    <w:r w:rsidRPr="00D11568">
      <w:t>/</w:t>
    </w:r>
    <w:r w:rsidR="000F2701">
      <w:t>KDL</w:t>
    </w:r>
    <w:r w:rsidRPr="00D11568">
      <w:t>/abb</w:t>
    </w:r>
  </w:p>
  <w:p w14:paraId="0ABC6B45" w14:textId="77777777" w:rsidR="00BD2BF2" w:rsidRDefault="00BD2BF2" w:rsidP="00B3087D">
    <w:pPr>
      <w:pStyle w:val="Header"/>
      <w:tabs>
        <w:tab w:val="clear" w:pos="4680"/>
      </w:tabs>
      <w:ind w:firstLine="0"/>
      <w:rPr>
        <w:b/>
      </w:rPr>
    </w:pPr>
  </w:p>
  <w:p w14:paraId="3F2A05CB" w14:textId="77777777" w:rsidR="00BD2BF2" w:rsidRPr="00BD2BF2" w:rsidRDefault="00BD2BF2" w:rsidP="00B3087D">
    <w:pPr>
      <w:pStyle w:val="Header"/>
      <w:tabs>
        <w:tab w:val="clear" w:pos="4680"/>
      </w:tabs>
      <w:ind w:firstLine="0"/>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A1C77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3200A"/>
    <w:multiLevelType w:val="hybridMultilevel"/>
    <w:tmpl w:val="2B2480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FB18DC"/>
    <w:multiLevelType w:val="hybridMultilevel"/>
    <w:tmpl w:val="DFBCCCD8"/>
    <w:lvl w:ilvl="0" w:tplc="E2766D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6C1C14"/>
    <w:multiLevelType w:val="multilevel"/>
    <w:tmpl w:val="18F4A5AC"/>
    <w:styleLink w:val="FoFCoLOP"/>
    <w:lvl w:ilvl="0">
      <w:start w:val="1"/>
      <w:numFmt w:val="decimal"/>
      <w:pStyle w:val="OP"/>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4" w15:restartNumberingAfterBreak="0">
    <w:nsid w:val="15F056CB"/>
    <w:multiLevelType w:val="multilevel"/>
    <w:tmpl w:val="18F4A5AC"/>
    <w:numStyleLink w:val="FoFCoLOP"/>
  </w:abstractNum>
  <w:abstractNum w:abstractNumId="5" w15:restartNumberingAfterBreak="0">
    <w:nsid w:val="1CD67F4B"/>
    <w:multiLevelType w:val="hybridMultilevel"/>
    <w:tmpl w:val="C2A26642"/>
    <w:lvl w:ilvl="0" w:tplc="7A988B5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D70038F"/>
    <w:multiLevelType w:val="multilevel"/>
    <w:tmpl w:val="3C526EDE"/>
    <w:numStyleLink w:val="Headings"/>
  </w:abstractNum>
  <w:abstractNum w:abstractNumId="7" w15:restartNumberingAfterBreak="0">
    <w:nsid w:val="1E2242C9"/>
    <w:multiLevelType w:val="multilevel"/>
    <w:tmpl w:val="3C526EDE"/>
    <w:numStyleLink w:val="Headings"/>
  </w:abstractNum>
  <w:abstractNum w:abstractNumId="8" w15:restartNumberingAfterBreak="0">
    <w:nsid w:val="21FB58FE"/>
    <w:multiLevelType w:val="multilevel"/>
    <w:tmpl w:val="3C526EDE"/>
    <w:numStyleLink w:val="Headings"/>
  </w:abstractNum>
  <w:abstractNum w:abstractNumId="9" w15:restartNumberingAfterBreak="0">
    <w:nsid w:val="243663A0"/>
    <w:multiLevelType w:val="multilevel"/>
    <w:tmpl w:val="3C526EDE"/>
    <w:numStyleLink w:val="Headings"/>
  </w:abstractNum>
  <w:abstractNum w:abstractNumId="10" w15:restartNumberingAfterBreak="0">
    <w:nsid w:val="2B8124D7"/>
    <w:multiLevelType w:val="multilevel"/>
    <w:tmpl w:val="3C526EDE"/>
    <w:numStyleLink w:val="Headings"/>
  </w:abstractNum>
  <w:abstractNum w:abstractNumId="11" w15:restartNumberingAfterBreak="0">
    <w:nsid w:val="2CED2A8E"/>
    <w:multiLevelType w:val="hybridMultilevel"/>
    <w:tmpl w:val="B0D69FB8"/>
    <w:lvl w:ilvl="0" w:tplc="04090019">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2" w15:restartNumberingAfterBreak="0">
    <w:nsid w:val="331F6D42"/>
    <w:multiLevelType w:val="multilevel"/>
    <w:tmpl w:val="3C526EDE"/>
    <w:styleLink w:val="Headings"/>
    <w:lvl w:ilvl="0">
      <w:start w:val="1"/>
      <w:numFmt w:val="decimal"/>
      <w:pStyle w:val="Heading1"/>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pStyle w:val="Heading2"/>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pStyle w:val="Heading3"/>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pStyle w:val="Heading4"/>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pStyle w:val="Heading5"/>
      <w:lvlText w:val="%1.%2.%3.%4.%5."/>
      <w:lvlJc w:val="left"/>
      <w:pPr>
        <w:tabs>
          <w:tab w:val="num" w:pos="2880"/>
        </w:tabs>
        <w:ind w:left="2880" w:hanging="1440"/>
      </w:pPr>
      <w:rPr>
        <w:rFonts w:ascii="Arial" w:hAnsi="Arial" w:hint="default"/>
        <w:b/>
        <w:i w:val="0"/>
        <w:sz w:val="26"/>
      </w:rPr>
    </w:lvl>
    <w:lvl w:ilvl="5">
      <w:start w:val="1"/>
      <w:numFmt w:val="decimal"/>
      <w:pStyle w:val="Heading6"/>
      <w:lvlText w:val="%1.%2.%3.%4.%5.%6."/>
      <w:lvlJc w:val="left"/>
      <w:pPr>
        <w:tabs>
          <w:tab w:val="num" w:pos="3528"/>
        </w:tabs>
        <w:ind w:left="3528" w:hanging="1728"/>
      </w:pPr>
      <w:rPr>
        <w:rFonts w:ascii="Arial" w:hAnsi="Arial" w:hint="default"/>
        <w:b/>
        <w:i w:val="0"/>
        <w:sz w:val="26"/>
      </w:rPr>
    </w:lvl>
    <w:lvl w:ilvl="6">
      <w:start w:val="1"/>
      <w:numFmt w:val="decimal"/>
      <w:pStyle w:val="ListNum"/>
      <w:lvlText w:val="%7."/>
      <w:lvlJc w:val="left"/>
      <w:pPr>
        <w:tabs>
          <w:tab w:val="num" w:pos="1080"/>
        </w:tabs>
        <w:ind w:left="1080" w:hanging="360"/>
      </w:pPr>
      <w:rPr>
        <w:rFonts w:ascii="Book Antiqua" w:hAnsi="Book Antiqua" w:hint="default"/>
        <w:b w:val="0"/>
        <w:i w:val="0"/>
        <w:sz w:val="26"/>
      </w:rPr>
    </w:lvl>
    <w:lvl w:ilvl="7">
      <w:start w:val="1"/>
      <w:numFmt w:val="lowerLetter"/>
      <w:pStyle w:val="ListAlpha"/>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13" w15:restartNumberingAfterBreak="0">
    <w:nsid w:val="55416DC0"/>
    <w:multiLevelType w:val="hybridMultilevel"/>
    <w:tmpl w:val="79D093D0"/>
    <w:lvl w:ilvl="0" w:tplc="04090019">
      <w:start w:val="1"/>
      <w:numFmt w:val="lowerLetter"/>
      <w:lvlText w:val="%1."/>
      <w:lvlJc w:val="left"/>
      <w:pPr>
        <w:ind w:left="1503" w:hanging="360"/>
      </w:pPr>
    </w:lvl>
    <w:lvl w:ilvl="1" w:tplc="04090019" w:tentative="1">
      <w:start w:val="1"/>
      <w:numFmt w:val="lowerLetter"/>
      <w:lvlText w:val="%2."/>
      <w:lvlJc w:val="left"/>
      <w:pPr>
        <w:ind w:left="222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3663" w:hanging="360"/>
      </w:pPr>
    </w:lvl>
    <w:lvl w:ilvl="4" w:tplc="04090019" w:tentative="1">
      <w:start w:val="1"/>
      <w:numFmt w:val="lowerLetter"/>
      <w:lvlText w:val="%5."/>
      <w:lvlJc w:val="left"/>
      <w:pPr>
        <w:ind w:left="4383" w:hanging="360"/>
      </w:pPr>
    </w:lvl>
    <w:lvl w:ilvl="5" w:tplc="0409001B" w:tentative="1">
      <w:start w:val="1"/>
      <w:numFmt w:val="lowerRoman"/>
      <w:lvlText w:val="%6."/>
      <w:lvlJc w:val="right"/>
      <w:pPr>
        <w:ind w:left="5103" w:hanging="180"/>
      </w:pPr>
    </w:lvl>
    <w:lvl w:ilvl="6" w:tplc="0409000F" w:tentative="1">
      <w:start w:val="1"/>
      <w:numFmt w:val="decimal"/>
      <w:lvlText w:val="%7."/>
      <w:lvlJc w:val="left"/>
      <w:pPr>
        <w:ind w:left="5823" w:hanging="360"/>
      </w:pPr>
    </w:lvl>
    <w:lvl w:ilvl="7" w:tplc="04090019" w:tentative="1">
      <w:start w:val="1"/>
      <w:numFmt w:val="lowerLetter"/>
      <w:lvlText w:val="%8."/>
      <w:lvlJc w:val="left"/>
      <w:pPr>
        <w:ind w:left="6543" w:hanging="360"/>
      </w:pPr>
    </w:lvl>
    <w:lvl w:ilvl="8" w:tplc="0409001B" w:tentative="1">
      <w:start w:val="1"/>
      <w:numFmt w:val="lowerRoman"/>
      <w:lvlText w:val="%9."/>
      <w:lvlJc w:val="right"/>
      <w:pPr>
        <w:ind w:left="7263" w:hanging="180"/>
      </w:pPr>
    </w:lvl>
  </w:abstractNum>
  <w:abstractNum w:abstractNumId="14" w15:restartNumberingAfterBreak="0">
    <w:nsid w:val="59D042D7"/>
    <w:multiLevelType w:val="multilevel"/>
    <w:tmpl w:val="18F4A5AC"/>
    <w:lvl w:ilvl="0">
      <w:start w:val="1"/>
      <w:numFmt w:val="decimal"/>
      <w:pStyle w:val="FoF"/>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15" w15:restartNumberingAfterBreak="0">
    <w:nsid w:val="5A9E2171"/>
    <w:multiLevelType w:val="multilevel"/>
    <w:tmpl w:val="3C526EDE"/>
    <w:numStyleLink w:val="Headings"/>
  </w:abstractNum>
  <w:abstractNum w:abstractNumId="16" w15:restartNumberingAfterBreak="0">
    <w:nsid w:val="61A25780"/>
    <w:multiLevelType w:val="multilevel"/>
    <w:tmpl w:val="3C526EDE"/>
    <w:numStyleLink w:val="Headings"/>
  </w:abstractNum>
  <w:abstractNum w:abstractNumId="17" w15:restartNumberingAfterBreak="0">
    <w:nsid w:val="65523CC0"/>
    <w:multiLevelType w:val="hybridMultilevel"/>
    <w:tmpl w:val="C8805A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DF7E1C"/>
    <w:multiLevelType w:val="hybridMultilevel"/>
    <w:tmpl w:val="2F5AD6F8"/>
    <w:lvl w:ilvl="0" w:tplc="721C313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4EC59EE"/>
    <w:multiLevelType w:val="hybridMultilevel"/>
    <w:tmpl w:val="F0E2B8D4"/>
    <w:lvl w:ilvl="0" w:tplc="0409000F">
      <w:start w:val="1"/>
      <w:numFmt w:val="decimal"/>
      <w:lvlText w:val="%1."/>
      <w:lvlJc w:val="left"/>
      <w:pPr>
        <w:ind w:left="1503" w:hanging="360"/>
      </w:pPr>
    </w:lvl>
    <w:lvl w:ilvl="1" w:tplc="04090019" w:tentative="1">
      <w:start w:val="1"/>
      <w:numFmt w:val="lowerLetter"/>
      <w:lvlText w:val="%2."/>
      <w:lvlJc w:val="left"/>
      <w:pPr>
        <w:ind w:left="222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3663" w:hanging="360"/>
      </w:pPr>
    </w:lvl>
    <w:lvl w:ilvl="4" w:tplc="04090019" w:tentative="1">
      <w:start w:val="1"/>
      <w:numFmt w:val="lowerLetter"/>
      <w:lvlText w:val="%5."/>
      <w:lvlJc w:val="left"/>
      <w:pPr>
        <w:ind w:left="4383" w:hanging="360"/>
      </w:pPr>
    </w:lvl>
    <w:lvl w:ilvl="5" w:tplc="0409001B" w:tentative="1">
      <w:start w:val="1"/>
      <w:numFmt w:val="lowerRoman"/>
      <w:lvlText w:val="%6."/>
      <w:lvlJc w:val="right"/>
      <w:pPr>
        <w:ind w:left="5103" w:hanging="180"/>
      </w:pPr>
    </w:lvl>
    <w:lvl w:ilvl="6" w:tplc="0409000F" w:tentative="1">
      <w:start w:val="1"/>
      <w:numFmt w:val="decimal"/>
      <w:lvlText w:val="%7."/>
      <w:lvlJc w:val="left"/>
      <w:pPr>
        <w:ind w:left="5823" w:hanging="360"/>
      </w:pPr>
    </w:lvl>
    <w:lvl w:ilvl="7" w:tplc="04090019" w:tentative="1">
      <w:start w:val="1"/>
      <w:numFmt w:val="lowerLetter"/>
      <w:lvlText w:val="%8."/>
      <w:lvlJc w:val="left"/>
      <w:pPr>
        <w:ind w:left="6543" w:hanging="360"/>
      </w:pPr>
    </w:lvl>
    <w:lvl w:ilvl="8" w:tplc="0409001B" w:tentative="1">
      <w:start w:val="1"/>
      <w:numFmt w:val="lowerRoman"/>
      <w:lvlText w:val="%9."/>
      <w:lvlJc w:val="right"/>
      <w:pPr>
        <w:ind w:left="7263" w:hanging="180"/>
      </w:pPr>
    </w:lvl>
  </w:abstractNum>
  <w:abstractNum w:abstractNumId="20" w15:restartNumberingAfterBreak="0">
    <w:nsid w:val="789A0AFE"/>
    <w:multiLevelType w:val="multilevel"/>
    <w:tmpl w:val="18F4A5AC"/>
    <w:numStyleLink w:val="FoFCoLOP"/>
  </w:abstractNum>
  <w:num w:numId="1" w16cid:durableId="1354526949">
    <w:abstractNumId w:val="15"/>
  </w:num>
  <w:num w:numId="2" w16cid:durableId="140774137">
    <w:abstractNumId w:val="3"/>
  </w:num>
  <w:num w:numId="3" w16cid:durableId="1898543446">
    <w:abstractNumId w:val="14"/>
  </w:num>
  <w:num w:numId="4" w16cid:durableId="701521005">
    <w:abstractNumId w:val="4"/>
  </w:num>
  <w:num w:numId="5" w16cid:durableId="2017029027">
    <w:abstractNumId w:val="20"/>
  </w:num>
  <w:num w:numId="6" w16cid:durableId="973756952">
    <w:abstractNumId w:val="12"/>
  </w:num>
  <w:num w:numId="7" w16cid:durableId="827667741">
    <w:abstractNumId w:val="7"/>
  </w:num>
  <w:num w:numId="8" w16cid:durableId="1760327020">
    <w:abstractNumId w:val="18"/>
  </w:num>
  <w:num w:numId="9" w16cid:durableId="816924040">
    <w:abstractNumId w:val="0"/>
  </w:num>
  <w:num w:numId="10" w16cid:durableId="1817916489">
    <w:abstractNumId w:val="6"/>
  </w:num>
  <w:num w:numId="11" w16cid:durableId="291985460">
    <w:abstractNumId w:val="8"/>
  </w:num>
  <w:num w:numId="12" w16cid:durableId="467941983">
    <w:abstractNumId w:val="5"/>
  </w:num>
  <w:num w:numId="13" w16cid:durableId="712996464">
    <w:abstractNumId w:val="9"/>
  </w:num>
  <w:num w:numId="14" w16cid:durableId="1303778653">
    <w:abstractNumId w:val="10"/>
  </w:num>
  <w:num w:numId="15" w16cid:durableId="1714382259">
    <w:abstractNumId w:val="16"/>
  </w:num>
  <w:num w:numId="16" w16cid:durableId="5481076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14637577">
    <w:abstractNumId w:val="16"/>
  </w:num>
  <w:num w:numId="18" w16cid:durableId="841361706">
    <w:abstractNumId w:val="2"/>
  </w:num>
  <w:num w:numId="19" w16cid:durableId="1936084436">
    <w:abstractNumId w:val="1"/>
  </w:num>
  <w:num w:numId="20" w16cid:durableId="805007349">
    <w:abstractNumId w:val="17"/>
  </w:num>
  <w:num w:numId="21" w16cid:durableId="3821688">
    <w:abstractNumId w:val="13"/>
  </w:num>
  <w:num w:numId="22" w16cid:durableId="889145745">
    <w:abstractNumId w:val="19"/>
  </w:num>
  <w:num w:numId="23" w16cid:durableId="1863322912">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29B"/>
    <w:rsid w:val="00000B58"/>
    <w:rsid w:val="00000F6A"/>
    <w:rsid w:val="000015D2"/>
    <w:rsid w:val="000018F5"/>
    <w:rsid w:val="0000317D"/>
    <w:rsid w:val="000044D1"/>
    <w:rsid w:val="00005312"/>
    <w:rsid w:val="00017E26"/>
    <w:rsid w:val="000203F0"/>
    <w:rsid w:val="000257EB"/>
    <w:rsid w:val="00026E88"/>
    <w:rsid w:val="0003090D"/>
    <w:rsid w:val="0003169E"/>
    <w:rsid w:val="0003463F"/>
    <w:rsid w:val="0003529F"/>
    <w:rsid w:val="00045128"/>
    <w:rsid w:val="00052DC1"/>
    <w:rsid w:val="00055150"/>
    <w:rsid w:val="000606CE"/>
    <w:rsid w:val="00061314"/>
    <w:rsid w:val="0006240D"/>
    <w:rsid w:val="00064A4E"/>
    <w:rsid w:val="0006718D"/>
    <w:rsid w:val="00067B2A"/>
    <w:rsid w:val="0007115A"/>
    <w:rsid w:val="000728CF"/>
    <w:rsid w:val="000755BC"/>
    <w:rsid w:val="000765F9"/>
    <w:rsid w:val="000765FC"/>
    <w:rsid w:val="000771A9"/>
    <w:rsid w:val="000771B1"/>
    <w:rsid w:val="00082382"/>
    <w:rsid w:val="00083320"/>
    <w:rsid w:val="00083446"/>
    <w:rsid w:val="000836C9"/>
    <w:rsid w:val="00083818"/>
    <w:rsid w:val="00087EA7"/>
    <w:rsid w:val="000904BE"/>
    <w:rsid w:val="00091240"/>
    <w:rsid w:val="00092CB2"/>
    <w:rsid w:val="000934C9"/>
    <w:rsid w:val="000937FE"/>
    <w:rsid w:val="00093896"/>
    <w:rsid w:val="000948AF"/>
    <w:rsid w:val="000973C8"/>
    <w:rsid w:val="000A1A08"/>
    <w:rsid w:val="000A1BC5"/>
    <w:rsid w:val="000A1BD2"/>
    <w:rsid w:val="000A23B0"/>
    <w:rsid w:val="000A24E9"/>
    <w:rsid w:val="000A2AA9"/>
    <w:rsid w:val="000A3032"/>
    <w:rsid w:val="000A3152"/>
    <w:rsid w:val="000A31C4"/>
    <w:rsid w:val="000A397D"/>
    <w:rsid w:val="000A5200"/>
    <w:rsid w:val="000A56F2"/>
    <w:rsid w:val="000A6E05"/>
    <w:rsid w:val="000A7513"/>
    <w:rsid w:val="000B00D9"/>
    <w:rsid w:val="000B0D9C"/>
    <w:rsid w:val="000B1228"/>
    <w:rsid w:val="000B12FA"/>
    <w:rsid w:val="000B1D03"/>
    <w:rsid w:val="000B1DBC"/>
    <w:rsid w:val="000B6FC6"/>
    <w:rsid w:val="000C08BF"/>
    <w:rsid w:val="000C217F"/>
    <w:rsid w:val="000C2D7C"/>
    <w:rsid w:val="000C3B9A"/>
    <w:rsid w:val="000C563F"/>
    <w:rsid w:val="000C791D"/>
    <w:rsid w:val="000D0526"/>
    <w:rsid w:val="000D2271"/>
    <w:rsid w:val="000D25A8"/>
    <w:rsid w:val="000D3BE2"/>
    <w:rsid w:val="000D3D9F"/>
    <w:rsid w:val="000D496D"/>
    <w:rsid w:val="000E270A"/>
    <w:rsid w:val="000E35F2"/>
    <w:rsid w:val="000E38E8"/>
    <w:rsid w:val="000E3E56"/>
    <w:rsid w:val="000E4BD4"/>
    <w:rsid w:val="000E4C53"/>
    <w:rsid w:val="000E5ED2"/>
    <w:rsid w:val="000E6188"/>
    <w:rsid w:val="000E61A9"/>
    <w:rsid w:val="000E6DC1"/>
    <w:rsid w:val="000E7279"/>
    <w:rsid w:val="000E74E1"/>
    <w:rsid w:val="000F2701"/>
    <w:rsid w:val="000F48C6"/>
    <w:rsid w:val="000F7AB2"/>
    <w:rsid w:val="001035A7"/>
    <w:rsid w:val="00103F61"/>
    <w:rsid w:val="0010435C"/>
    <w:rsid w:val="00106BD9"/>
    <w:rsid w:val="00111148"/>
    <w:rsid w:val="001112F3"/>
    <w:rsid w:val="00113B57"/>
    <w:rsid w:val="00114428"/>
    <w:rsid w:val="00115561"/>
    <w:rsid w:val="00116941"/>
    <w:rsid w:val="0012052C"/>
    <w:rsid w:val="00121089"/>
    <w:rsid w:val="00121FCC"/>
    <w:rsid w:val="00123D6D"/>
    <w:rsid w:val="0013061D"/>
    <w:rsid w:val="00132868"/>
    <w:rsid w:val="0013404D"/>
    <w:rsid w:val="00135FC0"/>
    <w:rsid w:val="00137989"/>
    <w:rsid w:val="00140609"/>
    <w:rsid w:val="00141587"/>
    <w:rsid w:val="001448CD"/>
    <w:rsid w:val="00147EC9"/>
    <w:rsid w:val="00150A4E"/>
    <w:rsid w:val="00152677"/>
    <w:rsid w:val="001578BC"/>
    <w:rsid w:val="001601D9"/>
    <w:rsid w:val="001610AA"/>
    <w:rsid w:val="0016418A"/>
    <w:rsid w:val="001729C6"/>
    <w:rsid w:val="0017413C"/>
    <w:rsid w:val="00176F23"/>
    <w:rsid w:val="001827FA"/>
    <w:rsid w:val="00182957"/>
    <w:rsid w:val="00183A46"/>
    <w:rsid w:val="00184A8F"/>
    <w:rsid w:val="001870C6"/>
    <w:rsid w:val="00192826"/>
    <w:rsid w:val="00193FD0"/>
    <w:rsid w:val="00194D60"/>
    <w:rsid w:val="00194F4D"/>
    <w:rsid w:val="00197F24"/>
    <w:rsid w:val="001A512D"/>
    <w:rsid w:val="001A55CA"/>
    <w:rsid w:val="001A75FA"/>
    <w:rsid w:val="001B0FE0"/>
    <w:rsid w:val="001B3CAD"/>
    <w:rsid w:val="001B57F9"/>
    <w:rsid w:val="001C18BD"/>
    <w:rsid w:val="001C342A"/>
    <w:rsid w:val="001C363F"/>
    <w:rsid w:val="001C3C2A"/>
    <w:rsid w:val="001D28CE"/>
    <w:rsid w:val="001D4EF1"/>
    <w:rsid w:val="001E086F"/>
    <w:rsid w:val="001E2217"/>
    <w:rsid w:val="001E290D"/>
    <w:rsid w:val="001E2A62"/>
    <w:rsid w:val="001E4A7A"/>
    <w:rsid w:val="001E6C8E"/>
    <w:rsid w:val="001F0680"/>
    <w:rsid w:val="001F0A71"/>
    <w:rsid w:val="001F2819"/>
    <w:rsid w:val="001F3E1C"/>
    <w:rsid w:val="001F4AB3"/>
    <w:rsid w:val="00200BEE"/>
    <w:rsid w:val="0020224A"/>
    <w:rsid w:val="00203941"/>
    <w:rsid w:val="002043EC"/>
    <w:rsid w:val="0020540A"/>
    <w:rsid w:val="00211FDC"/>
    <w:rsid w:val="00214E3F"/>
    <w:rsid w:val="00215B56"/>
    <w:rsid w:val="0021630D"/>
    <w:rsid w:val="002170DB"/>
    <w:rsid w:val="00217D36"/>
    <w:rsid w:val="00220D94"/>
    <w:rsid w:val="00224737"/>
    <w:rsid w:val="00224767"/>
    <w:rsid w:val="00224B00"/>
    <w:rsid w:val="00225475"/>
    <w:rsid w:val="0022599F"/>
    <w:rsid w:val="00231BA7"/>
    <w:rsid w:val="002338C4"/>
    <w:rsid w:val="00241B63"/>
    <w:rsid w:val="00243DC0"/>
    <w:rsid w:val="00247477"/>
    <w:rsid w:val="002517ED"/>
    <w:rsid w:val="00253F50"/>
    <w:rsid w:val="00255E40"/>
    <w:rsid w:val="0025623F"/>
    <w:rsid w:val="0026394A"/>
    <w:rsid w:val="00263D8E"/>
    <w:rsid w:val="002641A2"/>
    <w:rsid w:val="00270352"/>
    <w:rsid w:val="00270440"/>
    <w:rsid w:val="002713F3"/>
    <w:rsid w:val="00274A12"/>
    <w:rsid w:val="00275B98"/>
    <w:rsid w:val="0027745B"/>
    <w:rsid w:val="00277D6B"/>
    <w:rsid w:val="00280A76"/>
    <w:rsid w:val="00282318"/>
    <w:rsid w:val="002835B8"/>
    <w:rsid w:val="0028393B"/>
    <w:rsid w:val="00284D8D"/>
    <w:rsid w:val="00285C70"/>
    <w:rsid w:val="0028705E"/>
    <w:rsid w:val="00287BC5"/>
    <w:rsid w:val="00293DEE"/>
    <w:rsid w:val="00294D67"/>
    <w:rsid w:val="0029692A"/>
    <w:rsid w:val="002975F6"/>
    <w:rsid w:val="00297B20"/>
    <w:rsid w:val="002A0037"/>
    <w:rsid w:val="002A0B5D"/>
    <w:rsid w:val="002A3233"/>
    <w:rsid w:val="002A38C3"/>
    <w:rsid w:val="002B23FF"/>
    <w:rsid w:val="002B26E5"/>
    <w:rsid w:val="002B3B56"/>
    <w:rsid w:val="002B6E3E"/>
    <w:rsid w:val="002C1514"/>
    <w:rsid w:val="002C3852"/>
    <w:rsid w:val="002C4EC6"/>
    <w:rsid w:val="002C539C"/>
    <w:rsid w:val="002C5EB1"/>
    <w:rsid w:val="002C6FAB"/>
    <w:rsid w:val="002C7FC8"/>
    <w:rsid w:val="002C7FE9"/>
    <w:rsid w:val="002D06FE"/>
    <w:rsid w:val="002D0DC5"/>
    <w:rsid w:val="002D1838"/>
    <w:rsid w:val="002D4384"/>
    <w:rsid w:val="002D4EFD"/>
    <w:rsid w:val="002D5F71"/>
    <w:rsid w:val="002E0B5C"/>
    <w:rsid w:val="002E24F5"/>
    <w:rsid w:val="002E566A"/>
    <w:rsid w:val="002E7226"/>
    <w:rsid w:val="002F0DF4"/>
    <w:rsid w:val="002F1C7A"/>
    <w:rsid w:val="002F2057"/>
    <w:rsid w:val="002F371C"/>
    <w:rsid w:val="002F4AA9"/>
    <w:rsid w:val="002F5106"/>
    <w:rsid w:val="00302D6A"/>
    <w:rsid w:val="003039C0"/>
    <w:rsid w:val="0030546D"/>
    <w:rsid w:val="00310253"/>
    <w:rsid w:val="003111C8"/>
    <w:rsid w:val="00315A97"/>
    <w:rsid w:val="00316071"/>
    <w:rsid w:val="003167A5"/>
    <w:rsid w:val="003174FE"/>
    <w:rsid w:val="00317995"/>
    <w:rsid w:val="00320FB5"/>
    <w:rsid w:val="00323375"/>
    <w:rsid w:val="003239D4"/>
    <w:rsid w:val="00332875"/>
    <w:rsid w:val="00332D15"/>
    <w:rsid w:val="003352EC"/>
    <w:rsid w:val="00336152"/>
    <w:rsid w:val="003362DA"/>
    <w:rsid w:val="00337F9D"/>
    <w:rsid w:val="00343E5C"/>
    <w:rsid w:val="00344FB8"/>
    <w:rsid w:val="00345BE9"/>
    <w:rsid w:val="00351AD3"/>
    <w:rsid w:val="003543DA"/>
    <w:rsid w:val="00354C14"/>
    <w:rsid w:val="00355093"/>
    <w:rsid w:val="0036017B"/>
    <w:rsid w:val="003609AB"/>
    <w:rsid w:val="00360A06"/>
    <w:rsid w:val="00362755"/>
    <w:rsid w:val="00362D81"/>
    <w:rsid w:val="0036457E"/>
    <w:rsid w:val="00366111"/>
    <w:rsid w:val="00367338"/>
    <w:rsid w:val="00367783"/>
    <w:rsid w:val="0037188B"/>
    <w:rsid w:val="00371B9A"/>
    <w:rsid w:val="003726C6"/>
    <w:rsid w:val="003730D4"/>
    <w:rsid w:val="003730D5"/>
    <w:rsid w:val="00373B93"/>
    <w:rsid w:val="0037418A"/>
    <w:rsid w:val="0038005A"/>
    <w:rsid w:val="003803DE"/>
    <w:rsid w:val="00380CD1"/>
    <w:rsid w:val="003823AA"/>
    <w:rsid w:val="00384521"/>
    <w:rsid w:val="00384CE5"/>
    <w:rsid w:val="0038572B"/>
    <w:rsid w:val="0039181D"/>
    <w:rsid w:val="00394261"/>
    <w:rsid w:val="00395CD4"/>
    <w:rsid w:val="00396868"/>
    <w:rsid w:val="00397074"/>
    <w:rsid w:val="003A02CA"/>
    <w:rsid w:val="003A1D72"/>
    <w:rsid w:val="003A38F0"/>
    <w:rsid w:val="003A736B"/>
    <w:rsid w:val="003B0FF3"/>
    <w:rsid w:val="003B48C1"/>
    <w:rsid w:val="003D0CC5"/>
    <w:rsid w:val="003D0EEB"/>
    <w:rsid w:val="003D527D"/>
    <w:rsid w:val="003E17EE"/>
    <w:rsid w:val="003E19D6"/>
    <w:rsid w:val="003E2D86"/>
    <w:rsid w:val="003E41F2"/>
    <w:rsid w:val="003E438C"/>
    <w:rsid w:val="003E4B05"/>
    <w:rsid w:val="003E50E9"/>
    <w:rsid w:val="003E647C"/>
    <w:rsid w:val="003F069A"/>
    <w:rsid w:val="003F29AD"/>
    <w:rsid w:val="003F4329"/>
    <w:rsid w:val="003F4537"/>
    <w:rsid w:val="003F4E8B"/>
    <w:rsid w:val="003F5CD9"/>
    <w:rsid w:val="0040092D"/>
    <w:rsid w:val="0040126D"/>
    <w:rsid w:val="00402677"/>
    <w:rsid w:val="004040F1"/>
    <w:rsid w:val="00405C3E"/>
    <w:rsid w:val="00406E67"/>
    <w:rsid w:val="00407CA0"/>
    <w:rsid w:val="0041129F"/>
    <w:rsid w:val="004124CC"/>
    <w:rsid w:val="00412534"/>
    <w:rsid w:val="00412C83"/>
    <w:rsid w:val="0041383F"/>
    <w:rsid w:val="00414EA6"/>
    <w:rsid w:val="00415834"/>
    <w:rsid w:val="004173EC"/>
    <w:rsid w:val="00417B8D"/>
    <w:rsid w:val="00420535"/>
    <w:rsid w:val="004214D9"/>
    <w:rsid w:val="00422FD5"/>
    <w:rsid w:val="004241E6"/>
    <w:rsid w:val="00425876"/>
    <w:rsid w:val="00425C9A"/>
    <w:rsid w:val="00425F17"/>
    <w:rsid w:val="00426014"/>
    <w:rsid w:val="00427FB1"/>
    <w:rsid w:val="00430608"/>
    <w:rsid w:val="00431F93"/>
    <w:rsid w:val="00434506"/>
    <w:rsid w:val="00434B59"/>
    <w:rsid w:val="00436888"/>
    <w:rsid w:val="00436D79"/>
    <w:rsid w:val="00444180"/>
    <w:rsid w:val="00446150"/>
    <w:rsid w:val="0044617A"/>
    <w:rsid w:val="0044617E"/>
    <w:rsid w:val="00446377"/>
    <w:rsid w:val="004469A1"/>
    <w:rsid w:val="00446C32"/>
    <w:rsid w:val="00452151"/>
    <w:rsid w:val="004536C7"/>
    <w:rsid w:val="00456639"/>
    <w:rsid w:val="0045760B"/>
    <w:rsid w:val="004576A2"/>
    <w:rsid w:val="00457DE9"/>
    <w:rsid w:val="004605F1"/>
    <w:rsid w:val="0046078B"/>
    <w:rsid w:val="00460B7D"/>
    <w:rsid w:val="00461802"/>
    <w:rsid w:val="004621DD"/>
    <w:rsid w:val="004630D8"/>
    <w:rsid w:val="004630E4"/>
    <w:rsid w:val="00463765"/>
    <w:rsid w:val="00466362"/>
    <w:rsid w:val="00476790"/>
    <w:rsid w:val="00480A95"/>
    <w:rsid w:val="00480CB0"/>
    <w:rsid w:val="00483603"/>
    <w:rsid w:val="0048794E"/>
    <w:rsid w:val="0049385D"/>
    <w:rsid w:val="00496C75"/>
    <w:rsid w:val="00497E71"/>
    <w:rsid w:val="004A0DF9"/>
    <w:rsid w:val="004A1EAD"/>
    <w:rsid w:val="004A4236"/>
    <w:rsid w:val="004A47BE"/>
    <w:rsid w:val="004A5076"/>
    <w:rsid w:val="004A7599"/>
    <w:rsid w:val="004A780D"/>
    <w:rsid w:val="004B0B5B"/>
    <w:rsid w:val="004B34EA"/>
    <w:rsid w:val="004B5494"/>
    <w:rsid w:val="004B5C6D"/>
    <w:rsid w:val="004C16F1"/>
    <w:rsid w:val="004C7A2B"/>
    <w:rsid w:val="004C7D3A"/>
    <w:rsid w:val="004D0F78"/>
    <w:rsid w:val="004D1B36"/>
    <w:rsid w:val="004D2458"/>
    <w:rsid w:val="004D2613"/>
    <w:rsid w:val="004D2E16"/>
    <w:rsid w:val="004D44F2"/>
    <w:rsid w:val="004D589C"/>
    <w:rsid w:val="004D5CAD"/>
    <w:rsid w:val="004D695C"/>
    <w:rsid w:val="004E13C1"/>
    <w:rsid w:val="004E4A0F"/>
    <w:rsid w:val="004F0036"/>
    <w:rsid w:val="004F0427"/>
    <w:rsid w:val="004F3B56"/>
    <w:rsid w:val="004F5E81"/>
    <w:rsid w:val="004F669E"/>
    <w:rsid w:val="004F6A57"/>
    <w:rsid w:val="004F6A96"/>
    <w:rsid w:val="004F72B2"/>
    <w:rsid w:val="004F7549"/>
    <w:rsid w:val="0050135B"/>
    <w:rsid w:val="005018A8"/>
    <w:rsid w:val="005024BA"/>
    <w:rsid w:val="00504B09"/>
    <w:rsid w:val="00505A39"/>
    <w:rsid w:val="00512A10"/>
    <w:rsid w:val="00512B4C"/>
    <w:rsid w:val="00514095"/>
    <w:rsid w:val="00515389"/>
    <w:rsid w:val="0051779E"/>
    <w:rsid w:val="00523474"/>
    <w:rsid w:val="005240BF"/>
    <w:rsid w:val="00525F80"/>
    <w:rsid w:val="005265D7"/>
    <w:rsid w:val="00527159"/>
    <w:rsid w:val="00527562"/>
    <w:rsid w:val="00532ABB"/>
    <w:rsid w:val="00533092"/>
    <w:rsid w:val="00534CCA"/>
    <w:rsid w:val="00536C12"/>
    <w:rsid w:val="005406E4"/>
    <w:rsid w:val="00540B56"/>
    <w:rsid w:val="00540F96"/>
    <w:rsid w:val="00542680"/>
    <w:rsid w:val="005456F1"/>
    <w:rsid w:val="00550C0A"/>
    <w:rsid w:val="0055413A"/>
    <w:rsid w:val="005546D8"/>
    <w:rsid w:val="00560BDF"/>
    <w:rsid w:val="00560D31"/>
    <w:rsid w:val="00562AA2"/>
    <w:rsid w:val="00563903"/>
    <w:rsid w:val="00566B05"/>
    <w:rsid w:val="0057331E"/>
    <w:rsid w:val="00574567"/>
    <w:rsid w:val="005764C2"/>
    <w:rsid w:val="00577522"/>
    <w:rsid w:val="0057757C"/>
    <w:rsid w:val="00577BC6"/>
    <w:rsid w:val="00581415"/>
    <w:rsid w:val="00584217"/>
    <w:rsid w:val="005851FB"/>
    <w:rsid w:val="005852E5"/>
    <w:rsid w:val="00585390"/>
    <w:rsid w:val="005858B3"/>
    <w:rsid w:val="005863CB"/>
    <w:rsid w:val="00587BEE"/>
    <w:rsid w:val="005914B8"/>
    <w:rsid w:val="00593011"/>
    <w:rsid w:val="005939A5"/>
    <w:rsid w:val="0059604D"/>
    <w:rsid w:val="005A145C"/>
    <w:rsid w:val="005A148C"/>
    <w:rsid w:val="005B3674"/>
    <w:rsid w:val="005B7A6B"/>
    <w:rsid w:val="005B7D5F"/>
    <w:rsid w:val="005C1170"/>
    <w:rsid w:val="005C11EF"/>
    <w:rsid w:val="005C48D8"/>
    <w:rsid w:val="005C57AB"/>
    <w:rsid w:val="005C58FA"/>
    <w:rsid w:val="005C676D"/>
    <w:rsid w:val="005C775B"/>
    <w:rsid w:val="005C7F1F"/>
    <w:rsid w:val="005D05A4"/>
    <w:rsid w:val="005D07F1"/>
    <w:rsid w:val="005D0C58"/>
    <w:rsid w:val="005D0FB5"/>
    <w:rsid w:val="005D1DC2"/>
    <w:rsid w:val="005D35AE"/>
    <w:rsid w:val="005D56E0"/>
    <w:rsid w:val="005D6427"/>
    <w:rsid w:val="005E1806"/>
    <w:rsid w:val="005E1DCE"/>
    <w:rsid w:val="005E296F"/>
    <w:rsid w:val="005E3D12"/>
    <w:rsid w:val="005E5D74"/>
    <w:rsid w:val="005F2FC2"/>
    <w:rsid w:val="0060061D"/>
    <w:rsid w:val="00601910"/>
    <w:rsid w:val="006023AF"/>
    <w:rsid w:val="00603238"/>
    <w:rsid w:val="00603572"/>
    <w:rsid w:val="00604D28"/>
    <w:rsid w:val="00604E4B"/>
    <w:rsid w:val="0061031D"/>
    <w:rsid w:val="006107FB"/>
    <w:rsid w:val="006108FB"/>
    <w:rsid w:val="0061098C"/>
    <w:rsid w:val="00613200"/>
    <w:rsid w:val="00615144"/>
    <w:rsid w:val="006152D1"/>
    <w:rsid w:val="00615C17"/>
    <w:rsid w:val="00617BC1"/>
    <w:rsid w:val="00620F9D"/>
    <w:rsid w:val="00621979"/>
    <w:rsid w:val="00622105"/>
    <w:rsid w:val="006231C8"/>
    <w:rsid w:val="00625524"/>
    <w:rsid w:val="00632207"/>
    <w:rsid w:val="0063491C"/>
    <w:rsid w:val="00635DEA"/>
    <w:rsid w:val="0064145E"/>
    <w:rsid w:val="0064188A"/>
    <w:rsid w:val="00641A5C"/>
    <w:rsid w:val="00642112"/>
    <w:rsid w:val="006424C5"/>
    <w:rsid w:val="00644359"/>
    <w:rsid w:val="0064639D"/>
    <w:rsid w:val="00647B72"/>
    <w:rsid w:val="00650041"/>
    <w:rsid w:val="00650B0E"/>
    <w:rsid w:val="00652D21"/>
    <w:rsid w:val="00653128"/>
    <w:rsid w:val="00656E28"/>
    <w:rsid w:val="00660B0F"/>
    <w:rsid w:val="00661AFE"/>
    <w:rsid w:val="006642A6"/>
    <w:rsid w:val="006643EB"/>
    <w:rsid w:val="00665563"/>
    <w:rsid w:val="00667E6F"/>
    <w:rsid w:val="00670C01"/>
    <w:rsid w:val="0067177B"/>
    <w:rsid w:val="00671A51"/>
    <w:rsid w:val="00672B7A"/>
    <w:rsid w:val="0067391F"/>
    <w:rsid w:val="00673C08"/>
    <w:rsid w:val="00675210"/>
    <w:rsid w:val="00675AED"/>
    <w:rsid w:val="00680F19"/>
    <w:rsid w:val="00681916"/>
    <w:rsid w:val="006825AA"/>
    <w:rsid w:val="00683B2C"/>
    <w:rsid w:val="00691584"/>
    <w:rsid w:val="00692F0D"/>
    <w:rsid w:val="006972E2"/>
    <w:rsid w:val="006A0656"/>
    <w:rsid w:val="006A0D78"/>
    <w:rsid w:val="006A2129"/>
    <w:rsid w:val="006A2EFA"/>
    <w:rsid w:val="006A3E48"/>
    <w:rsid w:val="006A3FA5"/>
    <w:rsid w:val="006A4171"/>
    <w:rsid w:val="006A708A"/>
    <w:rsid w:val="006B0BC3"/>
    <w:rsid w:val="006B1E94"/>
    <w:rsid w:val="006B4EEB"/>
    <w:rsid w:val="006B55A2"/>
    <w:rsid w:val="006B5860"/>
    <w:rsid w:val="006B5D3B"/>
    <w:rsid w:val="006C1F10"/>
    <w:rsid w:val="006C3AF9"/>
    <w:rsid w:val="006C43E5"/>
    <w:rsid w:val="006C4730"/>
    <w:rsid w:val="006C5C65"/>
    <w:rsid w:val="006C6DE1"/>
    <w:rsid w:val="006C6E41"/>
    <w:rsid w:val="006D2605"/>
    <w:rsid w:val="006D6C9F"/>
    <w:rsid w:val="006E5E28"/>
    <w:rsid w:val="006E61DC"/>
    <w:rsid w:val="006E6323"/>
    <w:rsid w:val="006E6574"/>
    <w:rsid w:val="006E7B9C"/>
    <w:rsid w:val="006F646F"/>
    <w:rsid w:val="0070170B"/>
    <w:rsid w:val="007070C6"/>
    <w:rsid w:val="007105AA"/>
    <w:rsid w:val="007108AF"/>
    <w:rsid w:val="00712959"/>
    <w:rsid w:val="00713E3D"/>
    <w:rsid w:val="00714704"/>
    <w:rsid w:val="00714CF2"/>
    <w:rsid w:val="007156B9"/>
    <w:rsid w:val="00716484"/>
    <w:rsid w:val="00720817"/>
    <w:rsid w:val="00721D0F"/>
    <w:rsid w:val="007226D7"/>
    <w:rsid w:val="00722850"/>
    <w:rsid w:val="00723597"/>
    <w:rsid w:val="0072482F"/>
    <w:rsid w:val="00725BA9"/>
    <w:rsid w:val="007272C9"/>
    <w:rsid w:val="00731A25"/>
    <w:rsid w:val="00731B15"/>
    <w:rsid w:val="00731D25"/>
    <w:rsid w:val="00732510"/>
    <w:rsid w:val="00732B32"/>
    <w:rsid w:val="0073353F"/>
    <w:rsid w:val="00733BA9"/>
    <w:rsid w:val="00735A91"/>
    <w:rsid w:val="00742E45"/>
    <w:rsid w:val="007447AF"/>
    <w:rsid w:val="0074782B"/>
    <w:rsid w:val="00750816"/>
    <w:rsid w:val="00751913"/>
    <w:rsid w:val="00757B28"/>
    <w:rsid w:val="00761AED"/>
    <w:rsid w:val="00761EB2"/>
    <w:rsid w:val="0076255D"/>
    <w:rsid w:val="00762B06"/>
    <w:rsid w:val="00763C19"/>
    <w:rsid w:val="007648B2"/>
    <w:rsid w:val="00764EE6"/>
    <w:rsid w:val="007657C1"/>
    <w:rsid w:val="00766DFF"/>
    <w:rsid w:val="0076799A"/>
    <w:rsid w:val="007741B9"/>
    <w:rsid w:val="007747E4"/>
    <w:rsid w:val="00775B47"/>
    <w:rsid w:val="00776A2E"/>
    <w:rsid w:val="0077755F"/>
    <w:rsid w:val="00780D97"/>
    <w:rsid w:val="00781007"/>
    <w:rsid w:val="00781864"/>
    <w:rsid w:val="00781FE2"/>
    <w:rsid w:val="007824C4"/>
    <w:rsid w:val="007928A5"/>
    <w:rsid w:val="00792FD0"/>
    <w:rsid w:val="0079549C"/>
    <w:rsid w:val="007A3151"/>
    <w:rsid w:val="007A406D"/>
    <w:rsid w:val="007A4D26"/>
    <w:rsid w:val="007A62B0"/>
    <w:rsid w:val="007A795F"/>
    <w:rsid w:val="007B0D62"/>
    <w:rsid w:val="007B465B"/>
    <w:rsid w:val="007B5673"/>
    <w:rsid w:val="007B7270"/>
    <w:rsid w:val="007C06D2"/>
    <w:rsid w:val="007C126B"/>
    <w:rsid w:val="007C5A0C"/>
    <w:rsid w:val="007D202F"/>
    <w:rsid w:val="007D49E0"/>
    <w:rsid w:val="007D5201"/>
    <w:rsid w:val="007D5B72"/>
    <w:rsid w:val="007D740A"/>
    <w:rsid w:val="007E0FEE"/>
    <w:rsid w:val="007E40A0"/>
    <w:rsid w:val="007E60CF"/>
    <w:rsid w:val="007F0996"/>
    <w:rsid w:val="007F2017"/>
    <w:rsid w:val="007F2414"/>
    <w:rsid w:val="007F471E"/>
    <w:rsid w:val="007F668B"/>
    <w:rsid w:val="008022C6"/>
    <w:rsid w:val="00803468"/>
    <w:rsid w:val="008036A1"/>
    <w:rsid w:val="0080390E"/>
    <w:rsid w:val="00803B6B"/>
    <w:rsid w:val="008041A8"/>
    <w:rsid w:val="008049DB"/>
    <w:rsid w:val="00805583"/>
    <w:rsid w:val="0080712C"/>
    <w:rsid w:val="00810981"/>
    <w:rsid w:val="00811587"/>
    <w:rsid w:val="00813D84"/>
    <w:rsid w:val="008159CF"/>
    <w:rsid w:val="00815D88"/>
    <w:rsid w:val="00815FD0"/>
    <w:rsid w:val="00816E05"/>
    <w:rsid w:val="008208A5"/>
    <w:rsid w:val="0082189B"/>
    <w:rsid w:val="008243C8"/>
    <w:rsid w:val="0082691C"/>
    <w:rsid w:val="00827611"/>
    <w:rsid w:val="008300FC"/>
    <w:rsid w:val="008339BB"/>
    <w:rsid w:val="00833E2C"/>
    <w:rsid w:val="008353D7"/>
    <w:rsid w:val="00836FF8"/>
    <w:rsid w:val="0083796B"/>
    <w:rsid w:val="00841A91"/>
    <w:rsid w:val="00843C13"/>
    <w:rsid w:val="008442AA"/>
    <w:rsid w:val="00847F64"/>
    <w:rsid w:val="00850455"/>
    <w:rsid w:val="00851B74"/>
    <w:rsid w:val="00853709"/>
    <w:rsid w:val="00854134"/>
    <w:rsid w:val="008559AF"/>
    <w:rsid w:val="008614F9"/>
    <w:rsid w:val="0086172E"/>
    <w:rsid w:val="0086312B"/>
    <w:rsid w:val="00863262"/>
    <w:rsid w:val="0086419A"/>
    <w:rsid w:val="00864C09"/>
    <w:rsid w:val="0087023B"/>
    <w:rsid w:val="008719C1"/>
    <w:rsid w:val="0087262E"/>
    <w:rsid w:val="0087377E"/>
    <w:rsid w:val="00873F67"/>
    <w:rsid w:val="00876E97"/>
    <w:rsid w:val="00877186"/>
    <w:rsid w:val="00877241"/>
    <w:rsid w:val="00880234"/>
    <w:rsid w:val="008817CE"/>
    <w:rsid w:val="008818FE"/>
    <w:rsid w:val="008825BE"/>
    <w:rsid w:val="00884855"/>
    <w:rsid w:val="00885AE0"/>
    <w:rsid w:val="008869E0"/>
    <w:rsid w:val="00887A9B"/>
    <w:rsid w:val="00890A8E"/>
    <w:rsid w:val="00892954"/>
    <w:rsid w:val="00892D9F"/>
    <w:rsid w:val="00893727"/>
    <w:rsid w:val="00893FFB"/>
    <w:rsid w:val="00895868"/>
    <w:rsid w:val="00895996"/>
    <w:rsid w:val="0089688B"/>
    <w:rsid w:val="008A08BF"/>
    <w:rsid w:val="008A179F"/>
    <w:rsid w:val="008A2B10"/>
    <w:rsid w:val="008A3F4E"/>
    <w:rsid w:val="008B0604"/>
    <w:rsid w:val="008B0864"/>
    <w:rsid w:val="008B0D98"/>
    <w:rsid w:val="008B175A"/>
    <w:rsid w:val="008B20BC"/>
    <w:rsid w:val="008B35BB"/>
    <w:rsid w:val="008B4192"/>
    <w:rsid w:val="008B42F2"/>
    <w:rsid w:val="008B45C7"/>
    <w:rsid w:val="008B75B9"/>
    <w:rsid w:val="008B7F74"/>
    <w:rsid w:val="008C0BD8"/>
    <w:rsid w:val="008C3CB7"/>
    <w:rsid w:val="008C3F78"/>
    <w:rsid w:val="008C5DD8"/>
    <w:rsid w:val="008C7413"/>
    <w:rsid w:val="008D16B7"/>
    <w:rsid w:val="008D17B4"/>
    <w:rsid w:val="008D2947"/>
    <w:rsid w:val="008D61A2"/>
    <w:rsid w:val="008D6FE7"/>
    <w:rsid w:val="008D7A96"/>
    <w:rsid w:val="008E411E"/>
    <w:rsid w:val="008E6289"/>
    <w:rsid w:val="008E6AE6"/>
    <w:rsid w:val="008E6FA0"/>
    <w:rsid w:val="008E7E26"/>
    <w:rsid w:val="008F0116"/>
    <w:rsid w:val="008F143D"/>
    <w:rsid w:val="008F5EB7"/>
    <w:rsid w:val="00903151"/>
    <w:rsid w:val="00904826"/>
    <w:rsid w:val="00904FA9"/>
    <w:rsid w:val="009069AF"/>
    <w:rsid w:val="00913947"/>
    <w:rsid w:val="0091462B"/>
    <w:rsid w:val="00914F02"/>
    <w:rsid w:val="00916192"/>
    <w:rsid w:val="009162AE"/>
    <w:rsid w:val="00916D0A"/>
    <w:rsid w:val="0091764E"/>
    <w:rsid w:val="00923E2D"/>
    <w:rsid w:val="00925FB6"/>
    <w:rsid w:val="00926022"/>
    <w:rsid w:val="009317E6"/>
    <w:rsid w:val="0093198F"/>
    <w:rsid w:val="0093255C"/>
    <w:rsid w:val="00932617"/>
    <w:rsid w:val="00932865"/>
    <w:rsid w:val="0093625A"/>
    <w:rsid w:val="00937835"/>
    <w:rsid w:val="00937924"/>
    <w:rsid w:val="009412EF"/>
    <w:rsid w:val="00942EC9"/>
    <w:rsid w:val="009503D9"/>
    <w:rsid w:val="0095053C"/>
    <w:rsid w:val="00951840"/>
    <w:rsid w:val="00953800"/>
    <w:rsid w:val="00955652"/>
    <w:rsid w:val="00955A5A"/>
    <w:rsid w:val="00962328"/>
    <w:rsid w:val="00962C79"/>
    <w:rsid w:val="0096367F"/>
    <w:rsid w:val="00963C25"/>
    <w:rsid w:val="009650C3"/>
    <w:rsid w:val="009657CD"/>
    <w:rsid w:val="00973495"/>
    <w:rsid w:val="00973E9D"/>
    <w:rsid w:val="00974231"/>
    <w:rsid w:val="009752EB"/>
    <w:rsid w:val="00977F98"/>
    <w:rsid w:val="00980BEC"/>
    <w:rsid w:val="0098138E"/>
    <w:rsid w:val="009825E7"/>
    <w:rsid w:val="00982B2B"/>
    <w:rsid w:val="0098655A"/>
    <w:rsid w:val="00986D6C"/>
    <w:rsid w:val="00991788"/>
    <w:rsid w:val="00991E01"/>
    <w:rsid w:val="00992AEA"/>
    <w:rsid w:val="0099434D"/>
    <w:rsid w:val="00995A9C"/>
    <w:rsid w:val="009978CD"/>
    <w:rsid w:val="00997C0A"/>
    <w:rsid w:val="00997EAB"/>
    <w:rsid w:val="009A0625"/>
    <w:rsid w:val="009A1D14"/>
    <w:rsid w:val="009A3F8C"/>
    <w:rsid w:val="009A43AA"/>
    <w:rsid w:val="009A4537"/>
    <w:rsid w:val="009A6E36"/>
    <w:rsid w:val="009B21C0"/>
    <w:rsid w:val="009B443E"/>
    <w:rsid w:val="009B5845"/>
    <w:rsid w:val="009B7077"/>
    <w:rsid w:val="009C1DA9"/>
    <w:rsid w:val="009C2172"/>
    <w:rsid w:val="009C36B4"/>
    <w:rsid w:val="009C6F6E"/>
    <w:rsid w:val="009C7B0F"/>
    <w:rsid w:val="009D16BD"/>
    <w:rsid w:val="009D2C79"/>
    <w:rsid w:val="009D2FF0"/>
    <w:rsid w:val="009D32A9"/>
    <w:rsid w:val="009D3E37"/>
    <w:rsid w:val="009E24F7"/>
    <w:rsid w:val="009E2BD3"/>
    <w:rsid w:val="009E4052"/>
    <w:rsid w:val="009E50EA"/>
    <w:rsid w:val="009E6052"/>
    <w:rsid w:val="009E76EF"/>
    <w:rsid w:val="009E7C7F"/>
    <w:rsid w:val="009F0479"/>
    <w:rsid w:val="009F3906"/>
    <w:rsid w:val="009F3A40"/>
    <w:rsid w:val="009F6CC3"/>
    <w:rsid w:val="009F71F9"/>
    <w:rsid w:val="00A00E4A"/>
    <w:rsid w:val="00A03233"/>
    <w:rsid w:val="00A0434E"/>
    <w:rsid w:val="00A04A22"/>
    <w:rsid w:val="00A04F7A"/>
    <w:rsid w:val="00A10914"/>
    <w:rsid w:val="00A118C1"/>
    <w:rsid w:val="00A14F40"/>
    <w:rsid w:val="00A14F55"/>
    <w:rsid w:val="00A157D9"/>
    <w:rsid w:val="00A1779D"/>
    <w:rsid w:val="00A17CE0"/>
    <w:rsid w:val="00A20E69"/>
    <w:rsid w:val="00A213B7"/>
    <w:rsid w:val="00A2377D"/>
    <w:rsid w:val="00A23D48"/>
    <w:rsid w:val="00A251B1"/>
    <w:rsid w:val="00A260AE"/>
    <w:rsid w:val="00A263C7"/>
    <w:rsid w:val="00A27B32"/>
    <w:rsid w:val="00A31BED"/>
    <w:rsid w:val="00A36D8F"/>
    <w:rsid w:val="00A3720E"/>
    <w:rsid w:val="00A400CF"/>
    <w:rsid w:val="00A42306"/>
    <w:rsid w:val="00A44BEC"/>
    <w:rsid w:val="00A44E8D"/>
    <w:rsid w:val="00A4545D"/>
    <w:rsid w:val="00A46664"/>
    <w:rsid w:val="00A46D56"/>
    <w:rsid w:val="00A46EA8"/>
    <w:rsid w:val="00A472D7"/>
    <w:rsid w:val="00A4778B"/>
    <w:rsid w:val="00A50F54"/>
    <w:rsid w:val="00A5115E"/>
    <w:rsid w:val="00A52FD7"/>
    <w:rsid w:val="00A53CCA"/>
    <w:rsid w:val="00A54604"/>
    <w:rsid w:val="00A55ACD"/>
    <w:rsid w:val="00A55C99"/>
    <w:rsid w:val="00A55CE7"/>
    <w:rsid w:val="00A563DF"/>
    <w:rsid w:val="00A56F4D"/>
    <w:rsid w:val="00A60AB1"/>
    <w:rsid w:val="00A60DC4"/>
    <w:rsid w:val="00A63F1B"/>
    <w:rsid w:val="00A64D96"/>
    <w:rsid w:val="00A65A6F"/>
    <w:rsid w:val="00A65D22"/>
    <w:rsid w:val="00A66E7E"/>
    <w:rsid w:val="00A6762D"/>
    <w:rsid w:val="00A67C82"/>
    <w:rsid w:val="00A71A9B"/>
    <w:rsid w:val="00A7316A"/>
    <w:rsid w:val="00A742E6"/>
    <w:rsid w:val="00A748B6"/>
    <w:rsid w:val="00A761B3"/>
    <w:rsid w:val="00A82DB8"/>
    <w:rsid w:val="00A85D27"/>
    <w:rsid w:val="00A90E57"/>
    <w:rsid w:val="00A93833"/>
    <w:rsid w:val="00A9471C"/>
    <w:rsid w:val="00A94D1B"/>
    <w:rsid w:val="00A95245"/>
    <w:rsid w:val="00A97AF7"/>
    <w:rsid w:val="00AA72C9"/>
    <w:rsid w:val="00AB1482"/>
    <w:rsid w:val="00AB6C4D"/>
    <w:rsid w:val="00AB6F8C"/>
    <w:rsid w:val="00AB7397"/>
    <w:rsid w:val="00AB7875"/>
    <w:rsid w:val="00AC1E59"/>
    <w:rsid w:val="00AC3520"/>
    <w:rsid w:val="00AC68EE"/>
    <w:rsid w:val="00AD0291"/>
    <w:rsid w:val="00AD076C"/>
    <w:rsid w:val="00AD08EA"/>
    <w:rsid w:val="00AD0F44"/>
    <w:rsid w:val="00AD27B6"/>
    <w:rsid w:val="00AD3EAB"/>
    <w:rsid w:val="00AD502F"/>
    <w:rsid w:val="00AE0150"/>
    <w:rsid w:val="00AE08AC"/>
    <w:rsid w:val="00AE2954"/>
    <w:rsid w:val="00AE3DC3"/>
    <w:rsid w:val="00AE4F28"/>
    <w:rsid w:val="00AE668B"/>
    <w:rsid w:val="00AE7163"/>
    <w:rsid w:val="00AF077D"/>
    <w:rsid w:val="00AF092D"/>
    <w:rsid w:val="00AF12B1"/>
    <w:rsid w:val="00AF190D"/>
    <w:rsid w:val="00AF2BE3"/>
    <w:rsid w:val="00AF533A"/>
    <w:rsid w:val="00AF6E84"/>
    <w:rsid w:val="00B01F6D"/>
    <w:rsid w:val="00B01F7E"/>
    <w:rsid w:val="00B037A7"/>
    <w:rsid w:val="00B055DD"/>
    <w:rsid w:val="00B06A37"/>
    <w:rsid w:val="00B10165"/>
    <w:rsid w:val="00B128A7"/>
    <w:rsid w:val="00B1345D"/>
    <w:rsid w:val="00B13C94"/>
    <w:rsid w:val="00B147B4"/>
    <w:rsid w:val="00B15213"/>
    <w:rsid w:val="00B16BCC"/>
    <w:rsid w:val="00B16C2A"/>
    <w:rsid w:val="00B17A5D"/>
    <w:rsid w:val="00B200CA"/>
    <w:rsid w:val="00B2065E"/>
    <w:rsid w:val="00B21682"/>
    <w:rsid w:val="00B21A92"/>
    <w:rsid w:val="00B2361A"/>
    <w:rsid w:val="00B23FA7"/>
    <w:rsid w:val="00B2442F"/>
    <w:rsid w:val="00B246CA"/>
    <w:rsid w:val="00B2529B"/>
    <w:rsid w:val="00B254BC"/>
    <w:rsid w:val="00B25851"/>
    <w:rsid w:val="00B27749"/>
    <w:rsid w:val="00B3087D"/>
    <w:rsid w:val="00B31B5A"/>
    <w:rsid w:val="00B3233E"/>
    <w:rsid w:val="00B33B52"/>
    <w:rsid w:val="00B3453F"/>
    <w:rsid w:val="00B3474C"/>
    <w:rsid w:val="00B34794"/>
    <w:rsid w:val="00B34D71"/>
    <w:rsid w:val="00B422C2"/>
    <w:rsid w:val="00B426C0"/>
    <w:rsid w:val="00B430FD"/>
    <w:rsid w:val="00B45305"/>
    <w:rsid w:val="00B551A7"/>
    <w:rsid w:val="00B55815"/>
    <w:rsid w:val="00B56648"/>
    <w:rsid w:val="00B57407"/>
    <w:rsid w:val="00B60421"/>
    <w:rsid w:val="00B64FB9"/>
    <w:rsid w:val="00B65572"/>
    <w:rsid w:val="00B66D18"/>
    <w:rsid w:val="00B73BAD"/>
    <w:rsid w:val="00B74515"/>
    <w:rsid w:val="00B75266"/>
    <w:rsid w:val="00B7535F"/>
    <w:rsid w:val="00B80576"/>
    <w:rsid w:val="00B8163E"/>
    <w:rsid w:val="00B81EB6"/>
    <w:rsid w:val="00B8353F"/>
    <w:rsid w:val="00B84051"/>
    <w:rsid w:val="00B84A48"/>
    <w:rsid w:val="00B87C57"/>
    <w:rsid w:val="00B924ED"/>
    <w:rsid w:val="00B93289"/>
    <w:rsid w:val="00B93C86"/>
    <w:rsid w:val="00B960BE"/>
    <w:rsid w:val="00B96F6D"/>
    <w:rsid w:val="00B97B9C"/>
    <w:rsid w:val="00BA0877"/>
    <w:rsid w:val="00BA0977"/>
    <w:rsid w:val="00BA2C0E"/>
    <w:rsid w:val="00BA4856"/>
    <w:rsid w:val="00BA52EB"/>
    <w:rsid w:val="00BA5AFF"/>
    <w:rsid w:val="00BA5E82"/>
    <w:rsid w:val="00BA7A7D"/>
    <w:rsid w:val="00BA7B5E"/>
    <w:rsid w:val="00BA7EDE"/>
    <w:rsid w:val="00BB0243"/>
    <w:rsid w:val="00BB2378"/>
    <w:rsid w:val="00BB4934"/>
    <w:rsid w:val="00BB6AFA"/>
    <w:rsid w:val="00BB7947"/>
    <w:rsid w:val="00BC1124"/>
    <w:rsid w:val="00BC19DF"/>
    <w:rsid w:val="00BC1B6C"/>
    <w:rsid w:val="00BC5F21"/>
    <w:rsid w:val="00BC5F66"/>
    <w:rsid w:val="00BC749C"/>
    <w:rsid w:val="00BC7CB2"/>
    <w:rsid w:val="00BD090D"/>
    <w:rsid w:val="00BD0A96"/>
    <w:rsid w:val="00BD202F"/>
    <w:rsid w:val="00BD2BF2"/>
    <w:rsid w:val="00BD7510"/>
    <w:rsid w:val="00BD7B3A"/>
    <w:rsid w:val="00BE1771"/>
    <w:rsid w:val="00BE20DB"/>
    <w:rsid w:val="00BF08E4"/>
    <w:rsid w:val="00BF17AB"/>
    <w:rsid w:val="00BF68B3"/>
    <w:rsid w:val="00C02B03"/>
    <w:rsid w:val="00C0345C"/>
    <w:rsid w:val="00C0631C"/>
    <w:rsid w:val="00C1029B"/>
    <w:rsid w:val="00C10809"/>
    <w:rsid w:val="00C10B5F"/>
    <w:rsid w:val="00C17A42"/>
    <w:rsid w:val="00C202AA"/>
    <w:rsid w:val="00C209F4"/>
    <w:rsid w:val="00C211F3"/>
    <w:rsid w:val="00C22826"/>
    <w:rsid w:val="00C23643"/>
    <w:rsid w:val="00C2613E"/>
    <w:rsid w:val="00C30F9C"/>
    <w:rsid w:val="00C32718"/>
    <w:rsid w:val="00C33648"/>
    <w:rsid w:val="00C34550"/>
    <w:rsid w:val="00C3574C"/>
    <w:rsid w:val="00C358BC"/>
    <w:rsid w:val="00C37783"/>
    <w:rsid w:val="00C37D0A"/>
    <w:rsid w:val="00C43560"/>
    <w:rsid w:val="00C449F0"/>
    <w:rsid w:val="00C458E3"/>
    <w:rsid w:val="00C46C6B"/>
    <w:rsid w:val="00C4759F"/>
    <w:rsid w:val="00C51A1B"/>
    <w:rsid w:val="00C52636"/>
    <w:rsid w:val="00C56816"/>
    <w:rsid w:val="00C56883"/>
    <w:rsid w:val="00C60AB9"/>
    <w:rsid w:val="00C64040"/>
    <w:rsid w:val="00C6738A"/>
    <w:rsid w:val="00C67A51"/>
    <w:rsid w:val="00C708BE"/>
    <w:rsid w:val="00C81CC6"/>
    <w:rsid w:val="00C8231F"/>
    <w:rsid w:val="00C82F00"/>
    <w:rsid w:val="00C837AD"/>
    <w:rsid w:val="00C8768B"/>
    <w:rsid w:val="00C878D5"/>
    <w:rsid w:val="00C9033B"/>
    <w:rsid w:val="00C911FB"/>
    <w:rsid w:val="00C913A1"/>
    <w:rsid w:val="00C91D6B"/>
    <w:rsid w:val="00C932E9"/>
    <w:rsid w:val="00C935BD"/>
    <w:rsid w:val="00CA0221"/>
    <w:rsid w:val="00CA121A"/>
    <w:rsid w:val="00CA54D2"/>
    <w:rsid w:val="00CA692B"/>
    <w:rsid w:val="00CA75B3"/>
    <w:rsid w:val="00CB2C94"/>
    <w:rsid w:val="00CB3BA5"/>
    <w:rsid w:val="00CB4DA9"/>
    <w:rsid w:val="00CB6432"/>
    <w:rsid w:val="00CC09CD"/>
    <w:rsid w:val="00CC2D5C"/>
    <w:rsid w:val="00CC5317"/>
    <w:rsid w:val="00CC58EF"/>
    <w:rsid w:val="00CC5B61"/>
    <w:rsid w:val="00CC6A25"/>
    <w:rsid w:val="00CC6A99"/>
    <w:rsid w:val="00CD352C"/>
    <w:rsid w:val="00CD3BC5"/>
    <w:rsid w:val="00CD42B1"/>
    <w:rsid w:val="00CD6ECF"/>
    <w:rsid w:val="00CE5752"/>
    <w:rsid w:val="00CF045C"/>
    <w:rsid w:val="00CF0B9B"/>
    <w:rsid w:val="00CF4039"/>
    <w:rsid w:val="00D00AA3"/>
    <w:rsid w:val="00D0287C"/>
    <w:rsid w:val="00D04F50"/>
    <w:rsid w:val="00D0504E"/>
    <w:rsid w:val="00D050E4"/>
    <w:rsid w:val="00D05ED0"/>
    <w:rsid w:val="00D06BA7"/>
    <w:rsid w:val="00D07866"/>
    <w:rsid w:val="00D07A0C"/>
    <w:rsid w:val="00D07F73"/>
    <w:rsid w:val="00D11568"/>
    <w:rsid w:val="00D139A2"/>
    <w:rsid w:val="00D14006"/>
    <w:rsid w:val="00D14844"/>
    <w:rsid w:val="00D169F8"/>
    <w:rsid w:val="00D1772E"/>
    <w:rsid w:val="00D179CA"/>
    <w:rsid w:val="00D20338"/>
    <w:rsid w:val="00D2041C"/>
    <w:rsid w:val="00D204D2"/>
    <w:rsid w:val="00D23301"/>
    <w:rsid w:val="00D23680"/>
    <w:rsid w:val="00D25ADE"/>
    <w:rsid w:val="00D27566"/>
    <w:rsid w:val="00D31A00"/>
    <w:rsid w:val="00D3289F"/>
    <w:rsid w:val="00D40A43"/>
    <w:rsid w:val="00D43297"/>
    <w:rsid w:val="00D436E4"/>
    <w:rsid w:val="00D4470C"/>
    <w:rsid w:val="00D44713"/>
    <w:rsid w:val="00D44DB6"/>
    <w:rsid w:val="00D4523A"/>
    <w:rsid w:val="00D459A9"/>
    <w:rsid w:val="00D46AB5"/>
    <w:rsid w:val="00D476D4"/>
    <w:rsid w:val="00D50057"/>
    <w:rsid w:val="00D50119"/>
    <w:rsid w:val="00D511D3"/>
    <w:rsid w:val="00D512A7"/>
    <w:rsid w:val="00D514F5"/>
    <w:rsid w:val="00D533FB"/>
    <w:rsid w:val="00D53400"/>
    <w:rsid w:val="00D555B4"/>
    <w:rsid w:val="00D60C60"/>
    <w:rsid w:val="00D61E8C"/>
    <w:rsid w:val="00D6421F"/>
    <w:rsid w:val="00D64470"/>
    <w:rsid w:val="00D6761F"/>
    <w:rsid w:val="00D726EA"/>
    <w:rsid w:val="00D731CC"/>
    <w:rsid w:val="00D7600D"/>
    <w:rsid w:val="00D8070F"/>
    <w:rsid w:val="00D82A43"/>
    <w:rsid w:val="00D8486E"/>
    <w:rsid w:val="00D85EA3"/>
    <w:rsid w:val="00D86745"/>
    <w:rsid w:val="00D875AA"/>
    <w:rsid w:val="00D9029D"/>
    <w:rsid w:val="00D91D63"/>
    <w:rsid w:val="00D91FAD"/>
    <w:rsid w:val="00D93CBB"/>
    <w:rsid w:val="00D95E86"/>
    <w:rsid w:val="00D975D5"/>
    <w:rsid w:val="00DA100D"/>
    <w:rsid w:val="00DA131D"/>
    <w:rsid w:val="00DA2264"/>
    <w:rsid w:val="00DA2537"/>
    <w:rsid w:val="00DA2F2C"/>
    <w:rsid w:val="00DA3057"/>
    <w:rsid w:val="00DA6D7F"/>
    <w:rsid w:val="00DA7B5D"/>
    <w:rsid w:val="00DB184C"/>
    <w:rsid w:val="00DC017F"/>
    <w:rsid w:val="00DC055A"/>
    <w:rsid w:val="00DC164A"/>
    <w:rsid w:val="00DC2545"/>
    <w:rsid w:val="00DD0B2C"/>
    <w:rsid w:val="00DD0E74"/>
    <w:rsid w:val="00DD1272"/>
    <w:rsid w:val="00DD1C50"/>
    <w:rsid w:val="00DD1C99"/>
    <w:rsid w:val="00DD3CD6"/>
    <w:rsid w:val="00DD48A4"/>
    <w:rsid w:val="00DE0114"/>
    <w:rsid w:val="00DE0983"/>
    <w:rsid w:val="00DE1F04"/>
    <w:rsid w:val="00DE4271"/>
    <w:rsid w:val="00DE6443"/>
    <w:rsid w:val="00DE73EE"/>
    <w:rsid w:val="00DF1629"/>
    <w:rsid w:val="00DF30F7"/>
    <w:rsid w:val="00DF58E7"/>
    <w:rsid w:val="00DF5CB7"/>
    <w:rsid w:val="00DF65EE"/>
    <w:rsid w:val="00E01B1B"/>
    <w:rsid w:val="00E01D88"/>
    <w:rsid w:val="00E01E5F"/>
    <w:rsid w:val="00E03122"/>
    <w:rsid w:val="00E05791"/>
    <w:rsid w:val="00E05B1E"/>
    <w:rsid w:val="00E06659"/>
    <w:rsid w:val="00E11876"/>
    <w:rsid w:val="00E12B39"/>
    <w:rsid w:val="00E12E0B"/>
    <w:rsid w:val="00E1349F"/>
    <w:rsid w:val="00E2022E"/>
    <w:rsid w:val="00E20420"/>
    <w:rsid w:val="00E23CBB"/>
    <w:rsid w:val="00E23F37"/>
    <w:rsid w:val="00E25375"/>
    <w:rsid w:val="00E25EBC"/>
    <w:rsid w:val="00E27A38"/>
    <w:rsid w:val="00E301D0"/>
    <w:rsid w:val="00E31378"/>
    <w:rsid w:val="00E3436B"/>
    <w:rsid w:val="00E34E3D"/>
    <w:rsid w:val="00E361E4"/>
    <w:rsid w:val="00E37861"/>
    <w:rsid w:val="00E37B59"/>
    <w:rsid w:val="00E405D8"/>
    <w:rsid w:val="00E41038"/>
    <w:rsid w:val="00E4521A"/>
    <w:rsid w:val="00E46AE7"/>
    <w:rsid w:val="00E46F01"/>
    <w:rsid w:val="00E47F65"/>
    <w:rsid w:val="00E47FF5"/>
    <w:rsid w:val="00E52AD4"/>
    <w:rsid w:val="00E53438"/>
    <w:rsid w:val="00E56831"/>
    <w:rsid w:val="00E606BA"/>
    <w:rsid w:val="00E62054"/>
    <w:rsid w:val="00E6381F"/>
    <w:rsid w:val="00E63AB9"/>
    <w:rsid w:val="00E67D4F"/>
    <w:rsid w:val="00E725FC"/>
    <w:rsid w:val="00E740B5"/>
    <w:rsid w:val="00E7718D"/>
    <w:rsid w:val="00E819D2"/>
    <w:rsid w:val="00E92959"/>
    <w:rsid w:val="00E934F7"/>
    <w:rsid w:val="00E93D0F"/>
    <w:rsid w:val="00E95473"/>
    <w:rsid w:val="00E95FE3"/>
    <w:rsid w:val="00E97F47"/>
    <w:rsid w:val="00EA0FEC"/>
    <w:rsid w:val="00EA133D"/>
    <w:rsid w:val="00EA23B5"/>
    <w:rsid w:val="00EA282E"/>
    <w:rsid w:val="00EA28DA"/>
    <w:rsid w:val="00EA34C1"/>
    <w:rsid w:val="00EA36C6"/>
    <w:rsid w:val="00EA3B5A"/>
    <w:rsid w:val="00EA426F"/>
    <w:rsid w:val="00EA4E85"/>
    <w:rsid w:val="00EA54D5"/>
    <w:rsid w:val="00EB0258"/>
    <w:rsid w:val="00EB4E93"/>
    <w:rsid w:val="00EB60F4"/>
    <w:rsid w:val="00EB6388"/>
    <w:rsid w:val="00EB6AF7"/>
    <w:rsid w:val="00EB705F"/>
    <w:rsid w:val="00EC054F"/>
    <w:rsid w:val="00EC1AA8"/>
    <w:rsid w:val="00EC27CF"/>
    <w:rsid w:val="00EC30F9"/>
    <w:rsid w:val="00EC39E9"/>
    <w:rsid w:val="00EC5791"/>
    <w:rsid w:val="00ED0573"/>
    <w:rsid w:val="00ED0B1D"/>
    <w:rsid w:val="00ED197C"/>
    <w:rsid w:val="00ED47CF"/>
    <w:rsid w:val="00ED5725"/>
    <w:rsid w:val="00ED5F7C"/>
    <w:rsid w:val="00ED622B"/>
    <w:rsid w:val="00ED6702"/>
    <w:rsid w:val="00ED7031"/>
    <w:rsid w:val="00EE3060"/>
    <w:rsid w:val="00EE3B8D"/>
    <w:rsid w:val="00EE4315"/>
    <w:rsid w:val="00EE6B75"/>
    <w:rsid w:val="00EE6F32"/>
    <w:rsid w:val="00EF2F6C"/>
    <w:rsid w:val="00EF3B88"/>
    <w:rsid w:val="00EF5630"/>
    <w:rsid w:val="00EF6925"/>
    <w:rsid w:val="00F0088A"/>
    <w:rsid w:val="00F00A63"/>
    <w:rsid w:val="00F04CA7"/>
    <w:rsid w:val="00F07404"/>
    <w:rsid w:val="00F07DB2"/>
    <w:rsid w:val="00F10D8E"/>
    <w:rsid w:val="00F114FC"/>
    <w:rsid w:val="00F115DB"/>
    <w:rsid w:val="00F12118"/>
    <w:rsid w:val="00F12958"/>
    <w:rsid w:val="00F15985"/>
    <w:rsid w:val="00F17013"/>
    <w:rsid w:val="00F17069"/>
    <w:rsid w:val="00F175CA"/>
    <w:rsid w:val="00F17D94"/>
    <w:rsid w:val="00F2037C"/>
    <w:rsid w:val="00F23564"/>
    <w:rsid w:val="00F2372B"/>
    <w:rsid w:val="00F24CA4"/>
    <w:rsid w:val="00F24F2E"/>
    <w:rsid w:val="00F251D1"/>
    <w:rsid w:val="00F261D1"/>
    <w:rsid w:val="00F26576"/>
    <w:rsid w:val="00F26ED3"/>
    <w:rsid w:val="00F3060B"/>
    <w:rsid w:val="00F31C82"/>
    <w:rsid w:val="00F326C0"/>
    <w:rsid w:val="00F3390F"/>
    <w:rsid w:val="00F361C8"/>
    <w:rsid w:val="00F418D3"/>
    <w:rsid w:val="00F41960"/>
    <w:rsid w:val="00F42D85"/>
    <w:rsid w:val="00F43B59"/>
    <w:rsid w:val="00F44971"/>
    <w:rsid w:val="00F45BC6"/>
    <w:rsid w:val="00F51360"/>
    <w:rsid w:val="00F607A3"/>
    <w:rsid w:val="00F62B7A"/>
    <w:rsid w:val="00F636F9"/>
    <w:rsid w:val="00F6397D"/>
    <w:rsid w:val="00F6416E"/>
    <w:rsid w:val="00F65332"/>
    <w:rsid w:val="00F7293E"/>
    <w:rsid w:val="00F74131"/>
    <w:rsid w:val="00F7538A"/>
    <w:rsid w:val="00F75EFB"/>
    <w:rsid w:val="00F76650"/>
    <w:rsid w:val="00F771DF"/>
    <w:rsid w:val="00F77706"/>
    <w:rsid w:val="00F802FB"/>
    <w:rsid w:val="00F819D0"/>
    <w:rsid w:val="00F824E3"/>
    <w:rsid w:val="00F833CB"/>
    <w:rsid w:val="00F86224"/>
    <w:rsid w:val="00F87184"/>
    <w:rsid w:val="00F9187B"/>
    <w:rsid w:val="00F92385"/>
    <w:rsid w:val="00FA0529"/>
    <w:rsid w:val="00FA0EAD"/>
    <w:rsid w:val="00FA1748"/>
    <w:rsid w:val="00FA1B4F"/>
    <w:rsid w:val="00FA3DA9"/>
    <w:rsid w:val="00FA4B53"/>
    <w:rsid w:val="00FA5E55"/>
    <w:rsid w:val="00FB27BD"/>
    <w:rsid w:val="00FB29CF"/>
    <w:rsid w:val="00FB2CAE"/>
    <w:rsid w:val="00FB749F"/>
    <w:rsid w:val="00FB7B36"/>
    <w:rsid w:val="00FC456A"/>
    <w:rsid w:val="00FC47F9"/>
    <w:rsid w:val="00FC5ED3"/>
    <w:rsid w:val="00FC739F"/>
    <w:rsid w:val="00FD1585"/>
    <w:rsid w:val="00FD189F"/>
    <w:rsid w:val="00FD1B9B"/>
    <w:rsid w:val="00FD243F"/>
    <w:rsid w:val="00FD4040"/>
    <w:rsid w:val="00FD48D0"/>
    <w:rsid w:val="00FD643D"/>
    <w:rsid w:val="00FE1EF1"/>
    <w:rsid w:val="00FE2351"/>
    <w:rsid w:val="00FE337D"/>
    <w:rsid w:val="00FE4460"/>
    <w:rsid w:val="00FE4E93"/>
    <w:rsid w:val="00FE5580"/>
    <w:rsid w:val="00FE75C6"/>
    <w:rsid w:val="00FF023E"/>
    <w:rsid w:val="00FF110C"/>
    <w:rsid w:val="00FF1E41"/>
    <w:rsid w:val="00FF4839"/>
    <w:rsid w:val="00FF50BD"/>
    <w:rsid w:val="00FF76B7"/>
    <w:rsid w:val="00FF7C03"/>
    <w:rsid w:val="00FF7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AF877F"/>
  <w15:chartTrackingRefBased/>
  <w15:docId w15:val="{FDDCACB8-39A5-4A34-92A7-D8EF7383CA29}"/>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uiPriority="4"/>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61AFE"/>
    <w:pPr>
      <w:spacing w:after="0" w:line="360" w:lineRule="auto"/>
      <w:ind w:firstLine="720"/>
    </w:pPr>
    <w:rPr>
      <w:rFonts w:ascii="Book Antiqua" w:hAnsi="Book Antiqua"/>
      <w:sz w:val="26"/>
    </w:rPr>
  </w:style>
  <w:style w:type="paragraph" w:styleId="Heading1">
    <w:name w:val="heading 1"/>
    <w:basedOn w:val="Dummy"/>
    <w:next w:val="Standard"/>
    <w:link w:val="Heading1Char"/>
    <w:uiPriority w:val="4"/>
    <w:qFormat/>
    <w:rsid w:val="000E270A"/>
    <w:pPr>
      <w:numPr>
        <w:numId w:val="15"/>
      </w:numPr>
      <w:ind w:right="2160"/>
    </w:pPr>
    <w:rPr>
      <w:rFonts w:eastAsiaTheme="majorEastAsia" w:cstheme="majorBidi"/>
      <w:szCs w:val="32"/>
    </w:rPr>
  </w:style>
  <w:style w:type="paragraph" w:styleId="Heading2">
    <w:name w:val="heading 2"/>
    <w:basedOn w:val="Dummy"/>
    <w:next w:val="Standard"/>
    <w:link w:val="Heading2Char"/>
    <w:uiPriority w:val="4"/>
    <w:qFormat/>
    <w:rsid w:val="000E270A"/>
    <w:pPr>
      <w:numPr>
        <w:ilvl w:val="1"/>
        <w:numId w:val="15"/>
      </w:numPr>
      <w:ind w:right="2160"/>
      <w:outlineLvl w:val="1"/>
    </w:pPr>
  </w:style>
  <w:style w:type="paragraph" w:styleId="Heading3">
    <w:name w:val="heading 3"/>
    <w:basedOn w:val="Dummy"/>
    <w:next w:val="Standard"/>
    <w:link w:val="Heading3Char"/>
    <w:uiPriority w:val="4"/>
    <w:qFormat/>
    <w:rsid w:val="000E270A"/>
    <w:pPr>
      <w:numPr>
        <w:ilvl w:val="2"/>
        <w:numId w:val="15"/>
      </w:numPr>
      <w:ind w:right="2160"/>
      <w:outlineLvl w:val="2"/>
    </w:pPr>
    <w:rPr>
      <w:rFonts w:eastAsiaTheme="majorEastAsia" w:cstheme="majorBidi"/>
      <w:szCs w:val="24"/>
    </w:rPr>
  </w:style>
  <w:style w:type="paragraph" w:styleId="Heading4">
    <w:name w:val="heading 4"/>
    <w:basedOn w:val="Dummy"/>
    <w:next w:val="Standard"/>
    <w:link w:val="Heading4Char"/>
    <w:uiPriority w:val="4"/>
    <w:rsid w:val="000E270A"/>
    <w:pPr>
      <w:numPr>
        <w:ilvl w:val="3"/>
        <w:numId w:val="15"/>
      </w:numPr>
      <w:ind w:right="2160"/>
      <w:outlineLvl w:val="3"/>
    </w:pPr>
    <w:rPr>
      <w:rFonts w:eastAsiaTheme="majorEastAsia" w:cstheme="majorBidi"/>
      <w:iCs/>
    </w:rPr>
  </w:style>
  <w:style w:type="paragraph" w:styleId="Heading5">
    <w:name w:val="heading 5"/>
    <w:basedOn w:val="Dummy"/>
    <w:next w:val="Standard"/>
    <w:link w:val="Heading5Char"/>
    <w:uiPriority w:val="4"/>
    <w:rsid w:val="000E270A"/>
    <w:pPr>
      <w:numPr>
        <w:ilvl w:val="4"/>
        <w:numId w:val="15"/>
      </w:numPr>
      <w:ind w:right="2160"/>
      <w:outlineLvl w:val="4"/>
    </w:pPr>
    <w:rPr>
      <w:rFonts w:eastAsiaTheme="majorEastAsia" w:cstheme="majorBidi"/>
    </w:rPr>
  </w:style>
  <w:style w:type="paragraph" w:styleId="Heading6">
    <w:name w:val="heading 6"/>
    <w:basedOn w:val="Dummy"/>
    <w:next w:val="Standard"/>
    <w:link w:val="Heading6Char"/>
    <w:uiPriority w:val="4"/>
    <w:rsid w:val="000E270A"/>
    <w:pPr>
      <w:numPr>
        <w:ilvl w:val="5"/>
        <w:numId w:val="15"/>
      </w:numPr>
      <w:spacing w:before="40"/>
      <w:ind w:right="2160"/>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sid w:val="00287BC5"/>
    <w:rPr>
      <w:rFonts w:ascii="Arial" w:eastAsiaTheme="majorEastAsia" w:hAnsi="Arial" w:cstheme="majorBidi"/>
      <w:b/>
      <w:sz w:val="26"/>
      <w:szCs w:val="32"/>
    </w:rPr>
  </w:style>
  <w:style w:type="paragraph" w:styleId="TOCHeading">
    <w:name w:val="TOC Heading"/>
    <w:next w:val="Normal"/>
    <w:uiPriority w:val="39"/>
    <w:unhideWhenUsed/>
    <w:rsid w:val="001E2A62"/>
    <w:pPr>
      <w:spacing w:line="240" w:lineRule="auto"/>
      <w:jc w:val="center"/>
    </w:pPr>
    <w:rPr>
      <w:rFonts w:ascii="Arial" w:eastAsiaTheme="majorEastAsia" w:hAnsi="Arial" w:cstheme="majorBidi"/>
      <w:b/>
      <w:sz w:val="26"/>
      <w:szCs w:val="32"/>
    </w:rPr>
  </w:style>
  <w:style w:type="paragraph" w:styleId="Title">
    <w:name w:val="Title"/>
    <w:basedOn w:val="Dummy"/>
    <w:next w:val="Normal"/>
    <w:link w:val="TitleChar"/>
    <w:uiPriority w:val="10"/>
    <w:semiHidden/>
    <w:rsid w:val="00121089"/>
    <w:pPr>
      <w:spacing w:after="0"/>
      <w:contextualSpacing/>
      <w:jc w:val="center"/>
    </w:pPr>
    <w:rPr>
      <w:rFonts w:eastAsiaTheme="majorEastAsia" w:cstheme="majorBidi"/>
      <w:caps/>
      <w:szCs w:val="56"/>
    </w:rPr>
  </w:style>
  <w:style w:type="character" w:customStyle="1" w:styleId="TitleChar">
    <w:name w:val="Title Char"/>
    <w:basedOn w:val="DefaultParagraphFont"/>
    <w:link w:val="Title"/>
    <w:uiPriority w:val="10"/>
    <w:semiHidden/>
    <w:rsid w:val="0036017B"/>
    <w:rPr>
      <w:rFonts w:ascii="Arial" w:eastAsiaTheme="majorEastAsia" w:hAnsi="Arial" w:cstheme="majorBidi"/>
      <w:b/>
      <w:caps/>
      <w:sz w:val="26"/>
      <w:szCs w:val="56"/>
    </w:rPr>
  </w:style>
  <w:style w:type="paragraph" w:customStyle="1" w:styleId="Dummy">
    <w:name w:val="Dummy"/>
    <w:next w:val="Normal"/>
    <w:uiPriority w:val="19"/>
    <w:rsid w:val="00F62B7A"/>
    <w:pPr>
      <w:keepNext/>
      <w:keepLines/>
      <w:spacing w:after="120" w:line="240" w:lineRule="auto"/>
      <w:outlineLvl w:val="0"/>
    </w:pPr>
    <w:rPr>
      <w:rFonts w:ascii="Arial" w:hAnsi="Arial" w:cs="Arial"/>
      <w:b/>
      <w:sz w:val="26"/>
      <w:szCs w:val="26"/>
    </w:rPr>
  </w:style>
  <w:style w:type="character" w:customStyle="1" w:styleId="Heading2Char">
    <w:name w:val="Heading 2 Char"/>
    <w:basedOn w:val="DefaultParagraphFont"/>
    <w:link w:val="Heading2"/>
    <w:uiPriority w:val="4"/>
    <w:rsid w:val="00287BC5"/>
    <w:rPr>
      <w:rFonts w:ascii="Arial" w:hAnsi="Arial" w:cs="Arial"/>
      <w:b/>
      <w:sz w:val="26"/>
      <w:szCs w:val="26"/>
    </w:rPr>
  </w:style>
  <w:style w:type="character" w:customStyle="1" w:styleId="Heading3Char">
    <w:name w:val="Heading 3 Char"/>
    <w:basedOn w:val="DefaultParagraphFont"/>
    <w:link w:val="Heading3"/>
    <w:uiPriority w:val="4"/>
    <w:rsid w:val="00287BC5"/>
    <w:rPr>
      <w:rFonts w:ascii="Arial" w:eastAsiaTheme="majorEastAsia" w:hAnsi="Arial" w:cstheme="majorBidi"/>
      <w:b/>
      <w:sz w:val="26"/>
      <w:szCs w:val="24"/>
    </w:rPr>
  </w:style>
  <w:style w:type="character" w:customStyle="1" w:styleId="Heading4Char">
    <w:name w:val="Heading 4 Char"/>
    <w:basedOn w:val="DefaultParagraphFont"/>
    <w:link w:val="Heading4"/>
    <w:uiPriority w:val="4"/>
    <w:rsid w:val="00287BC5"/>
    <w:rPr>
      <w:rFonts w:ascii="Arial" w:eastAsiaTheme="majorEastAsia" w:hAnsi="Arial" w:cstheme="majorBidi"/>
      <w:b/>
      <w:iCs/>
      <w:sz w:val="26"/>
      <w:szCs w:val="26"/>
    </w:rPr>
  </w:style>
  <w:style w:type="character" w:customStyle="1" w:styleId="Heading5Char">
    <w:name w:val="Heading 5 Char"/>
    <w:basedOn w:val="DefaultParagraphFont"/>
    <w:link w:val="Heading5"/>
    <w:uiPriority w:val="4"/>
    <w:rsid w:val="00287BC5"/>
    <w:rPr>
      <w:rFonts w:ascii="Arial" w:eastAsiaTheme="majorEastAsia" w:hAnsi="Arial" w:cstheme="majorBidi"/>
      <w:b/>
      <w:sz w:val="26"/>
      <w:szCs w:val="26"/>
    </w:rPr>
  </w:style>
  <w:style w:type="paragraph" w:customStyle="1" w:styleId="Main">
    <w:name w:val="Main"/>
    <w:next w:val="Normal"/>
    <w:uiPriority w:val="19"/>
    <w:rsid w:val="00F62B7A"/>
    <w:pPr>
      <w:spacing w:after="0" w:line="240" w:lineRule="auto"/>
      <w:jc w:val="center"/>
    </w:pPr>
    <w:rPr>
      <w:rFonts w:ascii="Arial" w:eastAsiaTheme="majorEastAsia" w:hAnsi="Arial" w:cstheme="majorBidi"/>
      <w:b/>
      <w:caps/>
      <w:sz w:val="26"/>
      <w:szCs w:val="56"/>
    </w:rPr>
  </w:style>
  <w:style w:type="paragraph" w:customStyle="1" w:styleId="Mainex">
    <w:name w:val="Mainex"/>
    <w:basedOn w:val="Main"/>
    <w:next w:val="Normal"/>
    <w:uiPriority w:val="19"/>
    <w:rsid w:val="000A6E05"/>
    <w:pPr>
      <w:keepNext/>
      <w:spacing w:line="360" w:lineRule="auto"/>
      <w:outlineLvl w:val="0"/>
    </w:pPr>
    <w:rPr>
      <w:spacing w:val="120"/>
    </w:rPr>
  </w:style>
  <w:style w:type="paragraph" w:styleId="TOC2">
    <w:name w:val="toc 2"/>
    <w:basedOn w:val="Normal"/>
    <w:next w:val="Normal"/>
    <w:uiPriority w:val="39"/>
    <w:unhideWhenUsed/>
    <w:rsid w:val="00ED5725"/>
    <w:pPr>
      <w:spacing w:line="240" w:lineRule="auto"/>
      <w:ind w:left="864" w:hanging="648"/>
    </w:pPr>
    <w:rPr>
      <w:rFonts w:eastAsiaTheme="minorEastAsia" w:cs="Times New Roman"/>
    </w:rPr>
  </w:style>
  <w:style w:type="paragraph" w:styleId="TOC1">
    <w:name w:val="toc 1"/>
    <w:basedOn w:val="Normal"/>
    <w:next w:val="Normal"/>
    <w:uiPriority w:val="39"/>
    <w:unhideWhenUsed/>
    <w:rsid w:val="00ED5725"/>
    <w:pPr>
      <w:spacing w:line="240" w:lineRule="auto"/>
      <w:ind w:left="432" w:hanging="432"/>
    </w:pPr>
    <w:rPr>
      <w:rFonts w:eastAsiaTheme="minorEastAsia" w:cs="Times New Roman"/>
    </w:rPr>
  </w:style>
  <w:style w:type="paragraph" w:styleId="TOC3">
    <w:name w:val="toc 3"/>
    <w:basedOn w:val="Normal"/>
    <w:next w:val="Normal"/>
    <w:uiPriority w:val="39"/>
    <w:unhideWhenUsed/>
    <w:rsid w:val="008C7413"/>
    <w:pPr>
      <w:spacing w:line="240" w:lineRule="auto"/>
      <w:ind w:left="1296" w:hanging="864"/>
    </w:pPr>
    <w:rPr>
      <w:rFonts w:eastAsiaTheme="minorEastAsia" w:cs="Times New Roman"/>
    </w:rPr>
  </w:style>
  <w:style w:type="character" w:styleId="Hyperlink">
    <w:name w:val="Hyperlink"/>
    <w:basedOn w:val="DefaultParagraphFont"/>
    <w:uiPriority w:val="99"/>
    <w:rsid w:val="00D82A43"/>
    <w:rPr>
      <w:color w:val="0563C1" w:themeColor="hyperlink"/>
      <w:u w:val="single"/>
    </w:rPr>
  </w:style>
  <w:style w:type="numbering" w:customStyle="1" w:styleId="FoFCoLOP">
    <w:name w:val="FoF/CoL/OP"/>
    <w:uiPriority w:val="99"/>
    <w:rsid w:val="008E6AE6"/>
    <w:pPr>
      <w:numPr>
        <w:numId w:val="2"/>
      </w:numPr>
    </w:pPr>
  </w:style>
  <w:style w:type="paragraph" w:styleId="TOC9">
    <w:name w:val="toc 9"/>
    <w:basedOn w:val="Normal"/>
    <w:next w:val="Normal"/>
    <w:autoRedefine/>
    <w:uiPriority w:val="39"/>
    <w:semiHidden/>
    <w:unhideWhenUsed/>
    <w:rsid w:val="00D82A43"/>
    <w:pPr>
      <w:spacing w:after="100"/>
      <w:ind w:left="2080"/>
    </w:pPr>
  </w:style>
  <w:style w:type="paragraph" w:styleId="Header">
    <w:name w:val="header"/>
    <w:basedOn w:val="Normal"/>
    <w:link w:val="HeaderChar"/>
    <w:uiPriority w:val="99"/>
    <w:semiHidden/>
    <w:rsid w:val="0098138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A56F2"/>
    <w:rPr>
      <w:rFonts w:ascii="Book Antiqua" w:hAnsi="Book Antiqua"/>
      <w:sz w:val="26"/>
    </w:rPr>
  </w:style>
  <w:style w:type="paragraph" w:styleId="Footer">
    <w:name w:val="footer"/>
    <w:basedOn w:val="Normal"/>
    <w:link w:val="FooterChar"/>
    <w:uiPriority w:val="99"/>
    <w:semiHidden/>
    <w:rsid w:val="00EE3060"/>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7657C1"/>
    <w:rPr>
      <w:rFonts w:ascii="Book Antiqua" w:hAnsi="Book Antiqua"/>
      <w:sz w:val="26"/>
    </w:rPr>
  </w:style>
  <w:style w:type="paragraph" w:customStyle="1" w:styleId="BlockQuote">
    <w:name w:val="Block Quote"/>
    <w:basedOn w:val="Standard"/>
    <w:uiPriority w:val="5"/>
    <w:qFormat/>
    <w:rsid w:val="00EA36C6"/>
    <w:pPr>
      <w:spacing w:after="120" w:line="240" w:lineRule="auto"/>
      <w:ind w:left="720" w:right="720" w:firstLine="0"/>
    </w:pPr>
  </w:style>
  <w:style w:type="paragraph" w:styleId="FootnoteText">
    <w:name w:val="footnote text"/>
    <w:basedOn w:val="Normal"/>
    <w:link w:val="FootnoteTextChar"/>
    <w:uiPriority w:val="40"/>
    <w:rsid w:val="00B01F7E"/>
    <w:pPr>
      <w:spacing w:after="120" w:line="240" w:lineRule="auto"/>
      <w:ind w:firstLine="0"/>
    </w:pPr>
    <w:rPr>
      <w:sz w:val="22"/>
      <w:szCs w:val="20"/>
    </w:rPr>
  </w:style>
  <w:style w:type="character" w:customStyle="1" w:styleId="FootnoteTextChar">
    <w:name w:val="Footnote Text Char"/>
    <w:basedOn w:val="DefaultParagraphFont"/>
    <w:link w:val="FootnoteText"/>
    <w:uiPriority w:val="40"/>
    <w:rsid w:val="007657C1"/>
    <w:rPr>
      <w:rFonts w:ascii="Book Antiqua" w:hAnsi="Book Antiqua"/>
      <w:szCs w:val="20"/>
    </w:rPr>
  </w:style>
  <w:style w:type="character" w:styleId="FootnoteReference">
    <w:name w:val="footnote reference"/>
    <w:basedOn w:val="DefaultParagraphFont"/>
    <w:uiPriority w:val="99"/>
    <w:semiHidden/>
    <w:unhideWhenUsed/>
    <w:rsid w:val="00DF58E7"/>
    <w:rPr>
      <w:vertAlign w:val="superscript"/>
    </w:rPr>
  </w:style>
  <w:style w:type="paragraph" w:customStyle="1" w:styleId="FoF">
    <w:name w:val="FoF"/>
    <w:basedOn w:val="Standard"/>
    <w:uiPriority w:val="6"/>
    <w:qFormat/>
    <w:rsid w:val="001E2A62"/>
    <w:pPr>
      <w:numPr>
        <w:numId w:val="3"/>
      </w:numPr>
      <w:ind w:firstLine="547"/>
    </w:pPr>
  </w:style>
  <w:style w:type="paragraph" w:customStyle="1" w:styleId="CoL">
    <w:name w:val="CoL"/>
    <w:basedOn w:val="Standard"/>
    <w:uiPriority w:val="7"/>
    <w:qFormat/>
    <w:rsid w:val="001E2A62"/>
    <w:pPr>
      <w:numPr>
        <w:numId w:val="4"/>
      </w:numPr>
      <w:ind w:firstLine="547"/>
    </w:pPr>
  </w:style>
  <w:style w:type="paragraph" w:styleId="NoSpacing">
    <w:name w:val="No Spacing"/>
    <w:basedOn w:val="Standard"/>
    <w:uiPriority w:val="1"/>
    <w:rsid w:val="00287BC5"/>
    <w:pPr>
      <w:spacing w:after="120" w:line="240" w:lineRule="auto"/>
      <w:ind w:firstLine="0"/>
      <w:contextualSpacing/>
    </w:pPr>
  </w:style>
  <w:style w:type="paragraph" w:customStyle="1" w:styleId="OP">
    <w:name w:val="OP"/>
    <w:basedOn w:val="Standard"/>
    <w:uiPriority w:val="8"/>
    <w:qFormat/>
    <w:rsid w:val="001E2A62"/>
    <w:pPr>
      <w:numPr>
        <w:numId w:val="5"/>
      </w:numPr>
    </w:pPr>
  </w:style>
  <w:style w:type="paragraph" w:styleId="BalloonText">
    <w:name w:val="Balloon Text"/>
    <w:basedOn w:val="Normal"/>
    <w:link w:val="BalloonTextChar"/>
    <w:uiPriority w:val="99"/>
    <w:semiHidden/>
    <w:unhideWhenUsed/>
    <w:rsid w:val="004C7D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D3A"/>
    <w:rPr>
      <w:rFonts w:ascii="Segoe UI" w:hAnsi="Segoe UI" w:cs="Segoe UI"/>
      <w:sz w:val="18"/>
      <w:szCs w:val="18"/>
    </w:rPr>
  </w:style>
  <w:style w:type="numbering" w:customStyle="1" w:styleId="Headings">
    <w:name w:val="Headings"/>
    <w:uiPriority w:val="99"/>
    <w:rsid w:val="000E270A"/>
    <w:pPr>
      <w:numPr>
        <w:numId w:val="6"/>
      </w:numPr>
    </w:pPr>
  </w:style>
  <w:style w:type="paragraph" w:customStyle="1" w:styleId="Standard">
    <w:name w:val="Standard"/>
    <w:basedOn w:val="Normal"/>
    <w:qFormat/>
    <w:rsid w:val="007A406D"/>
  </w:style>
  <w:style w:type="paragraph" w:customStyle="1" w:styleId="ListAlpha">
    <w:name w:val="List Alpha"/>
    <w:basedOn w:val="Standard"/>
    <w:uiPriority w:val="4"/>
    <w:qFormat/>
    <w:rsid w:val="000E270A"/>
    <w:pPr>
      <w:numPr>
        <w:ilvl w:val="7"/>
        <w:numId w:val="15"/>
      </w:numPr>
      <w:spacing w:after="120" w:line="240" w:lineRule="auto"/>
    </w:pPr>
  </w:style>
  <w:style w:type="paragraph" w:styleId="ListBullet">
    <w:name w:val="List Bullet"/>
    <w:basedOn w:val="Standard"/>
    <w:uiPriority w:val="4"/>
    <w:qFormat/>
    <w:rsid w:val="001F2819"/>
    <w:pPr>
      <w:numPr>
        <w:numId w:val="9"/>
      </w:numPr>
      <w:tabs>
        <w:tab w:val="clear" w:pos="360"/>
      </w:tabs>
      <w:spacing w:after="120" w:line="240" w:lineRule="auto"/>
      <w:ind w:left="1080"/>
    </w:pPr>
  </w:style>
  <w:style w:type="character" w:customStyle="1" w:styleId="Heading6Char">
    <w:name w:val="Heading 6 Char"/>
    <w:basedOn w:val="DefaultParagraphFont"/>
    <w:link w:val="Heading6"/>
    <w:uiPriority w:val="4"/>
    <w:rsid w:val="00287BC5"/>
    <w:rPr>
      <w:rFonts w:ascii="Arial" w:eastAsiaTheme="majorEastAsia" w:hAnsi="Arial" w:cstheme="majorBidi"/>
      <w:b/>
      <w:sz w:val="26"/>
      <w:szCs w:val="26"/>
    </w:rPr>
  </w:style>
  <w:style w:type="paragraph" w:styleId="TOC4">
    <w:name w:val="toc 4"/>
    <w:basedOn w:val="Normal"/>
    <w:next w:val="Normal"/>
    <w:autoRedefine/>
    <w:uiPriority w:val="39"/>
    <w:unhideWhenUsed/>
    <w:rsid w:val="008C7413"/>
    <w:pPr>
      <w:spacing w:line="240" w:lineRule="auto"/>
      <w:ind w:left="1728" w:hanging="1080"/>
    </w:pPr>
  </w:style>
  <w:style w:type="paragraph" w:styleId="TOC5">
    <w:name w:val="toc 5"/>
    <w:basedOn w:val="Normal"/>
    <w:next w:val="Normal"/>
    <w:autoRedefine/>
    <w:uiPriority w:val="39"/>
    <w:unhideWhenUsed/>
    <w:rsid w:val="008C7413"/>
    <w:pPr>
      <w:spacing w:line="240" w:lineRule="auto"/>
      <w:ind w:left="2160" w:hanging="1296"/>
    </w:pPr>
  </w:style>
  <w:style w:type="paragraph" w:styleId="TOC6">
    <w:name w:val="toc 6"/>
    <w:basedOn w:val="Normal"/>
    <w:next w:val="Normal"/>
    <w:autoRedefine/>
    <w:uiPriority w:val="39"/>
    <w:unhideWhenUsed/>
    <w:rsid w:val="008C7413"/>
    <w:pPr>
      <w:spacing w:line="240" w:lineRule="auto"/>
      <w:ind w:left="2592" w:hanging="1512"/>
    </w:pPr>
  </w:style>
  <w:style w:type="paragraph" w:customStyle="1" w:styleId="TableText">
    <w:name w:val="Table Text"/>
    <w:basedOn w:val="NoSpacing"/>
    <w:uiPriority w:val="5"/>
    <w:rsid w:val="00E53438"/>
    <w:pPr>
      <w:spacing w:after="0"/>
    </w:pPr>
    <w:rPr>
      <w:sz w:val="22"/>
    </w:rPr>
  </w:style>
  <w:style w:type="paragraph" w:customStyle="1" w:styleId="ListNum">
    <w:name w:val="List Num"/>
    <w:basedOn w:val="Standard"/>
    <w:uiPriority w:val="4"/>
    <w:rsid w:val="000E270A"/>
    <w:pPr>
      <w:numPr>
        <w:ilvl w:val="6"/>
        <w:numId w:val="15"/>
      </w:numPr>
      <w:spacing w:after="120" w:line="240" w:lineRule="auto"/>
    </w:pPr>
  </w:style>
  <w:style w:type="character" w:styleId="UnresolvedMention">
    <w:name w:val="Unresolved Mention"/>
    <w:basedOn w:val="DefaultParagraphFont"/>
    <w:uiPriority w:val="99"/>
    <w:semiHidden/>
    <w:unhideWhenUsed/>
    <w:rsid w:val="009317E6"/>
    <w:rPr>
      <w:color w:val="605E5C"/>
      <w:shd w:val="clear" w:color="auto" w:fill="E1DFDD"/>
    </w:rPr>
  </w:style>
  <w:style w:type="character" w:styleId="CommentReference">
    <w:name w:val="annotation reference"/>
    <w:basedOn w:val="DefaultParagraphFont"/>
    <w:uiPriority w:val="99"/>
    <w:semiHidden/>
    <w:unhideWhenUsed/>
    <w:rsid w:val="007B465B"/>
    <w:rPr>
      <w:sz w:val="16"/>
      <w:szCs w:val="16"/>
    </w:rPr>
  </w:style>
  <w:style w:type="paragraph" w:styleId="CommentText">
    <w:name w:val="annotation text"/>
    <w:basedOn w:val="Normal"/>
    <w:link w:val="CommentTextChar"/>
    <w:uiPriority w:val="99"/>
    <w:unhideWhenUsed/>
    <w:rsid w:val="007B465B"/>
    <w:pPr>
      <w:spacing w:line="240" w:lineRule="auto"/>
    </w:pPr>
    <w:rPr>
      <w:sz w:val="20"/>
      <w:szCs w:val="20"/>
    </w:rPr>
  </w:style>
  <w:style w:type="character" w:customStyle="1" w:styleId="CommentTextChar">
    <w:name w:val="Comment Text Char"/>
    <w:basedOn w:val="DefaultParagraphFont"/>
    <w:link w:val="CommentText"/>
    <w:uiPriority w:val="99"/>
    <w:rsid w:val="007B465B"/>
    <w:rPr>
      <w:rFonts w:ascii="Book Antiqua" w:hAnsi="Book Antiqua"/>
      <w:sz w:val="20"/>
      <w:szCs w:val="20"/>
    </w:rPr>
  </w:style>
  <w:style w:type="paragraph" w:styleId="CommentSubject">
    <w:name w:val="annotation subject"/>
    <w:basedOn w:val="CommentText"/>
    <w:next w:val="CommentText"/>
    <w:link w:val="CommentSubjectChar"/>
    <w:uiPriority w:val="99"/>
    <w:semiHidden/>
    <w:unhideWhenUsed/>
    <w:rsid w:val="007B465B"/>
    <w:rPr>
      <w:b/>
      <w:bCs/>
    </w:rPr>
  </w:style>
  <w:style w:type="character" w:customStyle="1" w:styleId="CommentSubjectChar">
    <w:name w:val="Comment Subject Char"/>
    <w:basedOn w:val="CommentTextChar"/>
    <w:link w:val="CommentSubject"/>
    <w:uiPriority w:val="99"/>
    <w:semiHidden/>
    <w:rsid w:val="007B465B"/>
    <w:rPr>
      <w:rFonts w:ascii="Book Antiqua" w:hAnsi="Book Antiqua"/>
      <w:b/>
      <w:bCs/>
      <w:sz w:val="20"/>
      <w:szCs w:val="20"/>
    </w:rPr>
  </w:style>
  <w:style w:type="paragraph" w:styleId="Revision">
    <w:name w:val="Revision"/>
    <w:hidden/>
    <w:uiPriority w:val="99"/>
    <w:semiHidden/>
    <w:rsid w:val="007B465B"/>
    <w:pPr>
      <w:spacing w:after="0" w:line="240" w:lineRule="auto"/>
    </w:pPr>
    <w:rPr>
      <w:rFonts w:ascii="Book Antiqua" w:hAnsi="Book Antiqua"/>
      <w:sz w:val="26"/>
    </w:rPr>
  </w:style>
  <w:style w:type="character" w:styleId="Mention">
    <w:name w:val="Mention"/>
    <w:basedOn w:val="DefaultParagraphFont"/>
    <w:uiPriority w:val="99"/>
    <w:unhideWhenUsed/>
    <w:rsid w:val="00192826"/>
    <w:rPr>
      <w:color w:val="2B579A"/>
      <w:shd w:val="clear" w:color="auto" w:fill="E1DFDD"/>
    </w:rPr>
  </w:style>
  <w:style w:type="paragraph" w:styleId="ListParagraph">
    <w:name w:val="List Paragraph"/>
    <w:basedOn w:val="Normal"/>
    <w:uiPriority w:val="34"/>
    <w:rsid w:val="00AB14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754110">
      <w:bodyDiv w:val="1"/>
      <w:marLeft w:val="0"/>
      <w:marRight w:val="0"/>
      <w:marTop w:val="0"/>
      <w:marBottom w:val="0"/>
      <w:divBdr>
        <w:top w:val="none" w:sz="0" w:space="0" w:color="auto"/>
        <w:left w:val="none" w:sz="0" w:space="0" w:color="auto"/>
        <w:bottom w:val="none" w:sz="0" w:space="0" w:color="auto"/>
        <w:right w:val="none" w:sz="0" w:space="0" w:color="auto"/>
      </w:divBdr>
    </w:div>
    <w:div w:id="234050233">
      <w:bodyDiv w:val="1"/>
      <w:marLeft w:val="0"/>
      <w:marRight w:val="0"/>
      <w:marTop w:val="0"/>
      <w:marBottom w:val="0"/>
      <w:divBdr>
        <w:top w:val="none" w:sz="0" w:space="0" w:color="auto"/>
        <w:left w:val="none" w:sz="0" w:space="0" w:color="auto"/>
        <w:bottom w:val="none" w:sz="0" w:space="0" w:color="auto"/>
        <w:right w:val="none" w:sz="0" w:space="0" w:color="auto"/>
      </w:divBdr>
    </w:div>
    <w:div w:id="840004558">
      <w:bodyDiv w:val="1"/>
      <w:marLeft w:val="0"/>
      <w:marRight w:val="0"/>
      <w:marTop w:val="0"/>
      <w:marBottom w:val="0"/>
      <w:divBdr>
        <w:top w:val="none" w:sz="0" w:space="0" w:color="auto"/>
        <w:left w:val="none" w:sz="0" w:space="0" w:color="auto"/>
        <w:bottom w:val="none" w:sz="0" w:space="0" w:color="auto"/>
        <w:right w:val="none" w:sz="0" w:space="0" w:color="auto"/>
      </w:divBdr>
    </w:div>
    <w:div w:id="111243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docs.cpuc.ca.gov/published/REPORT/8406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0c2bee6-72d2-4c4b-bbf2-19a975248824">
      <UserInfo>
        <DisplayName>Doherty, Patrick</DisplayName>
        <AccountId>53</AccountId>
        <AccountType/>
      </UserInfo>
      <UserInfo>
        <DisplayName>McKinney, Jeanne</DisplayName>
        <AccountId>29</AccountId>
        <AccountType/>
      </UserInfo>
      <UserInfo>
        <DisplayName>Kim, Kimberly</DisplayName>
        <AccountId>12</AccountId>
        <AccountType/>
      </UserInfo>
      <UserInfo>
        <DisplayName>MacDonald, Katherine</DisplayName>
        <AccountId>33</AccountId>
        <AccountType/>
      </UserInfo>
      <UserInfo>
        <DisplayName>Odell, Eileen</DisplayName>
        <AccountId>362</AccountId>
        <AccountType/>
      </UserInfo>
    </SharedWithUsers>
    <lcf76f155ced4ddcb4097134ff3c332f xmlns="ef7e321c-44a6-4cb5-81f0-0bfd95ece253">
      <Terms xmlns="http://schemas.microsoft.com/office/infopath/2007/PartnerControls"/>
    </lcf76f155ced4ddcb4097134ff3c332f>
    <TaxCatchAll xmlns="40c2bee6-72d2-4c4b-bbf2-19a975248824" xsi:nil="true"/>
    <ContentTagLIst xmlns="ef7e321c-44a6-4cb5-81f0-0bfd95ece25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B8BADF2214F6448E5045310EA9B796" ma:contentTypeVersion="16" ma:contentTypeDescription="Create a new document." ma:contentTypeScope="" ma:versionID="eea420ac1ba3dcd00acdf10f671c25ee">
  <xsd:schema xmlns:xsd="http://www.w3.org/2001/XMLSchema" xmlns:xs="http://www.w3.org/2001/XMLSchema" xmlns:p="http://schemas.microsoft.com/office/2006/metadata/properties" xmlns:ns2="40c2bee6-72d2-4c4b-bbf2-19a975248824" xmlns:ns3="ef7e321c-44a6-4cb5-81f0-0bfd95ece253" targetNamespace="http://schemas.microsoft.com/office/2006/metadata/properties" ma:root="true" ma:fieldsID="654a2f02f20c70d75825c1ed89053b75" ns2:_="" ns3:_="">
    <xsd:import namespace="40c2bee6-72d2-4c4b-bbf2-19a975248824"/>
    <xsd:import namespace="ef7e321c-44a6-4cb5-81f0-0bfd95ece25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Location" minOccurs="0"/>
                <xsd:element ref="ns3:ContentTagLI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c2bee6-72d2-4c4b-bbf2-19a9752488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d35960-7829-44dd-b243-a39bb7be529f}" ma:internalName="TaxCatchAll" ma:showField="CatchAllData" ma:web="40c2bee6-72d2-4c4b-bbf2-19a9752488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7e321c-44a6-4cb5-81f0-0bfd95ece25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ContentTagLIst" ma:index="23" nillable="true" ma:displayName="Content Tag" ma:format="Dropdown" ma:internalName="ContentTagLIst">
      <xsd:complexType>
        <xsd:complexContent>
          <xsd:extension base="dms:MultiChoice">
            <xsd:sequence>
              <xsd:element name="Value" maxOccurs="unbounded" minOccurs="0" nillable="true">
                <xsd:simpleType>
                  <xsd:restriction base="dms:Choice">
                    <xsd:enumeration value="ALJ Material"/>
                    <xsd:enumeration value="Support Material"/>
                    <xsd:enumeration value="Miscellaneou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E4752-B270-4867-90BA-5719077E84AA}">
  <ds:schemaRefs>
    <ds:schemaRef ds:uri="http://schemas.microsoft.com/office/2006/metadata/properties"/>
    <ds:schemaRef ds:uri="http://schemas.microsoft.com/office/infopath/2007/PartnerControls"/>
    <ds:schemaRef ds:uri="40c2bee6-72d2-4c4b-bbf2-19a975248824"/>
    <ds:schemaRef ds:uri="ef7e321c-44a6-4cb5-81f0-0bfd95ece253"/>
  </ds:schemaRefs>
</ds:datastoreItem>
</file>

<file path=customXml/itemProps2.xml><?xml version="1.0" encoding="utf-8"?>
<ds:datastoreItem xmlns:ds="http://schemas.openxmlformats.org/officeDocument/2006/customXml" ds:itemID="{62079FFE-0A8C-409C-9D2A-DF55C286F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c2bee6-72d2-4c4b-bbf2-19a975248824"/>
    <ds:schemaRef ds:uri="ef7e321c-44a6-4cb5-81f0-0bfd95ece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30DE7C-9577-4EA8-AC89-8E2B6CC952CB}">
  <ds:schemaRefs>
    <ds:schemaRef ds:uri="http://schemas.microsoft.com/sharepoint/v3/contenttype/forms"/>
  </ds:schemaRefs>
</ds:datastoreItem>
</file>

<file path=customXml/itemProps4.xml><?xml version="1.0" encoding="utf-8"?>
<ds:datastoreItem xmlns:ds="http://schemas.openxmlformats.org/officeDocument/2006/customXml" ds:itemID="{42692CBF-97EE-47CC-813F-1B66EA5AD97B}">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29</ap:Pages>
  <ap:Words>6319</ap:Words>
  <ap:Characters>36021</ap:Characters>
  <ap:Application>Microsoft Office Word</ap:Application>
  <ap:DocSecurity>0</ap:DocSecurity>
  <ap:Lines>300</ap:Lines>
  <ap:Paragraphs>84</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42256</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2025-07-23T15:48:00Z</cp:lastPrinted>
  <dcterms:created xsi:type="dcterms:W3CDTF">2025-08-01T10:54:22Z</dcterms:created>
  <dcterms:modified xsi:type="dcterms:W3CDTF">2025-08-01T10:54:22Z</dcterms:modified>
</cp:coreProperties>
</file>