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5A52" w:rsidP="00EF6222" w:rsidRDefault="00A34AED" w14:paraId="397E8370" w14:textId="338C8024">
      <w:pPr>
        <w:tabs>
          <w:tab w:val="center" w:pos="4950"/>
        </w:tabs>
        <w:spacing w:line="240" w:lineRule="auto"/>
        <w:ind w:hanging="90"/>
        <w:rPr>
          <w:b/>
        </w:rPr>
      </w:pPr>
      <w:r>
        <w:t>COM/JR5/JLQ/asf</w:t>
      </w:r>
      <w:r w:rsidR="00BC0CB6">
        <w:t xml:space="preserve">   </w:t>
      </w:r>
      <w:r w:rsidR="00EF6222">
        <w:t xml:space="preserve"> </w:t>
      </w:r>
      <w:r w:rsidR="00D62FC1">
        <w:rPr>
          <w:rFonts w:ascii="Arial" w:hAnsi="Arial" w:cs="Arial"/>
          <w:b/>
          <w:sz w:val="32"/>
          <w:szCs w:val="32"/>
        </w:rPr>
        <w:tab/>
      </w:r>
      <w:r w:rsidR="00D62FC1">
        <w:rPr>
          <w:rFonts w:ascii="Arial" w:hAnsi="Arial" w:cs="Arial"/>
          <w:b/>
          <w:sz w:val="32"/>
          <w:szCs w:val="32"/>
        </w:rPr>
        <w:tab/>
      </w:r>
      <w:r w:rsidR="00D62FC1">
        <w:rPr>
          <w:rFonts w:ascii="Arial" w:hAnsi="Arial" w:cs="Arial"/>
          <w:b/>
          <w:sz w:val="32"/>
          <w:szCs w:val="32"/>
        </w:rPr>
        <w:tab/>
      </w:r>
      <w:r w:rsidR="00EF6222">
        <w:rPr>
          <w:b/>
        </w:rPr>
        <w:t>Date of Issuance 8/29/2025</w:t>
      </w:r>
    </w:p>
    <w:p w:rsidR="00EF6222" w:rsidP="00EF6222" w:rsidRDefault="00EF6222" w14:paraId="004B2319" w14:textId="77777777">
      <w:pPr>
        <w:tabs>
          <w:tab w:val="center" w:pos="4950"/>
        </w:tabs>
        <w:spacing w:line="240" w:lineRule="auto"/>
        <w:ind w:hanging="90"/>
        <w:rPr>
          <w:b/>
        </w:rPr>
      </w:pPr>
    </w:p>
    <w:p w:rsidR="00BC0CB6" w:rsidP="00BC0CB6" w:rsidRDefault="00BC0CB6" w14:paraId="74A843B1" w14:textId="77777777">
      <w:pPr>
        <w:spacing w:line="240" w:lineRule="auto"/>
        <w:ind w:firstLine="0"/>
      </w:pPr>
    </w:p>
    <w:p w:rsidRPr="00EF6222" w:rsidR="00DA7B5D" w:rsidP="00CC6C0E" w:rsidRDefault="00DA7B5D" w14:paraId="79438B3A" w14:textId="377718D9">
      <w:pPr>
        <w:spacing w:line="240" w:lineRule="auto"/>
        <w:ind w:left="1080" w:hanging="1080"/>
      </w:pPr>
      <w:r>
        <w:t xml:space="preserve">Decision </w:t>
      </w:r>
      <w:r w:rsidR="00EF6222">
        <w:t xml:space="preserve">25-08-032  </w:t>
      </w:r>
      <w:r w:rsidR="00886E37">
        <w:t>August 28, 2025</w:t>
      </w:r>
    </w:p>
    <w:p w:rsidR="00DA7B5D" w:rsidP="00BB0243" w:rsidRDefault="00DA7B5D" w14:paraId="2F413A77" w14:textId="77777777">
      <w:pPr>
        <w:spacing w:line="240" w:lineRule="auto"/>
        <w:jc w:val="center"/>
        <w:rPr>
          <w:u w:val="single"/>
        </w:rPr>
      </w:pPr>
    </w:p>
    <w:p w:rsidR="002C5A52" w:rsidP="00BB0243" w:rsidRDefault="002C5A52" w14:paraId="2310E0D0" w14:textId="77777777">
      <w:pPr>
        <w:spacing w:line="240" w:lineRule="auto"/>
        <w:jc w:val="center"/>
        <w:rPr>
          <w:u w:val="single"/>
        </w:rPr>
      </w:pPr>
    </w:p>
    <w:p w:rsidRPr="00BD6498" w:rsidR="00DA7B5D" w:rsidP="00BD6498" w:rsidRDefault="00DA7B5D" w14:paraId="746CAD96" w14:textId="77777777">
      <w:pPr>
        <w:tabs>
          <w:tab w:val="left" w:pos="0"/>
        </w:tabs>
        <w:spacing w:line="240" w:lineRule="auto"/>
        <w:ind w:firstLine="0"/>
        <w:jc w:val="center"/>
        <w:rPr>
          <w:rFonts w:ascii="Arial" w:hAnsi="Arial" w:cs="Arial"/>
          <w:sz w:val="24"/>
          <w:szCs w:val="24"/>
        </w:rPr>
      </w:pPr>
      <w:r w:rsidRPr="00BD6498">
        <w:rPr>
          <w:rFonts w:ascii="Arial" w:hAnsi="Arial" w:cs="Arial"/>
          <w:b/>
          <w:sz w:val="24"/>
          <w:szCs w:val="24"/>
        </w:rPr>
        <w:t>BEFORE THE PUBLIC UTILITIES COMMISSION OF THE STATE OF CALIFORNIA</w:t>
      </w:r>
    </w:p>
    <w:p w:rsidR="00DA7B5D" w:rsidP="008F0116" w:rsidRDefault="00DA7B5D" w14:paraId="084C42D7" w14:textId="77777777">
      <w:pPr>
        <w:spacing w:line="240" w:lineRule="auto"/>
        <w:rPr>
          <w:rFonts w:ascii="Arial" w:hAnsi="Arial" w:cs="Arial"/>
        </w:rPr>
      </w:pPr>
    </w:p>
    <w:p w:rsidR="002C5A52" w:rsidP="008F0116" w:rsidRDefault="002C5A52" w14:paraId="1C1404A9" w14:textId="77777777">
      <w:pPr>
        <w:spacing w:line="240" w:lineRule="auto"/>
        <w:rPr>
          <w:rFonts w:ascii="Arial" w:hAnsi="Arial" w:cs="Arial"/>
        </w:rPr>
      </w:pPr>
    </w:p>
    <w:tbl>
      <w:tblPr>
        <w:tblStyle w:val="TableGrid"/>
        <w:tblW w:w="9360" w:type="dxa"/>
        <w:jc w:val="center"/>
        <w:tblLayout w:type="fixed"/>
        <w:tblLook w:val="04A0" w:firstRow="1" w:lastRow="0" w:firstColumn="1" w:lastColumn="0" w:noHBand="0" w:noVBand="1"/>
      </w:tblPr>
      <w:tblGrid>
        <w:gridCol w:w="5130"/>
        <w:gridCol w:w="4230"/>
      </w:tblGrid>
      <w:tr w:rsidR="00DA7B5D" w:rsidTr="002C5A52" w14:paraId="6B3E4462" w14:textId="77777777">
        <w:trPr>
          <w:jc w:val="center"/>
        </w:trPr>
        <w:tc>
          <w:tcPr>
            <w:tcW w:w="5130" w:type="dxa"/>
            <w:tcBorders>
              <w:top w:val="nil"/>
              <w:left w:val="nil"/>
              <w:bottom w:val="single" w:color="auto" w:sz="4" w:space="0"/>
              <w:right w:val="single" w:color="auto" w:sz="4" w:space="0"/>
            </w:tcBorders>
          </w:tcPr>
          <w:p w:rsidR="00DA7B5D" w:rsidP="004E5CF5" w:rsidRDefault="00F81B3B" w14:paraId="4EF9DE81" w14:textId="77777777">
            <w:pPr>
              <w:spacing w:line="240" w:lineRule="auto"/>
              <w:ind w:firstLine="0"/>
              <w:rPr>
                <w:rFonts w:cs="Arial"/>
                <w:szCs w:val="26"/>
              </w:rPr>
            </w:pPr>
            <w:r w:rsidRPr="00F81B3B">
              <w:rPr>
                <w:rFonts w:cs="Arial"/>
                <w:szCs w:val="26"/>
              </w:rPr>
              <w:t>Order Instituting Rulemaking to Further Develop a Risk-Based Decision-Making Framework for Electric and Gas Utilities.</w:t>
            </w:r>
          </w:p>
          <w:p w:rsidRPr="00DA7B5D" w:rsidR="00BE7AF4" w:rsidP="00C10B5F" w:rsidRDefault="00BE7AF4" w14:paraId="70ACE295" w14:textId="510301C5">
            <w:pPr>
              <w:spacing w:line="240" w:lineRule="auto"/>
              <w:rPr>
                <w:rFonts w:cs="Arial"/>
                <w:szCs w:val="26"/>
              </w:rPr>
            </w:pPr>
          </w:p>
        </w:tc>
        <w:tc>
          <w:tcPr>
            <w:tcW w:w="4230" w:type="dxa"/>
            <w:tcBorders>
              <w:top w:val="nil"/>
              <w:left w:val="single" w:color="auto" w:sz="4" w:space="0"/>
              <w:bottom w:val="nil"/>
              <w:right w:val="nil"/>
            </w:tcBorders>
            <w:vAlign w:val="center"/>
          </w:tcPr>
          <w:p w:rsidRPr="00DA7B5D" w:rsidR="00DA7B5D" w:rsidP="00412C83" w:rsidRDefault="0054271B" w14:paraId="337D5BFA" w14:textId="59D73A97">
            <w:pPr>
              <w:spacing w:line="240" w:lineRule="auto"/>
              <w:jc w:val="center"/>
              <w:rPr>
                <w:rFonts w:cs="Arial"/>
                <w:szCs w:val="26"/>
              </w:rPr>
            </w:pPr>
            <w:r>
              <w:rPr>
                <w:rFonts w:cs="Arial"/>
                <w:szCs w:val="26"/>
              </w:rPr>
              <w:t>Rulemaking</w:t>
            </w:r>
            <w:r w:rsidR="00F81B3B">
              <w:rPr>
                <w:rFonts w:cs="Arial"/>
                <w:szCs w:val="26"/>
              </w:rPr>
              <w:t xml:space="preserve"> 20-07-013</w:t>
            </w:r>
          </w:p>
        </w:tc>
      </w:tr>
    </w:tbl>
    <w:p w:rsidR="00DA7B5D" w:rsidP="008F0116" w:rsidRDefault="00DA7B5D" w14:paraId="4ED25724" w14:textId="77777777">
      <w:pPr>
        <w:spacing w:line="240" w:lineRule="auto"/>
        <w:rPr>
          <w:rFonts w:ascii="Arial" w:hAnsi="Arial" w:cs="Arial"/>
        </w:rPr>
      </w:pPr>
    </w:p>
    <w:p w:rsidR="00DA7B5D" w:rsidP="008F0116" w:rsidRDefault="00DA7B5D" w14:paraId="7665DD83" w14:textId="77777777">
      <w:pPr>
        <w:spacing w:line="240" w:lineRule="auto"/>
        <w:rPr>
          <w:rFonts w:ascii="Arial" w:hAnsi="Arial" w:cs="Arial"/>
        </w:rPr>
      </w:pPr>
    </w:p>
    <w:p w:rsidRPr="00F92385" w:rsidR="00F92385" w:rsidP="00B3087D" w:rsidRDefault="00BE7AF4" w14:paraId="3CEFD7D6" w14:textId="2208B439">
      <w:pPr>
        <w:pStyle w:val="Dummy"/>
        <w:jc w:val="center"/>
        <w:sectPr w:rsidRPr="00F92385" w:rsidR="00F92385" w:rsidSect="00E44B61">
          <w:footerReference w:type="first" r:id="rId11"/>
          <w:pgSz w:w="12240" w:h="15840"/>
          <w:pgMar w:top="1440" w:right="1440" w:bottom="1440" w:left="1440" w:header="720" w:footer="720" w:gutter="0"/>
          <w:pgNumType w:start="1"/>
          <w:cols w:space="720"/>
          <w:titlePg/>
          <w:docGrid w:linePitch="360"/>
        </w:sectPr>
      </w:pPr>
      <w:bookmarkStart w:name="_Toc204258011" w:id="0"/>
      <w:bookmarkStart w:name="_Hlk201755641" w:id="1"/>
      <w:r>
        <w:t>PHASE 4 DECISION</w:t>
      </w:r>
      <w:bookmarkEnd w:id="0"/>
    </w:p>
    <w:bookmarkEnd w:id="1"/>
    <w:p w:rsidRPr="001E2A62" w:rsidR="00D50119" w:rsidP="00F76650" w:rsidRDefault="00D50119" w14:paraId="58380049"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776FDEA9" w14:textId="77777777">
      <w:pPr>
        <w:tabs>
          <w:tab w:val="right" w:pos="9360"/>
        </w:tabs>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36137E" w:rsidRDefault="008C7413" w14:paraId="28181163" w14:textId="07B7DE20">
          <w:pPr>
            <w:pStyle w:val="TOC1"/>
            <w:tabs>
              <w:tab w:val="right" w:leader="dot" w:pos="9350"/>
            </w:tabs>
            <w:rPr>
              <w:rFonts w:asciiTheme="minorHAnsi" w:hAnsiTheme="minorHAnsi" w:cstheme="minorBidi"/>
              <w:noProof/>
              <w:kern w:val="2"/>
              <w:sz w:val="24"/>
              <w:szCs w:val="24"/>
              <w14:ligatures w14:val="standardContextual"/>
            </w:rPr>
          </w:pPr>
          <w:r>
            <w:rPr>
              <w:sz w:val="22"/>
            </w:rPr>
            <w:fldChar w:fldCharType="begin"/>
          </w:r>
          <w:r>
            <w:rPr>
              <w:sz w:val="22"/>
            </w:rPr>
            <w:instrText xml:space="preserve"> TOC \o "1-6" \h \z \u </w:instrText>
          </w:r>
          <w:r>
            <w:rPr>
              <w:sz w:val="22"/>
            </w:rPr>
            <w:fldChar w:fldCharType="separate"/>
          </w:r>
          <w:hyperlink w:history="1" w:anchor="_Toc204258011">
            <w:r w:rsidRPr="000477AF" w:rsidR="0036137E">
              <w:rPr>
                <w:rStyle w:val="Hyperlink"/>
                <w:noProof/>
              </w:rPr>
              <w:t>PHASE 4 DECISION</w:t>
            </w:r>
            <w:r w:rsidR="0036137E">
              <w:rPr>
                <w:noProof/>
                <w:webHidden/>
              </w:rPr>
              <w:tab/>
            </w:r>
            <w:r w:rsidR="0036137E">
              <w:rPr>
                <w:noProof/>
                <w:webHidden/>
              </w:rPr>
              <w:fldChar w:fldCharType="begin"/>
            </w:r>
            <w:r w:rsidR="0036137E">
              <w:rPr>
                <w:noProof/>
                <w:webHidden/>
              </w:rPr>
              <w:instrText xml:space="preserve"> PAGEREF _Toc204258011 \h </w:instrText>
            </w:r>
            <w:r w:rsidR="0036137E">
              <w:rPr>
                <w:noProof/>
                <w:webHidden/>
              </w:rPr>
            </w:r>
            <w:r w:rsidR="0036137E">
              <w:rPr>
                <w:noProof/>
                <w:webHidden/>
              </w:rPr>
              <w:fldChar w:fldCharType="separate"/>
            </w:r>
            <w:r w:rsidR="00D62FC1">
              <w:rPr>
                <w:noProof/>
                <w:webHidden/>
              </w:rPr>
              <w:t>1</w:t>
            </w:r>
            <w:r w:rsidR="0036137E">
              <w:rPr>
                <w:noProof/>
                <w:webHidden/>
              </w:rPr>
              <w:fldChar w:fldCharType="end"/>
            </w:r>
          </w:hyperlink>
        </w:p>
        <w:p w:rsidR="0036137E" w:rsidRDefault="0036137E" w14:paraId="3E5FD16A" w14:textId="1F4296E6">
          <w:pPr>
            <w:pStyle w:val="TOC1"/>
            <w:tabs>
              <w:tab w:val="right" w:leader="dot" w:pos="9350"/>
            </w:tabs>
            <w:rPr>
              <w:rFonts w:asciiTheme="minorHAnsi" w:hAnsiTheme="minorHAnsi" w:cstheme="minorBidi"/>
              <w:noProof/>
              <w:kern w:val="2"/>
              <w:sz w:val="24"/>
              <w:szCs w:val="24"/>
              <w14:ligatures w14:val="standardContextual"/>
            </w:rPr>
          </w:pPr>
          <w:hyperlink w:history="1" w:anchor="_Toc204258012">
            <w:r w:rsidRPr="000477AF">
              <w:rPr>
                <w:rStyle w:val="Hyperlink"/>
                <w:rFonts w:eastAsiaTheme="majorEastAsia" w:cstheme="majorBidi"/>
                <w:caps/>
                <w:noProof/>
              </w:rPr>
              <w:t>PHASE 4 DECISION</w:t>
            </w:r>
            <w:r>
              <w:rPr>
                <w:noProof/>
                <w:webHidden/>
              </w:rPr>
              <w:tab/>
            </w:r>
            <w:r>
              <w:rPr>
                <w:noProof/>
                <w:webHidden/>
              </w:rPr>
              <w:fldChar w:fldCharType="begin"/>
            </w:r>
            <w:r>
              <w:rPr>
                <w:noProof/>
                <w:webHidden/>
              </w:rPr>
              <w:instrText xml:space="preserve"> PAGEREF _Toc204258012 \h </w:instrText>
            </w:r>
            <w:r>
              <w:rPr>
                <w:noProof/>
                <w:webHidden/>
              </w:rPr>
            </w:r>
            <w:r>
              <w:rPr>
                <w:noProof/>
                <w:webHidden/>
              </w:rPr>
              <w:fldChar w:fldCharType="separate"/>
            </w:r>
            <w:r w:rsidR="00D62FC1">
              <w:rPr>
                <w:noProof/>
                <w:webHidden/>
              </w:rPr>
              <w:t>2</w:t>
            </w:r>
            <w:r>
              <w:rPr>
                <w:noProof/>
                <w:webHidden/>
              </w:rPr>
              <w:fldChar w:fldCharType="end"/>
            </w:r>
          </w:hyperlink>
        </w:p>
        <w:p w:rsidR="0036137E" w:rsidRDefault="0036137E" w14:paraId="7CF1B029" w14:textId="2EB7E933">
          <w:pPr>
            <w:pStyle w:val="TOC1"/>
            <w:tabs>
              <w:tab w:val="right" w:leader="dot" w:pos="9350"/>
            </w:tabs>
            <w:rPr>
              <w:rFonts w:asciiTheme="minorHAnsi" w:hAnsiTheme="minorHAnsi" w:cstheme="minorBidi"/>
              <w:noProof/>
              <w:kern w:val="2"/>
              <w:sz w:val="24"/>
              <w:szCs w:val="24"/>
              <w14:ligatures w14:val="standardContextual"/>
            </w:rPr>
          </w:pPr>
          <w:hyperlink w:history="1" w:anchor="_Toc204258013">
            <w:r w:rsidRPr="000477AF">
              <w:rPr>
                <w:rStyle w:val="Hyperlink"/>
                <w:noProof/>
              </w:rPr>
              <w:t>Summary</w:t>
            </w:r>
            <w:r>
              <w:rPr>
                <w:noProof/>
                <w:webHidden/>
              </w:rPr>
              <w:tab/>
            </w:r>
            <w:r>
              <w:rPr>
                <w:noProof/>
                <w:webHidden/>
              </w:rPr>
              <w:fldChar w:fldCharType="begin"/>
            </w:r>
            <w:r>
              <w:rPr>
                <w:noProof/>
                <w:webHidden/>
              </w:rPr>
              <w:instrText xml:space="preserve"> PAGEREF _Toc204258013 \h </w:instrText>
            </w:r>
            <w:r>
              <w:rPr>
                <w:noProof/>
                <w:webHidden/>
              </w:rPr>
            </w:r>
            <w:r>
              <w:rPr>
                <w:noProof/>
                <w:webHidden/>
              </w:rPr>
              <w:fldChar w:fldCharType="separate"/>
            </w:r>
            <w:r w:rsidR="00D62FC1">
              <w:rPr>
                <w:noProof/>
                <w:webHidden/>
              </w:rPr>
              <w:t>2</w:t>
            </w:r>
            <w:r>
              <w:rPr>
                <w:noProof/>
                <w:webHidden/>
              </w:rPr>
              <w:fldChar w:fldCharType="end"/>
            </w:r>
          </w:hyperlink>
        </w:p>
        <w:p w:rsidR="0036137E" w:rsidRDefault="0036137E" w14:paraId="5F00213C" w14:textId="565296C2">
          <w:pPr>
            <w:pStyle w:val="TOC1"/>
            <w:tabs>
              <w:tab w:val="right" w:leader="dot" w:pos="9350"/>
            </w:tabs>
            <w:rPr>
              <w:rFonts w:asciiTheme="minorHAnsi" w:hAnsiTheme="minorHAnsi" w:cstheme="minorBidi"/>
              <w:noProof/>
              <w:kern w:val="2"/>
              <w:sz w:val="24"/>
              <w:szCs w:val="24"/>
              <w14:ligatures w14:val="standardContextual"/>
            </w:rPr>
          </w:pPr>
          <w:hyperlink w:history="1" w:anchor="_Toc204258014">
            <w:r w:rsidRPr="000477AF">
              <w:rPr>
                <w:rStyle w:val="Hyperlink"/>
                <w:noProof/>
              </w:rPr>
              <w:t>1.</w:t>
            </w:r>
            <w:r>
              <w:rPr>
                <w:rFonts w:asciiTheme="minorHAnsi" w:hAnsiTheme="minorHAnsi" w:cstheme="minorBidi"/>
                <w:noProof/>
                <w:kern w:val="2"/>
                <w:sz w:val="24"/>
                <w:szCs w:val="24"/>
                <w14:ligatures w14:val="standardContextual"/>
              </w:rPr>
              <w:tab/>
            </w:r>
            <w:r w:rsidRPr="000477AF">
              <w:rPr>
                <w:rStyle w:val="Hyperlink"/>
                <w:noProof/>
              </w:rPr>
              <w:t>Background</w:t>
            </w:r>
            <w:r>
              <w:rPr>
                <w:noProof/>
                <w:webHidden/>
              </w:rPr>
              <w:tab/>
            </w:r>
            <w:r>
              <w:rPr>
                <w:noProof/>
                <w:webHidden/>
              </w:rPr>
              <w:fldChar w:fldCharType="begin"/>
            </w:r>
            <w:r>
              <w:rPr>
                <w:noProof/>
                <w:webHidden/>
              </w:rPr>
              <w:instrText xml:space="preserve"> PAGEREF _Toc204258014 \h </w:instrText>
            </w:r>
            <w:r>
              <w:rPr>
                <w:noProof/>
                <w:webHidden/>
              </w:rPr>
            </w:r>
            <w:r>
              <w:rPr>
                <w:noProof/>
                <w:webHidden/>
              </w:rPr>
              <w:fldChar w:fldCharType="separate"/>
            </w:r>
            <w:r w:rsidR="00D62FC1">
              <w:rPr>
                <w:noProof/>
                <w:webHidden/>
              </w:rPr>
              <w:t>2</w:t>
            </w:r>
            <w:r>
              <w:rPr>
                <w:noProof/>
                <w:webHidden/>
              </w:rPr>
              <w:fldChar w:fldCharType="end"/>
            </w:r>
          </w:hyperlink>
        </w:p>
        <w:p w:rsidR="0036137E" w:rsidRDefault="0036137E" w14:paraId="2307DCE1" w14:textId="7C282C44">
          <w:pPr>
            <w:pStyle w:val="TOC2"/>
            <w:tabs>
              <w:tab w:val="right" w:leader="dot" w:pos="9350"/>
            </w:tabs>
            <w:rPr>
              <w:rFonts w:asciiTheme="minorHAnsi" w:hAnsiTheme="minorHAnsi" w:cstheme="minorBidi"/>
              <w:noProof/>
              <w:kern w:val="2"/>
              <w:sz w:val="24"/>
              <w:szCs w:val="24"/>
              <w14:ligatures w14:val="standardContextual"/>
            </w:rPr>
          </w:pPr>
          <w:hyperlink w:history="1" w:anchor="_Toc204258015">
            <w:r w:rsidRPr="000477AF">
              <w:rPr>
                <w:rStyle w:val="Hyperlink"/>
                <w:noProof/>
              </w:rPr>
              <w:t>1.1.</w:t>
            </w:r>
            <w:r>
              <w:rPr>
                <w:rFonts w:asciiTheme="minorHAnsi" w:hAnsiTheme="minorHAnsi" w:cstheme="minorBidi"/>
                <w:noProof/>
                <w:kern w:val="2"/>
                <w:sz w:val="24"/>
                <w:szCs w:val="24"/>
                <w14:ligatures w14:val="standardContextual"/>
              </w:rPr>
              <w:tab/>
            </w:r>
            <w:r w:rsidRPr="000477AF">
              <w:rPr>
                <w:rStyle w:val="Hyperlink"/>
                <w:noProof/>
              </w:rPr>
              <w:t>Phase 4 Procedural Background</w:t>
            </w:r>
            <w:r>
              <w:rPr>
                <w:noProof/>
                <w:webHidden/>
              </w:rPr>
              <w:tab/>
            </w:r>
            <w:r>
              <w:rPr>
                <w:noProof/>
                <w:webHidden/>
              </w:rPr>
              <w:fldChar w:fldCharType="begin"/>
            </w:r>
            <w:r>
              <w:rPr>
                <w:noProof/>
                <w:webHidden/>
              </w:rPr>
              <w:instrText xml:space="preserve"> PAGEREF _Toc204258015 \h </w:instrText>
            </w:r>
            <w:r>
              <w:rPr>
                <w:noProof/>
                <w:webHidden/>
              </w:rPr>
            </w:r>
            <w:r>
              <w:rPr>
                <w:noProof/>
                <w:webHidden/>
              </w:rPr>
              <w:fldChar w:fldCharType="separate"/>
            </w:r>
            <w:r w:rsidR="00D62FC1">
              <w:rPr>
                <w:noProof/>
                <w:webHidden/>
              </w:rPr>
              <w:t>4</w:t>
            </w:r>
            <w:r>
              <w:rPr>
                <w:noProof/>
                <w:webHidden/>
              </w:rPr>
              <w:fldChar w:fldCharType="end"/>
            </w:r>
          </w:hyperlink>
        </w:p>
        <w:p w:rsidR="0036137E" w:rsidRDefault="0036137E" w14:paraId="7FB174A8" w14:textId="30F28EF2">
          <w:pPr>
            <w:pStyle w:val="TOC2"/>
            <w:tabs>
              <w:tab w:val="right" w:leader="dot" w:pos="9350"/>
            </w:tabs>
            <w:rPr>
              <w:rFonts w:asciiTheme="minorHAnsi" w:hAnsiTheme="minorHAnsi" w:cstheme="minorBidi"/>
              <w:noProof/>
              <w:kern w:val="2"/>
              <w:sz w:val="24"/>
              <w:szCs w:val="24"/>
              <w14:ligatures w14:val="standardContextual"/>
            </w:rPr>
          </w:pPr>
          <w:hyperlink w:history="1" w:anchor="_Toc204258016">
            <w:r w:rsidRPr="000477AF">
              <w:rPr>
                <w:rStyle w:val="Hyperlink"/>
                <w:noProof/>
              </w:rPr>
              <w:t>1.2.</w:t>
            </w:r>
            <w:r>
              <w:rPr>
                <w:rFonts w:asciiTheme="minorHAnsi" w:hAnsiTheme="minorHAnsi" w:cstheme="minorBidi"/>
                <w:noProof/>
                <w:kern w:val="2"/>
                <w:sz w:val="24"/>
                <w:szCs w:val="24"/>
                <w14:ligatures w14:val="standardContextual"/>
              </w:rPr>
              <w:tab/>
            </w:r>
            <w:r w:rsidRPr="000477AF">
              <w:rPr>
                <w:rStyle w:val="Hyperlink"/>
                <w:noProof/>
              </w:rPr>
              <w:t>Submission Date</w:t>
            </w:r>
            <w:r>
              <w:rPr>
                <w:noProof/>
                <w:webHidden/>
              </w:rPr>
              <w:tab/>
            </w:r>
            <w:r>
              <w:rPr>
                <w:noProof/>
                <w:webHidden/>
              </w:rPr>
              <w:fldChar w:fldCharType="begin"/>
            </w:r>
            <w:r>
              <w:rPr>
                <w:noProof/>
                <w:webHidden/>
              </w:rPr>
              <w:instrText xml:space="preserve"> PAGEREF _Toc204258016 \h </w:instrText>
            </w:r>
            <w:r>
              <w:rPr>
                <w:noProof/>
                <w:webHidden/>
              </w:rPr>
            </w:r>
            <w:r>
              <w:rPr>
                <w:noProof/>
                <w:webHidden/>
              </w:rPr>
              <w:fldChar w:fldCharType="separate"/>
            </w:r>
            <w:r w:rsidR="00D62FC1">
              <w:rPr>
                <w:noProof/>
                <w:webHidden/>
              </w:rPr>
              <w:t>7</w:t>
            </w:r>
            <w:r>
              <w:rPr>
                <w:noProof/>
                <w:webHidden/>
              </w:rPr>
              <w:fldChar w:fldCharType="end"/>
            </w:r>
          </w:hyperlink>
        </w:p>
        <w:p w:rsidR="0036137E" w:rsidRDefault="0036137E" w14:paraId="55D557D4" w14:textId="7F18ED34">
          <w:pPr>
            <w:pStyle w:val="TOC1"/>
            <w:tabs>
              <w:tab w:val="right" w:leader="dot" w:pos="9350"/>
            </w:tabs>
            <w:rPr>
              <w:rFonts w:asciiTheme="minorHAnsi" w:hAnsiTheme="minorHAnsi" w:cstheme="minorBidi"/>
              <w:noProof/>
              <w:kern w:val="2"/>
              <w:sz w:val="24"/>
              <w:szCs w:val="24"/>
              <w14:ligatures w14:val="standardContextual"/>
            </w:rPr>
          </w:pPr>
          <w:hyperlink w:history="1" w:anchor="_Toc204258017">
            <w:r w:rsidRPr="000477AF">
              <w:rPr>
                <w:rStyle w:val="Hyperlink"/>
                <w:noProof/>
              </w:rPr>
              <w:t>2.</w:t>
            </w:r>
            <w:r>
              <w:rPr>
                <w:rFonts w:asciiTheme="minorHAnsi" w:hAnsiTheme="minorHAnsi" w:cstheme="minorBidi"/>
                <w:noProof/>
                <w:kern w:val="2"/>
                <w:sz w:val="24"/>
                <w:szCs w:val="24"/>
                <w14:ligatures w14:val="standardContextual"/>
              </w:rPr>
              <w:tab/>
            </w:r>
            <w:r w:rsidRPr="000477AF">
              <w:rPr>
                <w:rStyle w:val="Hyperlink"/>
                <w:noProof/>
              </w:rPr>
              <w:t>Jurisdiction</w:t>
            </w:r>
            <w:r>
              <w:rPr>
                <w:noProof/>
                <w:webHidden/>
              </w:rPr>
              <w:tab/>
            </w:r>
            <w:r>
              <w:rPr>
                <w:noProof/>
                <w:webHidden/>
              </w:rPr>
              <w:fldChar w:fldCharType="begin"/>
            </w:r>
            <w:r>
              <w:rPr>
                <w:noProof/>
                <w:webHidden/>
              </w:rPr>
              <w:instrText xml:space="preserve"> PAGEREF _Toc204258017 \h </w:instrText>
            </w:r>
            <w:r>
              <w:rPr>
                <w:noProof/>
                <w:webHidden/>
              </w:rPr>
            </w:r>
            <w:r>
              <w:rPr>
                <w:noProof/>
                <w:webHidden/>
              </w:rPr>
              <w:fldChar w:fldCharType="separate"/>
            </w:r>
            <w:r w:rsidR="00D62FC1">
              <w:rPr>
                <w:noProof/>
                <w:webHidden/>
              </w:rPr>
              <w:t>7</w:t>
            </w:r>
            <w:r>
              <w:rPr>
                <w:noProof/>
                <w:webHidden/>
              </w:rPr>
              <w:fldChar w:fldCharType="end"/>
            </w:r>
          </w:hyperlink>
        </w:p>
        <w:p w:rsidR="0036137E" w:rsidRDefault="0036137E" w14:paraId="74973129" w14:textId="4128F5D0">
          <w:pPr>
            <w:pStyle w:val="TOC1"/>
            <w:tabs>
              <w:tab w:val="right" w:leader="dot" w:pos="9350"/>
            </w:tabs>
            <w:rPr>
              <w:rFonts w:asciiTheme="minorHAnsi" w:hAnsiTheme="minorHAnsi" w:cstheme="minorBidi"/>
              <w:noProof/>
              <w:kern w:val="2"/>
              <w:sz w:val="24"/>
              <w:szCs w:val="24"/>
              <w14:ligatures w14:val="standardContextual"/>
            </w:rPr>
          </w:pPr>
          <w:hyperlink w:history="1" w:anchor="_Toc204258018">
            <w:r w:rsidRPr="000477AF">
              <w:rPr>
                <w:rStyle w:val="Hyperlink"/>
                <w:noProof/>
              </w:rPr>
              <w:t>3.</w:t>
            </w:r>
            <w:r>
              <w:rPr>
                <w:rFonts w:asciiTheme="minorHAnsi" w:hAnsiTheme="minorHAnsi" w:cstheme="minorBidi"/>
                <w:noProof/>
                <w:kern w:val="2"/>
                <w:sz w:val="24"/>
                <w:szCs w:val="24"/>
                <w14:ligatures w14:val="standardContextual"/>
              </w:rPr>
              <w:tab/>
            </w:r>
            <w:r w:rsidRPr="000477AF">
              <w:rPr>
                <w:rStyle w:val="Hyperlink"/>
                <w:noProof/>
              </w:rPr>
              <w:t>Issues Before the Commission</w:t>
            </w:r>
            <w:r>
              <w:rPr>
                <w:noProof/>
                <w:webHidden/>
              </w:rPr>
              <w:tab/>
            </w:r>
            <w:r>
              <w:rPr>
                <w:noProof/>
                <w:webHidden/>
              </w:rPr>
              <w:fldChar w:fldCharType="begin"/>
            </w:r>
            <w:r>
              <w:rPr>
                <w:noProof/>
                <w:webHidden/>
              </w:rPr>
              <w:instrText xml:space="preserve"> PAGEREF _Toc204258018 \h </w:instrText>
            </w:r>
            <w:r>
              <w:rPr>
                <w:noProof/>
                <w:webHidden/>
              </w:rPr>
            </w:r>
            <w:r>
              <w:rPr>
                <w:noProof/>
                <w:webHidden/>
              </w:rPr>
              <w:fldChar w:fldCharType="separate"/>
            </w:r>
            <w:r w:rsidR="00D62FC1">
              <w:rPr>
                <w:noProof/>
                <w:webHidden/>
              </w:rPr>
              <w:t>7</w:t>
            </w:r>
            <w:r>
              <w:rPr>
                <w:noProof/>
                <w:webHidden/>
              </w:rPr>
              <w:fldChar w:fldCharType="end"/>
            </w:r>
          </w:hyperlink>
        </w:p>
        <w:p w:rsidR="0036137E" w:rsidRDefault="0036137E" w14:paraId="6745E73B" w14:textId="76E485D2">
          <w:pPr>
            <w:pStyle w:val="TOC1"/>
            <w:tabs>
              <w:tab w:val="right" w:leader="dot" w:pos="9350"/>
            </w:tabs>
            <w:rPr>
              <w:rFonts w:asciiTheme="minorHAnsi" w:hAnsiTheme="minorHAnsi" w:cstheme="minorBidi"/>
              <w:noProof/>
              <w:kern w:val="2"/>
              <w:sz w:val="24"/>
              <w:szCs w:val="24"/>
              <w14:ligatures w14:val="standardContextual"/>
            </w:rPr>
          </w:pPr>
          <w:hyperlink w:history="1" w:anchor="_Toc204258019">
            <w:r w:rsidRPr="000477AF">
              <w:rPr>
                <w:rStyle w:val="Hyperlink"/>
                <w:noProof/>
              </w:rPr>
              <w:t>4.</w:t>
            </w:r>
            <w:r>
              <w:rPr>
                <w:rFonts w:asciiTheme="minorHAnsi" w:hAnsiTheme="minorHAnsi" w:cstheme="minorBidi"/>
                <w:noProof/>
                <w:kern w:val="2"/>
                <w:sz w:val="24"/>
                <w:szCs w:val="24"/>
                <w14:ligatures w14:val="standardContextual"/>
              </w:rPr>
              <w:tab/>
            </w:r>
            <w:r w:rsidRPr="000477AF">
              <w:rPr>
                <w:rStyle w:val="Hyperlink"/>
                <w:noProof/>
              </w:rPr>
              <w:t>Risk Tolerance</w:t>
            </w:r>
            <w:r>
              <w:rPr>
                <w:noProof/>
                <w:webHidden/>
              </w:rPr>
              <w:tab/>
            </w:r>
            <w:r>
              <w:rPr>
                <w:noProof/>
                <w:webHidden/>
              </w:rPr>
              <w:fldChar w:fldCharType="begin"/>
            </w:r>
            <w:r>
              <w:rPr>
                <w:noProof/>
                <w:webHidden/>
              </w:rPr>
              <w:instrText xml:space="preserve"> PAGEREF _Toc204258019 \h </w:instrText>
            </w:r>
            <w:r>
              <w:rPr>
                <w:noProof/>
                <w:webHidden/>
              </w:rPr>
            </w:r>
            <w:r>
              <w:rPr>
                <w:noProof/>
                <w:webHidden/>
              </w:rPr>
              <w:fldChar w:fldCharType="separate"/>
            </w:r>
            <w:r w:rsidR="00D62FC1">
              <w:rPr>
                <w:noProof/>
                <w:webHidden/>
              </w:rPr>
              <w:t>9</w:t>
            </w:r>
            <w:r>
              <w:rPr>
                <w:noProof/>
                <w:webHidden/>
              </w:rPr>
              <w:fldChar w:fldCharType="end"/>
            </w:r>
          </w:hyperlink>
        </w:p>
        <w:p w:rsidR="0036137E" w:rsidRDefault="0036137E" w14:paraId="7FC4ADA7" w14:textId="114DF7FA">
          <w:pPr>
            <w:pStyle w:val="TOC2"/>
            <w:tabs>
              <w:tab w:val="right" w:leader="dot" w:pos="9350"/>
            </w:tabs>
            <w:rPr>
              <w:rFonts w:asciiTheme="minorHAnsi" w:hAnsiTheme="minorHAnsi" w:cstheme="minorBidi"/>
              <w:noProof/>
              <w:kern w:val="2"/>
              <w:sz w:val="24"/>
              <w:szCs w:val="24"/>
              <w14:ligatures w14:val="standardContextual"/>
            </w:rPr>
          </w:pPr>
          <w:hyperlink w:history="1" w:anchor="_Toc204258020">
            <w:r w:rsidRPr="000477AF">
              <w:rPr>
                <w:rStyle w:val="Hyperlink"/>
                <w:noProof/>
              </w:rPr>
              <w:t>4.1.</w:t>
            </w:r>
            <w:r>
              <w:rPr>
                <w:rFonts w:asciiTheme="minorHAnsi" w:hAnsiTheme="minorHAnsi" w:cstheme="minorBidi"/>
                <w:noProof/>
                <w:kern w:val="2"/>
                <w:sz w:val="24"/>
                <w:szCs w:val="24"/>
                <w14:ligatures w14:val="standardContextual"/>
              </w:rPr>
              <w:tab/>
            </w:r>
            <w:r w:rsidRPr="000477AF">
              <w:rPr>
                <w:rStyle w:val="Hyperlink"/>
                <w:noProof/>
              </w:rPr>
              <w:t>SPD Staff Recommendations on Risk Tolerance</w:t>
            </w:r>
            <w:r>
              <w:rPr>
                <w:noProof/>
                <w:webHidden/>
              </w:rPr>
              <w:tab/>
            </w:r>
            <w:r>
              <w:rPr>
                <w:noProof/>
                <w:webHidden/>
              </w:rPr>
              <w:fldChar w:fldCharType="begin"/>
            </w:r>
            <w:r>
              <w:rPr>
                <w:noProof/>
                <w:webHidden/>
              </w:rPr>
              <w:instrText xml:space="preserve"> PAGEREF _Toc204258020 \h </w:instrText>
            </w:r>
            <w:r>
              <w:rPr>
                <w:noProof/>
                <w:webHidden/>
              </w:rPr>
            </w:r>
            <w:r>
              <w:rPr>
                <w:noProof/>
                <w:webHidden/>
              </w:rPr>
              <w:fldChar w:fldCharType="separate"/>
            </w:r>
            <w:r w:rsidR="00D62FC1">
              <w:rPr>
                <w:noProof/>
                <w:webHidden/>
              </w:rPr>
              <w:t>9</w:t>
            </w:r>
            <w:r>
              <w:rPr>
                <w:noProof/>
                <w:webHidden/>
              </w:rPr>
              <w:fldChar w:fldCharType="end"/>
            </w:r>
          </w:hyperlink>
        </w:p>
        <w:p w:rsidR="0036137E" w:rsidRDefault="0036137E" w14:paraId="3746DD19" w14:textId="44E0FBB0">
          <w:pPr>
            <w:pStyle w:val="TOC2"/>
            <w:tabs>
              <w:tab w:val="right" w:leader="dot" w:pos="9350"/>
            </w:tabs>
            <w:rPr>
              <w:rFonts w:asciiTheme="minorHAnsi" w:hAnsiTheme="minorHAnsi" w:cstheme="minorBidi"/>
              <w:noProof/>
              <w:kern w:val="2"/>
              <w:sz w:val="24"/>
              <w:szCs w:val="24"/>
              <w14:ligatures w14:val="standardContextual"/>
            </w:rPr>
          </w:pPr>
          <w:hyperlink w:history="1" w:anchor="_Toc204258021">
            <w:r w:rsidRPr="000477AF">
              <w:rPr>
                <w:rStyle w:val="Hyperlink"/>
                <w:noProof/>
              </w:rPr>
              <w:t>4.2.</w:t>
            </w:r>
            <w:r>
              <w:rPr>
                <w:rFonts w:asciiTheme="minorHAnsi" w:hAnsiTheme="minorHAnsi" w:cstheme="minorBidi"/>
                <w:noProof/>
                <w:kern w:val="2"/>
                <w:sz w:val="24"/>
                <w:szCs w:val="24"/>
                <w14:ligatures w14:val="standardContextual"/>
              </w:rPr>
              <w:tab/>
            </w:r>
            <w:r w:rsidRPr="000477AF">
              <w:rPr>
                <w:rStyle w:val="Hyperlink"/>
                <w:noProof/>
              </w:rPr>
              <w:t>MGRA’s Risk Tolerance Recommendations</w:t>
            </w:r>
            <w:r>
              <w:rPr>
                <w:noProof/>
                <w:webHidden/>
              </w:rPr>
              <w:tab/>
            </w:r>
            <w:r>
              <w:rPr>
                <w:noProof/>
                <w:webHidden/>
              </w:rPr>
              <w:fldChar w:fldCharType="begin"/>
            </w:r>
            <w:r>
              <w:rPr>
                <w:noProof/>
                <w:webHidden/>
              </w:rPr>
              <w:instrText xml:space="preserve"> PAGEREF _Toc204258021 \h </w:instrText>
            </w:r>
            <w:r>
              <w:rPr>
                <w:noProof/>
                <w:webHidden/>
              </w:rPr>
            </w:r>
            <w:r>
              <w:rPr>
                <w:noProof/>
                <w:webHidden/>
              </w:rPr>
              <w:fldChar w:fldCharType="separate"/>
            </w:r>
            <w:r w:rsidR="00D62FC1">
              <w:rPr>
                <w:noProof/>
                <w:webHidden/>
              </w:rPr>
              <w:t>13</w:t>
            </w:r>
            <w:r>
              <w:rPr>
                <w:noProof/>
                <w:webHidden/>
              </w:rPr>
              <w:fldChar w:fldCharType="end"/>
            </w:r>
          </w:hyperlink>
        </w:p>
        <w:p w:rsidR="0036137E" w:rsidRDefault="0036137E" w14:paraId="349CE49F" w14:textId="672BB42B">
          <w:pPr>
            <w:pStyle w:val="TOC2"/>
            <w:tabs>
              <w:tab w:val="right" w:leader="dot" w:pos="9350"/>
            </w:tabs>
            <w:rPr>
              <w:rFonts w:asciiTheme="minorHAnsi" w:hAnsiTheme="minorHAnsi" w:cstheme="minorBidi"/>
              <w:noProof/>
              <w:kern w:val="2"/>
              <w:sz w:val="24"/>
              <w:szCs w:val="24"/>
              <w14:ligatures w14:val="standardContextual"/>
            </w:rPr>
          </w:pPr>
          <w:hyperlink w:history="1" w:anchor="_Toc204258022">
            <w:r w:rsidRPr="000477AF">
              <w:rPr>
                <w:rStyle w:val="Hyperlink"/>
                <w:noProof/>
              </w:rPr>
              <w:t>4.3.</w:t>
            </w:r>
            <w:r>
              <w:rPr>
                <w:rFonts w:asciiTheme="minorHAnsi" w:hAnsiTheme="minorHAnsi" w:cstheme="minorBidi"/>
                <w:noProof/>
                <w:kern w:val="2"/>
                <w:sz w:val="24"/>
                <w:szCs w:val="24"/>
                <w14:ligatures w14:val="standardContextual"/>
              </w:rPr>
              <w:tab/>
            </w:r>
            <w:r w:rsidRPr="000477AF">
              <w:rPr>
                <w:rStyle w:val="Hyperlink"/>
                <w:noProof/>
              </w:rPr>
              <w:t>Party Comments</w:t>
            </w:r>
            <w:r>
              <w:rPr>
                <w:noProof/>
                <w:webHidden/>
              </w:rPr>
              <w:tab/>
            </w:r>
            <w:r>
              <w:rPr>
                <w:noProof/>
                <w:webHidden/>
              </w:rPr>
              <w:fldChar w:fldCharType="begin"/>
            </w:r>
            <w:r>
              <w:rPr>
                <w:noProof/>
                <w:webHidden/>
              </w:rPr>
              <w:instrText xml:space="preserve"> PAGEREF _Toc204258022 \h </w:instrText>
            </w:r>
            <w:r>
              <w:rPr>
                <w:noProof/>
                <w:webHidden/>
              </w:rPr>
            </w:r>
            <w:r>
              <w:rPr>
                <w:noProof/>
                <w:webHidden/>
              </w:rPr>
              <w:fldChar w:fldCharType="separate"/>
            </w:r>
            <w:r w:rsidR="00D62FC1">
              <w:rPr>
                <w:noProof/>
                <w:webHidden/>
              </w:rPr>
              <w:t>14</w:t>
            </w:r>
            <w:r>
              <w:rPr>
                <w:noProof/>
                <w:webHidden/>
              </w:rPr>
              <w:fldChar w:fldCharType="end"/>
            </w:r>
          </w:hyperlink>
        </w:p>
        <w:p w:rsidR="0036137E" w:rsidRDefault="0036137E" w14:paraId="01FB67C1" w14:textId="420114E3">
          <w:pPr>
            <w:pStyle w:val="TOC2"/>
            <w:tabs>
              <w:tab w:val="right" w:leader="dot" w:pos="9350"/>
            </w:tabs>
            <w:rPr>
              <w:rFonts w:asciiTheme="minorHAnsi" w:hAnsiTheme="minorHAnsi" w:cstheme="minorBidi"/>
              <w:noProof/>
              <w:kern w:val="2"/>
              <w:sz w:val="24"/>
              <w:szCs w:val="24"/>
              <w14:ligatures w14:val="standardContextual"/>
            </w:rPr>
          </w:pPr>
          <w:hyperlink w:history="1" w:anchor="_Toc204258023">
            <w:r w:rsidRPr="000477AF">
              <w:rPr>
                <w:rStyle w:val="Hyperlink"/>
                <w:noProof/>
              </w:rPr>
              <w:t>4.4.</w:t>
            </w:r>
            <w:r>
              <w:rPr>
                <w:rFonts w:asciiTheme="minorHAnsi" w:hAnsiTheme="minorHAnsi" w:cstheme="minorBidi"/>
                <w:noProof/>
                <w:kern w:val="2"/>
                <w:sz w:val="24"/>
                <w:szCs w:val="24"/>
                <w14:ligatures w14:val="standardContextual"/>
              </w:rPr>
              <w:tab/>
            </w:r>
            <w:r w:rsidRPr="000477AF">
              <w:rPr>
                <w:rStyle w:val="Hyperlink"/>
                <w:noProof/>
              </w:rPr>
              <w:t>Discussion</w:t>
            </w:r>
            <w:r>
              <w:rPr>
                <w:noProof/>
                <w:webHidden/>
              </w:rPr>
              <w:tab/>
            </w:r>
            <w:r>
              <w:rPr>
                <w:noProof/>
                <w:webHidden/>
              </w:rPr>
              <w:fldChar w:fldCharType="begin"/>
            </w:r>
            <w:r>
              <w:rPr>
                <w:noProof/>
                <w:webHidden/>
              </w:rPr>
              <w:instrText xml:space="preserve"> PAGEREF _Toc204258023 \h </w:instrText>
            </w:r>
            <w:r>
              <w:rPr>
                <w:noProof/>
                <w:webHidden/>
              </w:rPr>
            </w:r>
            <w:r>
              <w:rPr>
                <w:noProof/>
                <w:webHidden/>
              </w:rPr>
              <w:fldChar w:fldCharType="separate"/>
            </w:r>
            <w:r w:rsidR="00D62FC1">
              <w:rPr>
                <w:noProof/>
                <w:webHidden/>
              </w:rPr>
              <w:t>19</w:t>
            </w:r>
            <w:r>
              <w:rPr>
                <w:noProof/>
                <w:webHidden/>
              </w:rPr>
              <w:fldChar w:fldCharType="end"/>
            </w:r>
          </w:hyperlink>
        </w:p>
        <w:p w:rsidR="0036137E" w:rsidRDefault="0036137E" w14:paraId="24C80F3D" w14:textId="749E338C">
          <w:pPr>
            <w:pStyle w:val="TOC1"/>
            <w:tabs>
              <w:tab w:val="right" w:leader="dot" w:pos="9350"/>
            </w:tabs>
            <w:rPr>
              <w:rFonts w:asciiTheme="minorHAnsi" w:hAnsiTheme="minorHAnsi" w:cstheme="minorBidi"/>
              <w:noProof/>
              <w:kern w:val="2"/>
              <w:sz w:val="24"/>
              <w:szCs w:val="24"/>
              <w14:ligatures w14:val="standardContextual"/>
            </w:rPr>
          </w:pPr>
          <w:hyperlink w:history="1" w:anchor="_Toc204258024">
            <w:r w:rsidRPr="000477AF">
              <w:rPr>
                <w:rStyle w:val="Hyperlink"/>
                <w:noProof/>
              </w:rPr>
              <w:t>5.</w:t>
            </w:r>
            <w:r>
              <w:rPr>
                <w:rFonts w:asciiTheme="minorHAnsi" w:hAnsiTheme="minorHAnsi" w:cstheme="minorBidi"/>
                <w:noProof/>
                <w:kern w:val="2"/>
                <w:sz w:val="24"/>
                <w:szCs w:val="24"/>
                <w14:ligatures w14:val="standardContextual"/>
              </w:rPr>
              <w:tab/>
            </w:r>
            <w:r w:rsidRPr="000477AF">
              <w:rPr>
                <w:rStyle w:val="Hyperlink"/>
                <w:noProof/>
              </w:rPr>
              <w:t>Overall Residual Risk Reporting</w:t>
            </w:r>
            <w:r>
              <w:rPr>
                <w:noProof/>
                <w:webHidden/>
              </w:rPr>
              <w:tab/>
            </w:r>
            <w:r>
              <w:rPr>
                <w:noProof/>
                <w:webHidden/>
              </w:rPr>
              <w:fldChar w:fldCharType="begin"/>
            </w:r>
            <w:r>
              <w:rPr>
                <w:noProof/>
                <w:webHidden/>
              </w:rPr>
              <w:instrText xml:space="preserve"> PAGEREF _Toc204258024 \h </w:instrText>
            </w:r>
            <w:r>
              <w:rPr>
                <w:noProof/>
                <w:webHidden/>
              </w:rPr>
            </w:r>
            <w:r>
              <w:rPr>
                <w:noProof/>
                <w:webHidden/>
              </w:rPr>
              <w:fldChar w:fldCharType="separate"/>
            </w:r>
            <w:r w:rsidR="00D62FC1">
              <w:rPr>
                <w:noProof/>
                <w:webHidden/>
              </w:rPr>
              <w:t>21</w:t>
            </w:r>
            <w:r>
              <w:rPr>
                <w:noProof/>
                <w:webHidden/>
              </w:rPr>
              <w:fldChar w:fldCharType="end"/>
            </w:r>
          </w:hyperlink>
        </w:p>
        <w:p w:rsidR="0036137E" w:rsidRDefault="0036137E" w14:paraId="29FD4C83" w14:textId="2C067236">
          <w:pPr>
            <w:pStyle w:val="TOC2"/>
            <w:tabs>
              <w:tab w:val="right" w:leader="dot" w:pos="9350"/>
            </w:tabs>
            <w:rPr>
              <w:rFonts w:asciiTheme="minorHAnsi" w:hAnsiTheme="minorHAnsi" w:cstheme="minorBidi"/>
              <w:noProof/>
              <w:kern w:val="2"/>
              <w:sz w:val="24"/>
              <w:szCs w:val="24"/>
              <w14:ligatures w14:val="standardContextual"/>
            </w:rPr>
          </w:pPr>
          <w:hyperlink w:history="1" w:anchor="_Toc204258025">
            <w:r w:rsidRPr="000477AF">
              <w:rPr>
                <w:rStyle w:val="Hyperlink"/>
                <w:noProof/>
              </w:rPr>
              <w:t>5.1.</w:t>
            </w:r>
            <w:r>
              <w:rPr>
                <w:rFonts w:asciiTheme="minorHAnsi" w:hAnsiTheme="minorHAnsi" w:cstheme="minorBidi"/>
                <w:noProof/>
                <w:kern w:val="2"/>
                <w:sz w:val="24"/>
                <w:szCs w:val="24"/>
                <w14:ligatures w14:val="standardContextual"/>
              </w:rPr>
              <w:tab/>
            </w:r>
            <w:r w:rsidRPr="000477AF">
              <w:rPr>
                <w:rStyle w:val="Hyperlink"/>
                <w:noProof/>
              </w:rPr>
              <w:t>Party Comments</w:t>
            </w:r>
            <w:r>
              <w:rPr>
                <w:noProof/>
                <w:webHidden/>
              </w:rPr>
              <w:tab/>
            </w:r>
            <w:r>
              <w:rPr>
                <w:noProof/>
                <w:webHidden/>
              </w:rPr>
              <w:fldChar w:fldCharType="begin"/>
            </w:r>
            <w:r>
              <w:rPr>
                <w:noProof/>
                <w:webHidden/>
              </w:rPr>
              <w:instrText xml:space="preserve"> PAGEREF _Toc204258025 \h </w:instrText>
            </w:r>
            <w:r>
              <w:rPr>
                <w:noProof/>
                <w:webHidden/>
              </w:rPr>
            </w:r>
            <w:r>
              <w:rPr>
                <w:noProof/>
                <w:webHidden/>
              </w:rPr>
              <w:fldChar w:fldCharType="separate"/>
            </w:r>
            <w:r w:rsidR="00D62FC1">
              <w:rPr>
                <w:noProof/>
                <w:webHidden/>
              </w:rPr>
              <w:t>24</w:t>
            </w:r>
            <w:r>
              <w:rPr>
                <w:noProof/>
                <w:webHidden/>
              </w:rPr>
              <w:fldChar w:fldCharType="end"/>
            </w:r>
          </w:hyperlink>
        </w:p>
        <w:p w:rsidR="0036137E" w:rsidRDefault="0036137E" w14:paraId="756D14A7" w14:textId="68922400">
          <w:pPr>
            <w:pStyle w:val="TOC2"/>
            <w:tabs>
              <w:tab w:val="right" w:leader="dot" w:pos="9350"/>
            </w:tabs>
            <w:rPr>
              <w:rFonts w:asciiTheme="minorHAnsi" w:hAnsiTheme="minorHAnsi" w:cstheme="minorBidi"/>
              <w:noProof/>
              <w:kern w:val="2"/>
              <w:sz w:val="24"/>
              <w:szCs w:val="24"/>
              <w14:ligatures w14:val="standardContextual"/>
            </w:rPr>
          </w:pPr>
          <w:hyperlink w:history="1" w:anchor="_Toc204258026">
            <w:r w:rsidRPr="000477AF">
              <w:rPr>
                <w:rStyle w:val="Hyperlink"/>
                <w:noProof/>
              </w:rPr>
              <w:t>5.2.</w:t>
            </w:r>
            <w:r>
              <w:rPr>
                <w:rFonts w:asciiTheme="minorHAnsi" w:hAnsiTheme="minorHAnsi" w:cstheme="minorBidi"/>
                <w:noProof/>
                <w:kern w:val="2"/>
                <w:sz w:val="24"/>
                <w:szCs w:val="24"/>
                <w14:ligatures w14:val="standardContextual"/>
              </w:rPr>
              <w:tab/>
            </w:r>
            <w:r w:rsidRPr="000477AF">
              <w:rPr>
                <w:rStyle w:val="Hyperlink"/>
                <w:noProof/>
              </w:rPr>
              <w:t>Discussion</w:t>
            </w:r>
            <w:r>
              <w:rPr>
                <w:noProof/>
                <w:webHidden/>
              </w:rPr>
              <w:tab/>
            </w:r>
            <w:r>
              <w:rPr>
                <w:noProof/>
                <w:webHidden/>
              </w:rPr>
              <w:fldChar w:fldCharType="begin"/>
            </w:r>
            <w:r>
              <w:rPr>
                <w:noProof/>
                <w:webHidden/>
              </w:rPr>
              <w:instrText xml:space="preserve"> PAGEREF _Toc204258026 \h </w:instrText>
            </w:r>
            <w:r>
              <w:rPr>
                <w:noProof/>
                <w:webHidden/>
              </w:rPr>
            </w:r>
            <w:r>
              <w:rPr>
                <w:noProof/>
                <w:webHidden/>
              </w:rPr>
              <w:fldChar w:fldCharType="separate"/>
            </w:r>
            <w:r w:rsidR="00D62FC1">
              <w:rPr>
                <w:noProof/>
                <w:webHidden/>
              </w:rPr>
              <w:t>27</w:t>
            </w:r>
            <w:r>
              <w:rPr>
                <w:noProof/>
                <w:webHidden/>
              </w:rPr>
              <w:fldChar w:fldCharType="end"/>
            </w:r>
          </w:hyperlink>
        </w:p>
        <w:p w:rsidR="0036137E" w:rsidRDefault="0036137E" w14:paraId="74BE4D6A" w14:textId="0F2B2DE9">
          <w:pPr>
            <w:pStyle w:val="TOC1"/>
            <w:tabs>
              <w:tab w:val="right" w:leader="dot" w:pos="9350"/>
            </w:tabs>
            <w:rPr>
              <w:rFonts w:asciiTheme="minorHAnsi" w:hAnsiTheme="minorHAnsi" w:cstheme="minorBidi"/>
              <w:noProof/>
              <w:kern w:val="2"/>
              <w:sz w:val="24"/>
              <w:szCs w:val="24"/>
              <w14:ligatures w14:val="standardContextual"/>
            </w:rPr>
          </w:pPr>
          <w:hyperlink w:history="1" w:anchor="_Toc204258027">
            <w:r w:rsidRPr="000477AF">
              <w:rPr>
                <w:rStyle w:val="Hyperlink"/>
                <w:noProof/>
              </w:rPr>
              <w:t>6.</w:t>
            </w:r>
            <w:r>
              <w:rPr>
                <w:rFonts w:asciiTheme="minorHAnsi" w:hAnsiTheme="minorHAnsi" w:cstheme="minorBidi"/>
                <w:noProof/>
                <w:kern w:val="2"/>
                <w:sz w:val="24"/>
                <w:szCs w:val="24"/>
                <w14:ligatures w14:val="standardContextual"/>
              </w:rPr>
              <w:tab/>
            </w:r>
            <w:r w:rsidRPr="000477AF">
              <w:rPr>
                <w:rStyle w:val="Hyperlink"/>
                <w:noProof/>
              </w:rPr>
              <w:t>Mitigation Portfolio Optimization</w:t>
            </w:r>
            <w:r>
              <w:rPr>
                <w:noProof/>
                <w:webHidden/>
              </w:rPr>
              <w:tab/>
            </w:r>
            <w:r>
              <w:rPr>
                <w:noProof/>
                <w:webHidden/>
              </w:rPr>
              <w:fldChar w:fldCharType="begin"/>
            </w:r>
            <w:r>
              <w:rPr>
                <w:noProof/>
                <w:webHidden/>
              </w:rPr>
              <w:instrText xml:space="preserve"> PAGEREF _Toc204258027 \h </w:instrText>
            </w:r>
            <w:r>
              <w:rPr>
                <w:noProof/>
                <w:webHidden/>
              </w:rPr>
            </w:r>
            <w:r>
              <w:rPr>
                <w:noProof/>
                <w:webHidden/>
              </w:rPr>
              <w:fldChar w:fldCharType="separate"/>
            </w:r>
            <w:r w:rsidR="00D62FC1">
              <w:rPr>
                <w:noProof/>
                <w:webHidden/>
              </w:rPr>
              <w:t>29</w:t>
            </w:r>
            <w:r>
              <w:rPr>
                <w:noProof/>
                <w:webHidden/>
              </w:rPr>
              <w:fldChar w:fldCharType="end"/>
            </w:r>
          </w:hyperlink>
        </w:p>
        <w:p w:rsidR="0036137E" w:rsidRDefault="0036137E" w14:paraId="43ACDA5D" w14:textId="416D2426">
          <w:pPr>
            <w:pStyle w:val="TOC2"/>
            <w:tabs>
              <w:tab w:val="right" w:leader="dot" w:pos="9350"/>
            </w:tabs>
            <w:rPr>
              <w:rFonts w:asciiTheme="minorHAnsi" w:hAnsiTheme="minorHAnsi" w:cstheme="minorBidi"/>
              <w:noProof/>
              <w:kern w:val="2"/>
              <w:sz w:val="24"/>
              <w:szCs w:val="24"/>
              <w14:ligatures w14:val="standardContextual"/>
            </w:rPr>
          </w:pPr>
          <w:hyperlink w:history="1" w:anchor="_Toc204258028">
            <w:r w:rsidRPr="000477AF">
              <w:rPr>
                <w:rStyle w:val="Hyperlink"/>
                <w:noProof/>
              </w:rPr>
              <w:t>6.1.</w:t>
            </w:r>
            <w:r>
              <w:rPr>
                <w:rFonts w:asciiTheme="minorHAnsi" w:hAnsiTheme="minorHAnsi" w:cstheme="minorBidi"/>
                <w:noProof/>
                <w:kern w:val="2"/>
                <w:sz w:val="24"/>
                <w:szCs w:val="24"/>
                <w14:ligatures w14:val="standardContextual"/>
              </w:rPr>
              <w:tab/>
            </w:r>
            <w:r w:rsidRPr="000477AF">
              <w:rPr>
                <w:rStyle w:val="Hyperlink"/>
                <w:noProof/>
              </w:rPr>
              <w:t>Party Comments</w:t>
            </w:r>
            <w:r>
              <w:rPr>
                <w:noProof/>
                <w:webHidden/>
              </w:rPr>
              <w:tab/>
            </w:r>
            <w:r>
              <w:rPr>
                <w:noProof/>
                <w:webHidden/>
              </w:rPr>
              <w:fldChar w:fldCharType="begin"/>
            </w:r>
            <w:r>
              <w:rPr>
                <w:noProof/>
                <w:webHidden/>
              </w:rPr>
              <w:instrText xml:space="preserve"> PAGEREF _Toc204258028 \h </w:instrText>
            </w:r>
            <w:r>
              <w:rPr>
                <w:noProof/>
                <w:webHidden/>
              </w:rPr>
            </w:r>
            <w:r>
              <w:rPr>
                <w:noProof/>
                <w:webHidden/>
              </w:rPr>
              <w:fldChar w:fldCharType="separate"/>
            </w:r>
            <w:r w:rsidR="00D62FC1">
              <w:rPr>
                <w:noProof/>
                <w:webHidden/>
              </w:rPr>
              <w:t>33</w:t>
            </w:r>
            <w:r>
              <w:rPr>
                <w:noProof/>
                <w:webHidden/>
              </w:rPr>
              <w:fldChar w:fldCharType="end"/>
            </w:r>
          </w:hyperlink>
        </w:p>
        <w:p w:rsidR="0036137E" w:rsidRDefault="0036137E" w14:paraId="5941E931" w14:textId="47AF6583">
          <w:pPr>
            <w:pStyle w:val="TOC2"/>
            <w:tabs>
              <w:tab w:val="right" w:leader="dot" w:pos="9350"/>
            </w:tabs>
            <w:rPr>
              <w:rFonts w:asciiTheme="minorHAnsi" w:hAnsiTheme="minorHAnsi" w:cstheme="minorBidi"/>
              <w:noProof/>
              <w:kern w:val="2"/>
              <w:sz w:val="24"/>
              <w:szCs w:val="24"/>
              <w14:ligatures w14:val="standardContextual"/>
            </w:rPr>
          </w:pPr>
          <w:hyperlink w:history="1" w:anchor="_Toc204258029">
            <w:r w:rsidRPr="000477AF">
              <w:rPr>
                <w:rStyle w:val="Hyperlink"/>
                <w:noProof/>
              </w:rPr>
              <w:t>6.2.</w:t>
            </w:r>
            <w:r>
              <w:rPr>
                <w:rFonts w:asciiTheme="minorHAnsi" w:hAnsiTheme="minorHAnsi" w:cstheme="minorBidi"/>
                <w:noProof/>
                <w:kern w:val="2"/>
                <w:sz w:val="24"/>
                <w:szCs w:val="24"/>
                <w14:ligatures w14:val="standardContextual"/>
              </w:rPr>
              <w:tab/>
            </w:r>
            <w:r w:rsidRPr="000477AF">
              <w:rPr>
                <w:rStyle w:val="Hyperlink"/>
                <w:noProof/>
              </w:rPr>
              <w:t>Discussion</w:t>
            </w:r>
            <w:r>
              <w:rPr>
                <w:noProof/>
                <w:webHidden/>
              </w:rPr>
              <w:tab/>
            </w:r>
            <w:r>
              <w:rPr>
                <w:noProof/>
                <w:webHidden/>
              </w:rPr>
              <w:fldChar w:fldCharType="begin"/>
            </w:r>
            <w:r>
              <w:rPr>
                <w:noProof/>
                <w:webHidden/>
              </w:rPr>
              <w:instrText xml:space="preserve"> PAGEREF _Toc204258029 \h </w:instrText>
            </w:r>
            <w:r>
              <w:rPr>
                <w:noProof/>
                <w:webHidden/>
              </w:rPr>
            </w:r>
            <w:r>
              <w:rPr>
                <w:noProof/>
                <w:webHidden/>
              </w:rPr>
              <w:fldChar w:fldCharType="separate"/>
            </w:r>
            <w:r w:rsidR="00D62FC1">
              <w:rPr>
                <w:noProof/>
                <w:webHidden/>
              </w:rPr>
              <w:t>36</w:t>
            </w:r>
            <w:r>
              <w:rPr>
                <w:noProof/>
                <w:webHidden/>
              </w:rPr>
              <w:fldChar w:fldCharType="end"/>
            </w:r>
          </w:hyperlink>
        </w:p>
        <w:p w:rsidR="0036137E" w:rsidRDefault="0036137E" w14:paraId="509BDA9C" w14:textId="5A5C41A8">
          <w:pPr>
            <w:pStyle w:val="TOC1"/>
            <w:tabs>
              <w:tab w:val="right" w:leader="dot" w:pos="9350"/>
            </w:tabs>
            <w:rPr>
              <w:rFonts w:asciiTheme="minorHAnsi" w:hAnsiTheme="minorHAnsi" w:cstheme="minorBidi"/>
              <w:noProof/>
              <w:kern w:val="2"/>
              <w:sz w:val="24"/>
              <w:szCs w:val="24"/>
              <w14:ligatures w14:val="standardContextual"/>
            </w:rPr>
          </w:pPr>
          <w:hyperlink w:history="1" w:anchor="_Toc204258030">
            <w:r w:rsidRPr="000477AF">
              <w:rPr>
                <w:rStyle w:val="Hyperlink"/>
                <w:noProof/>
              </w:rPr>
              <w:t>7.</w:t>
            </w:r>
            <w:r>
              <w:rPr>
                <w:rFonts w:asciiTheme="minorHAnsi" w:hAnsiTheme="minorHAnsi" w:cstheme="minorBidi"/>
                <w:noProof/>
                <w:kern w:val="2"/>
                <w:sz w:val="24"/>
                <w:szCs w:val="24"/>
                <w14:ligatures w14:val="standardContextual"/>
              </w:rPr>
              <w:tab/>
            </w:r>
            <w:r w:rsidRPr="000477AF">
              <w:rPr>
                <w:rStyle w:val="Hyperlink"/>
                <w:noProof/>
              </w:rPr>
              <w:t>Risk Reporting Unit</w:t>
            </w:r>
            <w:r>
              <w:rPr>
                <w:noProof/>
                <w:webHidden/>
              </w:rPr>
              <w:tab/>
            </w:r>
            <w:r>
              <w:rPr>
                <w:noProof/>
                <w:webHidden/>
              </w:rPr>
              <w:fldChar w:fldCharType="begin"/>
            </w:r>
            <w:r>
              <w:rPr>
                <w:noProof/>
                <w:webHidden/>
              </w:rPr>
              <w:instrText xml:space="preserve"> PAGEREF _Toc204258030 \h </w:instrText>
            </w:r>
            <w:r>
              <w:rPr>
                <w:noProof/>
                <w:webHidden/>
              </w:rPr>
            </w:r>
            <w:r>
              <w:rPr>
                <w:noProof/>
                <w:webHidden/>
              </w:rPr>
              <w:fldChar w:fldCharType="separate"/>
            </w:r>
            <w:r w:rsidR="00D62FC1">
              <w:rPr>
                <w:noProof/>
                <w:webHidden/>
              </w:rPr>
              <w:t>41</w:t>
            </w:r>
            <w:r>
              <w:rPr>
                <w:noProof/>
                <w:webHidden/>
              </w:rPr>
              <w:fldChar w:fldCharType="end"/>
            </w:r>
          </w:hyperlink>
        </w:p>
        <w:p w:rsidR="0036137E" w:rsidRDefault="0036137E" w14:paraId="061E7C66" w14:textId="0D9B1C6F">
          <w:pPr>
            <w:pStyle w:val="TOC2"/>
            <w:tabs>
              <w:tab w:val="right" w:leader="dot" w:pos="9350"/>
            </w:tabs>
            <w:rPr>
              <w:rFonts w:asciiTheme="minorHAnsi" w:hAnsiTheme="minorHAnsi" w:cstheme="minorBidi"/>
              <w:noProof/>
              <w:kern w:val="2"/>
              <w:sz w:val="24"/>
              <w:szCs w:val="24"/>
              <w14:ligatures w14:val="standardContextual"/>
            </w:rPr>
          </w:pPr>
          <w:hyperlink w:history="1" w:anchor="_Toc204258031">
            <w:r w:rsidRPr="000477AF">
              <w:rPr>
                <w:rStyle w:val="Hyperlink"/>
                <w:noProof/>
              </w:rPr>
              <w:t>7.1.</w:t>
            </w:r>
            <w:r>
              <w:rPr>
                <w:rFonts w:asciiTheme="minorHAnsi" w:hAnsiTheme="minorHAnsi" w:cstheme="minorBidi"/>
                <w:noProof/>
                <w:kern w:val="2"/>
                <w:sz w:val="24"/>
                <w:szCs w:val="24"/>
                <w14:ligatures w14:val="standardContextual"/>
              </w:rPr>
              <w:tab/>
            </w:r>
            <w:r w:rsidRPr="000477AF">
              <w:rPr>
                <w:rStyle w:val="Hyperlink"/>
                <w:noProof/>
              </w:rPr>
              <w:t>SPD Staff Scoped Work Proposal</w:t>
            </w:r>
            <w:r>
              <w:rPr>
                <w:noProof/>
                <w:webHidden/>
              </w:rPr>
              <w:tab/>
            </w:r>
            <w:r>
              <w:rPr>
                <w:noProof/>
                <w:webHidden/>
              </w:rPr>
              <w:fldChar w:fldCharType="begin"/>
            </w:r>
            <w:r>
              <w:rPr>
                <w:noProof/>
                <w:webHidden/>
              </w:rPr>
              <w:instrText xml:space="preserve"> PAGEREF _Toc204258031 \h </w:instrText>
            </w:r>
            <w:r>
              <w:rPr>
                <w:noProof/>
                <w:webHidden/>
              </w:rPr>
            </w:r>
            <w:r>
              <w:rPr>
                <w:noProof/>
                <w:webHidden/>
              </w:rPr>
              <w:fldChar w:fldCharType="separate"/>
            </w:r>
            <w:r w:rsidR="00D62FC1">
              <w:rPr>
                <w:noProof/>
                <w:webHidden/>
              </w:rPr>
              <w:t>42</w:t>
            </w:r>
            <w:r>
              <w:rPr>
                <w:noProof/>
                <w:webHidden/>
              </w:rPr>
              <w:fldChar w:fldCharType="end"/>
            </w:r>
          </w:hyperlink>
        </w:p>
        <w:p w:rsidR="0036137E" w:rsidRDefault="0036137E" w14:paraId="5A9713D8" w14:textId="2531ACA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4258032">
            <w:r w:rsidRPr="000477AF">
              <w:rPr>
                <w:rStyle w:val="Hyperlink"/>
                <w:noProof/>
              </w:rPr>
              <w:t>7.1.1.</w:t>
            </w:r>
            <w:r>
              <w:rPr>
                <w:rFonts w:asciiTheme="minorHAnsi" w:hAnsiTheme="minorHAnsi" w:cstheme="minorBidi"/>
                <w:noProof/>
                <w:kern w:val="2"/>
                <w:sz w:val="24"/>
                <w:szCs w:val="24"/>
                <w14:ligatures w14:val="standardContextual"/>
              </w:rPr>
              <w:tab/>
            </w:r>
            <w:r w:rsidRPr="000477AF">
              <w:rPr>
                <w:rStyle w:val="Hyperlink"/>
                <w:noProof/>
              </w:rPr>
              <w:t>Review of Scoped Work</w:t>
            </w:r>
            <w:r>
              <w:rPr>
                <w:noProof/>
                <w:webHidden/>
              </w:rPr>
              <w:tab/>
            </w:r>
            <w:r>
              <w:rPr>
                <w:noProof/>
                <w:webHidden/>
              </w:rPr>
              <w:fldChar w:fldCharType="begin"/>
            </w:r>
            <w:r>
              <w:rPr>
                <w:noProof/>
                <w:webHidden/>
              </w:rPr>
              <w:instrText xml:space="preserve"> PAGEREF _Toc204258032 \h </w:instrText>
            </w:r>
            <w:r>
              <w:rPr>
                <w:noProof/>
                <w:webHidden/>
              </w:rPr>
            </w:r>
            <w:r>
              <w:rPr>
                <w:noProof/>
                <w:webHidden/>
              </w:rPr>
              <w:fldChar w:fldCharType="separate"/>
            </w:r>
            <w:r w:rsidR="00D62FC1">
              <w:rPr>
                <w:noProof/>
                <w:webHidden/>
              </w:rPr>
              <w:t>42</w:t>
            </w:r>
            <w:r>
              <w:rPr>
                <w:noProof/>
                <w:webHidden/>
              </w:rPr>
              <w:fldChar w:fldCharType="end"/>
            </w:r>
          </w:hyperlink>
        </w:p>
        <w:p w:rsidR="0036137E" w:rsidRDefault="0036137E" w14:paraId="70E1278C" w14:textId="3058530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4258033">
            <w:r w:rsidRPr="000477AF">
              <w:rPr>
                <w:rStyle w:val="Hyperlink"/>
                <w:noProof/>
              </w:rPr>
              <w:t>7.1.2.</w:t>
            </w:r>
            <w:r>
              <w:rPr>
                <w:rFonts w:asciiTheme="minorHAnsi" w:hAnsiTheme="minorHAnsi" w:cstheme="minorBidi"/>
                <w:noProof/>
                <w:kern w:val="2"/>
                <w:sz w:val="24"/>
                <w:szCs w:val="24"/>
                <w14:ligatures w14:val="standardContextual"/>
              </w:rPr>
              <w:tab/>
            </w:r>
            <w:r w:rsidRPr="000477AF">
              <w:rPr>
                <w:rStyle w:val="Hyperlink"/>
                <w:noProof/>
              </w:rPr>
              <w:t>SPD Staff Proposal Introduces the Risk Reporting Unit</w:t>
            </w:r>
            <w:r>
              <w:rPr>
                <w:noProof/>
                <w:webHidden/>
              </w:rPr>
              <w:tab/>
            </w:r>
            <w:r>
              <w:rPr>
                <w:noProof/>
                <w:webHidden/>
              </w:rPr>
              <w:fldChar w:fldCharType="begin"/>
            </w:r>
            <w:r>
              <w:rPr>
                <w:noProof/>
                <w:webHidden/>
              </w:rPr>
              <w:instrText xml:space="preserve"> PAGEREF _Toc204258033 \h </w:instrText>
            </w:r>
            <w:r>
              <w:rPr>
                <w:noProof/>
                <w:webHidden/>
              </w:rPr>
            </w:r>
            <w:r>
              <w:rPr>
                <w:noProof/>
                <w:webHidden/>
              </w:rPr>
              <w:fldChar w:fldCharType="separate"/>
            </w:r>
            <w:r w:rsidR="00D62FC1">
              <w:rPr>
                <w:noProof/>
                <w:webHidden/>
              </w:rPr>
              <w:t>44</w:t>
            </w:r>
            <w:r>
              <w:rPr>
                <w:noProof/>
                <w:webHidden/>
              </w:rPr>
              <w:fldChar w:fldCharType="end"/>
            </w:r>
          </w:hyperlink>
        </w:p>
        <w:p w:rsidR="0036137E" w:rsidRDefault="0036137E" w14:paraId="08B71D26" w14:textId="6B3917F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4258034">
            <w:r w:rsidRPr="000477AF">
              <w:rPr>
                <w:rStyle w:val="Hyperlink"/>
                <w:noProof/>
              </w:rPr>
              <w:t>7.1.3.</w:t>
            </w:r>
            <w:r>
              <w:rPr>
                <w:rFonts w:asciiTheme="minorHAnsi" w:hAnsiTheme="minorHAnsi" w:cstheme="minorBidi"/>
                <w:noProof/>
                <w:kern w:val="2"/>
                <w:sz w:val="24"/>
                <w:szCs w:val="24"/>
                <w14:ligatures w14:val="standardContextual"/>
              </w:rPr>
              <w:tab/>
            </w:r>
            <w:r w:rsidRPr="000477AF">
              <w:rPr>
                <w:rStyle w:val="Hyperlink"/>
                <w:noProof/>
              </w:rPr>
              <w:t>SPD Staff Recommendations on the Risk Reporting Unit</w:t>
            </w:r>
            <w:r>
              <w:rPr>
                <w:noProof/>
                <w:webHidden/>
              </w:rPr>
              <w:tab/>
            </w:r>
            <w:r>
              <w:rPr>
                <w:noProof/>
                <w:webHidden/>
              </w:rPr>
              <w:fldChar w:fldCharType="begin"/>
            </w:r>
            <w:r>
              <w:rPr>
                <w:noProof/>
                <w:webHidden/>
              </w:rPr>
              <w:instrText xml:space="preserve"> PAGEREF _Toc204258034 \h </w:instrText>
            </w:r>
            <w:r>
              <w:rPr>
                <w:noProof/>
                <w:webHidden/>
              </w:rPr>
            </w:r>
            <w:r>
              <w:rPr>
                <w:noProof/>
                <w:webHidden/>
              </w:rPr>
              <w:fldChar w:fldCharType="separate"/>
            </w:r>
            <w:r w:rsidR="00D62FC1">
              <w:rPr>
                <w:noProof/>
                <w:webHidden/>
              </w:rPr>
              <w:t>47</w:t>
            </w:r>
            <w:r>
              <w:rPr>
                <w:noProof/>
                <w:webHidden/>
              </w:rPr>
              <w:fldChar w:fldCharType="end"/>
            </w:r>
          </w:hyperlink>
        </w:p>
        <w:p w:rsidR="0036137E" w:rsidRDefault="0036137E" w14:paraId="73E5F4DF" w14:textId="6B918BD7">
          <w:pPr>
            <w:pStyle w:val="TOC2"/>
            <w:tabs>
              <w:tab w:val="right" w:leader="dot" w:pos="9350"/>
            </w:tabs>
            <w:rPr>
              <w:rFonts w:asciiTheme="minorHAnsi" w:hAnsiTheme="minorHAnsi" w:cstheme="minorBidi"/>
              <w:noProof/>
              <w:kern w:val="2"/>
              <w:sz w:val="24"/>
              <w:szCs w:val="24"/>
              <w14:ligatures w14:val="standardContextual"/>
            </w:rPr>
          </w:pPr>
          <w:hyperlink w:history="1" w:anchor="_Toc204258035">
            <w:r w:rsidRPr="000477AF">
              <w:rPr>
                <w:rStyle w:val="Hyperlink"/>
                <w:noProof/>
              </w:rPr>
              <w:t>7.2.</w:t>
            </w:r>
            <w:r>
              <w:rPr>
                <w:rFonts w:asciiTheme="minorHAnsi" w:hAnsiTheme="minorHAnsi" w:cstheme="minorBidi"/>
                <w:noProof/>
                <w:kern w:val="2"/>
                <w:sz w:val="24"/>
                <w:szCs w:val="24"/>
                <w14:ligatures w14:val="standardContextual"/>
              </w:rPr>
              <w:tab/>
            </w:r>
            <w:r w:rsidRPr="000477AF">
              <w:rPr>
                <w:rStyle w:val="Hyperlink"/>
                <w:noProof/>
              </w:rPr>
              <w:t>Joint IOU Scoped Work Proposal</w:t>
            </w:r>
            <w:r>
              <w:rPr>
                <w:noProof/>
                <w:webHidden/>
              </w:rPr>
              <w:tab/>
            </w:r>
            <w:r>
              <w:rPr>
                <w:noProof/>
                <w:webHidden/>
              </w:rPr>
              <w:fldChar w:fldCharType="begin"/>
            </w:r>
            <w:r>
              <w:rPr>
                <w:noProof/>
                <w:webHidden/>
              </w:rPr>
              <w:instrText xml:space="preserve"> PAGEREF _Toc204258035 \h </w:instrText>
            </w:r>
            <w:r>
              <w:rPr>
                <w:noProof/>
                <w:webHidden/>
              </w:rPr>
            </w:r>
            <w:r>
              <w:rPr>
                <w:noProof/>
                <w:webHidden/>
              </w:rPr>
              <w:fldChar w:fldCharType="separate"/>
            </w:r>
            <w:r w:rsidR="00D62FC1">
              <w:rPr>
                <w:noProof/>
                <w:webHidden/>
              </w:rPr>
              <w:t>52</w:t>
            </w:r>
            <w:r>
              <w:rPr>
                <w:noProof/>
                <w:webHidden/>
              </w:rPr>
              <w:fldChar w:fldCharType="end"/>
            </w:r>
          </w:hyperlink>
        </w:p>
        <w:p w:rsidR="0036137E" w:rsidRDefault="0036137E" w14:paraId="57F00672" w14:textId="600C20F6">
          <w:pPr>
            <w:pStyle w:val="TOC2"/>
            <w:tabs>
              <w:tab w:val="right" w:leader="dot" w:pos="9350"/>
            </w:tabs>
            <w:rPr>
              <w:rFonts w:asciiTheme="minorHAnsi" w:hAnsiTheme="minorHAnsi" w:cstheme="minorBidi"/>
              <w:noProof/>
              <w:kern w:val="2"/>
              <w:sz w:val="24"/>
              <w:szCs w:val="24"/>
              <w14:ligatures w14:val="standardContextual"/>
            </w:rPr>
          </w:pPr>
          <w:hyperlink w:history="1" w:anchor="_Toc204258036">
            <w:r w:rsidRPr="000477AF">
              <w:rPr>
                <w:rStyle w:val="Hyperlink"/>
                <w:noProof/>
              </w:rPr>
              <w:t>7.3.</w:t>
            </w:r>
            <w:r>
              <w:rPr>
                <w:rFonts w:asciiTheme="minorHAnsi" w:hAnsiTheme="minorHAnsi" w:cstheme="minorBidi"/>
                <w:noProof/>
                <w:kern w:val="2"/>
                <w:sz w:val="24"/>
                <w:szCs w:val="24"/>
                <w14:ligatures w14:val="standardContextual"/>
              </w:rPr>
              <w:tab/>
            </w:r>
            <w:r w:rsidRPr="000477AF">
              <w:rPr>
                <w:rStyle w:val="Hyperlink"/>
                <w:noProof/>
              </w:rPr>
              <w:t>Party Comments</w:t>
            </w:r>
            <w:r>
              <w:rPr>
                <w:noProof/>
                <w:webHidden/>
              </w:rPr>
              <w:tab/>
            </w:r>
            <w:r>
              <w:rPr>
                <w:noProof/>
                <w:webHidden/>
              </w:rPr>
              <w:fldChar w:fldCharType="begin"/>
            </w:r>
            <w:r>
              <w:rPr>
                <w:noProof/>
                <w:webHidden/>
              </w:rPr>
              <w:instrText xml:space="preserve"> PAGEREF _Toc204258036 \h </w:instrText>
            </w:r>
            <w:r>
              <w:rPr>
                <w:noProof/>
                <w:webHidden/>
              </w:rPr>
            </w:r>
            <w:r>
              <w:rPr>
                <w:noProof/>
                <w:webHidden/>
              </w:rPr>
              <w:fldChar w:fldCharType="separate"/>
            </w:r>
            <w:r w:rsidR="00D62FC1">
              <w:rPr>
                <w:noProof/>
                <w:webHidden/>
              </w:rPr>
              <w:t>54</w:t>
            </w:r>
            <w:r>
              <w:rPr>
                <w:noProof/>
                <w:webHidden/>
              </w:rPr>
              <w:fldChar w:fldCharType="end"/>
            </w:r>
          </w:hyperlink>
        </w:p>
        <w:p w:rsidR="0036137E" w:rsidRDefault="0036137E" w14:paraId="2E3431EF" w14:textId="2499E0A7">
          <w:pPr>
            <w:pStyle w:val="TOC2"/>
            <w:tabs>
              <w:tab w:val="right" w:leader="dot" w:pos="9350"/>
            </w:tabs>
            <w:rPr>
              <w:rFonts w:asciiTheme="minorHAnsi" w:hAnsiTheme="minorHAnsi" w:cstheme="minorBidi"/>
              <w:noProof/>
              <w:kern w:val="2"/>
              <w:sz w:val="24"/>
              <w:szCs w:val="24"/>
              <w14:ligatures w14:val="standardContextual"/>
            </w:rPr>
          </w:pPr>
          <w:hyperlink w:history="1" w:anchor="_Toc204258037">
            <w:r w:rsidRPr="000477AF">
              <w:rPr>
                <w:rStyle w:val="Hyperlink"/>
                <w:noProof/>
              </w:rPr>
              <w:t>7.4.</w:t>
            </w:r>
            <w:r>
              <w:rPr>
                <w:rFonts w:asciiTheme="minorHAnsi" w:hAnsiTheme="minorHAnsi" w:cstheme="minorBidi"/>
                <w:noProof/>
                <w:kern w:val="2"/>
                <w:sz w:val="24"/>
                <w:szCs w:val="24"/>
                <w14:ligatures w14:val="standardContextual"/>
              </w:rPr>
              <w:tab/>
            </w:r>
            <w:r w:rsidRPr="000477AF">
              <w:rPr>
                <w:rStyle w:val="Hyperlink"/>
                <w:noProof/>
              </w:rPr>
              <w:t>Discussion</w:t>
            </w:r>
            <w:r>
              <w:rPr>
                <w:noProof/>
                <w:webHidden/>
              </w:rPr>
              <w:tab/>
            </w:r>
            <w:r>
              <w:rPr>
                <w:noProof/>
                <w:webHidden/>
              </w:rPr>
              <w:fldChar w:fldCharType="begin"/>
            </w:r>
            <w:r>
              <w:rPr>
                <w:noProof/>
                <w:webHidden/>
              </w:rPr>
              <w:instrText xml:space="preserve"> PAGEREF _Toc204258037 \h </w:instrText>
            </w:r>
            <w:r>
              <w:rPr>
                <w:noProof/>
                <w:webHidden/>
              </w:rPr>
            </w:r>
            <w:r>
              <w:rPr>
                <w:noProof/>
                <w:webHidden/>
              </w:rPr>
              <w:fldChar w:fldCharType="separate"/>
            </w:r>
            <w:r w:rsidR="00D62FC1">
              <w:rPr>
                <w:noProof/>
                <w:webHidden/>
              </w:rPr>
              <w:t>59</w:t>
            </w:r>
            <w:r>
              <w:rPr>
                <w:noProof/>
                <w:webHidden/>
              </w:rPr>
              <w:fldChar w:fldCharType="end"/>
            </w:r>
          </w:hyperlink>
        </w:p>
        <w:p w:rsidR="0036137E" w:rsidRDefault="0036137E" w14:paraId="236C7498" w14:textId="01DB8934">
          <w:pPr>
            <w:pStyle w:val="TOC1"/>
            <w:tabs>
              <w:tab w:val="right" w:leader="dot" w:pos="9350"/>
            </w:tabs>
            <w:rPr>
              <w:rFonts w:asciiTheme="minorHAnsi" w:hAnsiTheme="minorHAnsi" w:cstheme="minorBidi"/>
              <w:noProof/>
              <w:kern w:val="2"/>
              <w:sz w:val="24"/>
              <w:szCs w:val="24"/>
              <w14:ligatures w14:val="standardContextual"/>
            </w:rPr>
          </w:pPr>
          <w:hyperlink w:history="1" w:anchor="_Toc204258038">
            <w:r w:rsidRPr="000477AF">
              <w:rPr>
                <w:rStyle w:val="Hyperlink"/>
                <w:noProof/>
              </w:rPr>
              <w:t>8.</w:t>
            </w:r>
            <w:r>
              <w:rPr>
                <w:rFonts w:asciiTheme="minorHAnsi" w:hAnsiTheme="minorHAnsi" w:cstheme="minorBidi"/>
                <w:noProof/>
                <w:kern w:val="2"/>
                <w:sz w:val="24"/>
                <w:szCs w:val="24"/>
                <w14:ligatures w14:val="standardContextual"/>
              </w:rPr>
              <w:tab/>
            </w:r>
            <w:r w:rsidRPr="000477AF">
              <w:rPr>
                <w:rStyle w:val="Hyperlink"/>
                <w:noProof/>
              </w:rPr>
              <w:t>Risk Mitigation Accountability Reporting</w:t>
            </w:r>
            <w:r>
              <w:rPr>
                <w:noProof/>
                <w:webHidden/>
              </w:rPr>
              <w:tab/>
            </w:r>
            <w:r>
              <w:rPr>
                <w:noProof/>
                <w:webHidden/>
              </w:rPr>
              <w:fldChar w:fldCharType="begin"/>
            </w:r>
            <w:r>
              <w:rPr>
                <w:noProof/>
                <w:webHidden/>
              </w:rPr>
              <w:instrText xml:space="preserve"> PAGEREF _Toc204258038 \h </w:instrText>
            </w:r>
            <w:r>
              <w:rPr>
                <w:noProof/>
                <w:webHidden/>
              </w:rPr>
            </w:r>
            <w:r>
              <w:rPr>
                <w:noProof/>
                <w:webHidden/>
              </w:rPr>
              <w:fldChar w:fldCharType="separate"/>
            </w:r>
            <w:r w:rsidR="00D62FC1">
              <w:rPr>
                <w:noProof/>
                <w:webHidden/>
              </w:rPr>
              <w:t>63</w:t>
            </w:r>
            <w:r>
              <w:rPr>
                <w:noProof/>
                <w:webHidden/>
              </w:rPr>
              <w:fldChar w:fldCharType="end"/>
            </w:r>
          </w:hyperlink>
        </w:p>
        <w:p w:rsidR="0036137E" w:rsidRDefault="0036137E" w14:paraId="12C1ABBC" w14:textId="63BA6483">
          <w:pPr>
            <w:pStyle w:val="TOC2"/>
            <w:tabs>
              <w:tab w:val="right" w:leader="dot" w:pos="9350"/>
            </w:tabs>
            <w:rPr>
              <w:rFonts w:asciiTheme="minorHAnsi" w:hAnsiTheme="minorHAnsi" w:cstheme="minorBidi"/>
              <w:noProof/>
              <w:kern w:val="2"/>
              <w:sz w:val="24"/>
              <w:szCs w:val="24"/>
              <w14:ligatures w14:val="standardContextual"/>
            </w:rPr>
          </w:pPr>
          <w:hyperlink w:history="1" w:anchor="_Toc204258039">
            <w:r w:rsidRPr="000477AF">
              <w:rPr>
                <w:rStyle w:val="Hyperlink"/>
                <w:noProof/>
              </w:rPr>
              <w:t>8.1.</w:t>
            </w:r>
            <w:r>
              <w:rPr>
                <w:rFonts w:asciiTheme="minorHAnsi" w:hAnsiTheme="minorHAnsi" w:cstheme="minorBidi"/>
                <w:noProof/>
                <w:kern w:val="2"/>
                <w:sz w:val="24"/>
                <w:szCs w:val="24"/>
                <w14:ligatures w14:val="standardContextual"/>
              </w:rPr>
              <w:tab/>
            </w:r>
            <w:r w:rsidRPr="000477AF">
              <w:rPr>
                <w:rStyle w:val="Hyperlink"/>
                <w:noProof/>
              </w:rPr>
              <w:t>Staff RMAR Proposal</w:t>
            </w:r>
            <w:r>
              <w:rPr>
                <w:noProof/>
                <w:webHidden/>
              </w:rPr>
              <w:tab/>
            </w:r>
            <w:r>
              <w:rPr>
                <w:noProof/>
                <w:webHidden/>
              </w:rPr>
              <w:fldChar w:fldCharType="begin"/>
            </w:r>
            <w:r>
              <w:rPr>
                <w:noProof/>
                <w:webHidden/>
              </w:rPr>
              <w:instrText xml:space="preserve"> PAGEREF _Toc204258039 \h </w:instrText>
            </w:r>
            <w:r>
              <w:rPr>
                <w:noProof/>
                <w:webHidden/>
              </w:rPr>
            </w:r>
            <w:r>
              <w:rPr>
                <w:noProof/>
                <w:webHidden/>
              </w:rPr>
              <w:fldChar w:fldCharType="separate"/>
            </w:r>
            <w:r w:rsidR="00D62FC1">
              <w:rPr>
                <w:noProof/>
                <w:webHidden/>
              </w:rPr>
              <w:t>65</w:t>
            </w:r>
            <w:r>
              <w:rPr>
                <w:noProof/>
                <w:webHidden/>
              </w:rPr>
              <w:fldChar w:fldCharType="end"/>
            </w:r>
          </w:hyperlink>
        </w:p>
        <w:p w:rsidR="0036137E" w:rsidRDefault="0036137E" w14:paraId="2AE60DD6" w14:textId="0802F40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4258040">
            <w:r w:rsidRPr="000477AF">
              <w:rPr>
                <w:rStyle w:val="Hyperlink"/>
                <w:noProof/>
              </w:rPr>
              <w:t>8.1.1.</w:t>
            </w:r>
            <w:r>
              <w:rPr>
                <w:rFonts w:asciiTheme="minorHAnsi" w:hAnsiTheme="minorHAnsi" w:cstheme="minorBidi"/>
                <w:noProof/>
                <w:kern w:val="2"/>
                <w:sz w:val="24"/>
                <w:szCs w:val="24"/>
                <w14:ligatures w14:val="standardContextual"/>
              </w:rPr>
              <w:tab/>
            </w:r>
            <w:r w:rsidRPr="000477AF">
              <w:rPr>
                <w:rStyle w:val="Hyperlink"/>
                <w:noProof/>
              </w:rPr>
              <w:t>Consolidated Statement of Risk and Multi-Dimensionality</w:t>
            </w:r>
            <w:r>
              <w:rPr>
                <w:noProof/>
                <w:webHidden/>
              </w:rPr>
              <w:tab/>
            </w:r>
            <w:r>
              <w:rPr>
                <w:noProof/>
                <w:webHidden/>
              </w:rPr>
              <w:fldChar w:fldCharType="begin"/>
            </w:r>
            <w:r>
              <w:rPr>
                <w:noProof/>
                <w:webHidden/>
              </w:rPr>
              <w:instrText xml:space="preserve"> PAGEREF _Toc204258040 \h </w:instrText>
            </w:r>
            <w:r>
              <w:rPr>
                <w:noProof/>
                <w:webHidden/>
              </w:rPr>
            </w:r>
            <w:r>
              <w:rPr>
                <w:noProof/>
                <w:webHidden/>
              </w:rPr>
              <w:fldChar w:fldCharType="separate"/>
            </w:r>
            <w:r w:rsidR="00D62FC1">
              <w:rPr>
                <w:noProof/>
                <w:webHidden/>
              </w:rPr>
              <w:t>65</w:t>
            </w:r>
            <w:r>
              <w:rPr>
                <w:noProof/>
                <w:webHidden/>
              </w:rPr>
              <w:fldChar w:fldCharType="end"/>
            </w:r>
          </w:hyperlink>
        </w:p>
        <w:p w:rsidR="0036137E" w:rsidRDefault="0036137E" w14:paraId="56AD899B" w14:textId="5A60EDB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4258041">
            <w:r w:rsidRPr="000477AF">
              <w:rPr>
                <w:rStyle w:val="Hyperlink"/>
                <w:noProof/>
              </w:rPr>
              <w:t>8.1.2.</w:t>
            </w:r>
            <w:r>
              <w:rPr>
                <w:rFonts w:asciiTheme="minorHAnsi" w:hAnsiTheme="minorHAnsi" w:cstheme="minorBidi"/>
                <w:noProof/>
                <w:kern w:val="2"/>
                <w:sz w:val="24"/>
                <w:szCs w:val="24"/>
                <w14:ligatures w14:val="standardContextual"/>
              </w:rPr>
              <w:tab/>
            </w:r>
            <w:r w:rsidRPr="000477AF">
              <w:rPr>
                <w:rStyle w:val="Hyperlink"/>
                <w:noProof/>
              </w:rPr>
              <w:t>The Phases of RMAR and Structure of Tables</w:t>
            </w:r>
            <w:r>
              <w:rPr>
                <w:noProof/>
                <w:webHidden/>
              </w:rPr>
              <w:tab/>
            </w:r>
            <w:r>
              <w:rPr>
                <w:noProof/>
                <w:webHidden/>
              </w:rPr>
              <w:fldChar w:fldCharType="begin"/>
            </w:r>
            <w:r>
              <w:rPr>
                <w:noProof/>
                <w:webHidden/>
              </w:rPr>
              <w:instrText xml:space="preserve"> PAGEREF _Toc204258041 \h </w:instrText>
            </w:r>
            <w:r>
              <w:rPr>
                <w:noProof/>
                <w:webHidden/>
              </w:rPr>
            </w:r>
            <w:r>
              <w:rPr>
                <w:noProof/>
                <w:webHidden/>
              </w:rPr>
              <w:fldChar w:fldCharType="separate"/>
            </w:r>
            <w:r w:rsidR="00D62FC1">
              <w:rPr>
                <w:noProof/>
                <w:webHidden/>
              </w:rPr>
              <w:t>65</w:t>
            </w:r>
            <w:r>
              <w:rPr>
                <w:noProof/>
                <w:webHidden/>
              </w:rPr>
              <w:fldChar w:fldCharType="end"/>
            </w:r>
          </w:hyperlink>
        </w:p>
        <w:p w:rsidR="0036137E" w:rsidRDefault="0036137E" w14:paraId="5A84E85B" w14:textId="771D63CF">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04258042">
            <w:r w:rsidRPr="000477AF">
              <w:rPr>
                <w:rStyle w:val="Hyperlink"/>
                <w:noProof/>
              </w:rPr>
              <w:t>8.1.2.1.</w:t>
            </w:r>
            <w:r>
              <w:rPr>
                <w:rFonts w:asciiTheme="minorHAnsi" w:hAnsiTheme="minorHAnsi" w:eastAsiaTheme="minorEastAsia"/>
                <w:noProof/>
                <w:kern w:val="2"/>
                <w:sz w:val="24"/>
                <w:szCs w:val="24"/>
                <w14:ligatures w14:val="standardContextual"/>
              </w:rPr>
              <w:tab/>
            </w:r>
            <w:r w:rsidRPr="000477AF">
              <w:rPr>
                <w:rStyle w:val="Hyperlink"/>
                <w:noProof/>
              </w:rPr>
              <w:t>Plan Phase Tables</w:t>
            </w:r>
            <w:r>
              <w:rPr>
                <w:noProof/>
                <w:webHidden/>
              </w:rPr>
              <w:tab/>
            </w:r>
            <w:r>
              <w:rPr>
                <w:noProof/>
                <w:webHidden/>
              </w:rPr>
              <w:fldChar w:fldCharType="begin"/>
            </w:r>
            <w:r>
              <w:rPr>
                <w:noProof/>
                <w:webHidden/>
              </w:rPr>
              <w:instrText xml:space="preserve"> PAGEREF _Toc204258042 \h </w:instrText>
            </w:r>
            <w:r>
              <w:rPr>
                <w:noProof/>
                <w:webHidden/>
              </w:rPr>
            </w:r>
            <w:r>
              <w:rPr>
                <w:noProof/>
                <w:webHidden/>
              </w:rPr>
              <w:fldChar w:fldCharType="separate"/>
            </w:r>
            <w:r w:rsidR="00D62FC1">
              <w:rPr>
                <w:noProof/>
                <w:webHidden/>
              </w:rPr>
              <w:t>67</w:t>
            </w:r>
            <w:r>
              <w:rPr>
                <w:noProof/>
                <w:webHidden/>
              </w:rPr>
              <w:fldChar w:fldCharType="end"/>
            </w:r>
          </w:hyperlink>
        </w:p>
        <w:p w:rsidR="0036137E" w:rsidRDefault="0036137E" w14:paraId="37D2DE39" w14:textId="70D8ABE8">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04258043">
            <w:r w:rsidRPr="000477AF">
              <w:rPr>
                <w:rStyle w:val="Hyperlink"/>
                <w:noProof/>
              </w:rPr>
              <w:t>8.1.2.2.</w:t>
            </w:r>
            <w:r>
              <w:rPr>
                <w:rFonts w:asciiTheme="minorHAnsi" w:hAnsiTheme="minorHAnsi" w:eastAsiaTheme="minorEastAsia"/>
                <w:noProof/>
                <w:kern w:val="2"/>
                <w:sz w:val="24"/>
                <w:szCs w:val="24"/>
                <w14:ligatures w14:val="standardContextual"/>
              </w:rPr>
              <w:tab/>
            </w:r>
            <w:r w:rsidRPr="000477AF">
              <w:rPr>
                <w:rStyle w:val="Hyperlink"/>
                <w:noProof/>
              </w:rPr>
              <w:t>Results Phase Tables</w:t>
            </w:r>
            <w:r>
              <w:rPr>
                <w:noProof/>
                <w:webHidden/>
              </w:rPr>
              <w:tab/>
            </w:r>
            <w:r>
              <w:rPr>
                <w:noProof/>
                <w:webHidden/>
              </w:rPr>
              <w:fldChar w:fldCharType="begin"/>
            </w:r>
            <w:r>
              <w:rPr>
                <w:noProof/>
                <w:webHidden/>
              </w:rPr>
              <w:instrText xml:space="preserve"> PAGEREF _Toc204258043 \h </w:instrText>
            </w:r>
            <w:r>
              <w:rPr>
                <w:noProof/>
                <w:webHidden/>
              </w:rPr>
            </w:r>
            <w:r>
              <w:rPr>
                <w:noProof/>
                <w:webHidden/>
              </w:rPr>
              <w:fldChar w:fldCharType="separate"/>
            </w:r>
            <w:r w:rsidR="00D62FC1">
              <w:rPr>
                <w:noProof/>
                <w:webHidden/>
              </w:rPr>
              <w:t>67</w:t>
            </w:r>
            <w:r>
              <w:rPr>
                <w:noProof/>
                <w:webHidden/>
              </w:rPr>
              <w:fldChar w:fldCharType="end"/>
            </w:r>
          </w:hyperlink>
        </w:p>
        <w:p w:rsidR="0036137E" w:rsidRDefault="0036137E" w14:paraId="2FA41184" w14:textId="7F817EF2">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04258044">
            <w:r w:rsidRPr="000477AF">
              <w:rPr>
                <w:rStyle w:val="Hyperlink"/>
                <w:noProof/>
              </w:rPr>
              <w:t>8.1.2.2.1.</w:t>
            </w:r>
            <w:r>
              <w:rPr>
                <w:rFonts w:asciiTheme="minorHAnsi" w:hAnsiTheme="minorHAnsi" w:eastAsiaTheme="minorEastAsia"/>
                <w:noProof/>
                <w:kern w:val="2"/>
                <w:sz w:val="24"/>
                <w:szCs w:val="24"/>
                <w14:ligatures w14:val="standardContextual"/>
              </w:rPr>
              <w:tab/>
            </w:r>
            <w:r w:rsidRPr="000477AF">
              <w:rPr>
                <w:rStyle w:val="Hyperlink"/>
                <w:noProof/>
              </w:rPr>
              <w:t>Outcomes Table</w:t>
            </w:r>
            <w:r>
              <w:rPr>
                <w:noProof/>
                <w:webHidden/>
              </w:rPr>
              <w:tab/>
            </w:r>
            <w:r>
              <w:rPr>
                <w:noProof/>
                <w:webHidden/>
              </w:rPr>
              <w:fldChar w:fldCharType="begin"/>
            </w:r>
            <w:r>
              <w:rPr>
                <w:noProof/>
                <w:webHidden/>
              </w:rPr>
              <w:instrText xml:space="preserve"> PAGEREF _Toc204258044 \h </w:instrText>
            </w:r>
            <w:r>
              <w:rPr>
                <w:noProof/>
                <w:webHidden/>
              </w:rPr>
            </w:r>
            <w:r>
              <w:rPr>
                <w:noProof/>
                <w:webHidden/>
              </w:rPr>
              <w:fldChar w:fldCharType="separate"/>
            </w:r>
            <w:r w:rsidR="00D62FC1">
              <w:rPr>
                <w:noProof/>
                <w:webHidden/>
              </w:rPr>
              <w:t>68</w:t>
            </w:r>
            <w:r>
              <w:rPr>
                <w:noProof/>
                <w:webHidden/>
              </w:rPr>
              <w:fldChar w:fldCharType="end"/>
            </w:r>
          </w:hyperlink>
        </w:p>
        <w:p w:rsidR="0036137E" w:rsidRDefault="0036137E" w14:paraId="4440C281" w14:textId="27CA260D">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04258045">
            <w:r w:rsidRPr="000477AF">
              <w:rPr>
                <w:rStyle w:val="Hyperlink"/>
                <w:noProof/>
              </w:rPr>
              <w:t>8.1.2.2.2.</w:t>
            </w:r>
            <w:r>
              <w:rPr>
                <w:rFonts w:asciiTheme="minorHAnsi" w:hAnsiTheme="minorHAnsi" w:eastAsiaTheme="minorEastAsia"/>
                <w:noProof/>
                <w:kern w:val="2"/>
                <w:sz w:val="24"/>
                <w:szCs w:val="24"/>
                <w14:ligatures w14:val="standardContextual"/>
              </w:rPr>
              <w:tab/>
            </w:r>
            <w:r w:rsidRPr="000477AF">
              <w:rPr>
                <w:rStyle w:val="Hyperlink"/>
                <w:noProof/>
              </w:rPr>
              <w:t>Mitigation Benefits and Costs</w:t>
            </w:r>
            <w:r>
              <w:rPr>
                <w:noProof/>
                <w:webHidden/>
              </w:rPr>
              <w:tab/>
            </w:r>
            <w:r>
              <w:rPr>
                <w:noProof/>
                <w:webHidden/>
              </w:rPr>
              <w:fldChar w:fldCharType="begin"/>
            </w:r>
            <w:r>
              <w:rPr>
                <w:noProof/>
                <w:webHidden/>
              </w:rPr>
              <w:instrText xml:space="preserve"> PAGEREF _Toc204258045 \h </w:instrText>
            </w:r>
            <w:r>
              <w:rPr>
                <w:noProof/>
                <w:webHidden/>
              </w:rPr>
            </w:r>
            <w:r>
              <w:rPr>
                <w:noProof/>
                <w:webHidden/>
              </w:rPr>
              <w:fldChar w:fldCharType="separate"/>
            </w:r>
            <w:r w:rsidR="00D62FC1">
              <w:rPr>
                <w:noProof/>
                <w:webHidden/>
              </w:rPr>
              <w:t>68</w:t>
            </w:r>
            <w:r>
              <w:rPr>
                <w:noProof/>
                <w:webHidden/>
              </w:rPr>
              <w:fldChar w:fldCharType="end"/>
            </w:r>
          </w:hyperlink>
        </w:p>
        <w:p w:rsidR="0036137E" w:rsidRDefault="0036137E" w14:paraId="0372A8A2" w14:textId="733842C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4258046">
            <w:r w:rsidRPr="000477AF">
              <w:rPr>
                <w:rStyle w:val="Hyperlink"/>
                <w:noProof/>
              </w:rPr>
              <w:t>8.1.3.</w:t>
            </w:r>
            <w:r>
              <w:rPr>
                <w:rFonts w:asciiTheme="minorHAnsi" w:hAnsiTheme="minorHAnsi" w:cstheme="minorBidi"/>
                <w:noProof/>
                <w:kern w:val="2"/>
                <w:sz w:val="24"/>
                <w:szCs w:val="24"/>
                <w14:ligatures w14:val="standardContextual"/>
              </w:rPr>
              <w:tab/>
            </w:r>
            <w:r w:rsidRPr="000477AF">
              <w:rPr>
                <w:rStyle w:val="Hyperlink"/>
                <w:noProof/>
              </w:rPr>
              <w:t>Version and Change Control within an RMAR</w:t>
            </w:r>
            <w:r>
              <w:rPr>
                <w:noProof/>
                <w:webHidden/>
              </w:rPr>
              <w:tab/>
            </w:r>
            <w:r>
              <w:rPr>
                <w:noProof/>
                <w:webHidden/>
              </w:rPr>
              <w:fldChar w:fldCharType="begin"/>
            </w:r>
            <w:r>
              <w:rPr>
                <w:noProof/>
                <w:webHidden/>
              </w:rPr>
              <w:instrText xml:space="preserve"> PAGEREF _Toc204258046 \h </w:instrText>
            </w:r>
            <w:r>
              <w:rPr>
                <w:noProof/>
                <w:webHidden/>
              </w:rPr>
            </w:r>
            <w:r>
              <w:rPr>
                <w:noProof/>
                <w:webHidden/>
              </w:rPr>
              <w:fldChar w:fldCharType="separate"/>
            </w:r>
            <w:r w:rsidR="00D62FC1">
              <w:rPr>
                <w:noProof/>
                <w:webHidden/>
              </w:rPr>
              <w:t>69</w:t>
            </w:r>
            <w:r>
              <w:rPr>
                <w:noProof/>
                <w:webHidden/>
              </w:rPr>
              <w:fldChar w:fldCharType="end"/>
            </w:r>
          </w:hyperlink>
        </w:p>
        <w:p w:rsidR="0036137E" w:rsidRDefault="0036137E" w14:paraId="60BBF331" w14:textId="2B3F234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4258047">
            <w:r w:rsidRPr="000477AF">
              <w:rPr>
                <w:rStyle w:val="Hyperlink"/>
                <w:noProof/>
              </w:rPr>
              <w:t>8.1.4.</w:t>
            </w:r>
            <w:r>
              <w:rPr>
                <w:rFonts w:asciiTheme="minorHAnsi" w:hAnsiTheme="minorHAnsi" w:cstheme="minorBidi"/>
                <w:noProof/>
                <w:kern w:val="2"/>
                <w:sz w:val="24"/>
                <w:szCs w:val="24"/>
                <w14:ligatures w14:val="standardContextual"/>
              </w:rPr>
              <w:tab/>
            </w:r>
            <w:r w:rsidRPr="000477AF">
              <w:rPr>
                <w:rStyle w:val="Hyperlink"/>
                <w:noProof/>
              </w:rPr>
              <w:t>Validating and Evaluating Mitigation Impact</w:t>
            </w:r>
            <w:r>
              <w:rPr>
                <w:noProof/>
                <w:webHidden/>
              </w:rPr>
              <w:tab/>
            </w:r>
            <w:r>
              <w:rPr>
                <w:noProof/>
                <w:webHidden/>
              </w:rPr>
              <w:fldChar w:fldCharType="begin"/>
            </w:r>
            <w:r>
              <w:rPr>
                <w:noProof/>
                <w:webHidden/>
              </w:rPr>
              <w:instrText xml:space="preserve"> PAGEREF _Toc204258047 \h </w:instrText>
            </w:r>
            <w:r>
              <w:rPr>
                <w:noProof/>
                <w:webHidden/>
              </w:rPr>
            </w:r>
            <w:r>
              <w:rPr>
                <w:noProof/>
                <w:webHidden/>
              </w:rPr>
              <w:fldChar w:fldCharType="separate"/>
            </w:r>
            <w:r w:rsidR="00D62FC1">
              <w:rPr>
                <w:noProof/>
                <w:webHidden/>
              </w:rPr>
              <w:t>71</w:t>
            </w:r>
            <w:r>
              <w:rPr>
                <w:noProof/>
                <w:webHidden/>
              </w:rPr>
              <w:fldChar w:fldCharType="end"/>
            </w:r>
          </w:hyperlink>
        </w:p>
        <w:p w:rsidR="0036137E" w:rsidRDefault="0036137E" w14:paraId="256D7C50" w14:textId="10D7A217">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04258048">
            <w:r w:rsidRPr="000477AF">
              <w:rPr>
                <w:rStyle w:val="Hyperlink"/>
                <w:noProof/>
              </w:rPr>
              <w:t>8.1.4.1.</w:t>
            </w:r>
            <w:r>
              <w:rPr>
                <w:rFonts w:asciiTheme="minorHAnsi" w:hAnsiTheme="minorHAnsi" w:eastAsiaTheme="minorEastAsia"/>
                <w:noProof/>
                <w:kern w:val="2"/>
                <w:sz w:val="24"/>
                <w:szCs w:val="24"/>
                <w14:ligatures w14:val="standardContextual"/>
              </w:rPr>
              <w:tab/>
            </w:r>
            <w:r w:rsidRPr="000477AF">
              <w:rPr>
                <w:rStyle w:val="Hyperlink"/>
                <w:noProof/>
              </w:rPr>
              <w:t>Evaluating Real Mitigation Impact</w:t>
            </w:r>
            <w:r>
              <w:rPr>
                <w:noProof/>
                <w:webHidden/>
              </w:rPr>
              <w:tab/>
            </w:r>
            <w:r>
              <w:rPr>
                <w:noProof/>
                <w:webHidden/>
              </w:rPr>
              <w:fldChar w:fldCharType="begin"/>
            </w:r>
            <w:r>
              <w:rPr>
                <w:noProof/>
                <w:webHidden/>
              </w:rPr>
              <w:instrText xml:space="preserve"> PAGEREF _Toc204258048 \h </w:instrText>
            </w:r>
            <w:r>
              <w:rPr>
                <w:noProof/>
                <w:webHidden/>
              </w:rPr>
            </w:r>
            <w:r>
              <w:rPr>
                <w:noProof/>
                <w:webHidden/>
              </w:rPr>
              <w:fldChar w:fldCharType="separate"/>
            </w:r>
            <w:r w:rsidR="00D62FC1">
              <w:rPr>
                <w:noProof/>
                <w:webHidden/>
              </w:rPr>
              <w:t>72</w:t>
            </w:r>
            <w:r>
              <w:rPr>
                <w:noProof/>
                <w:webHidden/>
              </w:rPr>
              <w:fldChar w:fldCharType="end"/>
            </w:r>
          </w:hyperlink>
        </w:p>
        <w:p w:rsidR="0036137E" w:rsidRDefault="0036137E" w14:paraId="7446D6E9" w14:textId="34F0473E">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04258049">
            <w:r w:rsidRPr="000477AF">
              <w:rPr>
                <w:rStyle w:val="Hyperlink"/>
                <w:noProof/>
              </w:rPr>
              <w:t>8.1.4.2.</w:t>
            </w:r>
            <w:r>
              <w:rPr>
                <w:rFonts w:asciiTheme="minorHAnsi" w:hAnsiTheme="minorHAnsi" w:eastAsiaTheme="minorEastAsia"/>
                <w:noProof/>
                <w:kern w:val="2"/>
                <w:sz w:val="24"/>
                <w:szCs w:val="24"/>
                <w14:ligatures w14:val="standardContextual"/>
              </w:rPr>
              <w:tab/>
            </w:r>
            <w:r w:rsidRPr="000477AF">
              <w:rPr>
                <w:rStyle w:val="Hyperlink"/>
                <w:noProof/>
              </w:rPr>
              <w:t>Sensitivity Analysis</w:t>
            </w:r>
            <w:r>
              <w:rPr>
                <w:noProof/>
                <w:webHidden/>
              </w:rPr>
              <w:tab/>
            </w:r>
            <w:r>
              <w:rPr>
                <w:noProof/>
                <w:webHidden/>
              </w:rPr>
              <w:fldChar w:fldCharType="begin"/>
            </w:r>
            <w:r>
              <w:rPr>
                <w:noProof/>
                <w:webHidden/>
              </w:rPr>
              <w:instrText xml:space="preserve"> PAGEREF _Toc204258049 \h </w:instrText>
            </w:r>
            <w:r>
              <w:rPr>
                <w:noProof/>
                <w:webHidden/>
              </w:rPr>
            </w:r>
            <w:r>
              <w:rPr>
                <w:noProof/>
                <w:webHidden/>
              </w:rPr>
              <w:fldChar w:fldCharType="separate"/>
            </w:r>
            <w:r w:rsidR="00D62FC1">
              <w:rPr>
                <w:noProof/>
                <w:webHidden/>
              </w:rPr>
              <w:t>72</w:t>
            </w:r>
            <w:r>
              <w:rPr>
                <w:noProof/>
                <w:webHidden/>
              </w:rPr>
              <w:fldChar w:fldCharType="end"/>
            </w:r>
          </w:hyperlink>
        </w:p>
        <w:p w:rsidR="0036137E" w:rsidRDefault="0036137E" w14:paraId="5CAF9E48" w14:textId="0CEC299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4258050">
            <w:r w:rsidRPr="000477AF">
              <w:rPr>
                <w:rStyle w:val="Hyperlink"/>
                <w:noProof/>
              </w:rPr>
              <w:t>8.1.5.</w:t>
            </w:r>
            <w:r>
              <w:rPr>
                <w:rFonts w:asciiTheme="minorHAnsi" w:hAnsiTheme="minorHAnsi" w:cstheme="minorBidi"/>
                <w:noProof/>
                <w:kern w:val="2"/>
                <w:sz w:val="24"/>
                <w:szCs w:val="24"/>
                <w14:ligatures w14:val="standardContextual"/>
              </w:rPr>
              <w:tab/>
            </w:r>
            <w:r w:rsidRPr="000477AF">
              <w:rPr>
                <w:rStyle w:val="Hyperlink"/>
                <w:noProof/>
              </w:rPr>
              <w:t>SPD Staff Recommendations on RMAR</w:t>
            </w:r>
            <w:r>
              <w:rPr>
                <w:noProof/>
                <w:webHidden/>
              </w:rPr>
              <w:tab/>
            </w:r>
            <w:r>
              <w:rPr>
                <w:noProof/>
                <w:webHidden/>
              </w:rPr>
              <w:fldChar w:fldCharType="begin"/>
            </w:r>
            <w:r>
              <w:rPr>
                <w:noProof/>
                <w:webHidden/>
              </w:rPr>
              <w:instrText xml:space="preserve"> PAGEREF _Toc204258050 \h </w:instrText>
            </w:r>
            <w:r>
              <w:rPr>
                <w:noProof/>
                <w:webHidden/>
              </w:rPr>
            </w:r>
            <w:r>
              <w:rPr>
                <w:noProof/>
                <w:webHidden/>
              </w:rPr>
              <w:fldChar w:fldCharType="separate"/>
            </w:r>
            <w:r w:rsidR="00D62FC1">
              <w:rPr>
                <w:noProof/>
                <w:webHidden/>
              </w:rPr>
              <w:t>72</w:t>
            </w:r>
            <w:r>
              <w:rPr>
                <w:noProof/>
                <w:webHidden/>
              </w:rPr>
              <w:fldChar w:fldCharType="end"/>
            </w:r>
          </w:hyperlink>
        </w:p>
        <w:p w:rsidR="0036137E" w:rsidRDefault="0036137E" w14:paraId="585810E3" w14:textId="0B8FEC93">
          <w:pPr>
            <w:pStyle w:val="TOC2"/>
            <w:tabs>
              <w:tab w:val="right" w:leader="dot" w:pos="9350"/>
            </w:tabs>
            <w:rPr>
              <w:rFonts w:asciiTheme="minorHAnsi" w:hAnsiTheme="minorHAnsi" w:cstheme="minorBidi"/>
              <w:noProof/>
              <w:kern w:val="2"/>
              <w:sz w:val="24"/>
              <w:szCs w:val="24"/>
              <w14:ligatures w14:val="standardContextual"/>
            </w:rPr>
          </w:pPr>
          <w:hyperlink w:history="1" w:anchor="_Toc204258051">
            <w:r w:rsidRPr="000477AF">
              <w:rPr>
                <w:rStyle w:val="Hyperlink"/>
                <w:noProof/>
              </w:rPr>
              <w:t>8.2.</w:t>
            </w:r>
            <w:r>
              <w:rPr>
                <w:rFonts w:asciiTheme="minorHAnsi" w:hAnsiTheme="minorHAnsi" w:cstheme="minorBidi"/>
                <w:noProof/>
                <w:kern w:val="2"/>
                <w:sz w:val="24"/>
                <w:szCs w:val="24"/>
                <w14:ligatures w14:val="standardContextual"/>
              </w:rPr>
              <w:tab/>
            </w:r>
            <w:r w:rsidRPr="000477AF">
              <w:rPr>
                <w:rStyle w:val="Hyperlink"/>
                <w:noProof/>
              </w:rPr>
              <w:t>Party Comments</w:t>
            </w:r>
            <w:r>
              <w:rPr>
                <w:noProof/>
                <w:webHidden/>
              </w:rPr>
              <w:tab/>
            </w:r>
            <w:r>
              <w:rPr>
                <w:noProof/>
                <w:webHidden/>
              </w:rPr>
              <w:fldChar w:fldCharType="begin"/>
            </w:r>
            <w:r>
              <w:rPr>
                <w:noProof/>
                <w:webHidden/>
              </w:rPr>
              <w:instrText xml:space="preserve"> PAGEREF _Toc204258051 \h </w:instrText>
            </w:r>
            <w:r>
              <w:rPr>
                <w:noProof/>
                <w:webHidden/>
              </w:rPr>
            </w:r>
            <w:r>
              <w:rPr>
                <w:noProof/>
                <w:webHidden/>
              </w:rPr>
              <w:fldChar w:fldCharType="separate"/>
            </w:r>
            <w:r w:rsidR="00D62FC1">
              <w:rPr>
                <w:noProof/>
                <w:webHidden/>
              </w:rPr>
              <w:t>75</w:t>
            </w:r>
            <w:r>
              <w:rPr>
                <w:noProof/>
                <w:webHidden/>
              </w:rPr>
              <w:fldChar w:fldCharType="end"/>
            </w:r>
          </w:hyperlink>
        </w:p>
        <w:p w:rsidR="0036137E" w:rsidRDefault="0036137E" w14:paraId="458CC169" w14:textId="4B3B3336">
          <w:pPr>
            <w:pStyle w:val="TOC2"/>
            <w:tabs>
              <w:tab w:val="right" w:leader="dot" w:pos="9350"/>
            </w:tabs>
            <w:rPr>
              <w:rFonts w:asciiTheme="minorHAnsi" w:hAnsiTheme="minorHAnsi" w:cstheme="minorBidi"/>
              <w:noProof/>
              <w:kern w:val="2"/>
              <w:sz w:val="24"/>
              <w:szCs w:val="24"/>
              <w14:ligatures w14:val="standardContextual"/>
            </w:rPr>
          </w:pPr>
          <w:hyperlink w:history="1" w:anchor="_Toc204258052">
            <w:r w:rsidRPr="000477AF">
              <w:rPr>
                <w:rStyle w:val="Hyperlink"/>
                <w:noProof/>
              </w:rPr>
              <w:t>8.3.</w:t>
            </w:r>
            <w:r>
              <w:rPr>
                <w:rFonts w:asciiTheme="minorHAnsi" w:hAnsiTheme="minorHAnsi" w:cstheme="minorBidi"/>
                <w:noProof/>
                <w:kern w:val="2"/>
                <w:sz w:val="24"/>
                <w:szCs w:val="24"/>
                <w14:ligatures w14:val="standardContextual"/>
              </w:rPr>
              <w:tab/>
            </w:r>
            <w:r w:rsidRPr="000477AF">
              <w:rPr>
                <w:rStyle w:val="Hyperlink"/>
                <w:noProof/>
              </w:rPr>
              <w:t>Discussion</w:t>
            </w:r>
            <w:r>
              <w:rPr>
                <w:noProof/>
                <w:webHidden/>
              </w:rPr>
              <w:tab/>
            </w:r>
            <w:r>
              <w:rPr>
                <w:noProof/>
                <w:webHidden/>
              </w:rPr>
              <w:fldChar w:fldCharType="begin"/>
            </w:r>
            <w:r>
              <w:rPr>
                <w:noProof/>
                <w:webHidden/>
              </w:rPr>
              <w:instrText xml:space="preserve"> PAGEREF _Toc204258052 \h </w:instrText>
            </w:r>
            <w:r>
              <w:rPr>
                <w:noProof/>
                <w:webHidden/>
              </w:rPr>
            </w:r>
            <w:r>
              <w:rPr>
                <w:noProof/>
                <w:webHidden/>
              </w:rPr>
              <w:fldChar w:fldCharType="separate"/>
            </w:r>
            <w:r w:rsidR="00D62FC1">
              <w:rPr>
                <w:noProof/>
                <w:webHidden/>
              </w:rPr>
              <w:t>85</w:t>
            </w:r>
            <w:r>
              <w:rPr>
                <w:noProof/>
                <w:webHidden/>
              </w:rPr>
              <w:fldChar w:fldCharType="end"/>
            </w:r>
          </w:hyperlink>
        </w:p>
        <w:p w:rsidR="0036137E" w:rsidRDefault="0036137E" w14:paraId="43E4B708" w14:textId="683FFEB6">
          <w:pPr>
            <w:pStyle w:val="TOC1"/>
            <w:tabs>
              <w:tab w:val="right" w:leader="dot" w:pos="9350"/>
            </w:tabs>
            <w:rPr>
              <w:rFonts w:asciiTheme="minorHAnsi" w:hAnsiTheme="minorHAnsi" w:cstheme="minorBidi"/>
              <w:noProof/>
              <w:kern w:val="2"/>
              <w:sz w:val="24"/>
              <w:szCs w:val="24"/>
              <w14:ligatures w14:val="standardContextual"/>
            </w:rPr>
          </w:pPr>
          <w:hyperlink w:history="1" w:anchor="_Toc204258053">
            <w:r w:rsidRPr="000477AF">
              <w:rPr>
                <w:rStyle w:val="Hyperlink"/>
                <w:noProof/>
              </w:rPr>
              <w:t>9.</w:t>
            </w:r>
            <w:r>
              <w:rPr>
                <w:rFonts w:asciiTheme="minorHAnsi" w:hAnsiTheme="minorHAnsi" w:cstheme="minorBidi"/>
                <w:noProof/>
                <w:kern w:val="2"/>
                <w:sz w:val="24"/>
                <w:szCs w:val="24"/>
                <w14:ligatures w14:val="standardContextual"/>
              </w:rPr>
              <w:tab/>
            </w:r>
            <w:r w:rsidRPr="000477AF">
              <w:rPr>
                <w:rStyle w:val="Hyperlink"/>
                <w:noProof/>
              </w:rPr>
              <w:t>Key Term Refinements</w:t>
            </w:r>
            <w:r>
              <w:rPr>
                <w:noProof/>
                <w:webHidden/>
              </w:rPr>
              <w:tab/>
            </w:r>
            <w:r>
              <w:rPr>
                <w:noProof/>
                <w:webHidden/>
              </w:rPr>
              <w:fldChar w:fldCharType="begin"/>
            </w:r>
            <w:r>
              <w:rPr>
                <w:noProof/>
                <w:webHidden/>
              </w:rPr>
              <w:instrText xml:space="preserve"> PAGEREF _Toc204258053 \h </w:instrText>
            </w:r>
            <w:r>
              <w:rPr>
                <w:noProof/>
                <w:webHidden/>
              </w:rPr>
            </w:r>
            <w:r>
              <w:rPr>
                <w:noProof/>
                <w:webHidden/>
              </w:rPr>
              <w:fldChar w:fldCharType="separate"/>
            </w:r>
            <w:r w:rsidR="00D62FC1">
              <w:rPr>
                <w:noProof/>
                <w:webHidden/>
              </w:rPr>
              <w:t>91</w:t>
            </w:r>
            <w:r>
              <w:rPr>
                <w:noProof/>
                <w:webHidden/>
              </w:rPr>
              <w:fldChar w:fldCharType="end"/>
            </w:r>
          </w:hyperlink>
        </w:p>
        <w:p w:rsidR="0036137E" w:rsidRDefault="0036137E" w14:paraId="384E783C" w14:textId="3D1E43A2">
          <w:pPr>
            <w:pStyle w:val="TOC1"/>
            <w:tabs>
              <w:tab w:val="right" w:leader="dot" w:pos="9350"/>
            </w:tabs>
            <w:rPr>
              <w:rFonts w:asciiTheme="minorHAnsi" w:hAnsiTheme="minorHAnsi" w:cstheme="minorBidi"/>
              <w:noProof/>
              <w:kern w:val="2"/>
              <w:sz w:val="24"/>
              <w:szCs w:val="24"/>
              <w14:ligatures w14:val="standardContextual"/>
            </w:rPr>
          </w:pPr>
          <w:hyperlink w:history="1" w:anchor="_Toc204258054">
            <w:r w:rsidRPr="000477AF">
              <w:rPr>
                <w:rStyle w:val="Hyperlink"/>
                <w:noProof/>
              </w:rPr>
              <w:t>10.</w:t>
            </w:r>
            <w:r>
              <w:rPr>
                <w:rFonts w:asciiTheme="minorHAnsi" w:hAnsiTheme="minorHAnsi" w:cstheme="minorBidi"/>
                <w:noProof/>
                <w:kern w:val="2"/>
                <w:sz w:val="24"/>
                <w:szCs w:val="24"/>
                <w14:ligatures w14:val="standardContextual"/>
              </w:rPr>
              <w:tab/>
            </w:r>
            <w:r w:rsidRPr="000477AF">
              <w:rPr>
                <w:rStyle w:val="Hyperlink"/>
                <w:noProof/>
              </w:rPr>
              <w:t>RAMP Data Templates</w:t>
            </w:r>
            <w:r>
              <w:rPr>
                <w:noProof/>
                <w:webHidden/>
              </w:rPr>
              <w:tab/>
            </w:r>
            <w:r>
              <w:rPr>
                <w:noProof/>
                <w:webHidden/>
              </w:rPr>
              <w:fldChar w:fldCharType="begin"/>
            </w:r>
            <w:r>
              <w:rPr>
                <w:noProof/>
                <w:webHidden/>
              </w:rPr>
              <w:instrText xml:space="preserve"> PAGEREF _Toc204258054 \h </w:instrText>
            </w:r>
            <w:r>
              <w:rPr>
                <w:noProof/>
                <w:webHidden/>
              </w:rPr>
            </w:r>
            <w:r>
              <w:rPr>
                <w:noProof/>
                <w:webHidden/>
              </w:rPr>
              <w:fldChar w:fldCharType="separate"/>
            </w:r>
            <w:r w:rsidR="00D62FC1">
              <w:rPr>
                <w:noProof/>
                <w:webHidden/>
              </w:rPr>
              <w:t>92</w:t>
            </w:r>
            <w:r>
              <w:rPr>
                <w:noProof/>
                <w:webHidden/>
              </w:rPr>
              <w:fldChar w:fldCharType="end"/>
            </w:r>
          </w:hyperlink>
        </w:p>
        <w:p w:rsidR="0036137E" w:rsidRDefault="0036137E" w14:paraId="356776D4" w14:textId="5721160A">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04258055">
            <w:r w:rsidRPr="000477AF">
              <w:rPr>
                <w:rStyle w:val="Hyperlink"/>
                <w:noProof/>
              </w:rPr>
              <w:t>10.1.</w:t>
            </w:r>
            <w:r>
              <w:rPr>
                <w:rFonts w:asciiTheme="minorHAnsi" w:hAnsiTheme="minorHAnsi" w:cstheme="minorBidi"/>
                <w:noProof/>
                <w:kern w:val="2"/>
                <w:sz w:val="24"/>
                <w:szCs w:val="24"/>
                <w14:ligatures w14:val="standardContextual"/>
              </w:rPr>
              <w:tab/>
            </w:r>
            <w:r w:rsidRPr="000477AF">
              <w:rPr>
                <w:rStyle w:val="Hyperlink"/>
                <w:noProof/>
              </w:rPr>
              <w:t>Review of Party Data Templates</w:t>
            </w:r>
            <w:r>
              <w:rPr>
                <w:noProof/>
                <w:webHidden/>
              </w:rPr>
              <w:tab/>
            </w:r>
            <w:r>
              <w:rPr>
                <w:noProof/>
                <w:webHidden/>
              </w:rPr>
              <w:fldChar w:fldCharType="begin"/>
            </w:r>
            <w:r>
              <w:rPr>
                <w:noProof/>
                <w:webHidden/>
              </w:rPr>
              <w:instrText xml:space="preserve"> PAGEREF _Toc204258055 \h </w:instrText>
            </w:r>
            <w:r>
              <w:rPr>
                <w:noProof/>
                <w:webHidden/>
              </w:rPr>
            </w:r>
            <w:r>
              <w:rPr>
                <w:noProof/>
                <w:webHidden/>
              </w:rPr>
              <w:fldChar w:fldCharType="separate"/>
            </w:r>
            <w:r w:rsidR="00D62FC1">
              <w:rPr>
                <w:noProof/>
                <w:webHidden/>
              </w:rPr>
              <w:t>94</w:t>
            </w:r>
            <w:r>
              <w:rPr>
                <w:noProof/>
                <w:webHidden/>
              </w:rPr>
              <w:fldChar w:fldCharType="end"/>
            </w:r>
          </w:hyperlink>
        </w:p>
        <w:p w:rsidR="0036137E" w:rsidRDefault="0036137E" w14:paraId="5D468578" w14:textId="7495D550">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04258056">
            <w:r w:rsidRPr="000477AF">
              <w:rPr>
                <w:rStyle w:val="Hyperlink"/>
                <w:noProof/>
              </w:rPr>
              <w:t>10.1.1.</w:t>
            </w:r>
            <w:r>
              <w:rPr>
                <w:rFonts w:asciiTheme="minorHAnsi" w:hAnsiTheme="minorHAnsi" w:cstheme="minorBidi"/>
                <w:noProof/>
                <w:kern w:val="2"/>
                <w:sz w:val="24"/>
                <w:szCs w:val="24"/>
                <w14:ligatures w14:val="standardContextual"/>
              </w:rPr>
              <w:tab/>
            </w:r>
            <w:r w:rsidRPr="000477AF">
              <w:rPr>
                <w:rStyle w:val="Hyperlink"/>
                <w:noProof/>
              </w:rPr>
              <w:t>SPD Data Template</w:t>
            </w:r>
            <w:r>
              <w:rPr>
                <w:noProof/>
                <w:webHidden/>
              </w:rPr>
              <w:tab/>
            </w:r>
            <w:r>
              <w:rPr>
                <w:noProof/>
                <w:webHidden/>
              </w:rPr>
              <w:fldChar w:fldCharType="begin"/>
            </w:r>
            <w:r>
              <w:rPr>
                <w:noProof/>
                <w:webHidden/>
              </w:rPr>
              <w:instrText xml:space="preserve"> PAGEREF _Toc204258056 \h </w:instrText>
            </w:r>
            <w:r>
              <w:rPr>
                <w:noProof/>
                <w:webHidden/>
              </w:rPr>
            </w:r>
            <w:r>
              <w:rPr>
                <w:noProof/>
                <w:webHidden/>
              </w:rPr>
              <w:fldChar w:fldCharType="separate"/>
            </w:r>
            <w:r w:rsidR="00D62FC1">
              <w:rPr>
                <w:noProof/>
                <w:webHidden/>
              </w:rPr>
              <w:t>94</w:t>
            </w:r>
            <w:r>
              <w:rPr>
                <w:noProof/>
                <w:webHidden/>
              </w:rPr>
              <w:fldChar w:fldCharType="end"/>
            </w:r>
          </w:hyperlink>
        </w:p>
        <w:p w:rsidR="0036137E" w:rsidRDefault="0036137E" w14:paraId="757B405B" w14:textId="20C4F29C">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04258057">
            <w:r w:rsidRPr="000477AF">
              <w:rPr>
                <w:rStyle w:val="Hyperlink"/>
                <w:noProof/>
              </w:rPr>
              <w:t>10.1.2.</w:t>
            </w:r>
            <w:r>
              <w:rPr>
                <w:rFonts w:asciiTheme="minorHAnsi" w:hAnsiTheme="minorHAnsi" w:cstheme="minorBidi"/>
                <w:noProof/>
                <w:kern w:val="2"/>
                <w:sz w:val="24"/>
                <w:szCs w:val="24"/>
                <w14:ligatures w14:val="standardContextual"/>
              </w:rPr>
              <w:tab/>
            </w:r>
            <w:r w:rsidRPr="000477AF">
              <w:rPr>
                <w:rStyle w:val="Hyperlink"/>
                <w:noProof/>
              </w:rPr>
              <w:t>Cal Advocates Data Template</w:t>
            </w:r>
            <w:r>
              <w:rPr>
                <w:noProof/>
                <w:webHidden/>
              </w:rPr>
              <w:tab/>
            </w:r>
            <w:r>
              <w:rPr>
                <w:noProof/>
                <w:webHidden/>
              </w:rPr>
              <w:fldChar w:fldCharType="begin"/>
            </w:r>
            <w:r>
              <w:rPr>
                <w:noProof/>
                <w:webHidden/>
              </w:rPr>
              <w:instrText xml:space="preserve"> PAGEREF _Toc204258057 \h </w:instrText>
            </w:r>
            <w:r>
              <w:rPr>
                <w:noProof/>
                <w:webHidden/>
              </w:rPr>
            </w:r>
            <w:r>
              <w:rPr>
                <w:noProof/>
                <w:webHidden/>
              </w:rPr>
              <w:fldChar w:fldCharType="separate"/>
            </w:r>
            <w:r w:rsidR="00D62FC1">
              <w:rPr>
                <w:noProof/>
                <w:webHidden/>
              </w:rPr>
              <w:t>97</w:t>
            </w:r>
            <w:r>
              <w:rPr>
                <w:noProof/>
                <w:webHidden/>
              </w:rPr>
              <w:fldChar w:fldCharType="end"/>
            </w:r>
          </w:hyperlink>
        </w:p>
        <w:p w:rsidR="0036137E" w:rsidRDefault="0036137E" w14:paraId="1460D541" w14:textId="44C36B49">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04258058">
            <w:r w:rsidRPr="000477AF">
              <w:rPr>
                <w:rStyle w:val="Hyperlink"/>
                <w:noProof/>
              </w:rPr>
              <w:t>10.1.3.</w:t>
            </w:r>
            <w:r>
              <w:rPr>
                <w:rFonts w:asciiTheme="minorHAnsi" w:hAnsiTheme="minorHAnsi" w:cstheme="minorBidi"/>
                <w:noProof/>
                <w:kern w:val="2"/>
                <w:sz w:val="24"/>
                <w:szCs w:val="24"/>
                <w14:ligatures w14:val="standardContextual"/>
              </w:rPr>
              <w:tab/>
            </w:r>
            <w:r w:rsidRPr="000477AF">
              <w:rPr>
                <w:rStyle w:val="Hyperlink"/>
                <w:noProof/>
              </w:rPr>
              <w:t>PG&amp;E Data Template</w:t>
            </w:r>
            <w:r>
              <w:rPr>
                <w:noProof/>
                <w:webHidden/>
              </w:rPr>
              <w:tab/>
            </w:r>
            <w:r>
              <w:rPr>
                <w:noProof/>
                <w:webHidden/>
              </w:rPr>
              <w:fldChar w:fldCharType="begin"/>
            </w:r>
            <w:r>
              <w:rPr>
                <w:noProof/>
                <w:webHidden/>
              </w:rPr>
              <w:instrText xml:space="preserve"> PAGEREF _Toc204258058 \h </w:instrText>
            </w:r>
            <w:r>
              <w:rPr>
                <w:noProof/>
                <w:webHidden/>
              </w:rPr>
            </w:r>
            <w:r>
              <w:rPr>
                <w:noProof/>
                <w:webHidden/>
              </w:rPr>
              <w:fldChar w:fldCharType="separate"/>
            </w:r>
            <w:r w:rsidR="00D62FC1">
              <w:rPr>
                <w:noProof/>
                <w:webHidden/>
              </w:rPr>
              <w:t>97</w:t>
            </w:r>
            <w:r>
              <w:rPr>
                <w:noProof/>
                <w:webHidden/>
              </w:rPr>
              <w:fldChar w:fldCharType="end"/>
            </w:r>
          </w:hyperlink>
        </w:p>
        <w:p w:rsidR="0036137E" w:rsidRDefault="0036137E" w14:paraId="61E1CB32" w14:textId="693EC22C">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04258059">
            <w:r w:rsidRPr="000477AF">
              <w:rPr>
                <w:rStyle w:val="Hyperlink"/>
                <w:noProof/>
              </w:rPr>
              <w:t>10.1.4.</w:t>
            </w:r>
            <w:r>
              <w:rPr>
                <w:rFonts w:asciiTheme="minorHAnsi" w:hAnsiTheme="minorHAnsi" w:cstheme="minorBidi"/>
                <w:noProof/>
                <w:kern w:val="2"/>
                <w:sz w:val="24"/>
                <w:szCs w:val="24"/>
                <w14:ligatures w14:val="standardContextual"/>
              </w:rPr>
              <w:tab/>
            </w:r>
            <w:r w:rsidRPr="000477AF">
              <w:rPr>
                <w:rStyle w:val="Hyperlink"/>
                <w:noProof/>
              </w:rPr>
              <w:t>SCE Data Template</w:t>
            </w:r>
            <w:r>
              <w:rPr>
                <w:noProof/>
                <w:webHidden/>
              </w:rPr>
              <w:tab/>
            </w:r>
            <w:r>
              <w:rPr>
                <w:noProof/>
                <w:webHidden/>
              </w:rPr>
              <w:fldChar w:fldCharType="begin"/>
            </w:r>
            <w:r>
              <w:rPr>
                <w:noProof/>
                <w:webHidden/>
              </w:rPr>
              <w:instrText xml:space="preserve"> PAGEREF _Toc204258059 \h </w:instrText>
            </w:r>
            <w:r>
              <w:rPr>
                <w:noProof/>
                <w:webHidden/>
              </w:rPr>
            </w:r>
            <w:r>
              <w:rPr>
                <w:noProof/>
                <w:webHidden/>
              </w:rPr>
              <w:fldChar w:fldCharType="separate"/>
            </w:r>
            <w:r w:rsidR="00D62FC1">
              <w:rPr>
                <w:noProof/>
                <w:webHidden/>
              </w:rPr>
              <w:t>98</w:t>
            </w:r>
            <w:r>
              <w:rPr>
                <w:noProof/>
                <w:webHidden/>
              </w:rPr>
              <w:fldChar w:fldCharType="end"/>
            </w:r>
          </w:hyperlink>
        </w:p>
        <w:p w:rsidR="0036137E" w:rsidRDefault="0036137E" w14:paraId="2E3D19ED" w14:textId="19827BCB">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04258060">
            <w:r w:rsidRPr="000477AF">
              <w:rPr>
                <w:rStyle w:val="Hyperlink"/>
                <w:noProof/>
              </w:rPr>
              <w:t>10.1.5.</w:t>
            </w:r>
            <w:r>
              <w:rPr>
                <w:rFonts w:asciiTheme="minorHAnsi" w:hAnsiTheme="minorHAnsi" w:cstheme="minorBidi"/>
                <w:noProof/>
                <w:kern w:val="2"/>
                <w:sz w:val="24"/>
                <w:szCs w:val="24"/>
                <w14:ligatures w14:val="standardContextual"/>
              </w:rPr>
              <w:tab/>
            </w:r>
            <w:r w:rsidRPr="000477AF">
              <w:rPr>
                <w:rStyle w:val="Hyperlink"/>
                <w:noProof/>
              </w:rPr>
              <w:t>Sempra Companies Data Template</w:t>
            </w:r>
            <w:r>
              <w:rPr>
                <w:noProof/>
                <w:webHidden/>
              </w:rPr>
              <w:tab/>
            </w:r>
            <w:r>
              <w:rPr>
                <w:noProof/>
                <w:webHidden/>
              </w:rPr>
              <w:fldChar w:fldCharType="begin"/>
            </w:r>
            <w:r>
              <w:rPr>
                <w:noProof/>
                <w:webHidden/>
              </w:rPr>
              <w:instrText xml:space="preserve"> PAGEREF _Toc204258060 \h </w:instrText>
            </w:r>
            <w:r>
              <w:rPr>
                <w:noProof/>
                <w:webHidden/>
              </w:rPr>
            </w:r>
            <w:r>
              <w:rPr>
                <w:noProof/>
                <w:webHidden/>
              </w:rPr>
              <w:fldChar w:fldCharType="separate"/>
            </w:r>
            <w:r w:rsidR="00D62FC1">
              <w:rPr>
                <w:noProof/>
                <w:webHidden/>
              </w:rPr>
              <w:t>98</w:t>
            </w:r>
            <w:r>
              <w:rPr>
                <w:noProof/>
                <w:webHidden/>
              </w:rPr>
              <w:fldChar w:fldCharType="end"/>
            </w:r>
          </w:hyperlink>
        </w:p>
        <w:p w:rsidR="0036137E" w:rsidRDefault="0036137E" w14:paraId="79186DFD" w14:textId="726BAE6B">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04258061">
            <w:r w:rsidRPr="000477AF">
              <w:rPr>
                <w:rStyle w:val="Hyperlink"/>
                <w:noProof/>
              </w:rPr>
              <w:t>10.2.</w:t>
            </w:r>
            <w:r>
              <w:rPr>
                <w:rFonts w:asciiTheme="minorHAnsi" w:hAnsiTheme="minorHAnsi" w:cstheme="minorBidi"/>
                <w:noProof/>
                <w:kern w:val="2"/>
                <w:sz w:val="24"/>
                <w:szCs w:val="24"/>
                <w14:ligatures w14:val="standardContextual"/>
              </w:rPr>
              <w:tab/>
            </w:r>
            <w:r w:rsidRPr="000477AF">
              <w:rPr>
                <w:rStyle w:val="Hyperlink"/>
                <w:noProof/>
              </w:rPr>
              <w:t>Party Comments</w:t>
            </w:r>
            <w:r>
              <w:rPr>
                <w:noProof/>
                <w:webHidden/>
              </w:rPr>
              <w:tab/>
            </w:r>
            <w:r>
              <w:rPr>
                <w:noProof/>
                <w:webHidden/>
              </w:rPr>
              <w:fldChar w:fldCharType="begin"/>
            </w:r>
            <w:r>
              <w:rPr>
                <w:noProof/>
                <w:webHidden/>
              </w:rPr>
              <w:instrText xml:space="preserve"> PAGEREF _Toc204258061 \h </w:instrText>
            </w:r>
            <w:r>
              <w:rPr>
                <w:noProof/>
                <w:webHidden/>
              </w:rPr>
            </w:r>
            <w:r>
              <w:rPr>
                <w:noProof/>
                <w:webHidden/>
              </w:rPr>
              <w:fldChar w:fldCharType="separate"/>
            </w:r>
            <w:r w:rsidR="00D62FC1">
              <w:rPr>
                <w:noProof/>
                <w:webHidden/>
              </w:rPr>
              <w:t>100</w:t>
            </w:r>
            <w:r>
              <w:rPr>
                <w:noProof/>
                <w:webHidden/>
              </w:rPr>
              <w:fldChar w:fldCharType="end"/>
            </w:r>
          </w:hyperlink>
        </w:p>
        <w:p w:rsidR="0036137E" w:rsidRDefault="0036137E" w14:paraId="39407B65" w14:textId="279DC242">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04258062">
            <w:r w:rsidRPr="000477AF">
              <w:rPr>
                <w:rStyle w:val="Hyperlink"/>
                <w:noProof/>
              </w:rPr>
              <w:t>10.3.</w:t>
            </w:r>
            <w:r>
              <w:rPr>
                <w:rFonts w:asciiTheme="minorHAnsi" w:hAnsiTheme="minorHAnsi" w:cstheme="minorBidi"/>
                <w:noProof/>
                <w:kern w:val="2"/>
                <w:sz w:val="24"/>
                <w:szCs w:val="24"/>
                <w14:ligatures w14:val="standardContextual"/>
              </w:rPr>
              <w:tab/>
            </w:r>
            <w:r w:rsidRPr="000477AF">
              <w:rPr>
                <w:rStyle w:val="Hyperlink"/>
                <w:noProof/>
              </w:rPr>
              <w:t>Discussion</w:t>
            </w:r>
            <w:r>
              <w:rPr>
                <w:noProof/>
                <w:webHidden/>
              </w:rPr>
              <w:tab/>
            </w:r>
            <w:r>
              <w:rPr>
                <w:noProof/>
                <w:webHidden/>
              </w:rPr>
              <w:fldChar w:fldCharType="begin"/>
            </w:r>
            <w:r>
              <w:rPr>
                <w:noProof/>
                <w:webHidden/>
              </w:rPr>
              <w:instrText xml:space="preserve"> PAGEREF _Toc204258062 \h </w:instrText>
            </w:r>
            <w:r>
              <w:rPr>
                <w:noProof/>
                <w:webHidden/>
              </w:rPr>
            </w:r>
            <w:r>
              <w:rPr>
                <w:noProof/>
                <w:webHidden/>
              </w:rPr>
              <w:fldChar w:fldCharType="separate"/>
            </w:r>
            <w:r w:rsidR="00D62FC1">
              <w:rPr>
                <w:noProof/>
                <w:webHidden/>
              </w:rPr>
              <w:t>107</w:t>
            </w:r>
            <w:r>
              <w:rPr>
                <w:noProof/>
                <w:webHidden/>
              </w:rPr>
              <w:fldChar w:fldCharType="end"/>
            </w:r>
          </w:hyperlink>
        </w:p>
        <w:p w:rsidR="0036137E" w:rsidRDefault="0036137E" w14:paraId="79CAAE86" w14:textId="7E4DDD00">
          <w:pPr>
            <w:pStyle w:val="TOC1"/>
            <w:tabs>
              <w:tab w:val="right" w:leader="dot" w:pos="9350"/>
            </w:tabs>
            <w:rPr>
              <w:rFonts w:asciiTheme="minorHAnsi" w:hAnsiTheme="minorHAnsi" w:cstheme="minorBidi"/>
              <w:noProof/>
              <w:kern w:val="2"/>
              <w:sz w:val="24"/>
              <w:szCs w:val="24"/>
              <w14:ligatures w14:val="standardContextual"/>
            </w:rPr>
          </w:pPr>
          <w:hyperlink w:history="1" w:anchor="_Toc204258063">
            <w:r w:rsidRPr="000477AF">
              <w:rPr>
                <w:rStyle w:val="Hyperlink"/>
                <w:noProof/>
              </w:rPr>
              <w:t>11.</w:t>
            </w:r>
            <w:r>
              <w:rPr>
                <w:rFonts w:asciiTheme="minorHAnsi" w:hAnsiTheme="minorHAnsi" w:cstheme="minorBidi"/>
                <w:noProof/>
                <w:kern w:val="2"/>
                <w:sz w:val="24"/>
                <w:szCs w:val="24"/>
                <w14:ligatures w14:val="standardContextual"/>
              </w:rPr>
              <w:tab/>
            </w:r>
            <w:r w:rsidRPr="000477AF">
              <w:rPr>
                <w:rStyle w:val="Hyperlink"/>
                <w:noProof/>
              </w:rPr>
              <w:t>Summary of Public Comment</w:t>
            </w:r>
            <w:r>
              <w:rPr>
                <w:noProof/>
                <w:webHidden/>
              </w:rPr>
              <w:tab/>
            </w:r>
            <w:r>
              <w:rPr>
                <w:noProof/>
                <w:webHidden/>
              </w:rPr>
              <w:fldChar w:fldCharType="begin"/>
            </w:r>
            <w:r>
              <w:rPr>
                <w:noProof/>
                <w:webHidden/>
              </w:rPr>
              <w:instrText xml:space="preserve"> PAGEREF _Toc204258063 \h </w:instrText>
            </w:r>
            <w:r>
              <w:rPr>
                <w:noProof/>
                <w:webHidden/>
              </w:rPr>
            </w:r>
            <w:r>
              <w:rPr>
                <w:noProof/>
                <w:webHidden/>
              </w:rPr>
              <w:fldChar w:fldCharType="separate"/>
            </w:r>
            <w:r w:rsidR="00D62FC1">
              <w:rPr>
                <w:noProof/>
                <w:webHidden/>
              </w:rPr>
              <w:t>111</w:t>
            </w:r>
            <w:r>
              <w:rPr>
                <w:noProof/>
                <w:webHidden/>
              </w:rPr>
              <w:fldChar w:fldCharType="end"/>
            </w:r>
          </w:hyperlink>
        </w:p>
        <w:p w:rsidR="0036137E" w:rsidRDefault="0036137E" w14:paraId="6F964CE7" w14:textId="3F204B21">
          <w:pPr>
            <w:pStyle w:val="TOC1"/>
            <w:tabs>
              <w:tab w:val="right" w:leader="dot" w:pos="9350"/>
            </w:tabs>
            <w:rPr>
              <w:rFonts w:asciiTheme="minorHAnsi" w:hAnsiTheme="minorHAnsi" w:cstheme="minorBidi"/>
              <w:noProof/>
              <w:kern w:val="2"/>
              <w:sz w:val="24"/>
              <w:szCs w:val="24"/>
              <w14:ligatures w14:val="standardContextual"/>
            </w:rPr>
          </w:pPr>
          <w:hyperlink w:history="1" w:anchor="_Toc204258064">
            <w:r w:rsidRPr="000477AF">
              <w:rPr>
                <w:rStyle w:val="Hyperlink"/>
                <w:noProof/>
              </w:rPr>
              <w:t>12.</w:t>
            </w:r>
            <w:r>
              <w:rPr>
                <w:rFonts w:asciiTheme="minorHAnsi" w:hAnsiTheme="minorHAnsi" w:cstheme="minorBidi"/>
                <w:noProof/>
                <w:kern w:val="2"/>
                <w:sz w:val="24"/>
                <w:szCs w:val="24"/>
                <w14:ligatures w14:val="standardContextual"/>
              </w:rPr>
              <w:tab/>
            </w:r>
            <w:r w:rsidRPr="000477AF">
              <w:rPr>
                <w:rStyle w:val="Hyperlink"/>
                <w:noProof/>
              </w:rPr>
              <w:t>Conclusion</w:t>
            </w:r>
            <w:r>
              <w:rPr>
                <w:noProof/>
                <w:webHidden/>
              </w:rPr>
              <w:tab/>
            </w:r>
            <w:r>
              <w:rPr>
                <w:noProof/>
                <w:webHidden/>
              </w:rPr>
              <w:fldChar w:fldCharType="begin"/>
            </w:r>
            <w:r>
              <w:rPr>
                <w:noProof/>
                <w:webHidden/>
              </w:rPr>
              <w:instrText xml:space="preserve"> PAGEREF _Toc204258064 \h </w:instrText>
            </w:r>
            <w:r>
              <w:rPr>
                <w:noProof/>
                <w:webHidden/>
              </w:rPr>
            </w:r>
            <w:r>
              <w:rPr>
                <w:noProof/>
                <w:webHidden/>
              </w:rPr>
              <w:fldChar w:fldCharType="separate"/>
            </w:r>
            <w:r w:rsidR="00D62FC1">
              <w:rPr>
                <w:noProof/>
                <w:webHidden/>
              </w:rPr>
              <w:t>112</w:t>
            </w:r>
            <w:r>
              <w:rPr>
                <w:noProof/>
                <w:webHidden/>
              </w:rPr>
              <w:fldChar w:fldCharType="end"/>
            </w:r>
          </w:hyperlink>
        </w:p>
        <w:p w:rsidR="0036137E" w:rsidRDefault="0036137E" w14:paraId="74112E6E" w14:textId="726A6F11">
          <w:pPr>
            <w:pStyle w:val="TOC1"/>
            <w:tabs>
              <w:tab w:val="right" w:leader="dot" w:pos="9350"/>
            </w:tabs>
            <w:rPr>
              <w:rFonts w:asciiTheme="minorHAnsi" w:hAnsiTheme="minorHAnsi" w:cstheme="minorBidi"/>
              <w:noProof/>
              <w:kern w:val="2"/>
              <w:sz w:val="24"/>
              <w:szCs w:val="24"/>
              <w14:ligatures w14:val="standardContextual"/>
            </w:rPr>
          </w:pPr>
          <w:hyperlink w:history="1" w:anchor="_Toc204258065">
            <w:r w:rsidRPr="000477AF">
              <w:rPr>
                <w:rStyle w:val="Hyperlink"/>
                <w:noProof/>
              </w:rPr>
              <w:t>13.</w:t>
            </w:r>
            <w:r>
              <w:rPr>
                <w:rFonts w:asciiTheme="minorHAnsi" w:hAnsiTheme="minorHAnsi" w:cstheme="minorBidi"/>
                <w:noProof/>
                <w:kern w:val="2"/>
                <w:sz w:val="24"/>
                <w:szCs w:val="24"/>
                <w14:ligatures w14:val="standardContextual"/>
              </w:rPr>
              <w:tab/>
            </w:r>
            <w:r w:rsidRPr="000477AF">
              <w:rPr>
                <w:rStyle w:val="Hyperlink"/>
                <w:noProof/>
              </w:rPr>
              <w:t>Procedural Matters</w:t>
            </w:r>
            <w:r>
              <w:rPr>
                <w:noProof/>
                <w:webHidden/>
              </w:rPr>
              <w:tab/>
            </w:r>
            <w:r>
              <w:rPr>
                <w:noProof/>
                <w:webHidden/>
              </w:rPr>
              <w:fldChar w:fldCharType="begin"/>
            </w:r>
            <w:r>
              <w:rPr>
                <w:noProof/>
                <w:webHidden/>
              </w:rPr>
              <w:instrText xml:space="preserve"> PAGEREF _Toc204258065 \h </w:instrText>
            </w:r>
            <w:r>
              <w:rPr>
                <w:noProof/>
                <w:webHidden/>
              </w:rPr>
            </w:r>
            <w:r>
              <w:rPr>
                <w:noProof/>
                <w:webHidden/>
              </w:rPr>
              <w:fldChar w:fldCharType="separate"/>
            </w:r>
            <w:r w:rsidR="00D62FC1">
              <w:rPr>
                <w:noProof/>
                <w:webHidden/>
              </w:rPr>
              <w:t>112</w:t>
            </w:r>
            <w:r>
              <w:rPr>
                <w:noProof/>
                <w:webHidden/>
              </w:rPr>
              <w:fldChar w:fldCharType="end"/>
            </w:r>
          </w:hyperlink>
        </w:p>
        <w:p w:rsidR="0036137E" w:rsidRDefault="0036137E" w14:paraId="522F1D2F" w14:textId="6CAFC743">
          <w:pPr>
            <w:pStyle w:val="TOC1"/>
            <w:tabs>
              <w:tab w:val="right" w:leader="dot" w:pos="9350"/>
            </w:tabs>
            <w:rPr>
              <w:rFonts w:asciiTheme="minorHAnsi" w:hAnsiTheme="minorHAnsi" w:cstheme="minorBidi"/>
              <w:noProof/>
              <w:kern w:val="2"/>
              <w:sz w:val="24"/>
              <w:szCs w:val="24"/>
              <w14:ligatures w14:val="standardContextual"/>
            </w:rPr>
          </w:pPr>
          <w:hyperlink w:history="1" w:anchor="_Toc204258066">
            <w:r w:rsidRPr="000477AF">
              <w:rPr>
                <w:rStyle w:val="Hyperlink"/>
                <w:noProof/>
              </w:rPr>
              <w:t>14.</w:t>
            </w:r>
            <w:r>
              <w:rPr>
                <w:rFonts w:asciiTheme="minorHAnsi" w:hAnsiTheme="minorHAnsi" w:cstheme="minorBidi"/>
                <w:noProof/>
                <w:kern w:val="2"/>
                <w:sz w:val="24"/>
                <w:szCs w:val="24"/>
                <w14:ligatures w14:val="standardContextual"/>
              </w:rPr>
              <w:tab/>
            </w:r>
            <w:r w:rsidRPr="000477AF">
              <w:rPr>
                <w:rStyle w:val="Hyperlink"/>
                <w:noProof/>
              </w:rPr>
              <w:t>Comments on Proposed Decision</w:t>
            </w:r>
            <w:r>
              <w:rPr>
                <w:noProof/>
                <w:webHidden/>
              </w:rPr>
              <w:tab/>
            </w:r>
            <w:r>
              <w:rPr>
                <w:noProof/>
                <w:webHidden/>
              </w:rPr>
              <w:fldChar w:fldCharType="begin"/>
            </w:r>
            <w:r>
              <w:rPr>
                <w:noProof/>
                <w:webHidden/>
              </w:rPr>
              <w:instrText xml:space="preserve"> PAGEREF _Toc204258066 \h </w:instrText>
            </w:r>
            <w:r>
              <w:rPr>
                <w:noProof/>
                <w:webHidden/>
              </w:rPr>
            </w:r>
            <w:r>
              <w:rPr>
                <w:noProof/>
                <w:webHidden/>
              </w:rPr>
              <w:fldChar w:fldCharType="separate"/>
            </w:r>
            <w:r w:rsidR="00D62FC1">
              <w:rPr>
                <w:noProof/>
                <w:webHidden/>
              </w:rPr>
              <w:t>112</w:t>
            </w:r>
            <w:r>
              <w:rPr>
                <w:noProof/>
                <w:webHidden/>
              </w:rPr>
              <w:fldChar w:fldCharType="end"/>
            </w:r>
          </w:hyperlink>
        </w:p>
        <w:p w:rsidR="0036137E" w:rsidRDefault="0036137E" w14:paraId="747F6B37" w14:textId="7948FFB9">
          <w:pPr>
            <w:pStyle w:val="TOC1"/>
            <w:tabs>
              <w:tab w:val="right" w:leader="dot" w:pos="9350"/>
            </w:tabs>
            <w:rPr>
              <w:rFonts w:asciiTheme="minorHAnsi" w:hAnsiTheme="minorHAnsi" w:cstheme="minorBidi"/>
              <w:noProof/>
              <w:kern w:val="2"/>
              <w:sz w:val="24"/>
              <w:szCs w:val="24"/>
              <w14:ligatures w14:val="standardContextual"/>
            </w:rPr>
          </w:pPr>
          <w:hyperlink w:history="1" w:anchor="_Toc204258067">
            <w:r w:rsidRPr="000477AF">
              <w:rPr>
                <w:rStyle w:val="Hyperlink"/>
                <w:noProof/>
              </w:rPr>
              <w:t>15.</w:t>
            </w:r>
            <w:r>
              <w:rPr>
                <w:rFonts w:asciiTheme="minorHAnsi" w:hAnsiTheme="minorHAnsi" w:cstheme="minorBidi"/>
                <w:noProof/>
                <w:kern w:val="2"/>
                <w:sz w:val="24"/>
                <w:szCs w:val="24"/>
                <w14:ligatures w14:val="standardContextual"/>
              </w:rPr>
              <w:tab/>
            </w:r>
            <w:r w:rsidRPr="000477AF">
              <w:rPr>
                <w:rStyle w:val="Hyperlink"/>
                <w:noProof/>
              </w:rPr>
              <w:t>Assignment of Proceeding</w:t>
            </w:r>
            <w:r>
              <w:rPr>
                <w:noProof/>
                <w:webHidden/>
              </w:rPr>
              <w:tab/>
            </w:r>
            <w:r>
              <w:rPr>
                <w:noProof/>
                <w:webHidden/>
              </w:rPr>
              <w:fldChar w:fldCharType="begin"/>
            </w:r>
            <w:r>
              <w:rPr>
                <w:noProof/>
                <w:webHidden/>
              </w:rPr>
              <w:instrText xml:space="preserve"> PAGEREF _Toc204258067 \h </w:instrText>
            </w:r>
            <w:r>
              <w:rPr>
                <w:noProof/>
                <w:webHidden/>
              </w:rPr>
            </w:r>
            <w:r>
              <w:rPr>
                <w:noProof/>
                <w:webHidden/>
              </w:rPr>
              <w:fldChar w:fldCharType="separate"/>
            </w:r>
            <w:r w:rsidR="00D62FC1">
              <w:rPr>
                <w:noProof/>
                <w:webHidden/>
              </w:rPr>
              <w:t>112</w:t>
            </w:r>
            <w:r>
              <w:rPr>
                <w:noProof/>
                <w:webHidden/>
              </w:rPr>
              <w:fldChar w:fldCharType="end"/>
            </w:r>
          </w:hyperlink>
        </w:p>
        <w:p w:rsidR="0036137E" w:rsidRDefault="0036137E" w14:paraId="57410056" w14:textId="4D9D35B5">
          <w:pPr>
            <w:pStyle w:val="TOC1"/>
            <w:tabs>
              <w:tab w:val="right" w:leader="dot" w:pos="9350"/>
            </w:tabs>
            <w:rPr>
              <w:rFonts w:asciiTheme="minorHAnsi" w:hAnsiTheme="minorHAnsi" w:cstheme="minorBidi"/>
              <w:noProof/>
              <w:kern w:val="2"/>
              <w:sz w:val="24"/>
              <w:szCs w:val="24"/>
              <w14:ligatures w14:val="standardContextual"/>
            </w:rPr>
          </w:pPr>
          <w:hyperlink w:history="1" w:anchor="_Toc204258068">
            <w:r w:rsidRPr="000477AF">
              <w:rPr>
                <w:rStyle w:val="Hyperlink"/>
                <w:noProof/>
              </w:rPr>
              <w:t>Findings of Fact</w:t>
            </w:r>
            <w:r>
              <w:rPr>
                <w:noProof/>
                <w:webHidden/>
              </w:rPr>
              <w:tab/>
            </w:r>
            <w:r>
              <w:rPr>
                <w:noProof/>
                <w:webHidden/>
              </w:rPr>
              <w:fldChar w:fldCharType="begin"/>
            </w:r>
            <w:r>
              <w:rPr>
                <w:noProof/>
                <w:webHidden/>
              </w:rPr>
              <w:instrText xml:space="preserve"> PAGEREF _Toc204258068 \h </w:instrText>
            </w:r>
            <w:r>
              <w:rPr>
                <w:noProof/>
                <w:webHidden/>
              </w:rPr>
            </w:r>
            <w:r>
              <w:rPr>
                <w:noProof/>
                <w:webHidden/>
              </w:rPr>
              <w:fldChar w:fldCharType="separate"/>
            </w:r>
            <w:r w:rsidR="00D62FC1">
              <w:rPr>
                <w:noProof/>
                <w:webHidden/>
              </w:rPr>
              <w:t>113</w:t>
            </w:r>
            <w:r>
              <w:rPr>
                <w:noProof/>
                <w:webHidden/>
              </w:rPr>
              <w:fldChar w:fldCharType="end"/>
            </w:r>
          </w:hyperlink>
        </w:p>
        <w:p w:rsidR="0036137E" w:rsidRDefault="0036137E" w14:paraId="73B6B7AF" w14:textId="2EE720A5">
          <w:pPr>
            <w:pStyle w:val="TOC1"/>
            <w:tabs>
              <w:tab w:val="right" w:leader="dot" w:pos="9350"/>
            </w:tabs>
            <w:rPr>
              <w:rFonts w:asciiTheme="minorHAnsi" w:hAnsiTheme="minorHAnsi" w:cstheme="minorBidi"/>
              <w:noProof/>
              <w:kern w:val="2"/>
              <w:sz w:val="24"/>
              <w:szCs w:val="24"/>
              <w14:ligatures w14:val="standardContextual"/>
            </w:rPr>
          </w:pPr>
          <w:hyperlink w:history="1" w:anchor="_Toc204258069">
            <w:r w:rsidRPr="000477AF">
              <w:rPr>
                <w:rStyle w:val="Hyperlink"/>
                <w:noProof/>
              </w:rPr>
              <w:t>Conclusions of Law</w:t>
            </w:r>
            <w:r>
              <w:rPr>
                <w:noProof/>
                <w:webHidden/>
              </w:rPr>
              <w:tab/>
            </w:r>
            <w:r>
              <w:rPr>
                <w:noProof/>
                <w:webHidden/>
              </w:rPr>
              <w:fldChar w:fldCharType="begin"/>
            </w:r>
            <w:r>
              <w:rPr>
                <w:noProof/>
                <w:webHidden/>
              </w:rPr>
              <w:instrText xml:space="preserve"> PAGEREF _Toc204258069 \h </w:instrText>
            </w:r>
            <w:r>
              <w:rPr>
                <w:noProof/>
                <w:webHidden/>
              </w:rPr>
            </w:r>
            <w:r>
              <w:rPr>
                <w:noProof/>
                <w:webHidden/>
              </w:rPr>
              <w:fldChar w:fldCharType="separate"/>
            </w:r>
            <w:r w:rsidR="00D62FC1">
              <w:rPr>
                <w:noProof/>
                <w:webHidden/>
              </w:rPr>
              <w:t>113</w:t>
            </w:r>
            <w:r>
              <w:rPr>
                <w:noProof/>
                <w:webHidden/>
              </w:rPr>
              <w:fldChar w:fldCharType="end"/>
            </w:r>
          </w:hyperlink>
        </w:p>
        <w:p w:rsidR="0036137E" w:rsidRDefault="0036137E" w14:paraId="43B1A99D" w14:textId="76779B1C">
          <w:pPr>
            <w:pStyle w:val="TOC1"/>
            <w:tabs>
              <w:tab w:val="right" w:leader="dot" w:pos="9350"/>
            </w:tabs>
            <w:rPr>
              <w:rFonts w:asciiTheme="minorHAnsi" w:hAnsiTheme="minorHAnsi" w:cstheme="minorBidi"/>
              <w:noProof/>
              <w:kern w:val="2"/>
              <w:sz w:val="24"/>
              <w:szCs w:val="24"/>
              <w14:ligatures w14:val="standardContextual"/>
            </w:rPr>
          </w:pPr>
          <w:hyperlink w:history="1" w:anchor="_Toc204258070">
            <w:r w:rsidRPr="000477AF">
              <w:rPr>
                <w:rStyle w:val="Hyperlink"/>
                <w:noProof/>
              </w:rPr>
              <w:t>ORDER</w:t>
            </w:r>
            <w:r>
              <w:rPr>
                <w:noProof/>
                <w:webHidden/>
              </w:rPr>
              <w:tab/>
            </w:r>
            <w:r>
              <w:rPr>
                <w:noProof/>
                <w:webHidden/>
              </w:rPr>
              <w:fldChar w:fldCharType="begin"/>
            </w:r>
            <w:r>
              <w:rPr>
                <w:noProof/>
                <w:webHidden/>
              </w:rPr>
              <w:instrText xml:space="preserve"> PAGEREF _Toc204258070 \h </w:instrText>
            </w:r>
            <w:r>
              <w:rPr>
                <w:noProof/>
                <w:webHidden/>
              </w:rPr>
            </w:r>
            <w:r>
              <w:rPr>
                <w:noProof/>
                <w:webHidden/>
              </w:rPr>
              <w:fldChar w:fldCharType="separate"/>
            </w:r>
            <w:r w:rsidR="00D62FC1">
              <w:rPr>
                <w:noProof/>
                <w:webHidden/>
              </w:rPr>
              <w:t>118</w:t>
            </w:r>
            <w:r>
              <w:rPr>
                <w:noProof/>
                <w:webHidden/>
              </w:rPr>
              <w:fldChar w:fldCharType="end"/>
            </w:r>
          </w:hyperlink>
        </w:p>
        <w:p w:rsidR="00D82A43" w:rsidP="008C7413" w:rsidRDefault="008C7413" w14:paraId="049F853D" w14:textId="31DBA0C0">
          <w:pPr>
            <w:pStyle w:val="TOC1"/>
            <w:tabs>
              <w:tab w:val="right" w:leader="dot" w:pos="9350"/>
            </w:tabs>
          </w:pPr>
          <w:r>
            <w:rPr>
              <w:sz w:val="22"/>
            </w:rPr>
            <w:fldChar w:fldCharType="end"/>
          </w:r>
        </w:p>
      </w:sdtContent>
    </w:sdt>
    <w:p w:rsidRPr="0098655A" w:rsidR="0098655A" w:rsidP="00383D5B" w:rsidRDefault="0098655A" w14:paraId="76C72603" w14:textId="6B02609D">
      <w:pPr>
        <w:spacing w:line="240" w:lineRule="auto"/>
        <w:ind w:firstLine="0"/>
        <w:rPr>
          <w:rFonts w:cs="Arial"/>
        </w:rPr>
      </w:pPr>
      <w:r w:rsidRPr="1B5F6C56">
        <w:rPr>
          <w:rFonts w:cs="Arial"/>
          <w:b/>
        </w:rPr>
        <w:t>Appendix A</w:t>
      </w:r>
      <w:r w:rsidRPr="1B5F6C56">
        <w:rPr>
          <w:rFonts w:cs="Arial"/>
        </w:rPr>
        <w:t xml:space="preserve"> –</w:t>
      </w:r>
      <w:r w:rsidRPr="1B5F6C56" w:rsidR="00E23CBB">
        <w:rPr>
          <w:rFonts w:cs="Arial"/>
        </w:rPr>
        <w:t xml:space="preserve"> </w:t>
      </w:r>
      <w:r w:rsidRPr="0C07276E" w:rsidR="48347258">
        <w:rPr>
          <w:rFonts w:cs="Arial"/>
        </w:rPr>
        <w:t xml:space="preserve">Risk-Based </w:t>
      </w:r>
      <w:r w:rsidRPr="5FDD6DA5" w:rsidR="48347258">
        <w:rPr>
          <w:rFonts w:cs="Arial"/>
        </w:rPr>
        <w:t>Decision-Making Framework (</w:t>
      </w:r>
      <w:r w:rsidRPr="457090B7" w:rsidR="48347258">
        <w:rPr>
          <w:rFonts w:cs="Arial"/>
        </w:rPr>
        <w:t>Clean)</w:t>
      </w:r>
    </w:p>
    <w:p w:rsidRPr="0098655A" w:rsidR="0098655A" w:rsidP="00383D5B" w:rsidRDefault="0098655A" w14:paraId="510A2B6A" w14:textId="5B266331">
      <w:pPr>
        <w:spacing w:line="240" w:lineRule="auto"/>
        <w:ind w:firstLine="0"/>
        <w:rPr>
          <w:rFonts w:cs="Arial"/>
        </w:rPr>
      </w:pPr>
      <w:r w:rsidRPr="457090B7">
        <w:rPr>
          <w:rFonts w:cs="Arial"/>
          <w:b/>
        </w:rPr>
        <w:t>Appendix B</w:t>
      </w:r>
      <w:r w:rsidRPr="457090B7">
        <w:rPr>
          <w:rFonts w:cs="Arial"/>
        </w:rPr>
        <w:t xml:space="preserve"> – </w:t>
      </w:r>
      <w:r w:rsidRPr="457090B7" w:rsidR="1A58A192">
        <w:rPr>
          <w:rFonts w:cs="Arial"/>
        </w:rPr>
        <w:t>Risk-</w:t>
      </w:r>
      <w:r w:rsidRPr="17C03FB5" w:rsidR="1A58A192">
        <w:rPr>
          <w:rFonts w:cs="Arial"/>
        </w:rPr>
        <w:t xml:space="preserve">Based Decision-Making </w:t>
      </w:r>
      <w:r w:rsidRPr="7350B551" w:rsidR="1A58A192">
        <w:rPr>
          <w:rFonts w:cs="Arial"/>
        </w:rPr>
        <w:t>Framework (</w:t>
      </w:r>
      <w:r w:rsidRPr="60CE709E" w:rsidR="1A58A192">
        <w:rPr>
          <w:rFonts w:cs="Arial"/>
        </w:rPr>
        <w:t>Redlined)</w:t>
      </w:r>
    </w:p>
    <w:p w:rsidR="00F76650" w:rsidP="00383D5B" w:rsidRDefault="0098655A" w14:paraId="0E3051C2" w14:textId="13552977">
      <w:pPr>
        <w:spacing w:line="240" w:lineRule="auto"/>
        <w:ind w:firstLine="0"/>
        <w:rPr>
          <w:rFonts w:cs="Arial"/>
        </w:rPr>
      </w:pPr>
      <w:r w:rsidRPr="099BDCC1">
        <w:rPr>
          <w:rFonts w:cs="Arial"/>
          <w:b/>
        </w:rPr>
        <w:t>Appendix C</w:t>
      </w:r>
      <w:r w:rsidRPr="099BDCC1">
        <w:rPr>
          <w:rFonts w:cs="Arial"/>
        </w:rPr>
        <w:t xml:space="preserve"> – </w:t>
      </w:r>
      <w:r w:rsidRPr="22D2A637" w:rsidR="0A863E54">
        <w:rPr>
          <w:rFonts w:cs="Arial"/>
        </w:rPr>
        <w:t xml:space="preserve">Risk </w:t>
      </w:r>
      <w:r w:rsidRPr="05F53BE5" w:rsidR="0A863E54">
        <w:rPr>
          <w:rFonts w:cs="Arial"/>
        </w:rPr>
        <w:t xml:space="preserve">Mitigation </w:t>
      </w:r>
      <w:r w:rsidRPr="7B06D71E" w:rsidR="0A863E54">
        <w:rPr>
          <w:rFonts w:cs="Arial"/>
        </w:rPr>
        <w:t xml:space="preserve">Accountability Report </w:t>
      </w:r>
      <w:r w:rsidRPr="2D1E52FC" w:rsidR="0A863E54">
        <w:rPr>
          <w:rFonts w:cs="Arial"/>
        </w:rPr>
        <w:t>Guidelines</w:t>
      </w:r>
    </w:p>
    <w:p w:rsidR="655DC852" w:rsidP="00383D5B" w:rsidRDefault="655DC852" w14:paraId="53947985" w14:textId="76B1594B">
      <w:pPr>
        <w:spacing w:line="240" w:lineRule="auto"/>
        <w:ind w:firstLine="0"/>
        <w:rPr>
          <w:rFonts w:cs="Arial"/>
        </w:rPr>
      </w:pPr>
      <w:r w:rsidRPr="19EBCEC1">
        <w:rPr>
          <w:rFonts w:cs="Arial"/>
          <w:b/>
          <w:bCs/>
        </w:rPr>
        <w:t>Appendix D</w:t>
      </w:r>
      <w:r w:rsidRPr="19EBCEC1">
        <w:rPr>
          <w:rFonts w:cs="Arial"/>
        </w:rPr>
        <w:t xml:space="preserve"> – RAMP Data Template and </w:t>
      </w:r>
      <w:r w:rsidRPr="0203045F">
        <w:rPr>
          <w:rFonts w:cs="Arial"/>
        </w:rPr>
        <w:t>Guidelines</w:t>
      </w:r>
    </w:p>
    <w:p w:rsidR="099BDCC1" w:rsidP="099BDCC1" w:rsidRDefault="099BDCC1" w14:paraId="7B84D3C6" w14:textId="2AAB8C42">
      <w:pPr>
        <w:spacing w:line="240" w:lineRule="auto"/>
        <w:rPr>
          <w:rFonts w:cs="Arial"/>
        </w:rPr>
      </w:pPr>
    </w:p>
    <w:p w:rsidR="00D44DB6" w:rsidP="00D44DB6" w:rsidRDefault="00D44DB6" w14:paraId="6EBD478E" w14:textId="77777777">
      <w:pPr>
        <w:spacing w:line="240" w:lineRule="auto"/>
        <w:rPr>
          <w:rFonts w:cs="Arial"/>
          <w:szCs w:val="26"/>
        </w:rPr>
      </w:pPr>
    </w:p>
    <w:p w:rsidRPr="00D44DB6" w:rsidR="00D44DB6" w:rsidP="00D44DB6" w:rsidRDefault="00D44DB6" w14:paraId="6E6F08BF" w14:textId="09A76450">
      <w:pPr>
        <w:spacing w:line="240" w:lineRule="auto"/>
        <w:rPr>
          <w:rFonts w:cs="Arial"/>
          <w:i/>
          <w:szCs w:val="26"/>
        </w:rPr>
        <w:sectPr w:rsidRPr="00D44DB6" w:rsidR="00D44DB6" w:rsidSect="00D44DB6">
          <w:headerReference w:type="default" r:id="rId12"/>
          <w:footerReference w:type="default" r:id="rId13"/>
          <w:pgSz w:w="12240" w:h="15840"/>
          <w:pgMar w:top="1728" w:right="1440" w:bottom="1440" w:left="1440" w:header="720" w:footer="720" w:gutter="0"/>
          <w:pgNumType w:fmt="lowerRoman" w:start="1"/>
          <w:cols w:space="720"/>
          <w:docGrid w:linePitch="360"/>
        </w:sectPr>
      </w:pPr>
    </w:p>
    <w:p w:rsidR="00397465" w:rsidP="00397465" w:rsidRDefault="00397465" w14:paraId="3EBFEB10" w14:textId="77777777">
      <w:pPr>
        <w:pStyle w:val="Dummy"/>
        <w:jc w:val="center"/>
        <w:rPr>
          <w:rFonts w:eastAsiaTheme="majorEastAsia" w:cstheme="majorBidi"/>
          <w:caps/>
          <w:szCs w:val="56"/>
        </w:rPr>
      </w:pPr>
      <w:bookmarkStart w:name="_Toc204258012" w:id="2"/>
      <w:bookmarkStart w:name="_Toc8123714" w:id="3"/>
      <w:r w:rsidRPr="00397465">
        <w:rPr>
          <w:rFonts w:eastAsiaTheme="majorEastAsia" w:cstheme="majorBidi"/>
          <w:caps/>
          <w:szCs w:val="56"/>
        </w:rPr>
        <w:lastRenderedPageBreak/>
        <w:t>PHASE 4 DECISION</w:t>
      </w:r>
      <w:bookmarkEnd w:id="2"/>
    </w:p>
    <w:p w:rsidRPr="00397465" w:rsidR="00397465" w:rsidP="00397465" w:rsidRDefault="00397465" w14:paraId="7B8351FE" w14:textId="77777777"/>
    <w:p w:rsidR="005A148C" w:rsidP="005A148C" w:rsidRDefault="005A148C" w14:paraId="49C6E212" w14:textId="764B3868">
      <w:pPr>
        <w:pStyle w:val="Dummy"/>
      </w:pPr>
      <w:bookmarkStart w:name="_Toc204258013" w:id="4"/>
      <w:r>
        <w:t>Summary</w:t>
      </w:r>
      <w:bookmarkEnd w:id="3"/>
      <w:bookmarkEnd w:id="4"/>
    </w:p>
    <w:p w:rsidR="0073353F" w:rsidP="00397465" w:rsidRDefault="000578ED" w14:paraId="5FAED432" w14:textId="199B8344">
      <w:pPr>
        <w:pStyle w:val="Standard"/>
      </w:pPr>
      <w:r>
        <w:t xml:space="preserve">This decision adopts </w:t>
      </w:r>
      <w:r w:rsidR="00FB59A0">
        <w:t xml:space="preserve">refinements to the </w:t>
      </w:r>
      <w:r w:rsidR="00C568F1">
        <w:t>Risk-Based Decision-Making Framework</w:t>
      </w:r>
      <w:r w:rsidR="005A4B23">
        <w:t xml:space="preserve"> to:</w:t>
      </w:r>
    </w:p>
    <w:p w:rsidR="005A4B23" w:rsidP="00383D5B" w:rsidRDefault="000A6625" w14:paraId="009CB6C6" w14:textId="1E81145F">
      <w:pPr>
        <w:pStyle w:val="ListBullet"/>
        <w:ind w:right="1440"/>
      </w:pPr>
      <w:r>
        <w:t xml:space="preserve">Require the representation of </w:t>
      </w:r>
      <w:r w:rsidR="009B49A5">
        <w:t>Consequence of Risk Event as a probability distribution</w:t>
      </w:r>
      <w:r w:rsidR="008D5EC8">
        <w:t>;</w:t>
      </w:r>
    </w:p>
    <w:p w:rsidR="009B49A5" w:rsidP="00383D5B" w:rsidRDefault="00132B52" w14:paraId="3EA88871" w14:textId="400D8968">
      <w:pPr>
        <w:pStyle w:val="ListBullet"/>
        <w:ind w:right="1440"/>
      </w:pPr>
      <w:r>
        <w:t xml:space="preserve">Incorporate Overall Residual Risk reporting into the </w:t>
      </w:r>
      <w:r w:rsidR="00E97865">
        <w:t xml:space="preserve">Risk-Based </w:t>
      </w:r>
      <w:r w:rsidRPr="00383D5B" w:rsidR="00E97865">
        <w:t>Decision</w:t>
      </w:r>
      <w:r w:rsidR="00E97865">
        <w:t>-Making Framework</w:t>
      </w:r>
      <w:r w:rsidR="008D5EC8">
        <w:t>;</w:t>
      </w:r>
    </w:p>
    <w:p w:rsidR="00E97865" w:rsidP="00383D5B" w:rsidRDefault="00D90E9C" w14:paraId="64AB14A6" w14:textId="085A45EC">
      <w:pPr>
        <w:pStyle w:val="ListBullet"/>
        <w:ind w:right="1440"/>
      </w:pPr>
      <w:r>
        <w:t xml:space="preserve">Require the presentation </w:t>
      </w:r>
      <w:r w:rsidR="005C1139">
        <w:t>of optimized risk mitigation portfolios with R</w:t>
      </w:r>
      <w:r w:rsidR="00A72E1F">
        <w:t xml:space="preserve">isk </w:t>
      </w:r>
      <w:r w:rsidRPr="00383D5B" w:rsidR="00A72E1F">
        <w:t>Assessment</w:t>
      </w:r>
      <w:r w:rsidR="00A72E1F">
        <w:t xml:space="preserve"> Mitigation Phase</w:t>
      </w:r>
      <w:r w:rsidR="009816C9">
        <w:t xml:space="preserve"> filings,</w:t>
      </w:r>
      <w:r w:rsidR="6E79221E">
        <w:t xml:space="preserve"> </w:t>
      </w:r>
      <w:r w:rsidR="3EF708C4">
        <w:t>inc</w:t>
      </w:r>
      <w:r w:rsidR="16F81251">
        <w:t>luding</w:t>
      </w:r>
      <w:r w:rsidR="6E79221E">
        <w:t xml:space="preserve"> </w:t>
      </w:r>
      <w:r w:rsidR="00FF2BC8">
        <w:t xml:space="preserve">budget scenarios which will be based on the forecasted costs of Mitigations and Controls that the utility has proposed in </w:t>
      </w:r>
      <w:r w:rsidRPr="00383D5B" w:rsidR="00FF2BC8">
        <w:t>its</w:t>
      </w:r>
      <w:r w:rsidR="00FF2BC8">
        <w:t xml:space="preserve"> </w:t>
      </w:r>
      <w:r w:rsidR="00236CCC">
        <w:t>RAMP or current</w:t>
      </w:r>
      <w:r w:rsidR="00FF2BC8">
        <w:t xml:space="preserve"> GRC. We call these forecasted costs the Baseline Cost Forecast. The four required budget scenarios are: 1) 85% of the Baseline Cost Forecast</w:t>
      </w:r>
      <w:r w:rsidR="00480244">
        <w:t>, 2) 90% of the Baseline Cost Forecast, 3) 95% of the Baseline Cost Forecast, and 4) 100% of the Baseline Cost Forecast</w:t>
      </w:r>
      <w:r w:rsidR="006D2F1A">
        <w:t>;</w:t>
      </w:r>
    </w:p>
    <w:p w:rsidR="009816C9" w:rsidP="00383D5B" w:rsidRDefault="009A70AA" w14:paraId="4EABC5CE" w14:textId="10E52707">
      <w:pPr>
        <w:pStyle w:val="ListBullet"/>
        <w:ind w:right="1440"/>
      </w:pPr>
      <w:r>
        <w:t>Incorporate the Risk Reporting Unit into the Risk-Based Decision-Making Framework</w:t>
      </w:r>
      <w:r w:rsidR="008D5EC8">
        <w:t>;</w:t>
      </w:r>
      <w:r w:rsidR="000A0E24">
        <w:t xml:space="preserve"> </w:t>
      </w:r>
    </w:p>
    <w:p w:rsidR="000A0E24" w:rsidP="00383D5B" w:rsidRDefault="00537D5E" w14:paraId="30D08E11" w14:textId="2889773C">
      <w:pPr>
        <w:pStyle w:val="ListBullet"/>
        <w:ind w:right="1440"/>
      </w:pPr>
      <w:r w:rsidRPr="00383D5B">
        <w:t>Provide</w:t>
      </w:r>
      <w:r>
        <w:t xml:space="preserve"> </w:t>
      </w:r>
      <w:r w:rsidR="000A0E24">
        <w:t xml:space="preserve">guidelines for </w:t>
      </w:r>
      <w:r w:rsidR="003E3516">
        <w:t>the Risk Mitigation Accountability Report</w:t>
      </w:r>
      <w:r w:rsidR="008D5EC8">
        <w:t>;</w:t>
      </w:r>
      <w:r>
        <w:t xml:space="preserve"> </w:t>
      </w:r>
    </w:p>
    <w:p w:rsidR="00537D5E" w:rsidP="00383D5B" w:rsidRDefault="00537D5E" w14:paraId="4E4F86A2" w14:textId="6E43AEE2">
      <w:pPr>
        <w:pStyle w:val="ListBullet"/>
        <w:ind w:right="1440"/>
      </w:pPr>
      <w:r>
        <w:t xml:space="preserve">Provide </w:t>
      </w:r>
      <w:r w:rsidRPr="00383D5B" w:rsidR="00FC05FE">
        <w:t>minor</w:t>
      </w:r>
      <w:r w:rsidR="00FC05FE">
        <w:t xml:space="preserve"> </w:t>
      </w:r>
      <w:r w:rsidR="00982B4D">
        <w:t xml:space="preserve">key refinements to </w:t>
      </w:r>
      <w:r w:rsidR="00FC05FE">
        <w:t>the Risk-Based Decision-Making Framework</w:t>
      </w:r>
      <w:r w:rsidR="008D5EC8">
        <w:t>;</w:t>
      </w:r>
      <w:r w:rsidR="00FB5D62">
        <w:t xml:space="preserve"> and</w:t>
      </w:r>
    </w:p>
    <w:p w:rsidR="00FB5D62" w:rsidP="00383D5B" w:rsidRDefault="00FB5D62" w14:paraId="2F210047" w14:textId="00338806">
      <w:pPr>
        <w:pStyle w:val="ListBullet"/>
        <w:ind w:right="1440"/>
      </w:pPr>
      <w:r>
        <w:t xml:space="preserve">Provide </w:t>
      </w:r>
      <w:r w:rsidR="008D0C6E">
        <w:t xml:space="preserve">the </w:t>
      </w:r>
      <w:r w:rsidR="002C2518">
        <w:t>Risk</w:t>
      </w:r>
      <w:r w:rsidR="00D96708">
        <w:t xml:space="preserve"> Assessment Mitigation Phase Data Template</w:t>
      </w:r>
      <w:r w:rsidR="008D0C6E">
        <w:t xml:space="preserve"> and Guidelines.</w:t>
      </w:r>
    </w:p>
    <w:p w:rsidR="00760AFC" w:rsidP="00383D5B" w:rsidRDefault="00760AFC" w14:paraId="60A006DD" w14:textId="3A8308A2">
      <w:pPr>
        <w:pStyle w:val="Standard"/>
      </w:pPr>
      <w:r>
        <w:t xml:space="preserve">This </w:t>
      </w:r>
      <w:r w:rsidR="00866A3B">
        <w:t>proceeding</w:t>
      </w:r>
      <w:r>
        <w:t xml:space="preserve"> is closed.</w:t>
      </w:r>
    </w:p>
    <w:p w:rsidRPr="00121089" w:rsidR="005A148C" w:rsidP="00383D5B" w:rsidRDefault="002C7FE9" w14:paraId="510F636C" w14:textId="77777777">
      <w:pPr>
        <w:pStyle w:val="Heading1"/>
      </w:pPr>
      <w:bookmarkStart w:name="_Toc8123715" w:id="5"/>
      <w:bookmarkStart w:name="_Toc204258014" w:id="6"/>
      <w:r w:rsidRPr="00121089">
        <w:t>Background</w:t>
      </w:r>
      <w:bookmarkEnd w:id="5"/>
      <w:bookmarkEnd w:id="6"/>
    </w:p>
    <w:p w:rsidR="00F21CEB" w:rsidP="00F21CEB" w:rsidRDefault="00F21CEB" w14:paraId="4017CFD8" w14:textId="4F8EDE2B">
      <w:pPr>
        <w:pStyle w:val="Standard"/>
      </w:pPr>
      <w:r>
        <w:t xml:space="preserve">The Commission opened Rulemaking (R.) 20-07-013 on July 16, 2020, to consider ways to strengthen the risk-based decision-making framework that regulated energy utilities use to assess, manage, mitigate, and minimize safety </w:t>
      </w:r>
      <w:r>
        <w:lastRenderedPageBreak/>
        <w:t xml:space="preserve">risks. </w:t>
      </w:r>
      <w:r w:rsidR="6B8966F3">
        <w:t>The Risk-Based Decision</w:t>
      </w:r>
      <w:r w:rsidR="003E6416">
        <w:t>-M</w:t>
      </w:r>
      <w:r w:rsidR="6B8966F3">
        <w:t>aking Framework</w:t>
      </w:r>
      <w:r w:rsidRPr="493B57D1" w:rsidR="3932E8B2">
        <w:rPr>
          <w:rStyle w:val="FootnoteReference"/>
        </w:rPr>
        <w:footnoteReference w:id="2"/>
      </w:r>
      <w:r w:rsidR="00CF0C55">
        <w:t xml:space="preserve"> (RDF)</w:t>
      </w:r>
      <w:r w:rsidR="6B8966F3">
        <w:t xml:space="preserve"> refines and enhances </w:t>
      </w:r>
      <w:r w:rsidR="134FA3D4">
        <w:t xml:space="preserve">some of </w:t>
      </w:r>
      <w:r w:rsidR="6B8966F3">
        <w:t>the</w:t>
      </w:r>
      <w:r w:rsidR="2409098F">
        <w:t xml:space="preserve"> analytical</w:t>
      </w:r>
      <w:r w:rsidR="6B8966F3">
        <w:t xml:space="preserve"> tools and concepts available to the C</w:t>
      </w:r>
      <w:r w:rsidR="00512431">
        <w:t>ommission</w:t>
      </w:r>
      <w:r w:rsidR="6B8966F3">
        <w:t xml:space="preserve"> and to parties </w:t>
      </w:r>
      <w:r w:rsidR="7C05F39D">
        <w:t xml:space="preserve">to </w:t>
      </w:r>
      <w:r w:rsidR="183C0915">
        <w:t xml:space="preserve">help </w:t>
      </w:r>
      <w:r w:rsidR="7C05F39D">
        <w:t xml:space="preserve">evaluate the reasonableness of proposed safety </w:t>
      </w:r>
      <w:r w:rsidR="7FD4F9B9">
        <w:t xml:space="preserve">investments. As California ratepayers face growing challenges in affording utility rates, it is imperative that </w:t>
      </w:r>
      <w:r w:rsidR="1F5164AE">
        <w:t>the records of</w:t>
      </w:r>
      <w:r w:rsidR="7FD4F9B9">
        <w:t xml:space="preserve"> </w:t>
      </w:r>
      <w:r w:rsidR="0C4810C7">
        <w:t xml:space="preserve">general rate cases have </w:t>
      </w:r>
      <w:r w:rsidR="006D08D6">
        <w:t xml:space="preserve">the </w:t>
      </w:r>
      <w:r w:rsidR="508E21BC">
        <w:t xml:space="preserve">best </w:t>
      </w:r>
      <w:r w:rsidR="0C4810C7">
        <w:t xml:space="preserve">information </w:t>
      </w:r>
      <w:r w:rsidR="508E21BC">
        <w:t>possible. California ratepayers deserve operational excellen</w:t>
      </w:r>
      <w:r w:rsidR="001816C9">
        <w:t>ce</w:t>
      </w:r>
      <w:r w:rsidR="508E21BC">
        <w:t xml:space="preserve"> from their utility systems</w:t>
      </w:r>
      <w:r w:rsidR="001816C9">
        <w:t xml:space="preserve"> and</w:t>
      </w:r>
      <w:r w:rsidR="508E21BC">
        <w:t xml:space="preserve"> this requires safety investments that are effective and strategic in getting the most value for their dollar. </w:t>
      </w:r>
    </w:p>
    <w:p w:rsidR="00F21CEB" w:rsidP="00F21CEB" w:rsidRDefault="00F21CEB" w14:paraId="5AEC7131" w14:textId="44C396B5">
      <w:pPr>
        <w:pStyle w:val="Standard"/>
      </w:pPr>
      <w:r>
        <w:t>The</w:t>
      </w:r>
      <w:r w:rsidR="419D0763">
        <w:t xml:space="preserve"> </w:t>
      </w:r>
      <w:r w:rsidR="00005A7B">
        <w:t>RDF</w:t>
      </w:r>
      <w:r>
        <w:t xml:space="preserve"> rulemaking builds on requirements for a utility risk framework adopted in the Safety Model Assessment Proceeding (S-MAP), Application (A.) 15-05-002 et al, and in R.13-11-006, which was opened to address the requirements of Pub</w:t>
      </w:r>
      <w:r w:rsidR="00951B90">
        <w:t>.</w:t>
      </w:r>
      <w:r>
        <w:t xml:space="preserve"> Util</w:t>
      </w:r>
      <w:r w:rsidR="00951B90">
        <w:t>.</w:t>
      </w:r>
      <w:r>
        <w:t xml:space="preserve"> Code Sections 963(b)(3) and 750. The purpose of this rulemaking is to further the prioritization of safety by gas and electric utilities in alignment with the requirement of Section 451 of just and reasonable rates.</w:t>
      </w:r>
    </w:p>
    <w:p w:rsidR="002C7FE9" w:rsidP="00397465" w:rsidRDefault="00F21CEB" w14:paraId="5665F73B" w14:textId="0FA38272">
      <w:pPr>
        <w:pStyle w:val="Standard"/>
      </w:pPr>
      <w:r>
        <w:t xml:space="preserve">The Commission adopted two decisions in Phase 1 of this proceeding, Decision (D.) 21-11-009, Decision Addressing Phase 1, </w:t>
      </w:r>
      <w:r w:rsidR="28213EED">
        <w:t>Track</w:t>
      </w:r>
      <w:r w:rsidR="02DD637F">
        <w:t>s</w:t>
      </w:r>
      <w:r>
        <w:t xml:space="preserve"> 1 and 2 Issues, and D.22-10-002, Decision Addressing Phase 1, Tracks 3 and 4 Issues. In Phase 2 of this proceeding, the Commission adopted D.22-12-027, Phase 2 Decision Adopting Modifications to the Risk-Based Decision-Making Framework Adopted in D.18-12-014 and Directing Environmental and Social Justice Pilots.</w:t>
      </w:r>
      <w:r w:rsidR="00E40077">
        <w:t xml:space="preserve"> In Phase 3 </w:t>
      </w:r>
      <w:r w:rsidR="007A0D87">
        <w:t xml:space="preserve">of this proceeding, the Commission adopted </w:t>
      </w:r>
      <w:r w:rsidR="00334F47">
        <w:t>D.24-05-064</w:t>
      </w:r>
      <w:r w:rsidR="00655801">
        <w:t>, which r</w:t>
      </w:r>
      <w:r w:rsidR="009D3122">
        <w:t>esolved several</w:t>
      </w:r>
      <w:r w:rsidR="006713D3">
        <w:t xml:space="preserve"> outstanding</w:t>
      </w:r>
      <w:r w:rsidR="009D3122">
        <w:t xml:space="preserve"> </w:t>
      </w:r>
      <w:r w:rsidR="0034605D">
        <w:t>issue</w:t>
      </w:r>
      <w:r w:rsidR="006713D3">
        <w:t>s by</w:t>
      </w:r>
      <w:r w:rsidR="0034605D">
        <w:t>:</w:t>
      </w:r>
    </w:p>
    <w:p w:rsidR="00383D5B" w:rsidP="00397465" w:rsidRDefault="00383D5B" w14:paraId="5A51F1E1" w14:textId="77777777">
      <w:pPr>
        <w:pStyle w:val="Standard"/>
      </w:pPr>
    </w:p>
    <w:p w:rsidR="006713D3" w:rsidP="00383D5B" w:rsidRDefault="006713D3" w14:paraId="7047C8C3" w14:textId="5FB51594">
      <w:pPr>
        <w:pStyle w:val="ListBullet"/>
        <w:ind w:right="1440"/>
      </w:pPr>
      <w:r>
        <w:lastRenderedPageBreak/>
        <w:t>Modify</w:t>
      </w:r>
      <w:r w:rsidR="004F4EAE">
        <w:t>ing</w:t>
      </w:r>
      <w:r>
        <w:t xml:space="preserve"> the </w:t>
      </w:r>
      <w:r w:rsidR="00C57BF9">
        <w:t xml:space="preserve">RDF </w:t>
      </w:r>
      <w:r w:rsidRPr="00383D5B">
        <w:t>included</w:t>
      </w:r>
      <w:r>
        <w:t xml:space="preserve"> in Appendix A to Decision 22-</w:t>
      </w:r>
      <w:r w:rsidRPr="00383D5B">
        <w:t>12</w:t>
      </w:r>
      <w:r>
        <w:t>-027;</w:t>
      </w:r>
    </w:p>
    <w:p w:rsidR="006713D3" w:rsidP="00383D5B" w:rsidRDefault="006713D3" w14:paraId="1A9D6ED1" w14:textId="7E1174CA">
      <w:pPr>
        <w:pStyle w:val="ListBullet"/>
        <w:ind w:right="1440"/>
      </w:pPr>
      <w:r w:rsidRPr="00383D5B">
        <w:t>Modifying</w:t>
      </w:r>
      <w:r>
        <w:t xml:space="preserve"> the Transparency Pilot Guidelines appended to D.21-11-009;</w:t>
      </w:r>
    </w:p>
    <w:p w:rsidR="006713D3" w:rsidP="00383D5B" w:rsidRDefault="006713D3" w14:paraId="345613D7" w14:textId="686813A0">
      <w:pPr>
        <w:pStyle w:val="ListBullet"/>
        <w:ind w:right="1440"/>
      </w:pPr>
      <w:r>
        <w:t xml:space="preserve">Identifying </w:t>
      </w:r>
      <w:r w:rsidRPr="00383D5B">
        <w:t>best</w:t>
      </w:r>
      <w:r>
        <w:t xml:space="preserve"> practices for tranche granularity when</w:t>
      </w:r>
      <w:r w:rsidR="00C1115B">
        <w:t xml:space="preserve"> </w:t>
      </w:r>
      <w:r>
        <w:t xml:space="preserve">implementing the </w:t>
      </w:r>
      <w:r w:rsidRPr="00383D5B" w:rsidR="00C57BF9">
        <w:t>RDF</w:t>
      </w:r>
      <w:r>
        <w:t>;</w:t>
      </w:r>
    </w:p>
    <w:p w:rsidR="006713D3" w:rsidP="00383D5B" w:rsidRDefault="006713D3" w14:paraId="7C4A86BA" w14:textId="10856F0D">
      <w:pPr>
        <w:pStyle w:val="ListBullet"/>
        <w:ind w:right="1440"/>
      </w:pPr>
      <w:r>
        <w:t>Identifying the truncated power law distribution model as the best practice for wildfire tail risk modeling when implementing the RDF, while allowing other modeling approaches if justified;</w:t>
      </w:r>
    </w:p>
    <w:p w:rsidR="006713D3" w:rsidP="005E2033" w:rsidRDefault="006713D3" w14:paraId="2140C33A" w14:textId="3F110923">
      <w:pPr>
        <w:pStyle w:val="ListBullet"/>
        <w:ind w:right="1440"/>
      </w:pPr>
      <w:r>
        <w:t xml:space="preserve">Directing </w:t>
      </w:r>
      <w:r w:rsidRPr="00383D5B">
        <w:t>IOUs</w:t>
      </w:r>
      <w:r>
        <w:t xml:space="preserve"> to each prepare a Climate Pilot White Paper </w:t>
      </w:r>
      <w:r w:rsidRPr="005E2033">
        <w:t>testing</w:t>
      </w:r>
      <w:r>
        <w:t xml:space="preserve"> the quantitative integration of climate hazard data into the RDF;</w:t>
      </w:r>
    </w:p>
    <w:p w:rsidR="006713D3" w:rsidP="005E2033" w:rsidRDefault="006713D3" w14:paraId="28B2484B" w14:textId="251645F0">
      <w:pPr>
        <w:pStyle w:val="ListBullet"/>
      </w:pPr>
      <w:r>
        <w:t xml:space="preserve">Modifying the risk </w:t>
      </w:r>
      <w:r w:rsidRPr="005E2033">
        <w:t>scaling</w:t>
      </w:r>
      <w:r>
        <w:t xml:space="preserve"> requirements of the RDF</w:t>
      </w:r>
      <w:r w:rsidR="004F4EAE">
        <w:t>;</w:t>
      </w:r>
    </w:p>
    <w:p w:rsidR="006713D3" w:rsidP="005E2033" w:rsidRDefault="006713D3" w14:paraId="4EAB1FB4" w14:textId="04240A64">
      <w:pPr>
        <w:pStyle w:val="ListBullet"/>
      </w:pPr>
      <w:r>
        <w:t>Modif</w:t>
      </w:r>
      <w:r w:rsidR="004F4EAE">
        <w:t xml:space="preserve">ying </w:t>
      </w:r>
      <w:r>
        <w:t xml:space="preserve">the </w:t>
      </w:r>
      <w:r w:rsidRPr="005E2033" w:rsidR="004F4EAE">
        <w:t>Benefit</w:t>
      </w:r>
      <w:r w:rsidR="004F4EAE">
        <w:t xml:space="preserve">-Cost </w:t>
      </w:r>
      <w:r>
        <w:t>R</w:t>
      </w:r>
      <w:r w:rsidR="004F4EAE">
        <w:t>atio (BCR)</w:t>
      </w:r>
      <w:r>
        <w:t xml:space="preserve"> calculation; and</w:t>
      </w:r>
    </w:p>
    <w:p w:rsidR="0034605D" w:rsidP="005E2033" w:rsidRDefault="006713D3" w14:paraId="13C50981" w14:textId="35FA6FA3">
      <w:pPr>
        <w:pStyle w:val="ListBullet"/>
        <w:ind w:right="1440"/>
      </w:pPr>
      <w:r w:rsidRPr="00383D5B">
        <w:t>Authoriz</w:t>
      </w:r>
      <w:r w:rsidRPr="00383D5B" w:rsidR="004F4EAE">
        <w:t>ing</w:t>
      </w:r>
      <w:r>
        <w:t xml:space="preserve"> </w:t>
      </w:r>
      <w:r w:rsidRPr="005E2033">
        <w:t>continuation</w:t>
      </w:r>
      <w:r>
        <w:t xml:space="preserve"> of the Technical Working Group </w:t>
      </w:r>
      <w:r w:rsidR="00AE0600">
        <w:t>(TWG)</w:t>
      </w:r>
      <w:r w:rsidR="005E2222">
        <w:t xml:space="preserve"> </w:t>
      </w:r>
      <w:r>
        <w:t>established in D.21-11-009.</w:t>
      </w:r>
    </w:p>
    <w:p w:rsidR="0063491C" w:rsidP="005E2033" w:rsidRDefault="00BB6F4A" w14:paraId="20CA79D6" w14:textId="37B018AD">
      <w:pPr>
        <w:pStyle w:val="Heading2"/>
      </w:pPr>
      <w:bookmarkStart w:name="_Toc204258015" w:id="7"/>
      <w:r w:rsidRPr="005E2033">
        <w:t>Phase</w:t>
      </w:r>
      <w:r>
        <w:t xml:space="preserve"> 4 Procedural Background</w:t>
      </w:r>
      <w:bookmarkEnd w:id="7"/>
    </w:p>
    <w:p w:rsidR="0063491C" w:rsidP="006E6574" w:rsidRDefault="00FA100A" w14:paraId="12B0D3B2" w14:textId="60E57C65">
      <w:pPr>
        <w:pStyle w:val="Standard"/>
      </w:pPr>
      <w:r>
        <w:t>T</w:t>
      </w:r>
      <w:r w:rsidR="00EB5D1C">
        <w:t xml:space="preserve">he </w:t>
      </w:r>
      <w:r>
        <w:t>assigned Commissioner’s Phase 4 Scoping Memo and Ruling (Phase 4 Scoping Memo) was issued on September 3, 2024</w:t>
      </w:r>
      <w:r w:rsidR="0063491C">
        <w:t>.</w:t>
      </w:r>
      <w:r>
        <w:t xml:space="preserve"> The </w:t>
      </w:r>
      <w:r w:rsidR="005E455F">
        <w:t xml:space="preserve">Phase 4 Scoping Memo outlined a detailed schedule for </w:t>
      </w:r>
      <w:r w:rsidR="00823EDF">
        <w:t>three workshops</w:t>
      </w:r>
      <w:r w:rsidR="00066203">
        <w:t xml:space="preserve"> between October 30, 2024, and December 18</w:t>
      </w:r>
      <w:r w:rsidR="009F4E88">
        <w:t>, 2024.</w:t>
      </w:r>
    </w:p>
    <w:p w:rsidR="009F4E88" w:rsidP="006E6574" w:rsidRDefault="009F4E88" w14:paraId="2308FD14" w14:textId="187EF6FB">
      <w:pPr>
        <w:pStyle w:val="Standard"/>
      </w:pPr>
      <w:r w:rsidRPr="008527CA">
        <w:rPr>
          <w:b/>
          <w:bCs/>
        </w:rPr>
        <w:t>Workshop #1</w:t>
      </w:r>
      <w:r>
        <w:t>, held October 30, 2024, addresse</w:t>
      </w:r>
      <w:r w:rsidR="00F915DD">
        <w:t xml:space="preserve">d the </w:t>
      </w:r>
      <w:r w:rsidR="00804913">
        <w:t xml:space="preserve">definition of scoped work and </w:t>
      </w:r>
      <w:r w:rsidR="00C42CEF">
        <w:t>the risk reporting unit</w:t>
      </w:r>
      <w:r w:rsidR="00B4784A">
        <w:t xml:space="preserve"> with </w:t>
      </w:r>
      <w:r w:rsidR="00AC6C88">
        <w:t xml:space="preserve">Safety Policy Division (SPD) staff </w:t>
      </w:r>
      <w:r w:rsidR="00083E34">
        <w:t>le</w:t>
      </w:r>
      <w:r w:rsidR="00B4784A">
        <w:t>ading</w:t>
      </w:r>
      <w:r w:rsidR="00083E34">
        <w:t xml:space="preserve"> discussions </w:t>
      </w:r>
      <w:r w:rsidR="002D6F5E">
        <w:t xml:space="preserve">on </w:t>
      </w:r>
      <w:r w:rsidR="00B7753F">
        <w:t>the SPD staff proposal on t</w:t>
      </w:r>
      <w:r w:rsidR="00B4784A">
        <w:t>his topic</w:t>
      </w:r>
      <w:r w:rsidR="00B7753F">
        <w:t xml:space="preserve">. On </w:t>
      </w:r>
      <w:r w:rsidR="00B464AE">
        <w:t>November 8, 2024, the assigned Administrative Law Judge (ALJ)</w:t>
      </w:r>
      <w:r w:rsidR="006650EC">
        <w:t xml:space="preserve"> issued a ruling</w:t>
      </w:r>
      <w:r w:rsidR="00083E34">
        <w:t xml:space="preserve"> </w:t>
      </w:r>
      <w:r w:rsidR="0015310B">
        <w:t xml:space="preserve">entering </w:t>
      </w:r>
      <w:r w:rsidR="000A3524">
        <w:t xml:space="preserve">Workshop #1 slides and </w:t>
      </w:r>
      <w:r w:rsidR="0015310B">
        <w:t xml:space="preserve">the SPD definition of scoped work and the risk reporting unit </w:t>
      </w:r>
      <w:r w:rsidR="00D24635">
        <w:t xml:space="preserve">proposal </w:t>
      </w:r>
      <w:r w:rsidR="00B54983">
        <w:t>(</w:t>
      </w:r>
      <w:r w:rsidR="00896EF2">
        <w:t xml:space="preserve">Staff </w:t>
      </w:r>
      <w:r w:rsidR="003D6106">
        <w:t>Scoped Work</w:t>
      </w:r>
      <w:r w:rsidR="00B54983">
        <w:t xml:space="preserve"> Proposal)</w:t>
      </w:r>
      <w:r w:rsidR="00424EB8">
        <w:t xml:space="preserve"> (together, Workshop #1 Materials)</w:t>
      </w:r>
      <w:r w:rsidR="00B54983">
        <w:t xml:space="preserve"> into the record</w:t>
      </w:r>
      <w:r w:rsidR="00D24635">
        <w:t xml:space="preserve"> </w:t>
      </w:r>
      <w:r w:rsidR="000A3524">
        <w:t xml:space="preserve">and inviting comment on </w:t>
      </w:r>
      <w:r w:rsidR="00424EB8">
        <w:t>Workshop #1 Materials</w:t>
      </w:r>
      <w:r w:rsidR="008D65B1">
        <w:t xml:space="preserve">. On November 8, </w:t>
      </w:r>
      <w:r w:rsidR="008D65B1">
        <w:lastRenderedPageBreak/>
        <w:t>2024, San Diego Gas &amp; Electric Company (SDG&amp;E)</w:t>
      </w:r>
      <w:r w:rsidR="00391404">
        <w:t>, Southern California Edison Company (SCE), and Pacific Gas and Electric Company (PG&amp;E)</w:t>
      </w:r>
      <w:r w:rsidR="00694666">
        <w:t xml:space="preserve"> jointly filed their definition of scoped work proposal</w:t>
      </w:r>
      <w:r w:rsidR="00233742">
        <w:t xml:space="preserve"> (Joint I</w:t>
      </w:r>
      <w:r w:rsidR="007C58F7">
        <w:t xml:space="preserve">nvestor </w:t>
      </w:r>
      <w:r w:rsidR="00233742">
        <w:t>O</w:t>
      </w:r>
      <w:r w:rsidR="007C58F7">
        <w:t xml:space="preserve">wned </w:t>
      </w:r>
      <w:r w:rsidR="00233742">
        <w:t>U</w:t>
      </w:r>
      <w:r w:rsidR="007C58F7">
        <w:t>tilit</w:t>
      </w:r>
      <w:r w:rsidR="0045214B">
        <w:t>ies (IOU</w:t>
      </w:r>
      <w:r w:rsidR="002409C7">
        <w:t>s</w:t>
      </w:r>
      <w:r w:rsidR="0045214B">
        <w:t>)</w:t>
      </w:r>
      <w:r w:rsidR="00233742">
        <w:t xml:space="preserve"> Scoped Work Proposal)</w:t>
      </w:r>
      <w:r w:rsidR="00694666">
        <w:t>.</w:t>
      </w:r>
      <w:r w:rsidR="00010E9D">
        <w:t xml:space="preserve"> </w:t>
      </w:r>
      <w:r w:rsidR="000D65E6">
        <w:t xml:space="preserve">Opening comments on </w:t>
      </w:r>
      <w:r w:rsidR="00233742">
        <w:t xml:space="preserve">both the </w:t>
      </w:r>
      <w:r w:rsidR="00424EB8">
        <w:t xml:space="preserve">Workshop #1 Materials </w:t>
      </w:r>
      <w:r w:rsidR="00233742">
        <w:t xml:space="preserve">and the Joint IOU Scoped Work Proposal </w:t>
      </w:r>
      <w:r w:rsidR="00D719C4">
        <w:t>were filed</w:t>
      </w:r>
      <w:r w:rsidR="00BE5437">
        <w:rPr>
          <w:rStyle w:val="FootnoteReference"/>
        </w:rPr>
        <w:footnoteReference w:id="3"/>
      </w:r>
      <w:r w:rsidR="00D719C4">
        <w:t xml:space="preserve"> by Mussey Grade Road Alliance (MGRA), </w:t>
      </w:r>
      <w:r w:rsidR="00E27869">
        <w:t xml:space="preserve">the Protect Our Communities Foundation (PCF), PG&amp;E, SCE, jointly </w:t>
      </w:r>
      <w:r w:rsidR="001306DD">
        <w:t>by SDG&amp;E and Southern California Gas Company (SoCalGas)</w:t>
      </w:r>
      <w:r w:rsidR="00300E3A">
        <w:t xml:space="preserve"> </w:t>
      </w:r>
      <w:r w:rsidR="001306DD">
        <w:t xml:space="preserve">(together, the Sempra Companies), </w:t>
      </w:r>
      <w:r w:rsidR="006363D0">
        <w:t xml:space="preserve">and jointly by </w:t>
      </w:r>
      <w:r w:rsidR="00A357C0">
        <w:t xml:space="preserve">the Public Advocate’s Office at the California Public Utilities Commission (Cal Advocates), </w:t>
      </w:r>
      <w:r w:rsidR="006363D0">
        <w:t xml:space="preserve">The Utility Reform Network (TURN), </w:t>
      </w:r>
      <w:r w:rsidR="00F42D51">
        <w:t xml:space="preserve">and </w:t>
      </w:r>
      <w:r w:rsidR="002126DB">
        <w:t>Energy Producers and Users Coalition (EPUC), Indicated Shippers</w:t>
      </w:r>
      <w:r w:rsidR="00F42D51">
        <w:t xml:space="preserve"> (IS) (together, EPUC</w:t>
      </w:r>
      <w:r w:rsidR="001342B2">
        <w:t>/</w:t>
      </w:r>
      <w:r w:rsidR="00F42D51">
        <w:t>IS).</w:t>
      </w:r>
      <w:r w:rsidR="007C12B8">
        <w:t xml:space="preserve"> Reply comments were </w:t>
      </w:r>
      <w:r w:rsidR="00424EB8">
        <w:t xml:space="preserve">timely </w:t>
      </w:r>
      <w:r w:rsidR="004C0139">
        <w:t xml:space="preserve">filed by </w:t>
      </w:r>
      <w:r w:rsidR="000C1A26">
        <w:t xml:space="preserve">PG&amp;E, SCE, the Sempra Companies, PCF, and jointly by Cal Advocates, </w:t>
      </w:r>
      <w:r w:rsidR="002A3B49">
        <w:t>EPUC/</w:t>
      </w:r>
      <w:r w:rsidR="000C1A26">
        <w:t xml:space="preserve">IS, and TURN. </w:t>
      </w:r>
    </w:p>
    <w:p w:rsidR="00261051" w:rsidP="006E6574" w:rsidRDefault="00261051" w14:paraId="7BBD61E1" w14:textId="4C935089">
      <w:pPr>
        <w:pStyle w:val="Standard"/>
      </w:pPr>
      <w:r w:rsidRPr="008527CA">
        <w:rPr>
          <w:b/>
          <w:bCs/>
        </w:rPr>
        <w:t>Workshop #2</w:t>
      </w:r>
      <w:r>
        <w:t xml:space="preserve">, held </w:t>
      </w:r>
      <w:r w:rsidR="001657C4">
        <w:t>over November 20, November 21, and November 22, 2024, addressed</w:t>
      </w:r>
      <w:r w:rsidR="006E30C2">
        <w:t xml:space="preserve"> overall residual risk, risk tolerance, and simple optimization. </w:t>
      </w:r>
      <w:r w:rsidRPr="006E2394" w:rsidR="006650EC">
        <w:t>On December 10, 2024, the assigned ALJ issued a ruling</w:t>
      </w:r>
      <w:r w:rsidRPr="006E2394" w:rsidR="002C4AB4">
        <w:t xml:space="preserve"> entering Workshop #</w:t>
      </w:r>
      <w:r w:rsidRPr="006E2394" w:rsidR="00FD2EE7">
        <w:t>2</w:t>
      </w:r>
      <w:r w:rsidRPr="006E2394" w:rsidR="002C4AB4">
        <w:t xml:space="preserve"> slides and the SPD </w:t>
      </w:r>
      <w:r w:rsidRPr="006E2394" w:rsidR="00B6306D">
        <w:t>staff proposal on overall residual risk, risk tolerance, and simple optimization (</w:t>
      </w:r>
      <w:r w:rsidR="00896EF2">
        <w:t xml:space="preserve">Staff </w:t>
      </w:r>
      <w:r w:rsidRPr="006E2394" w:rsidR="00B577BF">
        <w:t>Risk Tolerance Proposal)</w:t>
      </w:r>
      <w:r w:rsidRPr="006E2394" w:rsidR="007E0EFA">
        <w:t xml:space="preserve"> (together, Workshop #2 Materials)</w:t>
      </w:r>
      <w:r w:rsidRPr="006E2394" w:rsidR="00B577BF">
        <w:t xml:space="preserve"> </w:t>
      </w:r>
      <w:r w:rsidRPr="006E2394" w:rsidR="002C4AB4">
        <w:t xml:space="preserve">into the record and inviting comment on </w:t>
      </w:r>
      <w:r w:rsidR="007E0EFA">
        <w:t>Workshop #2 Materials</w:t>
      </w:r>
      <w:r w:rsidR="00B577BF">
        <w:t>.</w:t>
      </w:r>
      <w:r w:rsidR="00EA08EB">
        <w:t xml:space="preserve"> </w:t>
      </w:r>
      <w:r w:rsidR="00BE5437">
        <w:t xml:space="preserve">MGRA </w:t>
      </w:r>
      <w:r w:rsidR="00372EAD">
        <w:t xml:space="preserve">filed its Proposal for a Commission-led Deliberative Risk Tolerance Process </w:t>
      </w:r>
      <w:r w:rsidR="00C87C91">
        <w:t xml:space="preserve">(MGRA Risk Tolerance Proposal) </w:t>
      </w:r>
      <w:r w:rsidR="00372EAD">
        <w:t xml:space="preserve">on </w:t>
      </w:r>
      <w:r w:rsidR="00C87C91">
        <w:t xml:space="preserve">December 3, 2024. </w:t>
      </w:r>
      <w:r w:rsidR="00EA08EB">
        <w:t xml:space="preserve">Opening comments </w:t>
      </w:r>
      <w:r w:rsidR="007E0EFA">
        <w:t xml:space="preserve">on Workshop #2 Materials </w:t>
      </w:r>
      <w:r w:rsidR="00C87C91">
        <w:t xml:space="preserve">and </w:t>
      </w:r>
      <w:r w:rsidR="00DE12BC">
        <w:t xml:space="preserve">the MGRA Risk Tolerance Proposal </w:t>
      </w:r>
      <w:r w:rsidR="007E0EFA">
        <w:t xml:space="preserve">were timely filed by </w:t>
      </w:r>
      <w:r w:rsidR="00D573AA">
        <w:t xml:space="preserve">MGRA, Cal Advocates, </w:t>
      </w:r>
      <w:r w:rsidR="002A3B49">
        <w:t>EPUC/</w:t>
      </w:r>
      <w:r w:rsidR="00D573AA">
        <w:t xml:space="preserve">IS, PG&amp;E, SCE, the Sempra Companies, SCE, and TURN. </w:t>
      </w:r>
      <w:r w:rsidR="00D573AA">
        <w:lastRenderedPageBreak/>
        <w:t xml:space="preserve">Reply comments were timely filed by </w:t>
      </w:r>
      <w:r w:rsidR="002A3B49">
        <w:t>EPUC/</w:t>
      </w:r>
      <w:r w:rsidR="00F078D0">
        <w:t xml:space="preserve">IS, MGRA, Cal Advocates, PG&amp;E, SCE, the Sempra Companies, and TURN. </w:t>
      </w:r>
    </w:p>
    <w:p w:rsidR="001657C4" w:rsidP="006E6574" w:rsidRDefault="00F87428" w14:paraId="76101A26" w14:textId="2B559CAF">
      <w:pPr>
        <w:pStyle w:val="Standard"/>
      </w:pPr>
      <w:r w:rsidRPr="008527CA">
        <w:rPr>
          <w:b/>
          <w:bCs/>
        </w:rPr>
        <w:t>Workshop #3</w:t>
      </w:r>
      <w:r>
        <w:t>, held December 18, 2024, addressed Risk Mitigation Accountability Reports (RMARs</w:t>
      </w:r>
      <w:r w:rsidR="000609EA">
        <w:t>).</w:t>
      </w:r>
      <w:r w:rsidR="006650EC">
        <w:t xml:space="preserve"> </w:t>
      </w:r>
      <w:r w:rsidRPr="001A07BF" w:rsidR="006650EC">
        <w:t xml:space="preserve">On </w:t>
      </w:r>
      <w:r w:rsidRPr="001A07BF" w:rsidR="00BE2885">
        <w:t>January 2, 2025, the assigned ALJ issued a rulin</w:t>
      </w:r>
      <w:r w:rsidRPr="001A07BF" w:rsidR="002C4AB4">
        <w:t>g entering Workshop #</w:t>
      </w:r>
      <w:r w:rsidRPr="001A07BF" w:rsidR="000609EA">
        <w:t>3</w:t>
      </w:r>
      <w:r w:rsidRPr="001A07BF" w:rsidR="002C4AB4">
        <w:t xml:space="preserve"> slides and the </w:t>
      </w:r>
      <w:r w:rsidR="00896EF2">
        <w:t xml:space="preserve">Staff </w:t>
      </w:r>
      <w:r w:rsidRPr="001A07BF" w:rsidR="001A07BF">
        <w:t>RMAR Proposal (together, Workshop #3 Materials)</w:t>
      </w:r>
      <w:r w:rsidRPr="001A07BF" w:rsidR="002C4AB4">
        <w:t xml:space="preserve"> into the record and inviting comment on </w:t>
      </w:r>
      <w:r w:rsidR="001A07BF">
        <w:t xml:space="preserve">Workshop #3 Materials. </w:t>
      </w:r>
      <w:r w:rsidR="00BC0389">
        <w:t>Open</w:t>
      </w:r>
      <w:r w:rsidR="009E101E">
        <w:t xml:space="preserve">ing comments were timely filed by </w:t>
      </w:r>
      <w:r w:rsidR="002A3B49">
        <w:t>EPUC/</w:t>
      </w:r>
      <w:r w:rsidR="00CF08F5">
        <w:t xml:space="preserve">IS, Cal Advocates, PG&amp;E, SCE, </w:t>
      </w:r>
      <w:r w:rsidR="008A4F73">
        <w:t>the Sempra Companies, and TURN.</w:t>
      </w:r>
      <w:r w:rsidR="00BD1CB4">
        <w:t xml:space="preserve"> Reply comments were timely filed by Cal Advocates, </w:t>
      </w:r>
      <w:r w:rsidR="002A3B49">
        <w:t>EPUC/</w:t>
      </w:r>
      <w:r w:rsidR="00BD1CB4">
        <w:t xml:space="preserve">IS, PG&amp;E, SCE, the Sempra Companies, and TURN. </w:t>
      </w:r>
    </w:p>
    <w:p w:rsidR="00F56CB7" w:rsidP="00787104" w:rsidRDefault="00F56CB7" w14:paraId="5FB2571C" w14:textId="3BD4CAFC">
      <w:pPr>
        <w:pStyle w:val="Standard"/>
      </w:pPr>
      <w:r>
        <w:t xml:space="preserve">The </w:t>
      </w:r>
      <w:r w:rsidRPr="00AF5CF5">
        <w:rPr>
          <w:b/>
          <w:bCs/>
        </w:rPr>
        <w:t>T</w:t>
      </w:r>
      <w:r w:rsidR="00F6100D">
        <w:rPr>
          <w:b/>
          <w:bCs/>
        </w:rPr>
        <w:t xml:space="preserve">echnical </w:t>
      </w:r>
      <w:r w:rsidRPr="00AF5CF5">
        <w:rPr>
          <w:b/>
          <w:bCs/>
        </w:rPr>
        <w:t>W</w:t>
      </w:r>
      <w:r w:rsidR="00F6100D">
        <w:rPr>
          <w:b/>
          <w:bCs/>
        </w:rPr>
        <w:t xml:space="preserve">orking </w:t>
      </w:r>
      <w:r w:rsidRPr="00AF5CF5">
        <w:rPr>
          <w:b/>
          <w:bCs/>
        </w:rPr>
        <w:t>G</w:t>
      </w:r>
      <w:r w:rsidR="00F6100D">
        <w:rPr>
          <w:b/>
          <w:bCs/>
        </w:rPr>
        <w:t xml:space="preserve">roup </w:t>
      </w:r>
      <w:r w:rsidR="00F6100D">
        <w:t>(TWG)</w:t>
      </w:r>
      <w:r w:rsidRPr="00AF5CF5" w:rsidR="008935CD">
        <w:rPr>
          <w:b/>
          <w:bCs/>
        </w:rPr>
        <w:t>,</w:t>
      </w:r>
      <w:r w:rsidR="008935CD">
        <w:t xml:space="preserve"> established in D</w:t>
      </w:r>
      <w:r w:rsidR="00BB17A0">
        <w:t xml:space="preserve">.21-11-009, </w:t>
      </w:r>
      <w:r w:rsidR="0013334A">
        <w:t xml:space="preserve">was convened by SPD staff on January 24, </w:t>
      </w:r>
      <w:r w:rsidR="00533D21">
        <w:t>January 27, January 28, January 29, and January 30, 2025</w:t>
      </w:r>
      <w:r w:rsidR="007E5612">
        <w:t xml:space="preserve">, to </w:t>
      </w:r>
      <w:r w:rsidR="00387E9D">
        <w:t xml:space="preserve">address </w:t>
      </w:r>
      <w:r w:rsidR="00927DD1">
        <w:t xml:space="preserve">Risk Assessment Mitigation Phase </w:t>
      </w:r>
      <w:r w:rsidR="00C62399">
        <w:t>(</w:t>
      </w:r>
      <w:r w:rsidR="00387E9D">
        <w:t>RAMP</w:t>
      </w:r>
      <w:r w:rsidR="00C62399">
        <w:t>)</w:t>
      </w:r>
      <w:r w:rsidR="00387E9D">
        <w:t xml:space="preserve"> and </w:t>
      </w:r>
      <w:r w:rsidR="006E1C21">
        <w:t>General Rate Case (</w:t>
      </w:r>
      <w:r w:rsidR="00387E9D">
        <w:t>GRC</w:t>
      </w:r>
      <w:r w:rsidR="006E1C21">
        <w:t>)</w:t>
      </w:r>
      <w:r w:rsidR="00387E9D">
        <w:t xml:space="preserve"> Data Templates</w:t>
      </w:r>
      <w:r w:rsidR="0029329C">
        <w:t>.</w:t>
      </w:r>
      <w:r w:rsidR="000237AC">
        <w:t xml:space="preserve"> </w:t>
      </w:r>
      <w:r w:rsidR="00BE2885">
        <w:t xml:space="preserve"> </w:t>
      </w:r>
      <w:r w:rsidRPr="000D5376" w:rsidR="00BE2885">
        <w:t xml:space="preserve">On February </w:t>
      </w:r>
      <w:r w:rsidRPr="000D5376" w:rsidR="00721576">
        <w:t>11, 2025, the assigned ALJ issued a ruling</w:t>
      </w:r>
      <w:r w:rsidR="0056699B">
        <w:t xml:space="preserve"> (TWG Ruling)</w:t>
      </w:r>
      <w:r w:rsidRPr="000D5376" w:rsidR="0009435F">
        <w:t xml:space="preserve"> entering </w:t>
      </w:r>
      <w:r w:rsidRPr="000D5376" w:rsidR="0029329C">
        <w:t xml:space="preserve">the TWG </w:t>
      </w:r>
      <w:r w:rsidRPr="000D5376" w:rsidR="00896EF2">
        <w:t xml:space="preserve">slides, SPD </w:t>
      </w:r>
      <w:r w:rsidRPr="000D5376" w:rsidR="006B3EB4">
        <w:t xml:space="preserve">Staff’s Data Template Guideline, </w:t>
      </w:r>
      <w:r w:rsidRPr="000D5376" w:rsidR="000D1EB5">
        <w:t xml:space="preserve">and SPD Staff Data Template </w:t>
      </w:r>
      <w:r w:rsidRPr="000D5376" w:rsidR="0009435F">
        <w:t>into the record</w:t>
      </w:r>
      <w:r w:rsidR="00201CD5">
        <w:t xml:space="preserve">. </w:t>
      </w:r>
      <w:r w:rsidR="00B45059">
        <w:t>The TWG Ruling</w:t>
      </w:r>
      <w:r w:rsidR="00201CD5">
        <w:t xml:space="preserve"> also directed </w:t>
      </w:r>
      <w:r w:rsidR="00F31DD4">
        <w:t xml:space="preserve">PG&amp;E, SCE, </w:t>
      </w:r>
      <w:r w:rsidR="00C07281">
        <w:t>and the Sempra Companies</w:t>
      </w:r>
      <w:r w:rsidR="007F3570">
        <w:t xml:space="preserve"> (together, Joint IOUs)</w:t>
      </w:r>
      <w:r w:rsidR="00C07281">
        <w:t xml:space="preserve"> to jointly file a summary report of the TWG</w:t>
      </w:r>
      <w:r w:rsidR="0067559A">
        <w:t xml:space="preserve"> by February 18, 2025</w:t>
      </w:r>
      <w:r w:rsidR="00A40E59">
        <w:t>. The</w:t>
      </w:r>
      <w:r w:rsidR="00B45059">
        <w:t xml:space="preserve"> TWG Ruling allowed </w:t>
      </w:r>
      <w:r w:rsidR="00CD41E0">
        <w:t xml:space="preserve">Cal Advocates, </w:t>
      </w:r>
      <w:r w:rsidR="00B45059">
        <w:t xml:space="preserve">PG&amp;E, </w:t>
      </w:r>
      <w:r w:rsidR="00E43B2E">
        <w:t xml:space="preserve">SCE, </w:t>
      </w:r>
      <w:r w:rsidR="00CD41E0">
        <w:t xml:space="preserve">and the Sempra Companies to each file a data template guideline and data template by February 18, 2025. </w:t>
      </w:r>
      <w:r w:rsidR="002E1DED">
        <w:t xml:space="preserve">Finally, the TWG Ruling invited opening and reply comments on </w:t>
      </w:r>
      <w:r w:rsidR="00F9212F">
        <w:t>SPD</w:t>
      </w:r>
      <w:r w:rsidR="00A66568">
        <w:t xml:space="preserve"> Staff’s Data Template Guideline, SPD Staff’s Data Template</w:t>
      </w:r>
      <w:r w:rsidR="00F9212F">
        <w:t xml:space="preserve">, </w:t>
      </w:r>
      <w:r w:rsidR="00787104">
        <w:t xml:space="preserve">the </w:t>
      </w:r>
      <w:r w:rsidR="00F9212F">
        <w:t>TWG summary report, and the respective data template guidelines and data templates</w:t>
      </w:r>
      <w:r w:rsidR="006C1D68">
        <w:t xml:space="preserve"> (</w:t>
      </w:r>
      <w:r w:rsidR="00267A21">
        <w:t>collectively</w:t>
      </w:r>
      <w:r w:rsidR="006C1D68">
        <w:t>, TWG Materials)</w:t>
      </w:r>
      <w:r w:rsidR="00787104">
        <w:t>, by March 4, 2025</w:t>
      </w:r>
      <w:r w:rsidR="00273480">
        <w:t>,</w:t>
      </w:r>
      <w:r w:rsidR="00787104">
        <w:t xml:space="preserve"> and March 10, 2025, respectively.</w:t>
      </w:r>
    </w:p>
    <w:p w:rsidR="00683B2C" w:rsidP="005E2033" w:rsidRDefault="00683B2C" w14:paraId="3B79FCC5" w14:textId="77777777">
      <w:pPr>
        <w:pStyle w:val="Heading2"/>
      </w:pPr>
      <w:bookmarkStart w:name="_Toc204258016" w:id="8"/>
      <w:r w:rsidRPr="005E2033">
        <w:lastRenderedPageBreak/>
        <w:t>Submission</w:t>
      </w:r>
      <w:r>
        <w:t xml:space="preserve"> Date</w:t>
      </w:r>
      <w:bookmarkEnd w:id="8"/>
    </w:p>
    <w:p w:rsidR="00683B2C" w:rsidP="00F13837" w:rsidRDefault="00FB19FD" w14:paraId="7957E1AF" w14:textId="5CB853F4">
      <w:pPr>
        <w:pStyle w:val="Standard"/>
      </w:pPr>
      <w:r>
        <w:t>Phase 4 of this proceeding</w:t>
      </w:r>
      <w:r w:rsidRPr="00FF0265" w:rsidR="00683B2C">
        <w:t xml:space="preserve"> was submitted on </w:t>
      </w:r>
      <w:r w:rsidRPr="00432E3C" w:rsidR="00432E3C">
        <w:t>March 10</w:t>
      </w:r>
      <w:r w:rsidRPr="00432E3C" w:rsidR="004826E0">
        <w:t>, 2025,</w:t>
      </w:r>
      <w:r w:rsidRPr="00FF0265" w:rsidR="00683B2C">
        <w:t xml:space="preserve"> upon</w:t>
      </w:r>
      <w:r>
        <w:t xml:space="preserve"> filing of reply </w:t>
      </w:r>
      <w:r w:rsidR="00471B25">
        <w:t xml:space="preserve">comments on </w:t>
      </w:r>
      <w:r w:rsidR="00F56CB7">
        <w:t xml:space="preserve">the </w:t>
      </w:r>
      <w:r w:rsidR="008B470F">
        <w:t>TWG</w:t>
      </w:r>
      <w:r w:rsidR="00F56CB7">
        <w:t xml:space="preserve"> Materials</w:t>
      </w:r>
      <w:r w:rsidRPr="00FF0265" w:rsidR="00683B2C">
        <w:t>.</w:t>
      </w:r>
    </w:p>
    <w:p w:rsidR="005A148C" w:rsidP="005E2033" w:rsidRDefault="0063491C" w14:paraId="429F23A2" w14:textId="6CCD0DFF">
      <w:pPr>
        <w:pStyle w:val="Heading1"/>
      </w:pPr>
      <w:bookmarkStart w:name="_Toc8123718" w:id="9"/>
      <w:bookmarkStart w:name="_Toc204258017" w:id="10"/>
      <w:r w:rsidRPr="005E2033">
        <w:t>Jurisdiction</w:t>
      </w:r>
      <w:bookmarkEnd w:id="9"/>
      <w:bookmarkEnd w:id="10"/>
    </w:p>
    <w:p w:rsidR="0053071B" w:rsidP="00F35A9B" w:rsidRDefault="0053071B" w14:paraId="23D56B19" w14:textId="4E8E33FA">
      <w:pPr>
        <w:pStyle w:val="Standard"/>
      </w:pPr>
      <w:r w:rsidRPr="0053071B">
        <w:t xml:space="preserve">Sections 451 and 454 </w:t>
      </w:r>
      <w:r w:rsidR="0060012E">
        <w:t>of the Public Utilit</w:t>
      </w:r>
      <w:r w:rsidR="00D3306F">
        <w:t>ies</w:t>
      </w:r>
      <w:r w:rsidR="0060012E">
        <w:t xml:space="preserve"> Code </w:t>
      </w:r>
      <w:r w:rsidRPr="0053071B">
        <w:t>require electric and gas utilities to “promote the safety, health, comfort, and convenience of their patrons, employees, and the public,” while offering “just and reasonable” rates.</w:t>
      </w:r>
    </w:p>
    <w:p w:rsidR="00F35A9B" w:rsidP="00F35A9B" w:rsidRDefault="00F35A9B" w14:paraId="0E064B92" w14:textId="03991C0A">
      <w:pPr>
        <w:pStyle w:val="Standard"/>
      </w:pPr>
      <w:r>
        <w:t>Section 963(b)(3) states “it is the policy of the state that the Commission and each gas corporation place safety of public and gas corporation employees as the top priority,” and that “the Commission shall take all reasonable and appropriate actions necessary to carry out a safety priority policy consistent with the principle of just and reasonable cost-based rates.” Section 961(b)(1) requires gas corporations to develop plans for the safe and reliable operation of facilities that implement Section 963(b)(3) requirements.</w:t>
      </w:r>
    </w:p>
    <w:p w:rsidRPr="0063491C" w:rsidR="0063491C" w:rsidP="00F35A9B" w:rsidRDefault="00F35A9B" w14:paraId="6E26E7DF" w14:textId="7A64AEF6">
      <w:pPr>
        <w:pStyle w:val="Standard"/>
      </w:pPr>
      <w:r>
        <w:t>Section 750 requires the Commission to develop formal procedures to consider safety in a rate case application by an electrical corporation or gas corporation. Section 321.1(b) requires the Commission to “take all necessary and appropriate actions to assess the economic effects of its decisions and to assess and mitigate the impacts of its decisions on customer, public, and employee safety.”</w:t>
      </w:r>
    </w:p>
    <w:p w:rsidR="005A148C" w:rsidP="005E2033" w:rsidRDefault="005939A5" w14:paraId="659A5709" w14:textId="5B211F39">
      <w:pPr>
        <w:pStyle w:val="Heading1"/>
      </w:pPr>
      <w:bookmarkStart w:name="_Toc8123719" w:id="11"/>
      <w:bookmarkStart w:name="_Toc204258018" w:id="12"/>
      <w:r>
        <w:t xml:space="preserve">Issues </w:t>
      </w:r>
      <w:r w:rsidRPr="005E2033">
        <w:t>Before</w:t>
      </w:r>
      <w:r>
        <w:t xml:space="preserve"> the </w:t>
      </w:r>
      <w:bookmarkEnd w:id="11"/>
      <w:r w:rsidR="008A08BF">
        <w:t>Commission</w:t>
      </w:r>
      <w:bookmarkEnd w:id="12"/>
    </w:p>
    <w:p w:rsidR="005939A5" w:rsidP="00A44E8D" w:rsidRDefault="00600B8A" w14:paraId="6D09EC61" w14:textId="35AC1043">
      <w:pPr>
        <w:pStyle w:val="Standard"/>
      </w:pPr>
      <w:r>
        <w:t>Th</w:t>
      </w:r>
      <w:r w:rsidR="00AE30A5">
        <w:t>is decision addresses both Track 1 and Track 2 issues.</w:t>
      </w:r>
      <w:r>
        <w:t xml:space="preserve"> </w:t>
      </w:r>
      <w:r w:rsidR="00AE30A5">
        <w:t>The Phase 4</w:t>
      </w:r>
      <w:r>
        <w:t xml:space="preserve"> issues resolved in this decision are:</w:t>
      </w:r>
    </w:p>
    <w:p w:rsidR="00CC0B44" w:rsidP="00397465" w:rsidRDefault="00CC0B44" w14:paraId="6004A2BD" w14:textId="4E03974D">
      <w:pPr>
        <w:pStyle w:val="ListNum"/>
        <w:ind w:right="1440"/>
      </w:pPr>
      <w:r>
        <w:t xml:space="preserve">How should the </w:t>
      </w:r>
      <w:r w:rsidR="00C1115B">
        <w:t>utilities</w:t>
      </w:r>
      <w:r>
        <w:t xml:space="preserve"> be required to report on their progress in reducing overall residual risk remaining after their respective mitigations have been implemented?</w:t>
      </w:r>
    </w:p>
    <w:p w:rsidR="00CC0B44" w:rsidP="00397465" w:rsidRDefault="00B20644" w14:paraId="75A89F38" w14:textId="0C8627BC">
      <w:pPr>
        <w:pStyle w:val="ListNum"/>
        <w:ind w:right="1440"/>
      </w:pPr>
      <w:r>
        <w:lastRenderedPageBreak/>
        <w:t>How should “scoped work” and “project” be defined for the purposes of the RDF?</w:t>
      </w:r>
    </w:p>
    <w:p w:rsidR="00B20644" w:rsidP="00397465" w:rsidRDefault="008437AD" w14:paraId="3EB5261D" w14:textId="14FB056C">
      <w:pPr>
        <w:pStyle w:val="ListNum"/>
        <w:ind w:right="1440"/>
      </w:pPr>
      <w:r>
        <w:t>What approach or procedure for determining an acceptable amount of overall residual risk that remains on the system after incrementally reducing risk, weighed against the cost of incremental risk reduction</w:t>
      </w:r>
      <w:r w:rsidR="000303EA">
        <w:t xml:space="preserve">, should be adopted for use by the </w:t>
      </w:r>
      <w:r w:rsidR="00C1115B">
        <w:t>utilities</w:t>
      </w:r>
      <w:r w:rsidR="006E080E">
        <w:t>, if any? How should this approach be integrated into the RDF?</w:t>
      </w:r>
    </w:p>
    <w:p w:rsidR="006E080E" w:rsidP="00397465" w:rsidRDefault="00CD5E6B" w14:paraId="442E07F9" w14:textId="2F4ACC36">
      <w:pPr>
        <w:pStyle w:val="ListNum"/>
        <w:ind w:right="1440"/>
      </w:pPr>
      <w:r>
        <w:t>Given the key constraints affecting the selection of mitigations or the portfolio of mitigations adopted by the utilities, how should the utilities optimize the reduction of risk through their prioritization of mitigations?</w:t>
      </w:r>
    </w:p>
    <w:p w:rsidR="00CD5E6B" w:rsidP="00397465" w:rsidRDefault="00CD5E6B" w14:paraId="1AB6A01C" w14:textId="6E05F3E9">
      <w:pPr>
        <w:pStyle w:val="ListNum"/>
        <w:ind w:right="1440"/>
      </w:pPr>
      <w:r>
        <w:t xml:space="preserve">What reporting procedure, if any, should be adopted for use by the utilities </w:t>
      </w:r>
      <w:r w:rsidR="00D74064">
        <w:t>that can compare a utility’s projections of the benefits and costs of the risk mitigation programs? How can such a reporting procedure be integrated into the RDF?</w:t>
      </w:r>
    </w:p>
    <w:p w:rsidR="005C501F" w:rsidP="00397465" w:rsidRDefault="005C501F" w14:paraId="1B4E1A56" w14:textId="319AF595">
      <w:pPr>
        <w:pStyle w:val="ListNum"/>
        <w:ind w:right="1440"/>
      </w:pPr>
      <w:r>
        <w:t xml:space="preserve">Should minor clarifications and corrections be considered for certain key terms (for example: renaming Cost Benefit Ratio to Benefit Cost Ratio, clarifications of the definition of </w:t>
      </w:r>
      <w:r w:rsidR="002F33C0">
        <w:t xml:space="preserve">risk, clarifications to the </w:t>
      </w:r>
      <w:r w:rsidR="00BF5435">
        <w:t>GRC</w:t>
      </w:r>
      <w:r w:rsidR="00614135">
        <w:t xml:space="preserve"> </w:t>
      </w:r>
      <w:r w:rsidR="002F33C0">
        <w:t xml:space="preserve">Forecast Cost Thresholds for Supplemental Analysis to account for </w:t>
      </w:r>
      <w:r w:rsidR="008F2A5C">
        <w:t>4-year</w:t>
      </w:r>
      <w:r w:rsidR="002F33C0">
        <w:t xml:space="preserve"> rate cases)?</w:t>
      </w:r>
    </w:p>
    <w:p w:rsidR="00AE30A5" w:rsidP="00397465" w:rsidRDefault="009E6A38" w14:paraId="74EE5154" w14:textId="539C35DD">
      <w:pPr>
        <w:pStyle w:val="ListNum"/>
        <w:ind w:right="1440"/>
      </w:pPr>
      <w:r>
        <w:t xml:space="preserve">Should the Commission adopt required templates for data presentation for use in the RAMPs as proposed by Cal Advocates? If so, what should </w:t>
      </w:r>
      <w:r w:rsidR="006872A3">
        <w:t>be the information requirements and format of the templates?</w:t>
      </w:r>
    </w:p>
    <w:p w:rsidR="006872A3" w:rsidP="00397465" w:rsidRDefault="006872A3" w14:paraId="2010A966" w14:textId="58740C07">
      <w:pPr>
        <w:pStyle w:val="ListNum"/>
        <w:ind w:right="1440"/>
      </w:pPr>
      <w:r>
        <w:t>What structured method, if any, for collecting and consolidating the more granular project-level data necessary to support the utilities’ proposed risk mitigation projects and show how the utilities determine specific</w:t>
      </w:r>
      <w:r w:rsidR="00714B2A">
        <w:t xml:space="preserve"> targets and forecasts be integrated into the RDF should be adopted for use by the utilities?</w:t>
      </w:r>
    </w:p>
    <w:p w:rsidR="00554C60" w:rsidP="00397465" w:rsidRDefault="000A350E" w14:paraId="4EF94EAE" w14:textId="7958AF84">
      <w:pPr>
        <w:pStyle w:val="Standard"/>
      </w:pPr>
      <w:r>
        <w:t xml:space="preserve">Issue </w:t>
      </w:r>
      <w:r w:rsidR="009B7A31">
        <w:t xml:space="preserve">3 is </w:t>
      </w:r>
      <w:r w:rsidR="001744FB">
        <w:t>deferred to a successor proceeding</w:t>
      </w:r>
      <w:r w:rsidR="00787D60">
        <w:t xml:space="preserve">, </w:t>
      </w:r>
      <w:bookmarkStart w:name="_Hlk203569744" w:id="13"/>
      <w:r w:rsidR="00787D60">
        <w:t xml:space="preserve">which may also address other </w:t>
      </w:r>
      <w:r w:rsidR="3E1DC970">
        <w:t xml:space="preserve">Risk-Based Decision-Making </w:t>
      </w:r>
      <w:r w:rsidR="00787D60">
        <w:t>issues</w:t>
      </w:r>
      <w:bookmarkEnd w:id="13"/>
      <w:r w:rsidR="001744FB">
        <w:t>. All other issues are resolved</w:t>
      </w:r>
      <w:r w:rsidR="000E4F22">
        <w:t>.</w:t>
      </w:r>
      <w:r w:rsidR="008A7A92">
        <w:t xml:space="preserve"> </w:t>
      </w:r>
      <w:r w:rsidR="00582D39">
        <w:t>I</w:t>
      </w:r>
      <w:r w:rsidR="008A7A92">
        <w:t>t is reasonable to close this proceeding.</w:t>
      </w:r>
    </w:p>
    <w:p w:rsidR="003C6465" w:rsidP="003C6465" w:rsidRDefault="003C6465" w14:paraId="44FC4436" w14:textId="77777777">
      <w:pPr>
        <w:pStyle w:val="Heading1"/>
      </w:pPr>
      <w:bookmarkStart w:name="_Toc204258019" w:id="14"/>
      <w:r>
        <w:lastRenderedPageBreak/>
        <w:t>Risk Tolerance</w:t>
      </w:r>
      <w:bookmarkEnd w:id="14"/>
    </w:p>
    <w:p w:rsidR="00136FB4" w:rsidP="00650E07" w:rsidRDefault="00E725FD" w14:paraId="637BB8D3" w14:textId="61E2BFB9">
      <w:pPr>
        <w:pStyle w:val="Standard"/>
      </w:pPr>
      <w:r>
        <w:t>Risk tolerance is</w:t>
      </w:r>
      <w:r w:rsidR="00D90A7A">
        <w:t xml:space="preserve"> </w:t>
      </w:r>
      <w:r w:rsidR="000F5DDD">
        <w:t>the</w:t>
      </w:r>
      <w:r w:rsidR="00463952">
        <w:t xml:space="preserve"> maximum amount of</w:t>
      </w:r>
      <w:r w:rsidR="00D0441E">
        <w:t xml:space="preserve"> overall</w:t>
      </w:r>
      <w:r w:rsidR="000F5DDD">
        <w:t xml:space="preserve"> residual</w:t>
      </w:r>
      <w:r w:rsidR="00463952">
        <w:t xml:space="preserve"> risk </w:t>
      </w:r>
      <w:r w:rsidR="005C21AC">
        <w:t xml:space="preserve">remaining in a system managed by the utilities that is </w:t>
      </w:r>
      <w:r w:rsidR="004555EA">
        <w:t>deemed acceptab</w:t>
      </w:r>
      <w:r w:rsidR="002B0B42">
        <w:t xml:space="preserve">le </w:t>
      </w:r>
      <w:r w:rsidR="005E0211">
        <w:t xml:space="preserve">to ratepayers </w:t>
      </w:r>
      <w:r w:rsidR="000F5DDD">
        <w:t>after</w:t>
      </w:r>
      <w:r w:rsidR="00B64CC2">
        <w:t xml:space="preserve"> implement</w:t>
      </w:r>
      <w:r w:rsidR="003E00B4">
        <w:t>ation of</w:t>
      </w:r>
      <w:r w:rsidR="00B64CC2">
        <w:t xml:space="preserve"> Controls and Mitigations</w:t>
      </w:r>
      <w:r w:rsidR="002B0B42">
        <w:t>,</w:t>
      </w:r>
      <w:r w:rsidR="000A434D">
        <w:t xml:space="preserve"> weighed against the costs needed for that incremental risk reduction.</w:t>
      </w:r>
      <w:r w:rsidR="00975C82">
        <w:t xml:space="preserve"> </w:t>
      </w:r>
      <w:r w:rsidR="00992EE3">
        <w:t xml:space="preserve">The </w:t>
      </w:r>
      <w:r w:rsidR="00614135">
        <w:t>RDF</w:t>
      </w:r>
      <w:r w:rsidR="00992EE3">
        <w:t xml:space="preserve"> tracks residual risk compared to</w:t>
      </w:r>
      <w:r w:rsidR="00794FBC">
        <w:t xml:space="preserve"> the estimated </w:t>
      </w:r>
      <w:r w:rsidR="00614135">
        <w:t>GRC</w:t>
      </w:r>
      <w:r w:rsidR="00794FBC">
        <w:t xml:space="preserve"> Test Year Baseline Risk</w:t>
      </w:r>
      <w:r w:rsidR="005C2ABA">
        <w:t xml:space="preserve"> presented in a given </w:t>
      </w:r>
      <w:r w:rsidR="00614135">
        <w:t xml:space="preserve">RAMP </w:t>
      </w:r>
      <w:r w:rsidR="005B436C">
        <w:t>or GRC filing.</w:t>
      </w:r>
      <w:r w:rsidR="00992EE3">
        <w:t xml:space="preserve"> </w:t>
      </w:r>
      <w:r w:rsidR="00975C82">
        <w:t>Overall residual risk is the to</w:t>
      </w:r>
      <w:r w:rsidR="00995477">
        <w:t>t</w:t>
      </w:r>
      <w:r w:rsidR="00975C82">
        <w:t xml:space="preserve">al risk managed by the utility, </w:t>
      </w:r>
      <w:r w:rsidR="00995477">
        <w:t xml:space="preserve">not merely the residual risk presented in a single </w:t>
      </w:r>
      <w:r w:rsidR="00116DF9">
        <w:t xml:space="preserve">RAMP or </w:t>
      </w:r>
      <w:r w:rsidR="005B436C">
        <w:t>GRC</w:t>
      </w:r>
      <w:r w:rsidR="00116DF9">
        <w:t xml:space="preserve"> filing. </w:t>
      </w:r>
      <w:r w:rsidR="000F016B">
        <w:t>As things stand, risk tolerance is implied by</w:t>
      </w:r>
      <w:r w:rsidR="00674ABC">
        <w:t xml:space="preserve"> the set of</w:t>
      </w:r>
      <w:r w:rsidR="000F016B">
        <w:t xml:space="preserve"> </w:t>
      </w:r>
      <w:r w:rsidR="008703F6">
        <w:t>mitigations proposed by the utilities</w:t>
      </w:r>
      <w:r w:rsidR="00CF055A">
        <w:t xml:space="preserve">, is not made explicit, and does not reflect the preferences of ratepayers or Californians more broadly. </w:t>
      </w:r>
      <w:r w:rsidR="00553981">
        <w:t xml:space="preserve">The development of a risk tolerance standard will </w:t>
      </w:r>
      <w:r w:rsidRPr="00650E07" w:rsidR="00553981">
        <w:t>allo</w:t>
      </w:r>
      <w:r w:rsidRPr="00650E07" w:rsidR="00FF5EB7">
        <w:t>w the</w:t>
      </w:r>
      <w:r w:rsidR="00FF5EB7">
        <w:t xml:space="preserve"> Commission to answer the question </w:t>
      </w:r>
      <w:r w:rsidR="00FB1444">
        <w:t>of how much risk reduction is sufficient</w:t>
      </w:r>
      <w:r w:rsidR="00650E07">
        <w:t>,</w:t>
      </w:r>
      <w:r w:rsidR="00FB1444">
        <w:t xml:space="preserve"> given </w:t>
      </w:r>
      <w:r w:rsidR="00650E07">
        <w:t>the cost of that risk reduction</w:t>
      </w:r>
      <w:r w:rsidR="00FD687D">
        <w:t xml:space="preserve">, and allow the Commission to appropriately weigh </w:t>
      </w:r>
      <w:r w:rsidR="001B6CBE">
        <w:t>safety and affordability.</w:t>
      </w:r>
    </w:p>
    <w:p w:rsidR="00B23BFF" w:rsidP="00397465" w:rsidRDefault="008D7F93" w14:paraId="71C10B8F" w14:textId="724D6E5F">
      <w:pPr>
        <w:pStyle w:val="Heading2"/>
      </w:pPr>
      <w:bookmarkStart w:name="_Toc204258020" w:id="15"/>
      <w:r>
        <w:t>SPD Staff Recommendations on Risk Tolerance</w:t>
      </w:r>
      <w:bookmarkEnd w:id="15"/>
      <w:r>
        <w:t xml:space="preserve"> </w:t>
      </w:r>
    </w:p>
    <w:p w:rsidR="00FE4F01" w:rsidP="00490694" w:rsidRDefault="006C3F50" w14:paraId="7A440846" w14:textId="18FF0C51">
      <w:pPr>
        <w:pStyle w:val="Standard"/>
      </w:pPr>
      <w:r>
        <w:t>SPD Staff’s Risk Tolerance Proposal</w:t>
      </w:r>
      <w:r w:rsidR="00CE48B8">
        <w:t xml:space="preserve">, which </w:t>
      </w:r>
      <w:r w:rsidR="002A446E">
        <w:t xml:space="preserve">also </w:t>
      </w:r>
      <w:r w:rsidR="00CE48B8">
        <w:t xml:space="preserve">discusses </w:t>
      </w:r>
      <w:r w:rsidR="008E555F">
        <w:t>overall residual risk</w:t>
      </w:r>
      <w:r w:rsidR="002A446E">
        <w:t xml:space="preserve"> and </w:t>
      </w:r>
      <w:r w:rsidR="008E555F">
        <w:t>simple optimization,</w:t>
      </w:r>
      <w:r w:rsidR="002A446E">
        <w:t xml:space="preserve"> provides a conceptual overview of the issues related to risk tolerance and provides a number of recommendations. </w:t>
      </w:r>
      <w:r w:rsidR="00A26F18">
        <w:t xml:space="preserve">On the topic of risk tolerance, SPD </w:t>
      </w:r>
      <w:r w:rsidR="00340D2C">
        <w:t xml:space="preserve">staff </w:t>
      </w:r>
      <w:r w:rsidR="00A26F18">
        <w:t xml:space="preserve">recommends </w:t>
      </w:r>
      <w:r w:rsidR="00982020">
        <w:t>the following</w:t>
      </w:r>
      <w:r w:rsidR="002F3082">
        <w:t xml:space="preserve">. First, </w:t>
      </w:r>
      <w:r w:rsidR="00A70874">
        <w:t>SPD staff recommends r</w:t>
      </w:r>
      <w:r w:rsidR="00982020">
        <w:t xml:space="preserve">equiring the use of probability distributions </w:t>
      </w:r>
      <w:r w:rsidR="002A6B64">
        <w:t xml:space="preserve">in </w:t>
      </w:r>
      <w:r w:rsidR="00C35DA0">
        <w:t xml:space="preserve">risk modeling, including in the presentation </w:t>
      </w:r>
      <w:r w:rsidR="002C06A4">
        <w:t xml:space="preserve">in the RDF </w:t>
      </w:r>
      <w:r w:rsidR="00C35DA0">
        <w:t>of Likelihood of Risk Events (LoRE), Consequence of Risk Events (CoRE), and Risk</w:t>
      </w:r>
      <w:r w:rsidR="005625CD">
        <w:t>.</w:t>
      </w:r>
      <w:r w:rsidR="00055C2F">
        <w:rPr>
          <w:rStyle w:val="FootnoteReference"/>
        </w:rPr>
        <w:footnoteReference w:id="4"/>
      </w:r>
      <w:r w:rsidR="009F47FB">
        <w:t xml:space="preserve"> </w:t>
      </w:r>
      <w:r w:rsidR="00C54555">
        <w:t xml:space="preserve">SPD staff </w:t>
      </w:r>
      <w:r w:rsidR="00F05DFD">
        <w:t xml:space="preserve">provide examples </w:t>
      </w:r>
      <w:r w:rsidR="00720880">
        <w:t>of how single-number risk</w:t>
      </w:r>
      <w:r w:rsidR="00705DFB">
        <w:t xml:space="preserve"> scores</w:t>
      </w:r>
      <w:r w:rsidR="00894863">
        <w:t xml:space="preserve"> lead to systematic errors</w:t>
      </w:r>
      <w:r w:rsidR="00A36408">
        <w:t xml:space="preserve"> in reasoning</w:t>
      </w:r>
      <w:r w:rsidR="00894863">
        <w:t>.</w:t>
      </w:r>
      <w:r w:rsidR="00894863">
        <w:rPr>
          <w:rStyle w:val="FootnoteReference"/>
        </w:rPr>
        <w:footnoteReference w:id="5"/>
      </w:r>
    </w:p>
    <w:p w:rsidR="00982020" w:rsidP="00FE4F01" w:rsidRDefault="009F47FB" w14:paraId="46C8FA16" w14:textId="4905AA6E">
      <w:pPr>
        <w:pStyle w:val="Standard"/>
      </w:pPr>
      <w:r>
        <w:lastRenderedPageBreak/>
        <w:t xml:space="preserve">SPD </w:t>
      </w:r>
      <w:r w:rsidR="004D2F14">
        <w:t xml:space="preserve">staff </w:t>
      </w:r>
      <w:r>
        <w:t>recommends</w:t>
      </w:r>
      <w:r w:rsidR="004D2F14">
        <w:t xml:space="preserve"> updates to the following </w:t>
      </w:r>
      <w:r w:rsidR="002972EA">
        <w:t>component</w:t>
      </w:r>
      <w:r w:rsidR="008D271D">
        <w:t xml:space="preserve"> </w:t>
      </w:r>
      <w:r w:rsidR="004D2F14">
        <w:t xml:space="preserve">definitions </w:t>
      </w:r>
      <w:r w:rsidR="008D271D">
        <w:t>of LoRE and CoRE</w:t>
      </w:r>
      <w:r w:rsidR="004D2F14">
        <w:t xml:space="preserve"> in the RDF</w:t>
      </w:r>
      <w:r w:rsidR="00DC5659">
        <w:t xml:space="preserve"> to better incorporate the use of probability distributions</w:t>
      </w:r>
      <w:r w:rsidR="00950900">
        <w:t xml:space="preserve"> (language </w:t>
      </w:r>
      <w:r w:rsidR="00A75179">
        <w:t>additions</w:t>
      </w:r>
      <w:r w:rsidR="00950900">
        <w:t xml:space="preserve"> </w:t>
      </w:r>
      <w:r w:rsidR="00F5310A">
        <w:t xml:space="preserve">in </w:t>
      </w:r>
      <w:r w:rsidR="00F5310A">
        <w:rPr>
          <w:i/>
          <w:iCs/>
        </w:rPr>
        <w:t>italics</w:t>
      </w:r>
      <w:r w:rsidR="00AB4C75">
        <w:t xml:space="preserve">, deletions in </w:t>
      </w:r>
      <w:r w:rsidRPr="00A75179" w:rsidR="00AB4C75">
        <w:rPr>
          <w:strike/>
        </w:rPr>
        <w:t>strikethrough</w:t>
      </w:r>
      <w:r w:rsidR="00F5310A">
        <w:t>)</w:t>
      </w:r>
      <w:r w:rsidR="004D2F14">
        <w:t>:</w:t>
      </w:r>
    </w:p>
    <w:p w:rsidR="004D2F14" w:rsidP="005E2033" w:rsidRDefault="007C2FEA" w14:paraId="46407E67" w14:textId="66552621">
      <w:pPr>
        <w:pStyle w:val="ListBullet"/>
        <w:ind w:right="1440"/>
      </w:pPr>
      <w:r w:rsidRPr="000C2A27">
        <w:t>Consequence</w:t>
      </w:r>
      <w:r>
        <w:t xml:space="preserve"> (or </w:t>
      </w:r>
      <w:r w:rsidRPr="000C2A27">
        <w:t>Impact</w:t>
      </w:r>
      <w:r>
        <w:t xml:space="preserve">): the effect of the occurrence of a Risk Event. </w:t>
      </w:r>
      <w:r w:rsidRPr="005E2033">
        <w:t>Consequences</w:t>
      </w:r>
      <w:r>
        <w:t xml:space="preserve"> affect Attributes of a Cost</w:t>
      </w:r>
      <w:r w:rsidR="00950900">
        <w:t xml:space="preserve">-Benefit Approach </w:t>
      </w:r>
      <w:r w:rsidRPr="00493A8E" w:rsidR="00950900">
        <w:rPr>
          <w:i/>
          <w:iCs/>
        </w:rPr>
        <w:t>and can be presented in the natural units of the attribute or monetized.</w:t>
      </w:r>
      <w:r w:rsidR="00950900">
        <w:t xml:space="preserve"> </w:t>
      </w:r>
      <w:r w:rsidR="00F5310A">
        <w:rPr>
          <w:i/>
          <w:iCs/>
        </w:rPr>
        <w:t>Consequence is represented as a probability distribution.</w:t>
      </w:r>
    </w:p>
    <w:p w:rsidRPr="00770F39" w:rsidR="00F5310A" w:rsidP="00397465" w:rsidRDefault="00F5310A" w14:paraId="29377771" w14:textId="619CCFAC">
      <w:pPr>
        <w:pStyle w:val="ListBullet"/>
        <w:ind w:right="1440"/>
      </w:pPr>
      <w:r w:rsidRPr="000C2A27">
        <w:t>Likelihood</w:t>
      </w:r>
      <w:r w:rsidR="00AB4C75">
        <w:t xml:space="preserve"> or </w:t>
      </w:r>
      <w:r w:rsidRPr="000C2A27" w:rsidR="00AB4C75">
        <w:t>Probability</w:t>
      </w:r>
      <w:r w:rsidR="00AB4C75">
        <w:t>: the chance that an event will occur</w:t>
      </w:r>
      <w:r w:rsidR="00D62EDE">
        <w:t xml:space="preserve">, quantified as a number between 0% and 100% (where 0% indicates impossibility and 100% indicates certainty). The higher the Probability of an event, the more </w:t>
      </w:r>
      <w:r w:rsidR="00974823">
        <w:t xml:space="preserve">certain we are that the event will occur. </w:t>
      </w:r>
      <w:r w:rsidR="00974823">
        <w:rPr>
          <w:i/>
          <w:iCs/>
        </w:rPr>
        <w:t>Likelihood of an event will be represented in simulation models as a distribution of zeros and ones whose average is the chance that the event will occur.</w:t>
      </w:r>
    </w:p>
    <w:p w:rsidR="00770F39" w:rsidP="00397465" w:rsidRDefault="00770F39" w14:paraId="4927120E" w14:textId="79173B9F">
      <w:pPr>
        <w:pStyle w:val="ListBullet"/>
        <w:ind w:right="1440"/>
      </w:pPr>
      <w:r w:rsidRPr="000C2A27">
        <w:rPr>
          <w:i/>
          <w:iCs/>
        </w:rPr>
        <w:t>Probability Distribution</w:t>
      </w:r>
      <w:r>
        <w:rPr>
          <w:i/>
          <w:iCs/>
        </w:rPr>
        <w:t xml:space="preserve">: the range and chance that a set of </w:t>
      </w:r>
      <w:r w:rsidR="0029335B">
        <w:rPr>
          <w:i/>
          <w:iCs/>
        </w:rPr>
        <w:t>outcomes occurs, as used within datasets and model results.</w:t>
      </w:r>
    </w:p>
    <w:p w:rsidR="00D52B66" w:rsidP="00397465" w:rsidRDefault="00D52B66" w14:paraId="071A8104" w14:textId="03D658D2">
      <w:pPr>
        <w:pStyle w:val="ListBullet"/>
        <w:ind w:right="1440"/>
      </w:pPr>
      <w:r w:rsidRPr="000C2A27">
        <w:t>Risk</w:t>
      </w:r>
      <w:r>
        <w:t xml:space="preserve">: the potential for the occurrence of an event that would be desirable to avoid, </w:t>
      </w:r>
      <w:r w:rsidRPr="00F9561E" w:rsidR="00F9561E">
        <w:rPr>
          <w:strike/>
        </w:rPr>
        <w:t>often</w:t>
      </w:r>
      <w:r w:rsidRPr="0052356D" w:rsidR="00F9561E">
        <w:t xml:space="preserve"> </w:t>
      </w:r>
      <w:r w:rsidR="00F9561E">
        <w:t>express</w:t>
      </w:r>
      <w:r w:rsidR="0052356D">
        <w:t>ed in terms of a combination of various Outcomes of an adverse event and their associated Probabilities</w:t>
      </w:r>
      <w:r w:rsidR="00B67713">
        <w:t xml:space="preserve">. </w:t>
      </w:r>
      <w:r w:rsidR="00B67713">
        <w:rPr>
          <w:i/>
          <w:iCs/>
        </w:rPr>
        <w:t xml:space="preserve">Risk is the product of LoRE and CoRE and represented as a probability distribution. </w:t>
      </w:r>
    </w:p>
    <w:p w:rsidR="00244B46" w:rsidP="00244B46" w:rsidRDefault="00244B46" w14:paraId="23B6FB73" w14:textId="55B3AEA0">
      <w:pPr>
        <w:pStyle w:val="Standard"/>
      </w:pPr>
      <w:r>
        <w:t xml:space="preserve">SPD staff also recommends </w:t>
      </w:r>
      <w:r w:rsidR="00F13280">
        <w:t xml:space="preserve">the following changes to </w:t>
      </w:r>
      <w:r w:rsidR="00F11A08">
        <w:t xml:space="preserve">Rows 10, 11, and 13 of </w:t>
      </w:r>
      <w:r w:rsidR="00F13280">
        <w:t xml:space="preserve">the </w:t>
      </w:r>
      <w:r w:rsidR="00463CE2">
        <w:t>RDF</w:t>
      </w:r>
      <w:r w:rsidR="00463CE2">
        <w:rPr>
          <w:rStyle w:val="FootnoteReference"/>
        </w:rPr>
        <w:footnoteReference w:id="6"/>
      </w:r>
      <w:r w:rsidR="00F11A08">
        <w:t xml:space="preserve"> (language additions in </w:t>
      </w:r>
      <w:r w:rsidR="00F11A08">
        <w:rPr>
          <w:i/>
          <w:iCs/>
        </w:rPr>
        <w:t>italics</w:t>
      </w:r>
      <w:r w:rsidR="00F11A08">
        <w:t xml:space="preserve">, deletions in </w:t>
      </w:r>
      <w:r w:rsidRPr="00A75179" w:rsidR="00F11A08">
        <w:rPr>
          <w:strike/>
        </w:rPr>
        <w:t>strikethrough</w:t>
      </w:r>
      <w:r w:rsidR="00F11A08">
        <w:t>):</w:t>
      </w:r>
    </w:p>
    <w:tbl>
      <w:tblPr>
        <w:tblStyle w:val="TableGrid"/>
        <w:tblW w:w="0" w:type="auto"/>
        <w:tblLook w:val="04A0" w:firstRow="1" w:lastRow="0" w:firstColumn="1" w:lastColumn="0" w:noHBand="0" w:noVBand="1"/>
      </w:tblPr>
      <w:tblGrid>
        <w:gridCol w:w="715"/>
        <w:gridCol w:w="2160"/>
        <w:gridCol w:w="6475"/>
      </w:tblGrid>
      <w:tr w:rsidR="003A39E7" w:rsidTr="00197376" w14:paraId="01C323C4" w14:textId="77777777">
        <w:tc>
          <w:tcPr>
            <w:tcW w:w="715" w:type="dxa"/>
          </w:tcPr>
          <w:p w:rsidRPr="000B0C4E" w:rsidR="003A39E7" w:rsidP="00CE28C9" w:rsidRDefault="003A39E7" w14:paraId="489274CA" w14:textId="14ECDD6E">
            <w:pPr>
              <w:pStyle w:val="TableText"/>
              <w:rPr>
                <w:szCs w:val="26"/>
              </w:rPr>
            </w:pPr>
            <w:r w:rsidRPr="00CE28C9">
              <w:rPr>
                <w:sz w:val="26"/>
                <w:szCs w:val="26"/>
              </w:rPr>
              <w:t xml:space="preserve">10. </w:t>
            </w:r>
          </w:p>
        </w:tc>
        <w:tc>
          <w:tcPr>
            <w:tcW w:w="2160" w:type="dxa"/>
          </w:tcPr>
          <w:p w:rsidRPr="000B0C4E" w:rsidR="003A39E7" w:rsidP="00CE28C9" w:rsidRDefault="003A39E7" w14:paraId="35975235" w14:textId="6D92D6A8">
            <w:pPr>
              <w:pStyle w:val="TableText"/>
              <w:rPr>
                <w:szCs w:val="26"/>
              </w:rPr>
            </w:pPr>
            <w:r w:rsidRPr="00CE28C9">
              <w:rPr>
                <w:sz w:val="26"/>
                <w:szCs w:val="26"/>
              </w:rPr>
              <w:t xml:space="preserve">Identification of </w:t>
            </w:r>
            <w:r w:rsidRPr="00CE28C9" w:rsidR="00197376">
              <w:rPr>
                <w:sz w:val="26"/>
                <w:szCs w:val="26"/>
              </w:rPr>
              <w:t xml:space="preserve">Potential Consequences of </w:t>
            </w:r>
            <w:r w:rsidRPr="00CE28C9" w:rsidR="008A4517">
              <w:rPr>
                <w:sz w:val="26"/>
                <w:szCs w:val="26"/>
              </w:rPr>
              <w:t>Risk Event</w:t>
            </w:r>
          </w:p>
        </w:tc>
        <w:tc>
          <w:tcPr>
            <w:tcW w:w="6475" w:type="dxa"/>
          </w:tcPr>
          <w:p w:rsidR="003A39E7" w:rsidP="00CE28C9" w:rsidRDefault="008A4517" w14:paraId="09399984" w14:textId="24C2AA43">
            <w:pPr>
              <w:pStyle w:val="TableText"/>
            </w:pPr>
            <w:r w:rsidRPr="008A4517">
              <w:t xml:space="preserve">The identified potential Consequences of a Risk Event should reflect the unique characteristics of the utility </w:t>
            </w:r>
            <w:r w:rsidRPr="00DD164B">
              <w:rPr>
                <w:i/>
                <w:iCs/>
              </w:rPr>
              <w:t>and will be represented as a probability distribution</w:t>
            </w:r>
            <w:r w:rsidRPr="008A4517">
              <w:t xml:space="preserve">. For each enterprise risk, the utility will use actual results, available and appropriate data (e.g., Pipeline and Hazardous Materials Safety Administration data), and/or Subject Matter Experts (SMEs) to identify potential Consequences of the Risk Event, consistent with the Cost-Benefit Approach developed in Step 1A. The utility should </w:t>
            </w:r>
            <w:r w:rsidRPr="008A4517">
              <w:lastRenderedPageBreak/>
              <w:t xml:space="preserve">use utility-specific data, if available. If data that is specific to the utility is not available, the utility must supplement its analysis with subject matter expertise. Similarly, if data reflecting past results are used, that data must be supplemented by SME judgment that considers the Benefits of any Mitigations that are expected to be implemented prior to the GRC period under review in the RAMP submission. </w:t>
            </w:r>
            <w:r w:rsidRPr="00DD164B">
              <w:rPr>
                <w:i/>
                <w:iCs/>
              </w:rPr>
              <w:t>For each enterprise risk, the utility must</w:t>
            </w:r>
            <w:r w:rsidRPr="008A4517">
              <w:t xml:space="preserve"> </w:t>
            </w:r>
            <w:r w:rsidRPr="00DD164B">
              <w:rPr>
                <w:i/>
                <w:iCs/>
              </w:rPr>
              <w:t>explain how they derived the probability distribution for Consequence of a Risk Event.</w:t>
            </w:r>
          </w:p>
        </w:tc>
      </w:tr>
      <w:tr w:rsidR="003A39E7" w:rsidTr="00197376" w14:paraId="527C8000" w14:textId="77777777">
        <w:tc>
          <w:tcPr>
            <w:tcW w:w="715" w:type="dxa"/>
          </w:tcPr>
          <w:p w:rsidRPr="000B0C4E" w:rsidR="003A39E7" w:rsidP="00CE28C9" w:rsidRDefault="00DD164B" w14:paraId="363FBC45" w14:textId="4C1F33C9">
            <w:pPr>
              <w:pStyle w:val="TableText"/>
              <w:rPr>
                <w:szCs w:val="26"/>
              </w:rPr>
            </w:pPr>
            <w:r w:rsidRPr="00CE28C9">
              <w:rPr>
                <w:sz w:val="26"/>
                <w:szCs w:val="26"/>
              </w:rPr>
              <w:lastRenderedPageBreak/>
              <w:t>11.</w:t>
            </w:r>
          </w:p>
        </w:tc>
        <w:tc>
          <w:tcPr>
            <w:tcW w:w="2160" w:type="dxa"/>
          </w:tcPr>
          <w:p w:rsidRPr="000B0C4E" w:rsidR="003A39E7" w:rsidP="00CE28C9" w:rsidRDefault="00DD164B" w14:paraId="46266109" w14:textId="2503A070">
            <w:pPr>
              <w:pStyle w:val="TableText"/>
              <w:rPr>
                <w:szCs w:val="26"/>
              </w:rPr>
            </w:pPr>
            <w:r w:rsidRPr="00CE28C9">
              <w:rPr>
                <w:sz w:val="26"/>
                <w:szCs w:val="26"/>
              </w:rPr>
              <w:t xml:space="preserve">Identity of the </w:t>
            </w:r>
            <w:r w:rsidRPr="00CE28C9">
              <w:rPr>
                <w:strike/>
                <w:sz w:val="26"/>
                <w:szCs w:val="26"/>
              </w:rPr>
              <w:t>Frequency</w:t>
            </w:r>
            <w:r w:rsidRPr="00CE28C9" w:rsidR="008E1CD7">
              <w:rPr>
                <w:sz w:val="26"/>
                <w:szCs w:val="26"/>
              </w:rPr>
              <w:t xml:space="preserve"> </w:t>
            </w:r>
            <w:r w:rsidRPr="00CE28C9" w:rsidR="008E1CD7">
              <w:rPr>
                <w:i/>
                <w:iCs/>
                <w:sz w:val="26"/>
                <w:szCs w:val="26"/>
              </w:rPr>
              <w:t>Likelihood</w:t>
            </w:r>
            <w:r w:rsidRPr="00CE28C9" w:rsidR="008E1CD7">
              <w:rPr>
                <w:sz w:val="26"/>
                <w:szCs w:val="26"/>
              </w:rPr>
              <w:t xml:space="preserve"> of the Risk Event</w:t>
            </w:r>
          </w:p>
        </w:tc>
        <w:tc>
          <w:tcPr>
            <w:tcW w:w="6475" w:type="dxa"/>
          </w:tcPr>
          <w:p w:rsidR="0043065E" w:rsidP="00CE28C9" w:rsidRDefault="0043065E" w14:paraId="331368A4" w14:textId="77777777">
            <w:pPr>
              <w:pStyle w:val="TableText"/>
            </w:pPr>
            <w:r>
              <w:t xml:space="preserve">The identified </w:t>
            </w:r>
            <w:r w:rsidRPr="0043065E">
              <w:rPr>
                <w:strike/>
              </w:rPr>
              <w:t>Frequency</w:t>
            </w:r>
            <w:r>
              <w:t xml:space="preserve"> </w:t>
            </w:r>
            <w:r w:rsidRPr="0043065E">
              <w:t>Likelihood</w:t>
            </w:r>
            <w:r>
              <w:t xml:space="preserve"> of a Risk Event should reflect the unique characteristics of the utility </w:t>
            </w:r>
            <w:r w:rsidRPr="0043065E">
              <w:t>and will be represented in simulation models as a distribution of zeros and ones. Likelihood of a Risk Event is the average of the distribution of the ones and zeroes. Frequency is the number of risk events over a defined period based on likelihood and can be presented for readability.</w:t>
            </w:r>
            <w:r>
              <w:t xml:space="preserve"> For each enterprise risk, the utility will use actual results and/or SME input to determine the annual Frequency of the Risk Event. The utility should use utility- specific data, if available. If data that is specific to the utility is not available, the utility must supplement its analysis with subject matter expertise. In addition, if data reflecting past results are used, that data must be supplemented by SME judgment that considers the Benefits of any Mitigations that are expected to be implemented prior to the GRC period under review in the RAMP submission.</w:t>
            </w:r>
          </w:p>
          <w:p w:rsidR="00CA7934" w:rsidP="00CE28C9" w:rsidRDefault="00CA7934" w14:paraId="39274813" w14:textId="77777777">
            <w:pPr>
              <w:pStyle w:val="TableText"/>
            </w:pPr>
          </w:p>
          <w:p w:rsidR="0043065E" w:rsidP="00CE28C9" w:rsidRDefault="0043065E" w14:paraId="0AA21BDF" w14:textId="77777777">
            <w:pPr>
              <w:pStyle w:val="TableText"/>
            </w:pPr>
            <w:r w:rsidRPr="00EC0D41">
              <w:rPr>
                <w:i/>
                <w:iCs/>
              </w:rPr>
              <w:t>For each enterprise risk, the utility must explain how they derived the probability distribution for Likelihood of a Risk Event</w:t>
            </w:r>
            <w:r>
              <w:t>.</w:t>
            </w:r>
          </w:p>
          <w:p w:rsidR="00CA7934" w:rsidP="00CE28C9" w:rsidRDefault="00CA7934" w14:paraId="35A2112A" w14:textId="77777777">
            <w:pPr>
              <w:pStyle w:val="TableText"/>
            </w:pPr>
          </w:p>
          <w:p w:rsidR="0043065E" w:rsidP="00CE28C9" w:rsidRDefault="0043065E" w14:paraId="0813E7A6" w14:textId="77777777">
            <w:pPr>
              <w:pStyle w:val="TableText"/>
            </w:pPr>
            <w:r>
              <w:t xml:space="preserve">The utility will consider all known relevant Drivers when specifying the </w:t>
            </w:r>
            <w:r w:rsidRPr="00EC0D41">
              <w:rPr>
                <w:strike/>
              </w:rPr>
              <w:t>Frequency</w:t>
            </w:r>
            <w:r>
              <w:t xml:space="preserve"> </w:t>
            </w:r>
            <w:r w:rsidRPr="00EC0D41">
              <w:rPr>
                <w:i/>
                <w:iCs/>
              </w:rPr>
              <w:t>Likelihood</w:t>
            </w:r>
            <w:r>
              <w:t xml:space="preserve"> of a Risk Event.</w:t>
            </w:r>
          </w:p>
          <w:p w:rsidR="00CA7934" w:rsidP="00CE28C9" w:rsidRDefault="00CA7934" w14:paraId="27D47AFF" w14:textId="77777777">
            <w:pPr>
              <w:pStyle w:val="TableText"/>
            </w:pPr>
          </w:p>
          <w:p w:rsidR="003A39E7" w:rsidP="00CE28C9" w:rsidRDefault="0043065E" w14:paraId="49656911" w14:textId="7DA016DC">
            <w:pPr>
              <w:pStyle w:val="TableText"/>
            </w:pPr>
            <w:r>
              <w:t>Drivers should reflect current and/or forecasted conditions and may include both external actions as well as characteristics inherent to the asset. For example, where applicable, Drivers may include the presence of corrosion, vegetation, dig-ins, earthquakes, windstorms, or the location of a pipe in an area with a higher likelihood of dig-ins.</w:t>
            </w:r>
          </w:p>
        </w:tc>
      </w:tr>
      <w:tr w:rsidR="003A39E7" w:rsidTr="00197376" w14:paraId="0814BDBA" w14:textId="77777777">
        <w:tc>
          <w:tcPr>
            <w:tcW w:w="715" w:type="dxa"/>
          </w:tcPr>
          <w:p w:rsidRPr="000B0C4E" w:rsidR="003A39E7" w:rsidP="00CE28C9" w:rsidRDefault="00EC0D41" w14:paraId="0D475D24" w14:textId="79DA5A35">
            <w:pPr>
              <w:pStyle w:val="TableText"/>
              <w:rPr>
                <w:szCs w:val="26"/>
              </w:rPr>
            </w:pPr>
            <w:r w:rsidRPr="00CE28C9">
              <w:rPr>
                <w:sz w:val="26"/>
                <w:szCs w:val="26"/>
              </w:rPr>
              <w:t>13.</w:t>
            </w:r>
          </w:p>
        </w:tc>
        <w:tc>
          <w:tcPr>
            <w:tcW w:w="2160" w:type="dxa"/>
          </w:tcPr>
          <w:p w:rsidRPr="000B0C4E" w:rsidR="003A39E7" w:rsidP="00CE28C9" w:rsidRDefault="00EC0D41" w14:paraId="05CCD917" w14:textId="79E6B72C">
            <w:pPr>
              <w:pStyle w:val="TableText"/>
              <w:rPr>
                <w:szCs w:val="26"/>
              </w:rPr>
            </w:pPr>
            <w:r w:rsidRPr="00CE28C9">
              <w:rPr>
                <w:sz w:val="26"/>
                <w:szCs w:val="26"/>
              </w:rPr>
              <w:t>Calculation of Risk</w:t>
            </w:r>
          </w:p>
        </w:tc>
        <w:tc>
          <w:tcPr>
            <w:tcW w:w="6475" w:type="dxa"/>
          </w:tcPr>
          <w:p w:rsidR="003A39E7" w:rsidP="00CE28C9" w:rsidRDefault="00FE7491" w14:paraId="1EB104E0" w14:textId="2DF867C8">
            <w:pPr>
              <w:pStyle w:val="TableText"/>
            </w:pPr>
            <w:r>
              <w:t xml:space="preserve">For purposes of the Step 3 analysis </w:t>
            </w:r>
            <w:r w:rsidRPr="00FE7491">
              <w:rPr>
                <w:i/>
                <w:iCs/>
              </w:rPr>
              <w:t>for each enterprise risk assessed in the RAMP</w:t>
            </w:r>
            <w:r>
              <w:t xml:space="preserve">, pre- and post-mitigation risk will be calculated by multiplying the </w:t>
            </w:r>
            <w:r w:rsidRPr="00FE7491">
              <w:rPr>
                <w:i/>
                <w:iCs/>
              </w:rPr>
              <w:t>probability distribution representing</w:t>
            </w:r>
            <w:r>
              <w:t xml:space="preserve"> Likelihood of a Risk Event (LoRE) by the </w:t>
            </w:r>
            <w:r w:rsidRPr="00F07031">
              <w:rPr>
                <w:i/>
                <w:iCs/>
              </w:rPr>
              <w:t>probability distribution of</w:t>
            </w:r>
            <w:r>
              <w:t xml:space="preserve"> Consequences of a Risk Event (CoRE) </w:t>
            </w:r>
            <w:r w:rsidRPr="00F07031">
              <w:rPr>
                <w:i/>
                <w:iCs/>
              </w:rPr>
              <w:t>and be represented as a probability distribution</w:t>
            </w:r>
            <w:r>
              <w:t xml:space="preserve">. The CoRE is the sum of each of the </w:t>
            </w:r>
            <w:r w:rsidRPr="00F07031">
              <w:rPr>
                <w:strike/>
              </w:rPr>
              <w:t>Risk-</w:t>
            </w:r>
            <w:r w:rsidRPr="00F07031">
              <w:rPr>
                <w:strike/>
              </w:rPr>
              <w:lastRenderedPageBreak/>
              <w:t>Adjusted</w:t>
            </w:r>
            <w:r>
              <w:t xml:space="preserve"> Attribute Values </w:t>
            </w:r>
            <w:r w:rsidRPr="00F07031">
              <w:rPr>
                <w:i/>
                <w:iCs/>
              </w:rPr>
              <w:t>probability distributions monetized</w:t>
            </w:r>
            <w:r>
              <w:t xml:space="preserve"> using the</w:t>
            </w:r>
            <w:r w:rsidR="00CA7934">
              <w:t xml:space="preserve"> </w:t>
            </w:r>
            <w:r>
              <w:t>utility’s full Cost-Benefit Approach.</w:t>
            </w:r>
          </w:p>
        </w:tc>
      </w:tr>
    </w:tbl>
    <w:p w:rsidR="00D358D1" w:rsidP="00A91C1A" w:rsidRDefault="00D358D1" w14:paraId="01D36747" w14:textId="59E327B6">
      <w:pPr>
        <w:pStyle w:val="Standard"/>
      </w:pPr>
    </w:p>
    <w:p w:rsidRPr="00847F0D" w:rsidR="00047702" w:rsidP="00981BBD" w:rsidRDefault="00EF2B8A" w14:paraId="367384D8" w14:textId="6CAF6229">
      <w:pPr>
        <w:pStyle w:val="Standard"/>
      </w:pPr>
      <w:r>
        <w:t xml:space="preserve">Second, SPD staff </w:t>
      </w:r>
      <w:r w:rsidR="003B138C">
        <w:t xml:space="preserve">recommends the </w:t>
      </w:r>
      <w:r w:rsidR="005F25C4">
        <w:t xml:space="preserve">defining and inclusion of tail risk as a risk measure in the RDF. </w:t>
      </w:r>
      <w:r w:rsidR="003617C0">
        <w:t>SPD</w:t>
      </w:r>
      <w:r w:rsidR="00E230EE">
        <w:t xml:space="preserve"> staff recommends that the measure of tail risk be the average of the tail of </w:t>
      </w:r>
      <w:r w:rsidR="002B615E">
        <w:t xml:space="preserve">the risk distribution </w:t>
      </w:r>
      <w:r w:rsidR="00F552DD">
        <w:t xml:space="preserve">above a percentile to be determined by the Commission in consultation with stakeholders. </w:t>
      </w:r>
      <w:r w:rsidR="00C07A68">
        <w:t xml:space="preserve">SPD staff </w:t>
      </w:r>
      <w:r w:rsidR="00B25FF3">
        <w:t xml:space="preserve">argue </w:t>
      </w:r>
      <w:r w:rsidR="005F7C37">
        <w:t xml:space="preserve">that </w:t>
      </w:r>
      <w:r w:rsidR="00D80A9C">
        <w:t xml:space="preserve">the tail average </w:t>
      </w:r>
      <w:r w:rsidR="00513805">
        <w:t>captures the entire tail of the distribution, is stable, and can be optimized using linear programming or other methods. F</w:t>
      </w:r>
      <w:r w:rsidR="005F7C37">
        <w:t>or these reasons</w:t>
      </w:r>
      <w:r w:rsidR="00513805">
        <w:t>, SPD staff</w:t>
      </w:r>
      <w:r w:rsidR="006007FA">
        <w:t xml:space="preserve"> </w:t>
      </w:r>
      <w:r w:rsidR="00C07A68">
        <w:t xml:space="preserve">prefers </w:t>
      </w:r>
      <w:r w:rsidR="0030769B">
        <w:t>the tail average over other measures</w:t>
      </w:r>
      <w:r w:rsidR="005F7C37">
        <w:t>.</w:t>
      </w:r>
      <w:r w:rsidR="00592C05">
        <w:rPr>
          <w:rStyle w:val="FootnoteReference"/>
        </w:rPr>
        <w:footnoteReference w:id="7"/>
      </w:r>
      <w:r w:rsidR="00075239">
        <w:t xml:space="preserve"> Relatedly,</w:t>
      </w:r>
      <w:r w:rsidR="003E0F88">
        <w:t xml:space="preserve"> </w:t>
      </w:r>
      <w:r w:rsidR="00F40D52">
        <w:t xml:space="preserve">SPD staff recommends </w:t>
      </w:r>
      <w:r w:rsidR="00F74E1B">
        <w:t xml:space="preserve">adding definitions for </w:t>
      </w:r>
      <w:r w:rsidR="002B42A2">
        <w:t xml:space="preserve">Expected Value, Tail Average, </w:t>
      </w:r>
      <w:r w:rsidR="003E0F88">
        <w:t xml:space="preserve">and </w:t>
      </w:r>
      <w:r w:rsidR="002B42A2">
        <w:t>Tail Risk</w:t>
      </w:r>
      <w:r w:rsidR="00A701DE">
        <w:t xml:space="preserve"> to the RDF</w:t>
      </w:r>
      <w:r w:rsidR="003E0F88">
        <w:t xml:space="preserve"> and making modifications</w:t>
      </w:r>
      <w:r w:rsidR="00F40D52">
        <w:t xml:space="preserve"> to </w:t>
      </w:r>
      <w:r w:rsidR="003E0F88">
        <w:t xml:space="preserve">Row 5 of </w:t>
      </w:r>
      <w:r w:rsidR="00F40D52">
        <w:t>the RDF</w:t>
      </w:r>
      <w:r w:rsidR="00921BD6">
        <w:t xml:space="preserve"> to incorporate Expected Value and tail average</w:t>
      </w:r>
      <w:r w:rsidR="00C7729E">
        <w:t xml:space="preserve"> into the Cost-Benefit Approach</w:t>
      </w:r>
      <w:r w:rsidR="00A701DE">
        <w:t xml:space="preserve">. </w:t>
      </w:r>
    </w:p>
    <w:p w:rsidR="0063403A" w:rsidP="00981BBD" w:rsidRDefault="004740E9" w14:paraId="68EA0A87" w14:textId="12797191">
      <w:pPr>
        <w:pStyle w:val="Standard"/>
      </w:pPr>
      <w:r>
        <w:t>Third, SPD staff recommends</w:t>
      </w:r>
      <w:r w:rsidR="00173B98">
        <w:t xml:space="preserve"> that risk tolerance should be modeled as an exceedance curve and calculated by applying the risk neutral or risk averse scaling function</w:t>
      </w:r>
      <w:r w:rsidR="00B71762">
        <w:t xml:space="preserve"> to a constant risk exceedance curve. </w:t>
      </w:r>
      <w:r w:rsidR="00684883">
        <w:t>SPD staff notes that in the context of the RDF, exceedance curves depict the maximum acceptable Consequence</w:t>
      </w:r>
      <w:r w:rsidR="00684883">
        <w:rPr>
          <w:rStyle w:val="FootnoteReference"/>
        </w:rPr>
        <w:footnoteReference w:id="8"/>
      </w:r>
      <w:r w:rsidR="007E1239">
        <w:t xml:space="preserve"> for a given probability of a risk event. </w:t>
      </w:r>
      <w:r w:rsidR="00EC334E">
        <w:t>SPD staff further notes that a</w:t>
      </w:r>
      <w:r w:rsidR="00081155">
        <w:t>fter the application of a scaling function to reflect risk attitudes (e.g., risk</w:t>
      </w:r>
      <w:r w:rsidR="00DE02CB">
        <w:t xml:space="preserve"> neutrality, risk aversion, etc.), an exceedance curve is the probabilistic representation</w:t>
      </w:r>
      <w:r w:rsidR="00EC334E">
        <w:t xml:space="preserve"> of risk tolerance. SPD staff also </w:t>
      </w:r>
      <w:r w:rsidR="00370C18">
        <w:t>defines the constant risk exceedance curve</w:t>
      </w:r>
      <w:r w:rsidR="00C926E1">
        <w:t xml:space="preserve"> as the curve that results </w:t>
      </w:r>
      <w:r w:rsidR="008F2F3E">
        <w:t>in the same Expected Value of Risk</w:t>
      </w:r>
      <w:r w:rsidR="007D38E2">
        <w:t xml:space="preserve"> for every probability</w:t>
      </w:r>
      <w:r w:rsidR="00BA6E66">
        <w:t>.</w:t>
      </w:r>
      <w:r w:rsidR="009600DA">
        <w:t xml:space="preserve"> SPD staff recommends </w:t>
      </w:r>
      <w:r w:rsidR="00C7729E">
        <w:t>adding definitions for Constant Risk Exceedance Curve and Exceedance Curve</w:t>
      </w:r>
      <w:r w:rsidR="006B6A0C">
        <w:t xml:space="preserve"> to the RDF as well as modifying the </w:t>
      </w:r>
      <w:r w:rsidR="006B6A0C">
        <w:lastRenderedPageBreak/>
        <w:t>definition of Risk Tolerance currently in the RDF</w:t>
      </w:r>
      <w:r w:rsidR="00F11839">
        <w:t>.</w:t>
      </w:r>
      <w:r w:rsidR="009600DA">
        <w:t xml:space="preserve"> </w:t>
      </w:r>
      <w:r w:rsidR="002A2F1C">
        <w:t xml:space="preserve">To incorporate Exceedance Curves into the RDF, SPD staff propose the addition of </w:t>
      </w:r>
      <w:r w:rsidR="00A057FA">
        <w:t>R</w:t>
      </w:r>
      <w:r w:rsidR="007C217F">
        <w:t xml:space="preserve">ows 6.1 and 13.1 </w:t>
      </w:r>
      <w:r w:rsidR="00C8298A">
        <w:t xml:space="preserve">to the RDF </w:t>
      </w:r>
      <w:r w:rsidR="007C217F">
        <w:t xml:space="preserve">as </w:t>
      </w:r>
      <w:r w:rsidR="00C8298A">
        <w:t>well as modifications to Row 7.</w:t>
      </w:r>
    </w:p>
    <w:p w:rsidR="008D263B" w:rsidP="008D263B" w:rsidRDefault="0023110E" w14:paraId="1CA79629" w14:textId="54A8B962">
      <w:pPr>
        <w:pStyle w:val="Standard"/>
      </w:pPr>
      <w:r>
        <w:t xml:space="preserve">SPD staff’s final recommendation related to risk tolerance is to develop a </w:t>
      </w:r>
      <w:r w:rsidR="005E3481">
        <w:t xml:space="preserve">phased </w:t>
      </w:r>
      <w:r>
        <w:t xml:space="preserve">process for the establishment of a risk tolerance representing the residents of California. </w:t>
      </w:r>
      <w:r w:rsidR="00F15CF1">
        <w:t xml:space="preserve">SPD proposes to establish a forum of key stakeholders whose consensus on risk tolerance would represent the residents of California, the California Utility Risk Tolerance Stakeholder (CURTS) Forum. </w:t>
      </w:r>
      <w:r w:rsidR="00613056">
        <w:t>SPD staff proposes developing a timeline for the implementation of a risk tolerance standard, with initial implementation in the SCE 2026 RAMP, PG&amp;E 2028 RAMP, and Sempra 2029 RAMP</w:t>
      </w:r>
      <w:r w:rsidR="000C1F56">
        <w:t xml:space="preserve"> and utilities determining the interim </w:t>
      </w:r>
      <w:r w:rsidR="005E3481">
        <w:t xml:space="preserve">tolerances. </w:t>
      </w:r>
      <w:r w:rsidR="009046C7">
        <w:t xml:space="preserve">The long-term vision for a risk tolerance process is to </w:t>
      </w:r>
      <w:r w:rsidR="00897777">
        <w:t>transition to</w:t>
      </w:r>
      <w:r w:rsidR="004B2F5F">
        <w:t xml:space="preserve"> other</w:t>
      </w:r>
      <w:r w:rsidR="00C7726E">
        <w:t xml:space="preserve">, more complicated </w:t>
      </w:r>
      <w:r w:rsidR="000543B7">
        <w:t xml:space="preserve">frameworks such as As Low </w:t>
      </w:r>
      <w:r w:rsidR="006F65CE">
        <w:t>As Reasonably Practicable (ALARP)</w:t>
      </w:r>
      <w:r w:rsidR="00BB2DBD">
        <w:t xml:space="preserve"> after each utility has completed one GRC cycle</w:t>
      </w:r>
      <w:r w:rsidR="006F65CE">
        <w:t>.</w:t>
      </w:r>
      <w:r w:rsidR="00C8298A">
        <w:t xml:space="preserve"> </w:t>
      </w:r>
      <w:r w:rsidR="00A057FA">
        <w:t xml:space="preserve">SPD staff recommend the addition of Row 13.2 to the RDF to </w:t>
      </w:r>
      <w:r w:rsidR="001961CE">
        <w:t>incorporate a risk tolerance selection process into the RDF.</w:t>
      </w:r>
      <w:r w:rsidRPr="001961CE" w:rsidR="001961CE">
        <w:rPr>
          <w:rStyle w:val="FootnoteReference"/>
        </w:rPr>
        <w:t xml:space="preserve"> </w:t>
      </w:r>
      <w:r w:rsidR="001961CE">
        <w:rPr>
          <w:rStyle w:val="FootnoteReference"/>
        </w:rPr>
        <w:footnoteReference w:id="9"/>
      </w:r>
    </w:p>
    <w:p w:rsidR="004740E9" w:rsidP="00397465" w:rsidRDefault="00B23BFF" w14:paraId="228F9E56" w14:textId="37ACABEE">
      <w:pPr>
        <w:pStyle w:val="Heading2"/>
      </w:pPr>
      <w:bookmarkStart w:name="_Toc204258021" w:id="16"/>
      <w:r>
        <w:t>MGRA</w:t>
      </w:r>
      <w:r w:rsidR="008D7F93">
        <w:t>’s Risk Tolerance Recommendations</w:t>
      </w:r>
      <w:bookmarkEnd w:id="16"/>
      <w:r>
        <w:t xml:space="preserve"> </w:t>
      </w:r>
    </w:p>
    <w:p w:rsidRPr="008D7F93" w:rsidR="003365F2" w:rsidP="00981BBD" w:rsidRDefault="00A770E7" w14:paraId="5CAA0185" w14:textId="6F6C34F2">
      <w:pPr>
        <w:pStyle w:val="Standard"/>
      </w:pPr>
      <w:r>
        <w:t>The MGRA Risk Tolerance Proposal</w:t>
      </w:r>
      <w:r w:rsidR="00C87271">
        <w:t xml:space="preserve"> focuses </w:t>
      </w:r>
      <w:r w:rsidR="00CE3ADC">
        <w:t>on the process around the development of a risk tolerance framework</w:t>
      </w:r>
      <w:r w:rsidR="00A45688">
        <w:t xml:space="preserve">. MGRA does not </w:t>
      </w:r>
      <w:r w:rsidR="00307168">
        <w:t>take a position on the technical portions of the SPD Staff Risk Tolerance Proposal</w:t>
      </w:r>
      <w:r w:rsidR="00400511">
        <w:t xml:space="preserve"> but argues that the </w:t>
      </w:r>
      <w:r w:rsidR="003E625D">
        <w:t xml:space="preserve">process for establishing a risk tolerance framework </w:t>
      </w:r>
      <w:r w:rsidR="00852060">
        <w:t xml:space="preserve">proposed by SPD staff is impractical and unlikely to achieve </w:t>
      </w:r>
      <w:r w:rsidR="0065361B">
        <w:t>the end results SPD staff envisions.</w:t>
      </w:r>
      <w:r w:rsidR="001C1187">
        <w:rPr>
          <w:rStyle w:val="FootnoteReference"/>
        </w:rPr>
        <w:footnoteReference w:id="10"/>
      </w:r>
      <w:r w:rsidR="00981BBD">
        <w:t xml:space="preserve"> </w:t>
      </w:r>
      <w:r w:rsidR="00FD2B89">
        <w:t xml:space="preserve">MGRA </w:t>
      </w:r>
      <w:r w:rsidR="00FD2B89">
        <w:lastRenderedPageBreak/>
        <w:t xml:space="preserve">proposes creating </w:t>
      </w:r>
      <w:r w:rsidR="0080073A">
        <w:t>a</w:t>
      </w:r>
      <w:r w:rsidR="00FD2B89">
        <w:t xml:space="preserve"> rulemaking specifically to address the topic of risk tolerance</w:t>
      </w:r>
      <w:r w:rsidR="00981BBD">
        <w:t xml:space="preserve"> </w:t>
      </w:r>
      <w:r w:rsidR="00FD2B89">
        <w:t>or, alternatively, adding an additional track to the present proceeding</w:t>
      </w:r>
      <w:r w:rsidR="008A0353">
        <w:t xml:space="preserve">. </w:t>
      </w:r>
    </w:p>
    <w:p w:rsidR="003C6465" w:rsidP="00397465" w:rsidRDefault="003C6465" w14:paraId="04896957" w14:textId="77777777">
      <w:pPr>
        <w:pStyle w:val="Heading2"/>
      </w:pPr>
      <w:bookmarkStart w:name="_Toc204258022" w:id="17"/>
      <w:r>
        <w:t>Party Comments</w:t>
      </w:r>
      <w:bookmarkEnd w:id="17"/>
    </w:p>
    <w:p w:rsidR="00027517" w:rsidP="000103D2" w:rsidRDefault="00AC4126" w14:paraId="63EF28D9" w14:textId="44454C5B">
      <w:pPr>
        <w:pStyle w:val="Standard"/>
      </w:pPr>
      <w:r>
        <w:t>Cal Advocates</w:t>
      </w:r>
      <w:r w:rsidR="00F5553E">
        <w:t xml:space="preserve"> </w:t>
      </w:r>
      <w:r w:rsidR="000D4F14">
        <w:t xml:space="preserve">notes that the Commission </w:t>
      </w:r>
      <w:r w:rsidR="00EC45F8">
        <w:t xml:space="preserve">may </w:t>
      </w:r>
      <w:r w:rsidR="000D4F14">
        <w:t xml:space="preserve">consider </w:t>
      </w:r>
      <w:r w:rsidR="00EC45F8">
        <w:t>here</w:t>
      </w:r>
      <w:r w:rsidR="00840A30">
        <w:t xml:space="preserve"> whether to: a) </w:t>
      </w:r>
      <w:r w:rsidR="00A72440">
        <w:t>for</w:t>
      </w:r>
      <w:r w:rsidR="00840A30">
        <w:t>go</w:t>
      </w:r>
      <w:r w:rsidR="00A72440">
        <w:t xml:space="preserve"> adoption of a specific risk tolerance framework at this time and focus</w:t>
      </w:r>
      <w:r w:rsidR="00F5553E">
        <w:t xml:space="preserve"> instead</w:t>
      </w:r>
      <w:r w:rsidR="00A72440">
        <w:t xml:space="preserve"> on</w:t>
      </w:r>
      <w:r w:rsidR="006B17A9">
        <w:t xml:space="preserve"> assessing the performance of the RDF budget constraint requirements to optimize risk reduction</w:t>
      </w:r>
      <w:r w:rsidR="00840A30">
        <w:t xml:space="preserve">; b) </w:t>
      </w:r>
      <w:r w:rsidR="007B61E5">
        <w:t xml:space="preserve">adopt a version of the CURTS Working Group </w:t>
      </w:r>
      <w:r w:rsidR="003B3D39">
        <w:t>risk tolerance framework</w:t>
      </w:r>
      <w:r w:rsidR="00EC45F8">
        <w:t xml:space="preserve">; </w:t>
      </w:r>
      <w:r w:rsidR="00327C0B">
        <w:t>or c) adopt a version of the MGRA Risk Tolerance Proposal</w:t>
      </w:r>
      <w:r w:rsidR="00A57AD6">
        <w:t xml:space="preserve">. </w:t>
      </w:r>
      <w:r w:rsidR="001C3C09">
        <w:t>Cal Advocates recommends that, if the Commission adopts a), b), or c), t</w:t>
      </w:r>
      <w:r w:rsidR="00206E7A">
        <w:t xml:space="preserve">he Commission require the utilities to submit optimized risk mitigation portfolios based </w:t>
      </w:r>
      <w:r w:rsidR="00BF7E03">
        <w:t>only on RDF budget constraints</w:t>
      </w:r>
      <w:r w:rsidR="00B54397">
        <w:t xml:space="preserve">. </w:t>
      </w:r>
      <w:r w:rsidR="00140616">
        <w:t>Cal Advocates also recommends that, beginning with SCE’s 2026 RAMP, utilities be required to submit two sets of optimized risk mitigation portfolios</w:t>
      </w:r>
      <w:r w:rsidR="006F60D0">
        <w:t xml:space="preserve">, one based on a set of budget constraints and one based on the adopted risk tolerance framework, if applicable. Alternatively, if </w:t>
      </w:r>
      <w:r w:rsidR="00BE0505">
        <w:t xml:space="preserve">a </w:t>
      </w:r>
      <w:r w:rsidR="002575CE">
        <w:t>risk tolerance framework is not adopted, the second set of optimized risk mitigation portfolios could be based on the utility’s own process for assessing risk tolerance.</w:t>
      </w:r>
      <w:r w:rsidR="00BE0505">
        <w:rPr>
          <w:rStyle w:val="FootnoteReference"/>
        </w:rPr>
        <w:footnoteReference w:id="11"/>
      </w:r>
    </w:p>
    <w:p w:rsidR="00E74642" w:rsidP="000103D2" w:rsidRDefault="002A3B49" w14:paraId="11C9BEFB" w14:textId="2238710D">
      <w:pPr>
        <w:pStyle w:val="Standard"/>
      </w:pPr>
      <w:r>
        <w:t>EPUC/</w:t>
      </w:r>
      <w:r w:rsidR="00F830AF">
        <w:t>IS</w:t>
      </w:r>
      <w:r w:rsidR="004E0B8B">
        <w:t xml:space="preserve"> is generally supportive of the </w:t>
      </w:r>
      <w:r w:rsidR="002115DD">
        <w:t>SPD Staff Risk Tolerance Proposal</w:t>
      </w:r>
      <w:r w:rsidR="009C753A">
        <w:t xml:space="preserve">, though </w:t>
      </w:r>
      <w:r w:rsidR="00E730C0">
        <w:t xml:space="preserve">it notes the divergent risk tolerances of the </w:t>
      </w:r>
      <w:r w:rsidR="00132CB4">
        <w:t>members that would comprise the CURTS Forum</w:t>
      </w:r>
      <w:r w:rsidR="00473FB4">
        <w:t xml:space="preserve"> and the need for the Commission to determine</w:t>
      </w:r>
      <w:r w:rsidR="001C142B">
        <w:t xml:space="preserve"> the allowable Overall Residual Risk </w:t>
      </w:r>
      <w:r w:rsidR="006A4B1F">
        <w:t>levels</w:t>
      </w:r>
      <w:r w:rsidR="003177A7">
        <w:t>.</w:t>
      </w:r>
      <w:r w:rsidRPr="009A594E" w:rsidR="009A594E">
        <w:rPr>
          <w:rStyle w:val="FootnoteReference"/>
        </w:rPr>
        <w:t xml:space="preserve"> </w:t>
      </w:r>
      <w:r w:rsidR="009A594E">
        <w:rPr>
          <w:rStyle w:val="FootnoteReference"/>
        </w:rPr>
        <w:footnoteReference w:id="12"/>
      </w:r>
      <w:r w:rsidR="00F41AA3">
        <w:t xml:space="preserve"> As such, EPUC/IS </w:t>
      </w:r>
      <w:r w:rsidR="009E7AEA">
        <w:t>characterizes the CURTS Forum as non-optimal.</w:t>
      </w:r>
      <w:r w:rsidR="000D6341">
        <w:rPr>
          <w:rStyle w:val="FootnoteReference"/>
        </w:rPr>
        <w:footnoteReference w:id="13"/>
      </w:r>
    </w:p>
    <w:p w:rsidR="00671F8E" w:rsidP="00CA2289" w:rsidRDefault="0019784E" w14:paraId="3338B6CE" w14:textId="4CED3FE0">
      <w:pPr>
        <w:pStyle w:val="Standard"/>
      </w:pPr>
      <w:r>
        <w:lastRenderedPageBreak/>
        <w:t xml:space="preserve">The utilities generally support the MGRA Risk Tolerance Proposal. </w:t>
      </w:r>
      <w:r w:rsidRPr="008D5A04" w:rsidR="00476C46">
        <w:t>PG&amp;E</w:t>
      </w:r>
      <w:r w:rsidRPr="008D5A04" w:rsidR="004C3EEA">
        <w:t xml:space="preserve"> supports the MGRA</w:t>
      </w:r>
      <w:r w:rsidRPr="008D5A04" w:rsidR="004B6231">
        <w:t xml:space="preserve"> Risk Tolerance Proposal to </w:t>
      </w:r>
      <w:r w:rsidRPr="008D5A04" w:rsidR="0085155B">
        <w:t>assign risk tolerance to a separate track of the present proceeding or move it to</w:t>
      </w:r>
      <w:r w:rsidRPr="008D5A04" w:rsidR="00973835">
        <w:t xml:space="preserve"> a successor proceeding. </w:t>
      </w:r>
      <w:r w:rsidRPr="008D5A04" w:rsidR="00AE354B">
        <w:t>PG&amp;E highlights the importance</w:t>
      </w:r>
      <w:r w:rsidRPr="008D5A04" w:rsidR="00913215">
        <w:t xml:space="preserve"> and impact</w:t>
      </w:r>
      <w:r w:rsidRPr="008D5A04" w:rsidR="00AE354B">
        <w:t xml:space="preserve"> of </w:t>
      </w:r>
      <w:r w:rsidRPr="008D5A04" w:rsidR="00913215">
        <w:t>a risk tolerance standard,</w:t>
      </w:r>
      <w:r w:rsidRPr="008D5A04" w:rsidR="007413F5">
        <w:t xml:space="preserve"> the need for </w:t>
      </w:r>
      <w:r w:rsidRPr="008D5A04" w:rsidR="00623B81">
        <w:t xml:space="preserve">the risk tolerance issue to be adequately scoped at the outset of a successor proceeding, </w:t>
      </w:r>
      <w:r w:rsidR="00856677">
        <w:t xml:space="preserve">and </w:t>
      </w:r>
      <w:r w:rsidRPr="008D5A04" w:rsidR="00157B8B">
        <w:t>the</w:t>
      </w:r>
      <w:r w:rsidR="003079BB">
        <w:t xml:space="preserve"> due process </w:t>
      </w:r>
      <w:r w:rsidR="00D76BB5">
        <w:t xml:space="preserve">concerns </w:t>
      </w:r>
      <w:r w:rsidR="003079BB">
        <w:t>resulting from</w:t>
      </w:r>
      <w:r w:rsidR="00856677">
        <w:t xml:space="preserve"> the quick pace of the Phase 4 timeline that would be ameliorated by moving risk tolerance to a separate track or successor proceeding.</w:t>
      </w:r>
      <w:r w:rsidRPr="008D5A04" w:rsidR="00157B8B">
        <w:t xml:space="preserve"> </w:t>
      </w:r>
      <w:r w:rsidRPr="008D5A04" w:rsidR="4CF50891">
        <w:t xml:space="preserve">PG&amp;E also highlights the need to </w:t>
      </w:r>
      <w:r w:rsidRPr="608AB7DA" w:rsidR="4CF50891">
        <w:t xml:space="preserve">incorporate the experience and expertise </w:t>
      </w:r>
      <w:r w:rsidRPr="00493A8E" w:rsidR="4CF50891">
        <w:t>of other industries and agencies, in</w:t>
      </w:r>
      <w:r w:rsidRPr="00493A8E" w:rsidR="2A13B11C">
        <w:t>clud</w:t>
      </w:r>
      <w:r w:rsidRPr="00493A8E" w:rsidR="4CF50891">
        <w:t>ing</w:t>
      </w:r>
      <w:r w:rsidRPr="7E4D87C7" w:rsidR="4CF50891">
        <w:t xml:space="preserve"> the F</w:t>
      </w:r>
      <w:r w:rsidRPr="158B351B" w:rsidR="4CF50891">
        <w:t>ederal Energy Regulatory Commission (FERC); U.S. Army Corps of Engineers (for Dam and Levee Safety); U.S. Department of Defense; U.S. Nuclear Regulatory Commission (NRC); U.K. Health and Safety Executive (HSE); aviation; construction; healthcare; oil and gas; and chemical process safety.</w:t>
      </w:r>
      <w:r w:rsidR="00650E47">
        <w:rPr>
          <w:rStyle w:val="FootnoteReference"/>
        </w:rPr>
        <w:footnoteReference w:id="14"/>
      </w:r>
      <w:r w:rsidRPr="158B351B" w:rsidR="4CF50891">
        <w:t xml:space="preserve"> </w:t>
      </w:r>
      <w:r w:rsidR="000638B5">
        <w:t xml:space="preserve">SCE supports the </w:t>
      </w:r>
      <w:r w:rsidR="00EE771C">
        <w:t xml:space="preserve">timeline and approach of the </w:t>
      </w:r>
      <w:r w:rsidR="000638B5">
        <w:t>MGRA Risk Tolerance Proposal</w:t>
      </w:r>
      <w:r w:rsidR="00CA2289">
        <w:t xml:space="preserve">, namely, </w:t>
      </w:r>
      <w:r w:rsidR="00B5711F">
        <w:t>moving the risk tolerance issue to a separate proceeding</w:t>
      </w:r>
      <w:r w:rsidR="003E1195">
        <w:t>,</w:t>
      </w:r>
      <w:r w:rsidR="00DD1BBA">
        <w:t xml:space="preserve"> given its complexity and importance</w:t>
      </w:r>
      <w:r w:rsidR="00D76BB5">
        <w:t>.</w:t>
      </w:r>
      <w:r w:rsidR="00495F6A">
        <w:rPr>
          <w:rStyle w:val="FootnoteReference"/>
        </w:rPr>
        <w:footnoteReference w:id="15"/>
      </w:r>
      <w:r w:rsidR="00D514B8">
        <w:t xml:space="preserve"> </w:t>
      </w:r>
      <w:r w:rsidR="00D22A63">
        <w:t>Like PG&amp;E and SCE, the Sempra Companies recommend a process and schedule consistent with the MGRA Risk Tolerance Proposal.</w:t>
      </w:r>
      <w:r w:rsidR="000B1B33">
        <w:rPr>
          <w:rStyle w:val="FootnoteReference"/>
        </w:rPr>
        <w:footnoteReference w:id="16"/>
      </w:r>
      <w:r w:rsidR="00D22A63">
        <w:t xml:space="preserve"> </w:t>
      </w:r>
      <w:r w:rsidR="00D935B8">
        <w:t xml:space="preserve">All of the utilities </w:t>
      </w:r>
      <w:r w:rsidR="0010465A">
        <w:t>argue</w:t>
      </w:r>
      <w:r w:rsidR="00D935B8">
        <w:t xml:space="preserve"> t</w:t>
      </w:r>
      <w:r w:rsidR="0010465A">
        <w:t>hat the schedule for Phase 4 is too short relative to the import of the issues</w:t>
      </w:r>
      <w:r w:rsidR="00F91000">
        <w:t xml:space="preserve"> </w:t>
      </w:r>
      <w:r w:rsidR="0010465A">
        <w:t>in Phase 4.</w:t>
      </w:r>
      <w:r w:rsidR="003536DB">
        <w:rPr>
          <w:rStyle w:val="FootnoteReference"/>
        </w:rPr>
        <w:footnoteReference w:id="17"/>
      </w:r>
      <w:r w:rsidR="0010465A">
        <w:t xml:space="preserve"> </w:t>
      </w:r>
    </w:p>
    <w:p w:rsidRPr="008D5A04" w:rsidR="00495F6A" w:rsidP="00CA2289" w:rsidRDefault="001749E8" w14:paraId="3EA2E1F6" w14:textId="008FD714">
      <w:pPr>
        <w:pStyle w:val="Standard"/>
      </w:pPr>
      <w:r>
        <w:t xml:space="preserve">In comments, </w:t>
      </w:r>
      <w:r w:rsidR="00495F6A">
        <w:t>MGRA</w:t>
      </w:r>
      <w:r>
        <w:t xml:space="preserve"> provides</w:t>
      </w:r>
      <w:r w:rsidR="00C342CB">
        <w:t xml:space="preserve"> context </w:t>
      </w:r>
      <w:r>
        <w:t>to</w:t>
      </w:r>
      <w:r w:rsidR="00C342CB">
        <w:t xml:space="preserve"> </w:t>
      </w:r>
      <w:r w:rsidR="00445446">
        <w:t xml:space="preserve">its risk tolerance proposal and how it differs from the SPD Staff Risk Tolerance Proposal. MGRA notes again </w:t>
      </w:r>
      <w:r w:rsidR="00445446">
        <w:lastRenderedPageBreak/>
        <w:t xml:space="preserve">that it does not </w:t>
      </w:r>
      <w:r w:rsidR="005E2852">
        <w:t>address the technical merits of the SPD Staff Risk Tolerance Proposal.</w:t>
      </w:r>
      <w:r w:rsidR="007D2F9E">
        <w:rPr>
          <w:rStyle w:val="FootnoteReference"/>
        </w:rPr>
        <w:footnoteReference w:id="18"/>
      </w:r>
    </w:p>
    <w:p w:rsidR="00982DFF" w:rsidP="00982DFF" w:rsidRDefault="007439E0" w14:paraId="29C51525" w14:textId="77777777">
      <w:pPr>
        <w:pStyle w:val="Standard"/>
      </w:pPr>
      <w:r>
        <w:t>TURN</w:t>
      </w:r>
      <w:r w:rsidR="00BF7FE6">
        <w:t xml:space="preserve"> opposes addressing risk tolerance at all, either in Phase 4 of the present proceeding or in a successor proceeding</w:t>
      </w:r>
      <w:r w:rsidR="00D41116">
        <w:t xml:space="preserve">, as it believes that </w:t>
      </w:r>
      <w:r w:rsidR="0064789B">
        <w:t xml:space="preserve">the </w:t>
      </w:r>
      <w:r w:rsidR="00D41116">
        <w:t>other proposed changes to the RDF</w:t>
      </w:r>
      <w:r w:rsidR="0064789B">
        <w:t xml:space="preserve"> of tracking overall residual risk over time and portfolio optimization </w:t>
      </w:r>
      <w:r w:rsidR="002D5B38">
        <w:t>can better achieve the goals of a risk tolerance framework.</w:t>
      </w:r>
      <w:r w:rsidR="002D5B38">
        <w:rPr>
          <w:rStyle w:val="FootnoteReference"/>
        </w:rPr>
        <w:footnoteReference w:id="19"/>
      </w:r>
    </w:p>
    <w:p w:rsidR="00111BB8" w:rsidP="00982DFF" w:rsidRDefault="009C6F64" w14:paraId="21184323" w14:textId="7215AA5C">
      <w:pPr>
        <w:pStyle w:val="Standard"/>
      </w:pPr>
      <w:r>
        <w:t>Regarding SPD Staff’s</w:t>
      </w:r>
      <w:r w:rsidR="00E3428A">
        <w:t xml:space="preserve"> first recommendation on </w:t>
      </w:r>
      <w:r w:rsidR="00CB0E79">
        <w:t xml:space="preserve">the </w:t>
      </w:r>
      <w:r w:rsidR="00EB5A39">
        <w:t xml:space="preserve">use </w:t>
      </w:r>
      <w:r w:rsidR="00CB0E79">
        <w:t xml:space="preserve">of probability distributions in the RDF, </w:t>
      </w:r>
      <w:r w:rsidR="00EB5A39">
        <w:t xml:space="preserve">parties are </w:t>
      </w:r>
      <w:r w:rsidR="00D47981">
        <w:t xml:space="preserve">generally supportive of using probability distributions in the RDF where feasible but not making it a requirement. </w:t>
      </w:r>
      <w:r w:rsidR="00F822E5">
        <w:t>TURN support</w:t>
      </w:r>
      <w:r w:rsidR="00FD5615">
        <w:t>s representing CoRE as a probability distribution</w:t>
      </w:r>
      <w:r w:rsidR="00D340F4">
        <w:t xml:space="preserve"> but argues that </w:t>
      </w:r>
      <w:r w:rsidR="00000484">
        <w:t xml:space="preserve">LoRE cannot and should not </w:t>
      </w:r>
      <w:r w:rsidR="00D55524">
        <w:t>be represented</w:t>
      </w:r>
      <w:r w:rsidR="00000484">
        <w:t xml:space="preserve"> by a probability distribution</w:t>
      </w:r>
      <w:r w:rsidR="000D09FA">
        <w:t xml:space="preserve"> because it conceptually makes no sense to </w:t>
      </w:r>
      <w:r w:rsidR="00786032">
        <w:t xml:space="preserve">discuss the probability of a probability. </w:t>
      </w:r>
      <w:r w:rsidR="002E1F29">
        <w:t xml:space="preserve">TURN is also opposed to </w:t>
      </w:r>
      <w:r w:rsidR="004F4908">
        <w:t xml:space="preserve">the </w:t>
      </w:r>
      <w:r w:rsidR="003852F5">
        <w:t>language modifications proposed by SPD staff to Row 11 of the RDF</w:t>
      </w:r>
      <w:r w:rsidR="00567B5D">
        <w:t xml:space="preserve"> because it </w:t>
      </w:r>
      <w:r w:rsidR="00837468">
        <w:t xml:space="preserve">mistakenly </w:t>
      </w:r>
      <w:r w:rsidR="009618C4">
        <w:t xml:space="preserve">implies </w:t>
      </w:r>
      <w:r w:rsidR="0001406F">
        <w:t xml:space="preserve">the necessity of </w:t>
      </w:r>
      <w:r w:rsidR="008342FF">
        <w:t>one potential computation method</w:t>
      </w:r>
      <w:r w:rsidR="00E95B15">
        <w:t>, simulation</w:t>
      </w:r>
      <w:r w:rsidR="00DB6032">
        <w:t xml:space="preserve">, for </w:t>
      </w:r>
      <w:r w:rsidR="008C4776">
        <w:t>how Likelihood is calculated</w:t>
      </w:r>
      <w:r w:rsidR="007466A9">
        <w:t xml:space="preserve">. </w:t>
      </w:r>
      <w:r w:rsidR="006A6F5E">
        <w:t>Similarly</w:t>
      </w:r>
      <w:r w:rsidR="00786032">
        <w:t xml:space="preserve">, TURN </w:t>
      </w:r>
      <w:r w:rsidR="00D55524">
        <w:t xml:space="preserve">objects to requiring </w:t>
      </w:r>
      <w:r w:rsidR="00E22906">
        <w:t xml:space="preserve">Risk </w:t>
      </w:r>
      <w:r w:rsidR="00FC76EA">
        <w:t>to be represented by a probability distribution</w:t>
      </w:r>
      <w:r w:rsidR="0017356F">
        <w:t xml:space="preserve"> as</w:t>
      </w:r>
      <w:r w:rsidR="00E9652A">
        <w:t>, they argue,</w:t>
      </w:r>
      <w:r w:rsidR="0017356F">
        <w:t xml:space="preserve"> Risk is </w:t>
      </w:r>
      <w:r w:rsidR="000B0E3C">
        <w:t xml:space="preserve">a single number that is the product of </w:t>
      </w:r>
      <w:r w:rsidR="008E4143">
        <w:t xml:space="preserve">the </w:t>
      </w:r>
      <w:r w:rsidR="0025059B">
        <w:t>LoRE</w:t>
      </w:r>
      <w:r w:rsidR="00A21BB2">
        <w:t xml:space="preserve"> and the expected value of the probability distribution of </w:t>
      </w:r>
      <w:r w:rsidR="005B1D07">
        <w:t xml:space="preserve">the </w:t>
      </w:r>
      <w:r w:rsidR="00C93558">
        <w:t>CoRE.</w:t>
      </w:r>
      <w:r w:rsidR="00DE0560">
        <w:rPr>
          <w:rStyle w:val="FootnoteReference"/>
        </w:rPr>
        <w:footnoteReference w:id="20"/>
      </w:r>
      <w:r w:rsidR="001C1C29">
        <w:t xml:space="preserve"> TURN proposes </w:t>
      </w:r>
      <w:r w:rsidR="00DE0C05">
        <w:t>a</w:t>
      </w:r>
      <w:r w:rsidR="00F039B6">
        <w:t xml:space="preserve"> definition </w:t>
      </w:r>
      <w:r w:rsidR="007F5674">
        <w:t>for</w:t>
      </w:r>
      <w:r w:rsidR="00F039B6">
        <w:t xml:space="preserve"> Probability Distribution, namely</w:t>
      </w:r>
      <w:r w:rsidR="00BD69E5">
        <w:t xml:space="preserve">, that a </w:t>
      </w:r>
      <w:r w:rsidR="008572FE">
        <w:t>probability distribution is the assignment of a probability to each of the possible events that can occur</w:t>
      </w:r>
      <w:r w:rsidR="00785BA6">
        <w:t xml:space="preserve"> as the outcome of an uncertain situation.</w:t>
      </w:r>
      <w:r w:rsidR="007F5674">
        <w:rPr>
          <w:rStyle w:val="FootnoteReference"/>
        </w:rPr>
        <w:footnoteReference w:id="21"/>
      </w:r>
      <w:r w:rsidR="009364EC">
        <w:t xml:space="preserve"> MGRA supports the</w:t>
      </w:r>
      <w:r w:rsidR="00721164">
        <w:t xml:space="preserve"> incorporation of </w:t>
      </w:r>
      <w:r w:rsidR="00DD22B3">
        <w:t xml:space="preserve">probability </w:t>
      </w:r>
      <w:r w:rsidR="00DD22B3">
        <w:lastRenderedPageBreak/>
        <w:t xml:space="preserve">distributions where they are available, reliable, and useful. </w:t>
      </w:r>
      <w:r w:rsidR="00A35D4A">
        <w:t xml:space="preserve">As such, MGRA appears to be opposed to </w:t>
      </w:r>
      <w:r w:rsidR="00595788">
        <w:t>requiring their use in the way proposed by SPD staff.</w:t>
      </w:r>
      <w:r w:rsidRPr="00595788" w:rsidR="00595788">
        <w:rPr>
          <w:rStyle w:val="FootnoteReference"/>
        </w:rPr>
        <w:t xml:space="preserve"> </w:t>
      </w:r>
      <w:r w:rsidR="00595788">
        <w:rPr>
          <w:rStyle w:val="FootnoteReference"/>
        </w:rPr>
        <w:footnoteReference w:id="22"/>
      </w:r>
      <w:r w:rsidR="00595788">
        <w:t xml:space="preserve"> </w:t>
      </w:r>
      <w:r w:rsidR="007A6ECB">
        <w:t>PG&amp;E opposes the required use of probability distributions</w:t>
      </w:r>
      <w:r w:rsidR="007D1054">
        <w:t xml:space="preserve"> in the RDF</w:t>
      </w:r>
      <w:r w:rsidR="00B4683D">
        <w:t>, noting that</w:t>
      </w:r>
      <w:r w:rsidR="004777DA">
        <w:t xml:space="preserve"> existing</w:t>
      </w:r>
      <w:r w:rsidR="00B4683D">
        <w:t xml:space="preserve"> guidance</w:t>
      </w:r>
      <w:r w:rsidR="0096134C">
        <w:t xml:space="preserve"> in the RDF</w:t>
      </w:r>
      <w:r w:rsidR="00B4683D">
        <w:t xml:space="preserve"> on how to model CoRE is sufficient</w:t>
      </w:r>
      <w:r w:rsidR="0096134C">
        <w:t xml:space="preserve"> and</w:t>
      </w:r>
      <w:r w:rsidR="00B4683D">
        <w:t xml:space="preserve"> </w:t>
      </w:r>
      <w:r w:rsidR="005A5169">
        <w:t xml:space="preserve">that the </w:t>
      </w:r>
      <w:r w:rsidR="00CE4131">
        <w:t>changes to LoRE’s definition</w:t>
      </w:r>
      <w:r w:rsidR="004777DA">
        <w:t xml:space="preserve"> proposed by SPD staff is mathematically incorrect</w:t>
      </w:r>
      <w:r w:rsidR="001130CB">
        <w:t>.</w:t>
      </w:r>
      <w:r w:rsidR="00F853FA">
        <w:rPr>
          <w:rStyle w:val="FootnoteReference"/>
        </w:rPr>
        <w:footnoteReference w:id="23"/>
      </w:r>
      <w:r w:rsidR="007D1054">
        <w:t xml:space="preserve"> </w:t>
      </w:r>
      <w:r w:rsidR="00B810B3">
        <w:t>The Sempra Companies note that in most cases it is beneficial to use distributions for CoRE</w:t>
      </w:r>
      <w:r w:rsidR="00744977">
        <w:t xml:space="preserve"> and in some cases may be computationally feasible for LoRE</w:t>
      </w:r>
      <w:r w:rsidR="00B810B3">
        <w:t>.</w:t>
      </w:r>
      <w:r w:rsidRPr="006872C8" w:rsidR="006872C8">
        <w:rPr>
          <w:rStyle w:val="FootnoteReference"/>
        </w:rPr>
        <w:t xml:space="preserve"> </w:t>
      </w:r>
      <w:r w:rsidR="006872C8">
        <w:rPr>
          <w:rStyle w:val="FootnoteReference"/>
        </w:rPr>
        <w:footnoteReference w:id="24"/>
      </w:r>
      <w:r w:rsidR="00B810B3">
        <w:t xml:space="preserve"> </w:t>
      </w:r>
      <w:r w:rsidR="00676D8C">
        <w:t xml:space="preserve">SCE </w:t>
      </w:r>
      <w:r w:rsidR="00F857A3">
        <w:t xml:space="preserve">does not see the need for </w:t>
      </w:r>
      <w:r w:rsidR="00267E37">
        <w:t>the</w:t>
      </w:r>
      <w:r w:rsidR="00180DA0">
        <w:t xml:space="preserve"> required use of probability distributions</w:t>
      </w:r>
      <w:r w:rsidR="00635D84">
        <w:t xml:space="preserve">, preferring instead a flexible approach, but </w:t>
      </w:r>
      <w:r w:rsidR="00C12094">
        <w:t xml:space="preserve">notes that there are certain </w:t>
      </w:r>
      <w:r w:rsidR="005462B3">
        <w:t xml:space="preserve">cases in which </w:t>
      </w:r>
      <w:r w:rsidR="00B514EE">
        <w:t>probability distributions can illumin</w:t>
      </w:r>
      <w:r w:rsidR="000A4A31">
        <w:t xml:space="preserve">ate </w:t>
      </w:r>
      <w:r w:rsidR="008E460F">
        <w:t>the expected value and tail value</w:t>
      </w:r>
      <w:r w:rsidR="00F1087A">
        <w:t xml:space="preserve"> for CoRE</w:t>
      </w:r>
      <w:r w:rsidR="007F1026">
        <w:t>.</w:t>
      </w:r>
      <w:r w:rsidR="00363EC3">
        <w:rPr>
          <w:rStyle w:val="FootnoteReference"/>
        </w:rPr>
        <w:footnoteReference w:id="25"/>
      </w:r>
      <w:r w:rsidR="00F1087A">
        <w:t xml:space="preserve"> </w:t>
      </w:r>
      <w:r w:rsidR="002A4C23">
        <w:t xml:space="preserve">EPUC/IS supports the required use of probability distributions </w:t>
      </w:r>
      <w:r w:rsidR="005C6682">
        <w:t>for LoRE, CoRE, and Risk wherever feasible</w:t>
      </w:r>
      <w:r w:rsidR="004525C8">
        <w:t xml:space="preserve">. EPUC/IS notes that </w:t>
      </w:r>
      <w:r w:rsidR="00BD5993">
        <w:t xml:space="preserve">there was much less contention in Workshop #2 </w:t>
      </w:r>
      <w:r w:rsidR="004658C0">
        <w:t xml:space="preserve">regarding the use of probability distributions for </w:t>
      </w:r>
      <w:r w:rsidR="00E65E37">
        <w:t>representing CoRE.</w:t>
      </w:r>
      <w:r w:rsidR="00CF2CDB">
        <w:rPr>
          <w:rStyle w:val="FootnoteReference"/>
        </w:rPr>
        <w:footnoteReference w:id="26"/>
      </w:r>
      <w:r w:rsidR="009919B5">
        <w:t xml:space="preserve"> </w:t>
      </w:r>
      <w:r w:rsidR="00312028">
        <w:t xml:space="preserve">Cal Advocates </w:t>
      </w:r>
      <w:r w:rsidR="00B86A7D">
        <w:t>provides no position on the required use of probability distributions in the RDF.</w:t>
      </w:r>
    </w:p>
    <w:p w:rsidR="00822ED5" w:rsidP="00822ED5" w:rsidRDefault="00C76714" w14:paraId="7739B7C6" w14:textId="05B19779">
      <w:pPr>
        <w:pStyle w:val="Standard"/>
      </w:pPr>
      <w:r>
        <w:t xml:space="preserve">There is near universal </w:t>
      </w:r>
      <w:r w:rsidR="00CB0953">
        <w:t>opposition to the</w:t>
      </w:r>
      <w:r w:rsidR="00312028">
        <w:t xml:space="preserve"> CURTS </w:t>
      </w:r>
      <w:r w:rsidR="00CB0953">
        <w:t xml:space="preserve">Working Group and </w:t>
      </w:r>
      <w:r w:rsidR="00312028">
        <w:t>Forum</w:t>
      </w:r>
      <w:r w:rsidR="00943790">
        <w:t xml:space="preserve"> proposed by SPD staff</w:t>
      </w:r>
      <w:r w:rsidR="00821040">
        <w:t xml:space="preserve">, </w:t>
      </w:r>
      <w:r w:rsidR="00CB0953">
        <w:t xml:space="preserve">with </w:t>
      </w:r>
      <w:r w:rsidR="00B85149">
        <w:t xml:space="preserve">TURN, MGRA, PG&amp;E, Sempra Companies, </w:t>
      </w:r>
      <w:r w:rsidR="00A00284">
        <w:t>SCE, and EPUC/IS</w:t>
      </w:r>
      <w:r w:rsidR="00CB0953">
        <w:t xml:space="preserve"> being opposed</w:t>
      </w:r>
      <w:r w:rsidR="00A00284">
        <w:t xml:space="preserve"> </w:t>
      </w:r>
      <w:r w:rsidR="00CB0953">
        <w:t>and Cal Advocates providing no position.</w:t>
      </w:r>
      <w:r w:rsidR="00A00284">
        <w:t xml:space="preserve"> The reasons given for opposing the CURTS </w:t>
      </w:r>
      <w:r w:rsidR="00D53153">
        <w:t>Working Group</w:t>
      </w:r>
      <w:r w:rsidR="00A00284">
        <w:t xml:space="preserve"> </w:t>
      </w:r>
      <w:r w:rsidR="003E760A">
        <w:t>include</w:t>
      </w:r>
      <w:r w:rsidR="00E804B2">
        <w:t xml:space="preserve"> </w:t>
      </w:r>
      <w:r w:rsidR="002B56F2">
        <w:t xml:space="preserve">concerns about </w:t>
      </w:r>
      <w:r w:rsidR="002B56F2">
        <w:lastRenderedPageBreak/>
        <w:t xml:space="preserve">the proposed </w:t>
      </w:r>
      <w:r w:rsidR="00F409AD">
        <w:t>participants in the</w:t>
      </w:r>
      <w:r w:rsidR="003E760A">
        <w:t xml:space="preserve"> CURTS </w:t>
      </w:r>
      <w:r w:rsidR="00F409AD">
        <w:t>Working Group</w:t>
      </w:r>
      <w:r w:rsidR="00E27CBA">
        <w:rPr>
          <w:rStyle w:val="FootnoteReference"/>
        </w:rPr>
        <w:footnoteReference w:id="27"/>
      </w:r>
      <w:r w:rsidR="00E27CBA">
        <w:t xml:space="preserve">, </w:t>
      </w:r>
      <w:r w:rsidR="008C09B7">
        <w:t>their inability to sufficiently represent the interests of Californians</w:t>
      </w:r>
      <w:r w:rsidR="00E27CBA">
        <w:rPr>
          <w:rStyle w:val="FootnoteReference"/>
        </w:rPr>
        <w:footnoteReference w:id="28"/>
      </w:r>
      <w:r w:rsidR="00E27CBA">
        <w:t xml:space="preserve">, </w:t>
      </w:r>
      <w:r w:rsidR="003B2C3F">
        <w:t>the inability of the CURTS Working Group to come to a consensus because of diverg</w:t>
      </w:r>
      <w:r w:rsidR="00630DB5">
        <w:t>ent opinions</w:t>
      </w:r>
      <w:r w:rsidR="00BA649D">
        <w:rPr>
          <w:rStyle w:val="FootnoteReference"/>
        </w:rPr>
        <w:footnoteReference w:id="29"/>
      </w:r>
      <w:r w:rsidR="00630DB5">
        <w:t>,</w:t>
      </w:r>
      <w:r w:rsidR="009935F2">
        <w:t xml:space="preserve"> and the CURTS Working Group being generally ill-defined, ill-conceived, or impractical</w:t>
      </w:r>
      <w:r w:rsidR="00BA649D">
        <w:rPr>
          <w:rStyle w:val="FootnoteReference"/>
        </w:rPr>
        <w:footnoteReference w:id="30"/>
      </w:r>
      <w:r w:rsidR="00E27CBA">
        <w:t>.</w:t>
      </w:r>
    </w:p>
    <w:p w:rsidR="007765E8" w:rsidP="00822ED5" w:rsidRDefault="007765E8" w14:paraId="5E9BCA74" w14:textId="25776D1D">
      <w:pPr>
        <w:pStyle w:val="Standard"/>
      </w:pPr>
      <w:r>
        <w:t xml:space="preserve"> </w:t>
      </w:r>
      <w:r w:rsidR="00164006">
        <w:t xml:space="preserve">Parties are split on the question of </w:t>
      </w:r>
      <w:r w:rsidR="00C950AE">
        <w:t xml:space="preserve">whether to incorporate exceedance curves into the RDF, though </w:t>
      </w:r>
      <w:r w:rsidR="00ED1709">
        <w:t>some</w:t>
      </w:r>
      <w:r w:rsidR="00C950AE">
        <w:t xml:space="preserve"> parties provide no </w:t>
      </w:r>
      <w:r w:rsidR="00CA7E8D">
        <w:t>position</w:t>
      </w:r>
      <w:r w:rsidR="00CA7E8D">
        <w:rPr>
          <w:rStyle w:val="FootnoteReference"/>
        </w:rPr>
        <w:footnoteReference w:id="31"/>
      </w:r>
      <w:r w:rsidR="00CA7E8D">
        <w:t xml:space="preserve"> on this SPD staff recommendation.</w:t>
      </w:r>
      <w:r w:rsidR="00532583">
        <w:t xml:space="preserve"> PG&amp;E strongly opposes the use of </w:t>
      </w:r>
      <w:r w:rsidR="00EE6028">
        <w:t xml:space="preserve">constant risk </w:t>
      </w:r>
      <w:r w:rsidR="00532583">
        <w:t xml:space="preserve">exceedance curves and argues that they are </w:t>
      </w:r>
      <w:r w:rsidR="00EE6028">
        <w:t>ill-conceived, serve no practical purpose, and cau</w:t>
      </w:r>
      <w:r w:rsidR="007A3BC5">
        <w:t>se harm by allowing tolerance of events with large tail risks.</w:t>
      </w:r>
      <w:r w:rsidR="007A3BC5">
        <w:rPr>
          <w:rStyle w:val="FootnoteReference"/>
        </w:rPr>
        <w:footnoteReference w:id="32"/>
      </w:r>
      <w:r w:rsidR="00CF42BD">
        <w:t xml:space="preserve"> TURN also opposes the use of </w:t>
      </w:r>
      <w:r w:rsidR="00CE2CF1">
        <w:t xml:space="preserve">exceedance curves and argues that they are complex, opaque, and </w:t>
      </w:r>
      <w:r w:rsidR="00EA1025">
        <w:t>manipula</w:t>
      </w:r>
      <w:r w:rsidR="00D53B6D">
        <w:t>ble</w:t>
      </w:r>
      <w:r w:rsidR="00EA1025">
        <w:t xml:space="preserve"> by the utilities</w:t>
      </w:r>
      <w:r w:rsidR="00D53B6D">
        <w:t xml:space="preserve">, noting that </w:t>
      </w:r>
      <w:r w:rsidR="00621B17">
        <w:t>SPD staff does not explain the mechanics of how the exceedance curves would be derived.</w:t>
      </w:r>
      <w:r w:rsidR="00252B5D">
        <w:rPr>
          <w:rStyle w:val="FootnoteReference"/>
        </w:rPr>
        <w:footnoteReference w:id="33"/>
      </w:r>
      <w:r w:rsidR="00217670">
        <w:t xml:space="preserve"> EPUC/IS supports the use of exceedance curves but provides little rationale </w:t>
      </w:r>
      <w:r w:rsidR="00A607AF">
        <w:t xml:space="preserve">as to </w:t>
      </w:r>
      <w:r w:rsidR="00217670">
        <w:t>why.</w:t>
      </w:r>
      <w:r w:rsidR="00217670">
        <w:rPr>
          <w:rStyle w:val="FootnoteReference"/>
        </w:rPr>
        <w:footnoteReference w:id="34"/>
      </w:r>
    </w:p>
    <w:p w:rsidRPr="00027517" w:rsidR="00C571FB" w:rsidP="00822ED5" w:rsidRDefault="00C571FB" w14:paraId="5863ED63" w14:textId="0D3C8335">
      <w:pPr>
        <w:pStyle w:val="Standard"/>
      </w:pPr>
      <w:r>
        <w:lastRenderedPageBreak/>
        <w:t>Support for SPD staff’s recommendation on the use of</w:t>
      </w:r>
      <w:r w:rsidR="00141646">
        <w:t xml:space="preserve"> tail risk average in the RDF is unclear, with TURN and PG&amp;E opposing </w:t>
      </w:r>
      <w:r w:rsidR="004E5432">
        <w:t>this recommendation,</w:t>
      </w:r>
      <w:r w:rsidRPr="002E73D0" w:rsidR="002E73D0">
        <w:rPr>
          <w:rStyle w:val="FootnoteReference"/>
        </w:rPr>
        <w:t xml:space="preserve"> </w:t>
      </w:r>
      <w:r w:rsidR="002E73D0">
        <w:rPr>
          <w:rStyle w:val="FootnoteReference"/>
        </w:rPr>
        <w:footnoteReference w:id="35"/>
      </w:r>
      <w:r w:rsidR="004E5432">
        <w:t xml:space="preserve"> EPUC/IS supporting it,</w:t>
      </w:r>
      <w:r w:rsidR="00CF1844">
        <w:rPr>
          <w:rStyle w:val="FootnoteReference"/>
        </w:rPr>
        <w:footnoteReference w:id="36"/>
      </w:r>
      <w:r w:rsidR="004E5432">
        <w:t xml:space="preserve"> </w:t>
      </w:r>
      <w:r w:rsidR="005867EA">
        <w:t xml:space="preserve">and </w:t>
      </w:r>
      <w:r w:rsidR="004E5432">
        <w:t>MGRA</w:t>
      </w:r>
      <w:r w:rsidR="00824540">
        <w:t xml:space="preserve">, the Sempra Companies, and SCE seeming to neither support nor oppose </w:t>
      </w:r>
      <w:r w:rsidR="00E7161F">
        <w:t>the recommendation.</w:t>
      </w:r>
      <w:r w:rsidR="00860F32">
        <w:rPr>
          <w:rStyle w:val="FootnoteReference"/>
        </w:rPr>
        <w:footnoteReference w:id="37"/>
      </w:r>
      <w:r w:rsidR="00E7161F">
        <w:t xml:space="preserve"> </w:t>
      </w:r>
      <w:r w:rsidR="00A96B5C">
        <w:t>TURN</w:t>
      </w:r>
      <w:r w:rsidR="009B460E">
        <w:t xml:space="preserve"> argues that SPD staff overstates the usefulness of the concept of tail risk for the RDF</w:t>
      </w:r>
      <w:r w:rsidR="00B96E78">
        <w:t xml:space="preserve"> and that tail risk </w:t>
      </w:r>
      <w:r w:rsidR="005F2698">
        <w:t>only considers a small portion of the probability distribution</w:t>
      </w:r>
      <w:r w:rsidR="00DB1485">
        <w:t xml:space="preserve"> of CoRE while the expected value </w:t>
      </w:r>
      <w:r w:rsidR="005867EA">
        <w:t>considers</w:t>
      </w:r>
      <w:r w:rsidR="00DB1485">
        <w:t xml:space="preserve"> the full probability distribution.</w:t>
      </w:r>
      <w:r w:rsidR="00DB1485">
        <w:rPr>
          <w:rStyle w:val="FootnoteReference"/>
        </w:rPr>
        <w:footnoteReference w:id="38"/>
      </w:r>
    </w:p>
    <w:p w:rsidR="003C6465" w:rsidP="005E2033" w:rsidRDefault="003C6465" w14:paraId="269AD053" w14:textId="77777777">
      <w:pPr>
        <w:pStyle w:val="Heading2"/>
      </w:pPr>
      <w:bookmarkStart w:name="_Toc204258023" w:id="18"/>
      <w:r w:rsidRPr="005E2033">
        <w:t>Discussion</w:t>
      </w:r>
      <w:bookmarkEnd w:id="18"/>
    </w:p>
    <w:p w:rsidR="00170A0C" w:rsidP="00107D96" w:rsidRDefault="00573175" w14:paraId="5DAF6F3B" w14:textId="14C99FFF">
      <w:pPr>
        <w:pStyle w:val="Standard"/>
        <w:rPr>
          <w:rFonts w:asciiTheme="minorHAnsi" w:hAnsiTheme="minorHAnsi" w:eastAsiaTheme="minorEastAsia"/>
          <w:szCs w:val="26"/>
        </w:rPr>
      </w:pPr>
      <w:r>
        <w:t>Risk tolerance and it</w:t>
      </w:r>
      <w:r w:rsidR="00B63EB8">
        <w:t>s</w:t>
      </w:r>
      <w:r>
        <w:t xml:space="preserve"> cognate ideas are </w:t>
      </w:r>
      <w:r w:rsidR="00CB0B23">
        <w:t>a</w:t>
      </w:r>
      <w:r w:rsidR="00A969DC">
        <w:t>n important</w:t>
      </w:r>
      <w:r w:rsidR="00CB0B23">
        <w:t xml:space="preserve"> </w:t>
      </w:r>
      <w:r w:rsidR="005E7682">
        <w:t xml:space="preserve">component in the </w:t>
      </w:r>
      <w:r w:rsidR="00A969DC">
        <w:t xml:space="preserve">continued development of the RDF, as </w:t>
      </w:r>
      <w:r w:rsidR="00B63EB8">
        <w:t xml:space="preserve">evidenced by the </w:t>
      </w:r>
      <w:r w:rsidR="004624E8">
        <w:t>depth</w:t>
      </w:r>
      <w:r w:rsidR="009B35F7">
        <w:t xml:space="preserve"> and breadth</w:t>
      </w:r>
      <w:r w:rsidR="004624E8">
        <w:t xml:space="preserve"> </w:t>
      </w:r>
      <w:r w:rsidR="009B5FE0">
        <w:t xml:space="preserve">of engagement by parties on </w:t>
      </w:r>
      <w:r w:rsidR="00A969DC">
        <w:t>this topic</w:t>
      </w:r>
      <w:r>
        <w:t>.</w:t>
      </w:r>
      <w:r w:rsidR="004624E8">
        <w:t xml:space="preserve"> </w:t>
      </w:r>
      <w:r w:rsidR="00A969DC">
        <w:t>However, s</w:t>
      </w:r>
      <w:r w:rsidR="00F22000">
        <w:t>everal issues</w:t>
      </w:r>
      <w:r w:rsidR="00D769B8">
        <w:t xml:space="preserve"> </w:t>
      </w:r>
      <w:r w:rsidR="00FD1772">
        <w:t xml:space="preserve">related to </w:t>
      </w:r>
      <w:r w:rsidR="0055592A">
        <w:t xml:space="preserve">the </w:t>
      </w:r>
      <w:r w:rsidR="005D494C">
        <w:t>incorporation of risk tolerance into the RDF</w:t>
      </w:r>
      <w:r w:rsidR="00F22000">
        <w:t>, both practical</w:t>
      </w:r>
      <w:r w:rsidR="00D769B8">
        <w:t xml:space="preserve"> and substantive, are in need of </w:t>
      </w:r>
      <w:r w:rsidR="00A9305C">
        <w:t xml:space="preserve">further development and </w:t>
      </w:r>
      <w:r w:rsidR="00D769B8">
        <w:t xml:space="preserve">refinement. </w:t>
      </w:r>
      <w:r w:rsidR="00FD1772">
        <w:t>We are persuaded that risk tolerance should be saved for a successor proceeding</w:t>
      </w:r>
      <w:r w:rsidR="00FF5D35">
        <w:t xml:space="preserve">, with the exception of </w:t>
      </w:r>
      <w:r w:rsidR="002225CA">
        <w:t>representing CoRE as a probability distribution</w:t>
      </w:r>
      <w:r w:rsidR="006A179D">
        <w:t>, which we adopt here</w:t>
      </w:r>
      <w:r w:rsidR="002225CA">
        <w:t>.</w:t>
      </w:r>
      <w:r w:rsidR="00715F3F">
        <w:t xml:space="preserve"> </w:t>
      </w:r>
      <w:r w:rsidRPr="0063493D" w:rsidR="77EB942B">
        <w:rPr>
          <w:szCs w:val="26"/>
        </w:rPr>
        <w:t xml:space="preserve">We also order </w:t>
      </w:r>
      <w:r w:rsidR="00F063EC">
        <w:rPr>
          <w:szCs w:val="26"/>
        </w:rPr>
        <w:t xml:space="preserve">the </w:t>
      </w:r>
      <w:r w:rsidRPr="0063493D" w:rsidR="77EB942B">
        <w:rPr>
          <w:szCs w:val="26"/>
        </w:rPr>
        <w:t xml:space="preserve">utilities to </w:t>
      </w:r>
      <w:r w:rsidR="007E18DF">
        <w:rPr>
          <w:szCs w:val="26"/>
        </w:rPr>
        <w:t xml:space="preserve">jointly </w:t>
      </w:r>
      <w:r w:rsidRPr="00F61D0E" w:rsidR="77EB942B">
        <w:rPr>
          <w:rFonts w:eastAsiaTheme="minorEastAsia"/>
          <w:szCs w:val="26"/>
        </w:rPr>
        <w:t xml:space="preserve">draft a survey report on approaches to risk tolerance in </w:t>
      </w:r>
      <w:r w:rsidR="007E18DF">
        <w:rPr>
          <w:rFonts w:eastAsiaTheme="minorEastAsia"/>
          <w:szCs w:val="26"/>
        </w:rPr>
        <w:t>related</w:t>
      </w:r>
      <w:r w:rsidRPr="00F61D0E" w:rsidR="77EB942B">
        <w:rPr>
          <w:rFonts w:eastAsiaTheme="minorEastAsia"/>
          <w:szCs w:val="26"/>
        </w:rPr>
        <w:t xml:space="preserve"> industries and serve it on the service list</w:t>
      </w:r>
      <w:r w:rsidR="00FF76B6">
        <w:rPr>
          <w:rFonts w:eastAsiaTheme="minorEastAsia"/>
          <w:szCs w:val="26"/>
        </w:rPr>
        <w:t xml:space="preserve"> of this proceeding</w:t>
      </w:r>
      <w:r w:rsidRPr="00F61D0E" w:rsidR="77EB942B">
        <w:rPr>
          <w:rFonts w:eastAsiaTheme="minorEastAsia"/>
          <w:szCs w:val="26"/>
        </w:rPr>
        <w:t xml:space="preserve">.  The survey </w:t>
      </w:r>
      <w:r w:rsidR="002A3CD0">
        <w:rPr>
          <w:rFonts w:eastAsiaTheme="minorEastAsia"/>
          <w:szCs w:val="26"/>
        </w:rPr>
        <w:t xml:space="preserve">report </w:t>
      </w:r>
      <w:r w:rsidRPr="00F61D0E" w:rsidR="77EB942B">
        <w:rPr>
          <w:rFonts w:eastAsiaTheme="minorEastAsia"/>
          <w:szCs w:val="26"/>
        </w:rPr>
        <w:t>shall include the following information: whether a regulator</w:t>
      </w:r>
      <w:r w:rsidR="003F5284">
        <w:rPr>
          <w:rFonts w:eastAsiaTheme="minorEastAsia"/>
          <w:szCs w:val="26"/>
        </w:rPr>
        <w:t xml:space="preserve"> </w:t>
      </w:r>
      <w:r w:rsidRPr="00F61D0E" w:rsidR="77EB942B">
        <w:rPr>
          <w:rFonts w:eastAsiaTheme="minorEastAsia"/>
          <w:szCs w:val="26"/>
        </w:rPr>
        <w:t>set</w:t>
      </w:r>
      <w:r w:rsidR="002177B2">
        <w:rPr>
          <w:rFonts w:eastAsiaTheme="minorEastAsia"/>
          <w:szCs w:val="26"/>
        </w:rPr>
        <w:t>s</w:t>
      </w:r>
      <w:r w:rsidRPr="00F61D0E" w:rsidR="77EB942B">
        <w:rPr>
          <w:rFonts w:eastAsiaTheme="minorEastAsia"/>
          <w:szCs w:val="26"/>
        </w:rPr>
        <w:t xml:space="preserve"> the baseline risk tolerance, or, if not or if only partially, how industries or private companies set, implement, and</w:t>
      </w:r>
      <w:r w:rsidR="000C759A">
        <w:rPr>
          <w:rFonts w:eastAsiaTheme="minorEastAsia"/>
          <w:szCs w:val="26"/>
        </w:rPr>
        <w:t xml:space="preserve"> </w:t>
      </w:r>
      <w:r w:rsidR="003F5284">
        <w:rPr>
          <w:rFonts w:eastAsiaTheme="minorEastAsia"/>
          <w:szCs w:val="26"/>
        </w:rPr>
        <w:t>modify</w:t>
      </w:r>
      <w:r w:rsidRPr="00F61D0E" w:rsidR="77EB942B">
        <w:rPr>
          <w:rFonts w:eastAsiaTheme="minorEastAsia"/>
          <w:szCs w:val="26"/>
        </w:rPr>
        <w:t xml:space="preserve"> </w:t>
      </w:r>
      <w:r w:rsidR="002A3CD0">
        <w:rPr>
          <w:rFonts w:eastAsiaTheme="minorEastAsia"/>
          <w:szCs w:val="26"/>
        </w:rPr>
        <w:t xml:space="preserve">risk </w:t>
      </w:r>
      <w:r w:rsidRPr="00F61D0E" w:rsidR="77EB942B">
        <w:rPr>
          <w:rFonts w:eastAsiaTheme="minorEastAsia"/>
          <w:szCs w:val="26"/>
        </w:rPr>
        <w:t xml:space="preserve">tolerance thresholds.  The survey </w:t>
      </w:r>
      <w:r w:rsidR="002A3CD0">
        <w:rPr>
          <w:rFonts w:eastAsiaTheme="minorEastAsia"/>
          <w:szCs w:val="26"/>
        </w:rPr>
        <w:t xml:space="preserve">report </w:t>
      </w:r>
      <w:r w:rsidRPr="00F61D0E" w:rsidR="77EB942B">
        <w:rPr>
          <w:rFonts w:eastAsiaTheme="minorEastAsia"/>
          <w:szCs w:val="26"/>
        </w:rPr>
        <w:t xml:space="preserve">shall include, but is not limited to, the following industries: aviation, </w:t>
      </w:r>
      <w:r w:rsidRPr="00F61D0E" w:rsidR="77EB942B">
        <w:rPr>
          <w:rFonts w:eastAsiaTheme="minorEastAsia"/>
          <w:szCs w:val="26"/>
        </w:rPr>
        <w:lastRenderedPageBreak/>
        <w:t xml:space="preserve">chemical, mining, oil and gas, nuclear, autonomous vehicles, spaceflight, </w:t>
      </w:r>
      <w:r w:rsidR="004E6622">
        <w:rPr>
          <w:rFonts w:eastAsiaTheme="minorEastAsia"/>
          <w:szCs w:val="26"/>
        </w:rPr>
        <w:t xml:space="preserve">investor-owned </w:t>
      </w:r>
      <w:r w:rsidR="00BE3CF9">
        <w:rPr>
          <w:rFonts w:eastAsiaTheme="minorEastAsia"/>
          <w:szCs w:val="26"/>
        </w:rPr>
        <w:t>utilities</w:t>
      </w:r>
      <w:r w:rsidR="006B1919">
        <w:rPr>
          <w:rFonts w:eastAsiaTheme="minorEastAsia"/>
          <w:szCs w:val="26"/>
        </w:rPr>
        <w:t xml:space="preserve"> in other jurisdictions</w:t>
      </w:r>
      <w:r w:rsidR="00C649A6">
        <w:rPr>
          <w:rFonts w:eastAsiaTheme="minorEastAsia"/>
          <w:szCs w:val="26"/>
        </w:rPr>
        <w:t xml:space="preserve">, </w:t>
      </w:r>
      <w:r w:rsidRPr="00F61D0E" w:rsidR="77EB942B">
        <w:rPr>
          <w:rFonts w:eastAsiaTheme="minorEastAsia"/>
          <w:szCs w:val="26"/>
        </w:rPr>
        <w:t>and large California investor-owned electric</w:t>
      </w:r>
      <w:r w:rsidR="00095ECA">
        <w:rPr>
          <w:rFonts w:eastAsiaTheme="minorEastAsia"/>
          <w:szCs w:val="26"/>
        </w:rPr>
        <w:t xml:space="preserve"> and/or gas</w:t>
      </w:r>
      <w:r w:rsidRPr="00F61D0E" w:rsidR="77EB942B">
        <w:rPr>
          <w:rFonts w:eastAsiaTheme="minorEastAsia"/>
          <w:szCs w:val="26"/>
        </w:rPr>
        <w:t xml:space="preserve"> utilities. For the section on large California investor-owned electric </w:t>
      </w:r>
      <w:r w:rsidR="00BE44EF">
        <w:rPr>
          <w:rFonts w:eastAsiaTheme="minorEastAsia"/>
          <w:szCs w:val="26"/>
        </w:rPr>
        <w:t>and/or gas utilities</w:t>
      </w:r>
      <w:r w:rsidRPr="004016BC" w:rsidR="77EB942B">
        <w:rPr>
          <w:rFonts w:eastAsiaTheme="minorEastAsia"/>
          <w:szCs w:val="26"/>
        </w:rPr>
        <w:t>, the utilities shall include a description of the status quo, explaining the internal process of how each company currently sets the amount of risk they accept in safety, operations, and decision-making.</w:t>
      </w:r>
    </w:p>
    <w:p w:rsidR="00170A0C" w:rsidP="00107D96" w:rsidRDefault="00666FF4" w14:paraId="7A091EB0" w14:textId="47D8EBCA">
      <w:pPr>
        <w:pStyle w:val="Standard"/>
      </w:pPr>
      <w:r>
        <w:t>W</w:t>
      </w:r>
      <w:r w:rsidR="00F24D02">
        <w:t>e agree that</w:t>
      </w:r>
      <w:r w:rsidR="006F0E05">
        <w:t xml:space="preserve"> representing CoRE as a probability distribution is beneficial in most cases</w:t>
      </w:r>
      <w:r>
        <w:t>, as noted by the Sempra Companies</w:t>
      </w:r>
      <w:r w:rsidR="006F0E05">
        <w:t xml:space="preserve">. </w:t>
      </w:r>
      <w:r w:rsidR="00715F3F">
        <w:t xml:space="preserve">Requiring the representation of CoRE as a probability distribution </w:t>
      </w:r>
      <w:r w:rsidR="00201356">
        <w:t xml:space="preserve">is </w:t>
      </w:r>
      <w:r w:rsidR="006C0B37">
        <w:t>relatively unc</w:t>
      </w:r>
      <w:r w:rsidR="00B24609">
        <w:t xml:space="preserve">ontroversial </w:t>
      </w:r>
      <w:r w:rsidR="006F0E05">
        <w:t xml:space="preserve">and </w:t>
      </w:r>
      <w:r w:rsidR="00715F3F">
        <w:t>provides the Comm</w:t>
      </w:r>
      <w:r w:rsidR="00791AE6">
        <w:t xml:space="preserve">ission with additional, useful information in assessing </w:t>
      </w:r>
      <w:r w:rsidR="00EE62E6">
        <w:t>RAMP filings.</w:t>
      </w:r>
      <w:r w:rsidR="002225CA">
        <w:t xml:space="preserve"> </w:t>
      </w:r>
      <w:r w:rsidR="0037367E">
        <w:t>We adopt here</w:t>
      </w:r>
      <w:r w:rsidR="00E13FCE">
        <w:t xml:space="preserve"> (language additions in </w:t>
      </w:r>
      <w:r w:rsidR="00E13FCE">
        <w:rPr>
          <w:i/>
          <w:iCs/>
        </w:rPr>
        <w:t>italics</w:t>
      </w:r>
      <w:r w:rsidR="00E13FCE">
        <w:t xml:space="preserve">, deletions in </w:t>
      </w:r>
      <w:r w:rsidRPr="00A75179" w:rsidR="00E13FCE">
        <w:rPr>
          <w:strike/>
        </w:rPr>
        <w:t>strikethrough</w:t>
      </w:r>
      <w:r w:rsidR="00E13FCE">
        <w:t>)</w:t>
      </w:r>
      <w:r w:rsidR="00170A0C">
        <w:t>:</w:t>
      </w:r>
      <w:r w:rsidR="0037367E">
        <w:t xml:space="preserve"> </w:t>
      </w:r>
    </w:p>
    <w:p w:rsidR="00952DAE" w:rsidP="00CB3CB9" w:rsidRDefault="00170A0C" w14:paraId="261B2E43" w14:textId="77777777">
      <w:pPr>
        <w:pStyle w:val="Standard"/>
        <w:numPr>
          <w:ilvl w:val="0"/>
          <w:numId w:val="59"/>
        </w:numPr>
      </w:pPr>
      <w:r>
        <w:t>SPD staff’s recommended</w:t>
      </w:r>
      <w:r w:rsidR="0037367E">
        <w:t xml:space="preserve"> changes </w:t>
      </w:r>
      <w:r w:rsidR="000E3C61">
        <w:t xml:space="preserve">to </w:t>
      </w:r>
      <w:r w:rsidR="00731FF6">
        <w:t>Row 10</w:t>
      </w:r>
      <w:r w:rsidR="002805A3">
        <w:t xml:space="preserve"> </w:t>
      </w:r>
      <w:r w:rsidR="00276A75">
        <w:t>of the RDF</w:t>
      </w:r>
      <w:r w:rsidR="00952DAE">
        <w:t>:</w:t>
      </w:r>
    </w:p>
    <w:tbl>
      <w:tblPr>
        <w:tblStyle w:val="TableGrid"/>
        <w:tblW w:w="0" w:type="auto"/>
        <w:tblLook w:val="04A0" w:firstRow="1" w:lastRow="0" w:firstColumn="1" w:lastColumn="0" w:noHBand="0" w:noVBand="1"/>
      </w:tblPr>
      <w:tblGrid>
        <w:gridCol w:w="715"/>
        <w:gridCol w:w="2160"/>
        <w:gridCol w:w="6475"/>
      </w:tblGrid>
      <w:tr w:rsidR="00952DAE" w:rsidTr="25BD3389" w14:paraId="737E6F78" w14:textId="77777777">
        <w:tc>
          <w:tcPr>
            <w:tcW w:w="715" w:type="dxa"/>
          </w:tcPr>
          <w:p w:rsidRPr="000B0C4E" w:rsidR="00952DAE" w:rsidP="009F7751" w:rsidRDefault="00952DAE" w14:paraId="5B1C0368" w14:textId="77777777">
            <w:pPr>
              <w:pStyle w:val="TableText"/>
              <w:rPr>
                <w:szCs w:val="26"/>
              </w:rPr>
            </w:pPr>
            <w:r w:rsidRPr="009F7751">
              <w:rPr>
                <w:sz w:val="26"/>
                <w:szCs w:val="26"/>
              </w:rPr>
              <w:t xml:space="preserve">10. </w:t>
            </w:r>
          </w:p>
        </w:tc>
        <w:tc>
          <w:tcPr>
            <w:tcW w:w="2160" w:type="dxa"/>
          </w:tcPr>
          <w:p w:rsidRPr="000B0C4E" w:rsidR="00952DAE" w:rsidP="009F7751" w:rsidRDefault="00952DAE" w14:paraId="5CBB93CE" w14:textId="77777777">
            <w:pPr>
              <w:pStyle w:val="TableText"/>
              <w:rPr>
                <w:szCs w:val="26"/>
              </w:rPr>
            </w:pPr>
            <w:r w:rsidRPr="009F7751">
              <w:rPr>
                <w:sz w:val="26"/>
                <w:szCs w:val="26"/>
              </w:rPr>
              <w:t>Identification of Potential Consequences of Risk Event</w:t>
            </w:r>
          </w:p>
        </w:tc>
        <w:tc>
          <w:tcPr>
            <w:tcW w:w="6475" w:type="dxa"/>
          </w:tcPr>
          <w:p w:rsidR="00952DAE" w:rsidP="25BD3389" w:rsidRDefault="00952DAE" w14:paraId="23223CAD" w14:textId="05CEF513">
            <w:pPr>
              <w:pStyle w:val="TableText"/>
              <w:rPr>
                <w:i/>
                <w:iCs/>
              </w:rPr>
            </w:pPr>
            <w:r>
              <w:t xml:space="preserve">The identified potential Consequences of a Risk Event should reflect the unique characteristics of the utility </w:t>
            </w:r>
            <w:r w:rsidRPr="25BD3389">
              <w:rPr>
                <w:i/>
                <w:iCs/>
              </w:rPr>
              <w:t>and will be represented as a probability distribution</w:t>
            </w:r>
            <w:r w:rsidR="00234839">
              <w:rPr>
                <w:i/>
                <w:iCs/>
              </w:rPr>
              <w:t>, from which an expected value or tail risk value can be calculated</w:t>
            </w:r>
            <w:r>
              <w:t>. For each enterprise risk, the utility will use actual results, available and appropriate data (e.g., Pipeline and Hazardous Materials Safety Administration data), and/or Subject Matter Experts (SMEs) to identify potential Consequences of the Risk Event, consistent with the Cost-Benefit Approach developed in Step 1A. The utility should use utility-specific data, if available. If data that is specific to the utility is not available, the utility must supplement its analysis with subject matter expertise. Similarly, if data reflecting past results are used, that data must be supplemented by SME judgment that considers the Benefits of any Mitigations that are expected to be implemented prior to the GRC period under review in the RAMP</w:t>
            </w:r>
            <w:r w:rsidR="1762ACF8">
              <w:t>*</w:t>
            </w:r>
            <w:r>
              <w:t xml:space="preserve"> submission. </w:t>
            </w:r>
            <w:r w:rsidRPr="25BD3389">
              <w:rPr>
                <w:i/>
                <w:iCs/>
              </w:rPr>
              <w:t>For each enterprise risk, the utility must</w:t>
            </w:r>
            <w:r>
              <w:t xml:space="preserve"> </w:t>
            </w:r>
            <w:r w:rsidRPr="25BD3389">
              <w:rPr>
                <w:i/>
                <w:iCs/>
              </w:rPr>
              <w:t xml:space="preserve">explain how </w:t>
            </w:r>
            <w:r w:rsidR="00657E34">
              <w:rPr>
                <w:i/>
                <w:iCs/>
              </w:rPr>
              <w:t>it</w:t>
            </w:r>
            <w:r w:rsidRPr="25BD3389">
              <w:rPr>
                <w:i/>
                <w:iCs/>
              </w:rPr>
              <w:t xml:space="preserve"> derived the probability distribution for Consequence of a Risk Event.</w:t>
            </w:r>
          </w:p>
        </w:tc>
      </w:tr>
    </w:tbl>
    <w:p w:rsidR="0075041D" w:rsidP="00EB7A6B" w:rsidRDefault="0075041D" w14:paraId="2EA5CB87" w14:textId="3AAB9EED">
      <w:pPr>
        <w:pStyle w:val="Standard"/>
      </w:pPr>
    </w:p>
    <w:p w:rsidR="0007030B" w:rsidP="00397465" w:rsidRDefault="00485D4D" w14:paraId="30113F14" w14:textId="77777777">
      <w:pPr>
        <w:pStyle w:val="ListBullet"/>
        <w:ind w:right="1440"/>
      </w:pPr>
      <w:r>
        <w:t xml:space="preserve">SPD staff’s recommended </w:t>
      </w:r>
      <w:r w:rsidR="00A91C97">
        <w:t>modifications to the definitions of Consequence</w:t>
      </w:r>
      <w:r w:rsidR="0062030D">
        <w:t xml:space="preserve"> and Risk</w:t>
      </w:r>
      <w:r w:rsidR="00D93024">
        <w:t xml:space="preserve"> in the RDF</w:t>
      </w:r>
      <w:r w:rsidR="00B7448B">
        <w:t>:</w:t>
      </w:r>
    </w:p>
    <w:p w:rsidRPr="002A35E2" w:rsidR="0075041D" w:rsidP="00397465" w:rsidRDefault="0007030B" w14:paraId="29B519E9" w14:textId="635BBA3F">
      <w:pPr>
        <w:pStyle w:val="ListBullet"/>
        <w:ind w:right="1440"/>
      </w:pPr>
      <w:r w:rsidRPr="00EB7A6B">
        <w:lastRenderedPageBreak/>
        <w:t>Consequence</w:t>
      </w:r>
      <w:r w:rsidRPr="00E13FCE">
        <w:t xml:space="preserve"> (or </w:t>
      </w:r>
      <w:r w:rsidRPr="00EB7A6B">
        <w:t>Impact</w:t>
      </w:r>
      <w:r w:rsidRPr="00E13FCE">
        <w:t>):</w:t>
      </w:r>
      <w:r>
        <w:t xml:space="preserve"> </w:t>
      </w:r>
      <w:r w:rsidR="71D97AA4">
        <w:t>T</w:t>
      </w:r>
      <w:r>
        <w:t xml:space="preserve">he effect of the occurrence of a Risk Event. Consequences affect Attributes of a Cost-Benefit Approach </w:t>
      </w:r>
      <w:r w:rsidRPr="00461668">
        <w:rPr>
          <w:i/>
          <w:iCs/>
        </w:rPr>
        <w:t xml:space="preserve">and can be presented in the natural units of the </w:t>
      </w:r>
      <w:r w:rsidR="00277930">
        <w:rPr>
          <w:i/>
          <w:iCs/>
        </w:rPr>
        <w:t>Attribute</w:t>
      </w:r>
      <w:r w:rsidRPr="00461668" w:rsidR="00277930">
        <w:rPr>
          <w:i/>
          <w:iCs/>
        </w:rPr>
        <w:t xml:space="preserve"> </w:t>
      </w:r>
      <w:r w:rsidR="0093240C">
        <w:rPr>
          <w:i/>
          <w:iCs/>
        </w:rPr>
        <w:t>and</w:t>
      </w:r>
      <w:r w:rsidRPr="00461668" w:rsidR="0093240C">
        <w:rPr>
          <w:i/>
          <w:iCs/>
        </w:rPr>
        <w:t xml:space="preserve"> </w:t>
      </w:r>
      <w:r w:rsidRPr="00461668">
        <w:rPr>
          <w:i/>
          <w:iCs/>
        </w:rPr>
        <w:t>monetized.</w:t>
      </w:r>
      <w:r>
        <w:t xml:space="preserve"> </w:t>
      </w:r>
      <w:r>
        <w:rPr>
          <w:i/>
          <w:iCs/>
        </w:rPr>
        <w:t xml:space="preserve">Consequence is represented as </w:t>
      </w:r>
      <w:r w:rsidRPr="1917E899" w:rsidR="67C9C8DA">
        <w:rPr>
          <w:i/>
          <w:iCs/>
        </w:rPr>
        <w:t>a</w:t>
      </w:r>
      <w:r>
        <w:rPr>
          <w:i/>
          <w:iCs/>
        </w:rPr>
        <w:t xml:space="preserve"> probability distribution</w:t>
      </w:r>
      <w:r w:rsidR="004C4A79">
        <w:rPr>
          <w:i/>
          <w:iCs/>
        </w:rPr>
        <w:t xml:space="preserve">, from which an expected value or tail risk value can be calculated. The probability distribution of the CoRE is the probability distribution of the </w:t>
      </w:r>
      <w:r w:rsidR="00093C95">
        <w:rPr>
          <w:i/>
          <w:iCs/>
        </w:rPr>
        <w:t>sum of the monetized Attributes</w:t>
      </w:r>
      <w:r>
        <w:rPr>
          <w:i/>
          <w:iCs/>
        </w:rPr>
        <w:t>.</w:t>
      </w:r>
    </w:p>
    <w:p w:rsidR="00E13FCE" w:rsidP="00397465" w:rsidRDefault="00E13FCE" w14:paraId="28D64E50" w14:textId="381F6F07">
      <w:pPr>
        <w:pStyle w:val="ListBullet"/>
        <w:ind w:right="1440"/>
        <w:rPr>
          <w:i/>
        </w:rPr>
      </w:pPr>
      <w:r w:rsidRPr="00EB7A6B">
        <w:t>Risk</w:t>
      </w:r>
      <w:r w:rsidRPr="00E13FCE">
        <w:t>:</w:t>
      </w:r>
      <w:r>
        <w:t xml:space="preserve"> </w:t>
      </w:r>
      <w:r w:rsidR="0BFEDA12">
        <w:t>T</w:t>
      </w:r>
      <w:r>
        <w:t xml:space="preserve">he potential for the occurrence of an event that would be desirable to avoid, </w:t>
      </w:r>
      <w:r w:rsidRPr="00F9561E">
        <w:rPr>
          <w:strike/>
        </w:rPr>
        <w:t>often</w:t>
      </w:r>
      <w:r w:rsidRPr="0052356D">
        <w:t xml:space="preserve"> </w:t>
      </w:r>
      <w:r>
        <w:t xml:space="preserve">expressed in terms of a combination of various Outcomes of an adverse event and their associated Probabilities. </w:t>
      </w:r>
      <w:r>
        <w:rPr>
          <w:i/>
          <w:iCs/>
        </w:rPr>
        <w:t>Risk is the product of LoRE and CoRE and represented as a probability distribution</w:t>
      </w:r>
      <w:r w:rsidR="00D832E7">
        <w:rPr>
          <w:i/>
          <w:iCs/>
        </w:rPr>
        <w:t>, from which an expected value or tail risk value can be calculated</w:t>
      </w:r>
      <w:r>
        <w:rPr>
          <w:i/>
          <w:iCs/>
        </w:rPr>
        <w:t>.</w:t>
      </w:r>
    </w:p>
    <w:p w:rsidR="00F46EAA" w:rsidP="00397465" w:rsidRDefault="00803532" w14:paraId="6D96763E" w14:textId="3F930889">
      <w:pPr>
        <w:pStyle w:val="ListBullet"/>
        <w:ind w:right="1440"/>
      </w:pPr>
      <w:r>
        <w:t>T</w:t>
      </w:r>
      <w:r w:rsidR="0090200E">
        <w:t>he following</w:t>
      </w:r>
      <w:r w:rsidR="00D93024">
        <w:t xml:space="preserve"> definition for Probability Distribution</w:t>
      </w:r>
      <w:r w:rsidR="00AE3009">
        <w:t xml:space="preserve"> provided by TURN</w:t>
      </w:r>
      <w:r w:rsidR="008D5072">
        <w:t xml:space="preserve"> </w:t>
      </w:r>
      <w:r w:rsidR="002F7998">
        <w:t>for</w:t>
      </w:r>
      <w:r w:rsidR="008D5072">
        <w:t xml:space="preserve"> the RDF</w:t>
      </w:r>
      <w:r w:rsidR="00107D96">
        <w:t>:</w:t>
      </w:r>
      <w:r w:rsidR="0075041D">
        <w:t xml:space="preserve"> </w:t>
      </w:r>
      <w:r w:rsidRPr="00461668" w:rsidR="3F9AD922">
        <w:rPr>
          <w:i/>
          <w:iCs/>
        </w:rPr>
        <w:t>T</w:t>
      </w:r>
      <w:r w:rsidRPr="00461668" w:rsidR="00625B0A">
        <w:rPr>
          <w:i/>
          <w:iCs/>
        </w:rPr>
        <w:t>he assignment of a probability to each of the possible events that can occu</w:t>
      </w:r>
      <w:r w:rsidRPr="00461668" w:rsidR="008D5072">
        <w:rPr>
          <w:i/>
          <w:iCs/>
        </w:rPr>
        <w:t>r</w:t>
      </w:r>
      <w:r w:rsidRPr="00461668" w:rsidR="00625B0A">
        <w:rPr>
          <w:i/>
          <w:iCs/>
        </w:rPr>
        <w:t xml:space="preserve"> as the outcome</w:t>
      </w:r>
      <w:r w:rsidRPr="00461668" w:rsidR="008D5072">
        <w:rPr>
          <w:i/>
          <w:iCs/>
        </w:rPr>
        <w:t xml:space="preserve"> of an uncertain situation.</w:t>
      </w:r>
    </w:p>
    <w:p w:rsidR="00470E62" w:rsidP="00397465" w:rsidRDefault="0053701F" w14:paraId="61B716E2" w14:textId="1FCB3421">
      <w:pPr>
        <w:pStyle w:val="ListBullet"/>
        <w:ind w:right="1440"/>
      </w:pPr>
      <w:r>
        <w:t xml:space="preserve">The following </w:t>
      </w:r>
      <w:r w:rsidR="00D55BEC">
        <w:t>modifications to Row 13 of the RDF</w:t>
      </w:r>
      <w:r w:rsidR="00470E62">
        <w:t>:</w:t>
      </w:r>
    </w:p>
    <w:tbl>
      <w:tblPr>
        <w:tblStyle w:val="TableGrid"/>
        <w:tblW w:w="0" w:type="auto"/>
        <w:tblLook w:val="04A0" w:firstRow="1" w:lastRow="0" w:firstColumn="1" w:lastColumn="0" w:noHBand="0" w:noVBand="1"/>
      </w:tblPr>
      <w:tblGrid>
        <w:gridCol w:w="715"/>
        <w:gridCol w:w="2160"/>
        <w:gridCol w:w="6475"/>
      </w:tblGrid>
      <w:tr w:rsidRPr="00803532" w:rsidR="00803532" w14:paraId="69DD0C47" w14:textId="77777777">
        <w:tc>
          <w:tcPr>
            <w:tcW w:w="715" w:type="dxa"/>
          </w:tcPr>
          <w:p w:rsidRPr="000B0C4E" w:rsidR="00803532" w:rsidP="00425907" w:rsidRDefault="00380775" w14:paraId="6BB6B07E" w14:textId="567DC274">
            <w:pPr>
              <w:pStyle w:val="TableText"/>
              <w:rPr>
                <w:szCs w:val="26"/>
              </w:rPr>
            </w:pPr>
            <w:r w:rsidRPr="00425907">
              <w:rPr>
                <w:sz w:val="26"/>
                <w:szCs w:val="26"/>
              </w:rPr>
              <w:t>13.</w:t>
            </w:r>
            <w:r w:rsidRPr="00425907" w:rsidR="00803532">
              <w:rPr>
                <w:sz w:val="26"/>
                <w:szCs w:val="26"/>
              </w:rPr>
              <w:t xml:space="preserve"> </w:t>
            </w:r>
          </w:p>
        </w:tc>
        <w:tc>
          <w:tcPr>
            <w:tcW w:w="2160" w:type="dxa"/>
          </w:tcPr>
          <w:p w:rsidRPr="000B0C4E" w:rsidR="00803532" w:rsidP="00425907" w:rsidRDefault="00803532" w14:paraId="5A9DD0C7" w14:textId="25C895AC">
            <w:pPr>
              <w:pStyle w:val="TableText"/>
              <w:rPr>
                <w:szCs w:val="26"/>
              </w:rPr>
            </w:pPr>
            <w:r w:rsidRPr="00425907">
              <w:rPr>
                <w:sz w:val="26"/>
                <w:szCs w:val="26"/>
              </w:rPr>
              <w:t>Calculation of Risk</w:t>
            </w:r>
          </w:p>
        </w:tc>
        <w:tc>
          <w:tcPr>
            <w:tcW w:w="6475" w:type="dxa"/>
          </w:tcPr>
          <w:p w:rsidRPr="00E13F7D" w:rsidR="00803532" w:rsidP="00425907" w:rsidRDefault="00380775" w14:paraId="26E63DC9" w14:textId="531F3A0B">
            <w:pPr>
              <w:pStyle w:val="TableText"/>
            </w:pPr>
            <w:r>
              <w:t xml:space="preserve">For the purposes of the Step 3 analysis </w:t>
            </w:r>
            <w:r>
              <w:rPr>
                <w:i/>
                <w:iCs/>
              </w:rPr>
              <w:t>for each enterprise risk assessed in the RAMP</w:t>
            </w:r>
            <w:r w:rsidR="003F7A57">
              <w:t xml:space="preserve">, pre- and post-mitigation risk will be calculated by multiplying the </w:t>
            </w:r>
            <w:r w:rsidR="00B600C1">
              <w:t xml:space="preserve">Likelihood of a Risk Event (LoRE) by the </w:t>
            </w:r>
            <w:r w:rsidR="00B600C1">
              <w:rPr>
                <w:i/>
                <w:iCs/>
              </w:rPr>
              <w:t>probability distribution of</w:t>
            </w:r>
            <w:r w:rsidR="00B600C1">
              <w:t xml:space="preserve"> Consequences of a Risk Event (CoRE)</w:t>
            </w:r>
            <w:r w:rsidR="00905D05">
              <w:t xml:space="preserve"> </w:t>
            </w:r>
            <w:r w:rsidR="00905D05">
              <w:rPr>
                <w:i/>
                <w:iCs/>
              </w:rPr>
              <w:t xml:space="preserve">and be represented </w:t>
            </w:r>
            <w:r w:rsidR="00137942">
              <w:rPr>
                <w:i/>
                <w:iCs/>
              </w:rPr>
              <w:t>as a probability distribution</w:t>
            </w:r>
            <w:r w:rsidR="002D5B9E">
              <w:rPr>
                <w:i/>
                <w:iCs/>
              </w:rPr>
              <w:t>, from which an expected value or tail risk value can be calcuated</w:t>
            </w:r>
            <w:r w:rsidR="00ED05BF">
              <w:t xml:space="preserve">. The CoRE is the sum of each of the </w:t>
            </w:r>
            <w:r w:rsidR="00785ED0">
              <w:rPr>
                <w:strike/>
              </w:rPr>
              <w:t>Risk-Adjusted</w:t>
            </w:r>
            <w:r w:rsidR="00785ED0">
              <w:t xml:space="preserve"> Attribute Values</w:t>
            </w:r>
            <w:r w:rsidR="000D4BB1">
              <w:rPr>
                <w:i/>
                <w:iCs/>
              </w:rPr>
              <w:t>’</w:t>
            </w:r>
            <w:r w:rsidR="001D0F5F">
              <w:t xml:space="preserve"> </w:t>
            </w:r>
            <w:r w:rsidR="001D0F5F">
              <w:rPr>
                <w:i/>
                <w:iCs/>
              </w:rPr>
              <w:t xml:space="preserve">probability </w:t>
            </w:r>
            <w:r w:rsidR="000D4BB1">
              <w:rPr>
                <w:i/>
                <w:iCs/>
              </w:rPr>
              <w:t>distributions monetized</w:t>
            </w:r>
            <w:r w:rsidR="000D4BB1">
              <w:t xml:space="preserve"> using the utility’s full Cost-Benefit Approach.</w:t>
            </w:r>
          </w:p>
        </w:tc>
      </w:tr>
    </w:tbl>
    <w:p w:rsidR="00107D96" w:rsidP="00E13F7D" w:rsidRDefault="00107D96" w14:paraId="775054C7" w14:textId="716CBBBF">
      <w:pPr>
        <w:pStyle w:val="Standard"/>
        <w:ind w:left="1440"/>
      </w:pPr>
    </w:p>
    <w:p w:rsidRPr="00094484" w:rsidR="0053524C" w:rsidP="00397465" w:rsidRDefault="00F765FC" w14:paraId="2F4B1C3F" w14:textId="633B5C49">
      <w:pPr>
        <w:pStyle w:val="Standard"/>
      </w:pPr>
      <w:r>
        <w:t xml:space="preserve">We do not at this time adopt any of the </w:t>
      </w:r>
      <w:r w:rsidR="002225CA">
        <w:t xml:space="preserve">other </w:t>
      </w:r>
      <w:r>
        <w:t>recommended changes to the RDF related to risk tolerance.</w:t>
      </w:r>
    </w:p>
    <w:p w:rsidR="00DA06FA" w:rsidP="00397465" w:rsidRDefault="00F606EC" w14:paraId="0D5DA7E4" w14:textId="649E7FA8">
      <w:pPr>
        <w:pStyle w:val="Heading1"/>
      </w:pPr>
      <w:bookmarkStart w:name="_Toc204258024" w:id="19"/>
      <w:r>
        <w:t>Overall Residual Risk Reporting</w:t>
      </w:r>
      <w:bookmarkEnd w:id="19"/>
    </w:p>
    <w:p w:rsidR="00FB6502" w:rsidP="00B201AE" w:rsidRDefault="00BB519F" w14:paraId="7EEE2BA8" w14:textId="0A17C682">
      <w:pPr>
        <w:pStyle w:val="Standard"/>
      </w:pPr>
      <w:r>
        <w:t>The concept of ‘residual risk’</w:t>
      </w:r>
      <w:r w:rsidR="00945C48">
        <w:t xml:space="preserve"> provides a </w:t>
      </w:r>
      <w:r w:rsidR="006F5CED">
        <w:t xml:space="preserve">tool to answer the question: how much </w:t>
      </w:r>
      <w:r w:rsidR="00D37788">
        <w:t>r</w:t>
      </w:r>
      <w:r w:rsidR="006F5CED">
        <w:t>is</w:t>
      </w:r>
      <w:r w:rsidR="00D37788">
        <w:t>k</w:t>
      </w:r>
      <w:r w:rsidR="006F5CED">
        <w:t xml:space="preserve"> on the utility</w:t>
      </w:r>
      <w:r w:rsidR="007B1652">
        <w:t xml:space="preserve"> system</w:t>
      </w:r>
      <w:r w:rsidR="006F5CED">
        <w:t xml:space="preserve"> remains</w:t>
      </w:r>
      <w:r w:rsidR="005571FE">
        <w:t xml:space="preserve"> in a GRC or RAMP filing?</w:t>
      </w:r>
      <w:r w:rsidR="008435AE">
        <w:t xml:space="preserve"> </w:t>
      </w:r>
      <w:r w:rsidR="004C3A44">
        <w:t>W</w:t>
      </w:r>
      <w:r w:rsidRPr="00945FF2" w:rsidR="00945FF2">
        <w:t xml:space="preserve">ithin RAMP and GRC filings, the utilities develop mitigation programs based on the </w:t>
      </w:r>
      <w:r w:rsidRPr="00945FF2" w:rsidR="00945FF2">
        <w:lastRenderedPageBreak/>
        <w:t xml:space="preserve">estimated GRC Test Year Baseline Risk. The amount of risk remaining after implementing the mitigation programs authorized by a GRC decision that reduces the GRC Test Year Baseline Risk </w:t>
      </w:r>
      <w:r w:rsidR="004C3A44">
        <w:t>is</w:t>
      </w:r>
      <w:r w:rsidRPr="00945FF2" w:rsidR="00945FF2">
        <w:t xml:space="preserve"> the residual risk </w:t>
      </w:r>
      <w:r w:rsidR="002F7EFE">
        <w:t xml:space="preserve">but </w:t>
      </w:r>
      <w:r w:rsidRPr="00945FF2" w:rsidR="00945FF2">
        <w:t>only within the scope of that GRC application. Currently, the RDF does not require the utilities to report on the overall residual risk associated with each enterprise risk submitted in a RAMP or GRC filing.</w:t>
      </w:r>
      <w:r w:rsidR="00DD361B">
        <w:t xml:space="preserve"> </w:t>
      </w:r>
      <w:r w:rsidR="00DA5933">
        <w:t>To better contextualize the proposed safety investments i</w:t>
      </w:r>
      <w:r w:rsidR="004C1DDF">
        <w:t>n RAMPs and GRCs,</w:t>
      </w:r>
      <w:r w:rsidR="00387179">
        <w:t xml:space="preserve"> and to better understand </w:t>
      </w:r>
      <w:r w:rsidR="00C251C4">
        <w:t xml:space="preserve">utility </w:t>
      </w:r>
      <w:r w:rsidR="00387179">
        <w:t xml:space="preserve">progress made on risk reduction over time, </w:t>
      </w:r>
      <w:r w:rsidR="004C02DB">
        <w:t xml:space="preserve">the Commission must be able to track </w:t>
      </w:r>
      <w:r w:rsidR="00B201AE">
        <w:t>o</w:t>
      </w:r>
      <w:r w:rsidR="004C02DB">
        <w:t xml:space="preserve">verall </w:t>
      </w:r>
      <w:r w:rsidR="00B201AE">
        <w:t>r</w:t>
      </w:r>
      <w:r w:rsidR="004C02DB">
        <w:t xml:space="preserve">esidual </w:t>
      </w:r>
      <w:r w:rsidR="00B201AE">
        <w:t>r</w:t>
      </w:r>
      <w:r w:rsidR="004C02DB">
        <w:t>isk for each enterprise risk and include the historical progress of risk reduction for every RAMP cycle to date.</w:t>
      </w:r>
    </w:p>
    <w:p w:rsidR="00F45D55" w:rsidP="00DA06FA" w:rsidRDefault="00F45D55" w14:paraId="00A7E51B" w14:textId="76A3C260">
      <w:pPr>
        <w:pStyle w:val="Standard"/>
      </w:pPr>
      <w:r>
        <w:t>In this context, the SPD Staff Risk Tolerance Proposal</w:t>
      </w:r>
      <w:r w:rsidR="001B0EBB">
        <w:t xml:space="preserve"> argues that overall residual risk </w:t>
      </w:r>
      <w:r w:rsidR="000F0F89">
        <w:t>can be presented in easily understandable graphs and spreadsheet tables.</w:t>
      </w:r>
      <w:r w:rsidR="00FD520D">
        <w:t xml:space="preserve"> SPD staff provides the </w:t>
      </w:r>
      <w:r w:rsidR="00D4379B">
        <w:t>example graph</w:t>
      </w:r>
      <w:r w:rsidR="00456313">
        <w:t xml:space="preserve"> below (Figure 1)</w:t>
      </w:r>
      <w:r w:rsidR="00D4379B">
        <w:t xml:space="preserve"> showing hypothetical overall residual risk remaining after mitigations</w:t>
      </w:r>
      <w:r w:rsidR="00EB29A9">
        <w:t>.</w:t>
      </w:r>
    </w:p>
    <w:p w:rsidR="00A046ED" w:rsidP="00A046ED" w:rsidRDefault="00BD639B" w14:paraId="62DA405F" w14:textId="77777777">
      <w:pPr>
        <w:pStyle w:val="Standard"/>
        <w:keepNext/>
      </w:pPr>
      <w:r w:rsidRPr="00BD639B">
        <w:rPr>
          <w:noProof/>
        </w:rPr>
        <w:lastRenderedPageBreak/>
        <w:drawing>
          <wp:inline distT="0" distB="0" distL="0" distR="0" wp14:anchorId="3BD6FEEC" wp14:editId="4F7CB55E">
            <wp:extent cx="5010289" cy="3286664"/>
            <wp:effectExtent l="19050" t="19050" r="19050" b="28575"/>
            <wp:docPr id="1577479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6398" cy="3310351"/>
                    </a:xfrm>
                    <a:prstGeom prst="rect">
                      <a:avLst/>
                    </a:prstGeom>
                    <a:noFill/>
                    <a:ln>
                      <a:solidFill>
                        <a:schemeClr val="tx1"/>
                      </a:solidFill>
                    </a:ln>
                  </pic:spPr>
                </pic:pic>
              </a:graphicData>
            </a:graphic>
          </wp:inline>
        </w:drawing>
      </w:r>
    </w:p>
    <w:p w:rsidRPr="00DA06FA" w:rsidR="00EB29A9" w:rsidP="00C35A51" w:rsidRDefault="00A046ED" w14:paraId="4D79D17F" w14:textId="793E7648">
      <w:pPr>
        <w:pStyle w:val="Caption"/>
        <w:jc w:val="center"/>
      </w:pPr>
      <w:r>
        <w:t xml:space="preserve">Figure </w:t>
      </w:r>
      <w:r>
        <w:fldChar w:fldCharType="begin"/>
      </w:r>
      <w:r>
        <w:instrText>SEQ Figure \* ARABIC</w:instrText>
      </w:r>
      <w:r>
        <w:fldChar w:fldCharType="separate"/>
      </w:r>
      <w:r w:rsidR="00A86756">
        <w:rPr>
          <w:noProof/>
        </w:rPr>
        <w:t>1</w:t>
      </w:r>
      <w:r>
        <w:fldChar w:fldCharType="end"/>
      </w:r>
      <w:r>
        <w:t>. Hypothetical Overall Residual Risk Remaining After Mitigations</w:t>
      </w:r>
      <w:r w:rsidR="003127CD">
        <w:t xml:space="preserve"> </w:t>
      </w:r>
      <w:r>
        <w:rPr>
          <w:rStyle w:val="FootnoteReference"/>
        </w:rPr>
        <w:footnoteReference w:id="39"/>
      </w:r>
    </w:p>
    <w:p w:rsidR="00182F5F" w:rsidP="00182F5F" w:rsidRDefault="00182F5F" w14:paraId="667311F1" w14:textId="3504C71D">
      <w:pPr>
        <w:pStyle w:val="Standard"/>
      </w:pPr>
      <w:r>
        <w:t xml:space="preserve">SPD staff </w:t>
      </w:r>
      <w:r w:rsidR="00B47C55">
        <w:t>envisions</w:t>
      </w:r>
      <w:r>
        <w:t xml:space="preserve"> </w:t>
      </w:r>
      <w:r w:rsidR="006C616F">
        <w:t>that the Commission require the utilities to submit similar diagrams and spreadsheet tables for every risk included with each RAMP and GRC filing</w:t>
      </w:r>
      <w:r w:rsidR="0020539D">
        <w:t>.</w:t>
      </w:r>
      <w:r w:rsidR="0020539D">
        <w:rPr>
          <w:rStyle w:val="FootnoteReference"/>
        </w:rPr>
        <w:footnoteReference w:id="40"/>
      </w:r>
      <w:r w:rsidR="00E06921">
        <w:t xml:space="preserve"> SPD staff recommend that </w:t>
      </w:r>
      <w:r w:rsidR="00FA0130">
        <w:t xml:space="preserve">the Commission require the utilities to report </w:t>
      </w:r>
      <w:r w:rsidR="00E70694">
        <w:t xml:space="preserve">on their progress </w:t>
      </w:r>
      <w:r w:rsidR="00EF45DB">
        <w:t xml:space="preserve">of reducing overall residual risk for each enterprise risk addressed in a RAMP or GRC filing. SPD staff recommends that the first time </w:t>
      </w:r>
      <w:r w:rsidR="002C3224">
        <w:t>a utility presents its progress of reducing overall residual risk, it should include a narrative section that de</w:t>
      </w:r>
      <w:r w:rsidR="00D26B43">
        <w:t>scribes the level of overall residual risk between January 1, 2006</w:t>
      </w:r>
      <w:r w:rsidR="001B0F6B">
        <w:t>,</w:t>
      </w:r>
      <w:r w:rsidR="00D26B43">
        <w:t xml:space="preserve"> and the time it fil</w:t>
      </w:r>
      <w:r w:rsidR="00A62EA5">
        <w:t>ed</w:t>
      </w:r>
      <w:r w:rsidR="00D26B43">
        <w:t xml:space="preserve"> its first</w:t>
      </w:r>
      <w:r w:rsidR="003A416A">
        <w:t xml:space="preserve"> RAMP</w:t>
      </w:r>
      <w:r w:rsidR="001B0F6B">
        <w:t>,</w:t>
      </w:r>
      <w:r w:rsidR="003A416A">
        <w:t xml:space="preserve"> and the total amount of money spent on mitigation investments between January 1, 2006</w:t>
      </w:r>
      <w:r w:rsidR="001B0F6B">
        <w:t>,</w:t>
      </w:r>
      <w:r w:rsidR="003A416A">
        <w:t xml:space="preserve"> and the time if filed its first RAMP. </w:t>
      </w:r>
      <w:r w:rsidR="00791A0B">
        <w:t>SPD staff recommends updates to</w:t>
      </w:r>
      <w:r w:rsidR="00A62EA5">
        <w:t>,</w:t>
      </w:r>
      <w:r w:rsidR="00791A0B">
        <w:t xml:space="preserve"> </w:t>
      </w:r>
      <w:r w:rsidR="00D86DCD">
        <w:t xml:space="preserve">or additions </w:t>
      </w:r>
      <w:r w:rsidR="00D86DCD">
        <w:lastRenderedPageBreak/>
        <w:t>of</w:t>
      </w:r>
      <w:r w:rsidR="00A62EA5">
        <w:t>,</w:t>
      </w:r>
      <w:r w:rsidR="00D86DCD">
        <w:t xml:space="preserve"> </w:t>
      </w:r>
      <w:r w:rsidR="00791A0B">
        <w:t xml:space="preserve">the following definitions in the RDF to better incorporate the </w:t>
      </w:r>
      <w:r w:rsidR="00D86DCD">
        <w:t>concept of overall residual risk</w:t>
      </w:r>
      <w:r w:rsidR="00256451">
        <w:t xml:space="preserve"> </w:t>
      </w:r>
      <w:r w:rsidR="00791A0B">
        <w:t xml:space="preserve">(language additions in </w:t>
      </w:r>
      <w:r w:rsidR="00791A0B">
        <w:rPr>
          <w:i/>
          <w:iCs/>
        </w:rPr>
        <w:t>italics</w:t>
      </w:r>
      <w:r w:rsidR="00791A0B">
        <w:t xml:space="preserve">, deletions in </w:t>
      </w:r>
      <w:r w:rsidRPr="00A75179" w:rsidR="00791A0B">
        <w:rPr>
          <w:strike/>
        </w:rPr>
        <w:t>strikethrough</w:t>
      </w:r>
      <w:r w:rsidR="00791A0B">
        <w:t>):</w:t>
      </w:r>
    </w:p>
    <w:p w:rsidRPr="00461668" w:rsidR="00256451" w:rsidP="00397465" w:rsidRDefault="00256451" w14:paraId="15B1824B" w14:textId="216C2A54">
      <w:pPr>
        <w:pStyle w:val="ListBullet"/>
        <w:ind w:right="1440"/>
        <w:rPr>
          <w:i/>
          <w:iCs/>
        </w:rPr>
      </w:pPr>
      <w:r w:rsidRPr="00461668">
        <w:rPr>
          <w:i/>
          <w:iCs/>
        </w:rPr>
        <w:t>Overall Residual Risk: all the risk on the utility’s assets or systems after taking account of the historical progress of risk reduction since the utility’s first RAMP filing</w:t>
      </w:r>
      <w:r w:rsidRPr="00461668" w:rsidR="00C21436">
        <w:rPr>
          <w:i/>
          <w:iCs/>
        </w:rPr>
        <w:t>.</w:t>
      </w:r>
    </w:p>
    <w:p w:rsidR="00C21436" w:rsidP="00397465" w:rsidRDefault="00C21436" w14:paraId="2868A46C" w14:textId="5229A7C9">
      <w:pPr>
        <w:pStyle w:val="ListBullet"/>
        <w:ind w:right="1440"/>
      </w:pPr>
      <w:r>
        <w:t xml:space="preserve">Residual Risk: Risk remaining after application of Mitigations, including Mitigations classified as Controls </w:t>
      </w:r>
      <w:r>
        <w:rPr>
          <w:i/>
          <w:iCs/>
        </w:rPr>
        <w:t>for a given GRC cycle</w:t>
      </w:r>
      <w:r>
        <w:t>.</w:t>
      </w:r>
    </w:p>
    <w:p w:rsidR="00C21436" w:rsidP="00397465" w:rsidRDefault="000555E0" w14:paraId="21278FB6" w14:textId="748AEAAC">
      <w:pPr>
        <w:pStyle w:val="Standard"/>
      </w:pPr>
      <w:r>
        <w:t>SPD staff also recommend the following updates to Row 9 of the RDF</w:t>
      </w:r>
      <w:r w:rsidR="00C17332">
        <w:t xml:space="preserve"> (language additions in </w:t>
      </w:r>
      <w:r w:rsidR="00C17332">
        <w:rPr>
          <w:i/>
          <w:iCs/>
        </w:rPr>
        <w:t>italics</w:t>
      </w:r>
      <w:r w:rsidR="00C17332">
        <w:t>)</w:t>
      </w:r>
      <w:r>
        <w:t>:</w:t>
      </w:r>
    </w:p>
    <w:tbl>
      <w:tblPr>
        <w:tblStyle w:val="TableGrid"/>
        <w:tblW w:w="0" w:type="auto"/>
        <w:tblLook w:val="04A0" w:firstRow="1" w:lastRow="0" w:firstColumn="1" w:lastColumn="0" w:noHBand="0" w:noVBand="1"/>
      </w:tblPr>
      <w:tblGrid>
        <w:gridCol w:w="1131"/>
        <w:gridCol w:w="2116"/>
        <w:gridCol w:w="6103"/>
      </w:tblGrid>
      <w:tr w:rsidR="000555E0" w14:paraId="61AF83D9" w14:textId="77777777">
        <w:tc>
          <w:tcPr>
            <w:tcW w:w="715" w:type="dxa"/>
          </w:tcPr>
          <w:p w:rsidR="000555E0" w:rsidRDefault="000555E0" w14:paraId="1D27C2C8" w14:textId="3D5673E9">
            <w:pPr>
              <w:pStyle w:val="Standard"/>
            </w:pPr>
            <w:bookmarkStart w:name="_Hlk193108294" w:id="20"/>
            <w:r>
              <w:t xml:space="preserve">9. </w:t>
            </w:r>
          </w:p>
        </w:tc>
        <w:tc>
          <w:tcPr>
            <w:tcW w:w="2160" w:type="dxa"/>
          </w:tcPr>
          <w:p w:rsidR="000555E0" w:rsidRDefault="00CC3BAB" w14:paraId="19683B6A" w14:textId="02A49B93">
            <w:pPr>
              <w:pStyle w:val="Standard"/>
            </w:pPr>
            <w:r>
              <w:t>Risk Assessment</w:t>
            </w:r>
          </w:p>
        </w:tc>
        <w:tc>
          <w:tcPr>
            <w:tcW w:w="6475" w:type="dxa"/>
          </w:tcPr>
          <w:p w:rsidR="00C17332" w:rsidP="00C35A51" w:rsidRDefault="00C17332" w14:paraId="2AEBA27A" w14:textId="77777777">
            <w:pPr>
              <w:pStyle w:val="TableText"/>
            </w:pPr>
            <w:r w:rsidRPr="00C17332">
              <w:t>Using the Cost-Benefit Approach developed in accordance with Step 1A, for each Risk included in the Enterprise Risk Register, the utility will compute a monetized Safety Risk Value using only the Safety Attribute. The utility will sort its ERR Risks in descending order by the monetized Safety Risk Value. For the top 40% of ERR risks with a Safety Risk Value greater than zero dollars, the utility will compute a monetized Risk Value using at least the Safety, Reliability and Financial Attributes to determine the output for Step 2A.</w:t>
            </w:r>
          </w:p>
          <w:p w:rsidRPr="00C17332" w:rsidR="00C17332" w:rsidP="00C35A51" w:rsidRDefault="00C17332" w14:paraId="73FCB71D" w14:textId="77777777">
            <w:pPr>
              <w:pStyle w:val="TableText"/>
            </w:pPr>
          </w:p>
          <w:p w:rsidRPr="00C17332" w:rsidR="00C17332" w:rsidP="00C35A51" w:rsidRDefault="00C17332" w14:paraId="2CC4E96E" w14:textId="77777777">
            <w:pPr>
              <w:pStyle w:val="TableText"/>
            </w:pPr>
            <w:r w:rsidRPr="00C17332">
              <w:t xml:space="preserve">The output of Step 2A, along with the input from stakeholders described in Row 12 below, will be used to decide which risks will be addressed in the RAMP. </w:t>
            </w:r>
            <w:r w:rsidRPr="00C17332">
              <w:rPr>
                <w:i/>
                <w:iCs/>
              </w:rPr>
              <w:t>The output of Step 2A must include a calculation of Overall Residual Risk, along with a diagram and</w:t>
            </w:r>
            <w:r w:rsidRPr="00C17332">
              <w:t xml:space="preserve"> </w:t>
            </w:r>
            <w:r w:rsidRPr="00C17332">
              <w:rPr>
                <w:i/>
                <w:iCs/>
              </w:rPr>
              <w:t>supporting workpapers demonstrating the change of Overall Residual Risk since the utility’s first RAMP filing.</w:t>
            </w:r>
          </w:p>
          <w:p w:rsidR="00C17332" w:rsidP="00C35A51" w:rsidRDefault="00C17332" w14:paraId="318865EC" w14:textId="77777777">
            <w:pPr>
              <w:pStyle w:val="TableText"/>
            </w:pPr>
          </w:p>
          <w:p w:rsidRPr="00C17332" w:rsidR="000555E0" w:rsidP="00C35A51" w:rsidRDefault="00C17332" w14:paraId="203D1085" w14:textId="63729A0A">
            <w:pPr>
              <w:pStyle w:val="TableText"/>
            </w:pPr>
            <w:r w:rsidRPr="00C17332">
              <w:t>The Risk Assessment</w:t>
            </w:r>
            <w:r>
              <w:t xml:space="preserve"> in preparation for RAMP will follow the steps in Rows 10 and 11.</w:t>
            </w:r>
          </w:p>
        </w:tc>
      </w:tr>
      <w:bookmarkEnd w:id="20"/>
    </w:tbl>
    <w:p w:rsidR="00B47C55" w:rsidP="00582C1C" w:rsidRDefault="00B47C55" w14:paraId="657E9A06" w14:textId="77777777">
      <w:pPr>
        <w:pStyle w:val="Standard"/>
      </w:pPr>
    </w:p>
    <w:p w:rsidR="00F606EC" w:rsidP="00E85063" w:rsidRDefault="00E85063" w14:paraId="47B19268" w14:textId="0094C5C0">
      <w:pPr>
        <w:pStyle w:val="Heading2"/>
      </w:pPr>
      <w:bookmarkStart w:name="_Toc204258025" w:id="21"/>
      <w:r>
        <w:t xml:space="preserve">Party </w:t>
      </w:r>
      <w:r w:rsidR="00FB457D">
        <w:t>Comments</w:t>
      </w:r>
      <w:bookmarkEnd w:id="21"/>
    </w:p>
    <w:p w:rsidRPr="00F8736F" w:rsidR="00502099" w:rsidP="00502099" w:rsidRDefault="0003376A" w14:paraId="6E72266B" w14:textId="4B0C674E">
      <w:pPr>
        <w:pStyle w:val="Standard"/>
      </w:pPr>
      <w:r>
        <w:t xml:space="preserve">Parties are split on </w:t>
      </w:r>
      <w:r w:rsidR="00117D7E">
        <w:t>SPD staff’s recommendations regarding overall residual risk</w:t>
      </w:r>
      <w:r w:rsidR="002C02C3">
        <w:t>,</w:t>
      </w:r>
      <w:r w:rsidR="00117D7E">
        <w:t xml:space="preserve"> with </w:t>
      </w:r>
      <w:r w:rsidR="008844F5">
        <w:t xml:space="preserve">the utilities questioning the usefulness of the </w:t>
      </w:r>
      <w:r w:rsidR="000A106D">
        <w:t xml:space="preserve">overall residual risk diagrams and workpapers and intervenor parties </w:t>
      </w:r>
      <w:r w:rsidR="00D63F68">
        <w:t>supporting SPD staff’s overall residual risk recommendations.</w:t>
      </w:r>
    </w:p>
    <w:p w:rsidR="00346DD6" w:rsidP="00CD2B8C" w:rsidRDefault="00346DD6" w14:paraId="05FFC862" w14:textId="0673895F">
      <w:pPr>
        <w:pStyle w:val="Standard"/>
      </w:pPr>
      <w:r>
        <w:lastRenderedPageBreak/>
        <w:t>PG&amp;E</w:t>
      </w:r>
      <w:r w:rsidR="00901EEA">
        <w:t xml:space="preserve"> </w:t>
      </w:r>
      <w:r w:rsidR="00E176CE">
        <w:t>argues that, while it is not opposed to showing diagrams and workpapers</w:t>
      </w:r>
      <w:r w:rsidR="001D2992">
        <w:t xml:space="preserve"> of the overall residual risk trend, </w:t>
      </w:r>
      <w:r w:rsidR="000917E4">
        <w:t xml:space="preserve">these may not </w:t>
      </w:r>
      <w:r w:rsidR="00DF3DD1">
        <w:t xml:space="preserve">be needed nor </w:t>
      </w:r>
      <w:r w:rsidR="00442E1D">
        <w:t>able</w:t>
      </w:r>
      <w:r w:rsidR="00DF3DD1">
        <w:t xml:space="preserve"> to answer</w:t>
      </w:r>
      <w:r w:rsidR="00001DA2">
        <w:t xml:space="preserve"> the questions SPD staff raise. </w:t>
      </w:r>
      <w:r w:rsidR="007B6C78">
        <w:t xml:space="preserve">On the former, PG&amp;E states that </w:t>
      </w:r>
      <w:r w:rsidR="00254225">
        <w:t>historical graphs are not needed to show how close a utility is to achieving an acceptable amount of risk on its assets and systems</w:t>
      </w:r>
      <w:r w:rsidR="00D47871">
        <w:t xml:space="preserve">. The only information needed is the current risk value and the </w:t>
      </w:r>
      <w:r w:rsidR="003205DF">
        <w:t xml:space="preserve">risk tolerance target. On the latter, PG&amp;E </w:t>
      </w:r>
      <w:r w:rsidR="008F6087">
        <w:t xml:space="preserve">states that the diagrams proposed by SPD staff are deficient as a direct outcome of the foundational weakness of </w:t>
      </w:r>
      <w:r w:rsidR="00BB0308">
        <w:t>the Staff Risk Tolerance Proposal.</w:t>
      </w:r>
      <w:r w:rsidR="00BB0308">
        <w:rPr>
          <w:rStyle w:val="FootnoteReference"/>
        </w:rPr>
        <w:footnoteReference w:id="41"/>
      </w:r>
    </w:p>
    <w:p w:rsidR="00C21503" w:rsidP="00C21503" w:rsidRDefault="00C21503" w14:paraId="269B3957" w14:textId="312CB440">
      <w:pPr>
        <w:pStyle w:val="Standard"/>
      </w:pPr>
      <w:r>
        <w:t>The Sempra Companies argue that it is difficult, if not impossible, to measure overall residual risk in absolute terms because the Commission has never measured risk in absolute terms in the RDF. The Sempra Companies raise the issue that overall residual risk diagrams and workpapers may be contingent on the availability of data and subject-matter inputs based on hypotheticals of what risk events could have occurred, yielding conjectural, low-fidelity, and potentially misleading results.</w:t>
      </w:r>
      <w:r>
        <w:rPr>
          <w:rStyle w:val="FootnoteReference"/>
        </w:rPr>
        <w:footnoteReference w:id="42"/>
      </w:r>
    </w:p>
    <w:p w:rsidR="00C21503" w:rsidP="00136FC4" w:rsidRDefault="00C21503" w14:paraId="5DB5E83C" w14:textId="45ED6F33">
      <w:pPr>
        <w:pStyle w:val="Standard"/>
      </w:pPr>
      <w:r>
        <w:t xml:space="preserve">SCE argues that no part of the Staff Risk Tolerance Proposal should be adopted by the Commission, including changes related to overall residual risk, but should instead be addressed in a successor proceeding or separate track of the present proceeding as suggested </w:t>
      </w:r>
      <w:r w:rsidR="00136FC4">
        <w:t>in the MGRA Risk Tolerance Proposal</w:t>
      </w:r>
      <w:r>
        <w:t>. SCE argues that</w:t>
      </w:r>
      <w:r w:rsidR="000F2593">
        <w:t xml:space="preserve"> any backcast would be extremely</w:t>
      </w:r>
      <w:r>
        <w:t xml:space="preserve"> </w:t>
      </w:r>
      <w:r w:rsidR="00360B31">
        <w:t>hypothetical and accompanied by a high degree of uncertainty</w:t>
      </w:r>
      <w:r>
        <w:t>.</w:t>
      </w:r>
      <w:r>
        <w:rPr>
          <w:rStyle w:val="FootnoteReference"/>
        </w:rPr>
        <w:footnoteReference w:id="43"/>
      </w:r>
    </w:p>
    <w:p w:rsidRPr="00F8736F" w:rsidR="00974A27" w:rsidP="00CD2B8C" w:rsidRDefault="00DE42F0" w14:paraId="645BD8C0" w14:textId="70F5DEEC">
      <w:pPr>
        <w:pStyle w:val="Standard"/>
      </w:pPr>
      <w:r>
        <w:lastRenderedPageBreak/>
        <w:t xml:space="preserve">TURN supports </w:t>
      </w:r>
      <w:r w:rsidR="00710750">
        <w:t xml:space="preserve">SPD staff’s recommendations on overall residual risk. In particular, TURN notes that </w:t>
      </w:r>
      <w:r w:rsidR="00835049">
        <w:t>utilities do not present the progress made in reducing risk in their GRCs</w:t>
      </w:r>
      <w:r w:rsidR="00201EE1">
        <w:t xml:space="preserve"> and that graphs and charts of the trajectory of residual risk put utility spending requests for risk reduction in perspective.</w:t>
      </w:r>
      <w:r w:rsidR="00201EE1">
        <w:rPr>
          <w:rStyle w:val="FootnoteReference"/>
        </w:rPr>
        <w:footnoteReference w:id="44"/>
      </w:r>
      <w:r w:rsidR="00D338C4">
        <w:t xml:space="preserve"> TURN recommends reporting overall residual risk in both dollars and natural units</w:t>
      </w:r>
      <w:r w:rsidR="00FD4B31">
        <w:t xml:space="preserve"> and for each enterprise risk</w:t>
      </w:r>
      <w:r w:rsidR="00D338C4">
        <w:t>.</w:t>
      </w:r>
      <w:r w:rsidR="00C26548">
        <w:rPr>
          <w:rStyle w:val="FootnoteReference"/>
        </w:rPr>
        <w:footnoteReference w:id="45"/>
      </w:r>
    </w:p>
    <w:p w:rsidR="00D55470" w:rsidP="00CD2B8C" w:rsidRDefault="00AB5EBD" w14:paraId="03FDA870" w14:textId="4DB36421">
      <w:pPr>
        <w:pStyle w:val="Standard"/>
      </w:pPr>
      <w:r>
        <w:t xml:space="preserve">Cal Advocates </w:t>
      </w:r>
      <w:r w:rsidR="007119B2">
        <w:t xml:space="preserve">states that </w:t>
      </w:r>
      <w:r w:rsidR="00141721">
        <w:t>ratepayer risk diagrams and workpapers w</w:t>
      </w:r>
      <w:r w:rsidR="00156A84">
        <w:t>ould</w:t>
      </w:r>
      <w:r w:rsidR="00141721">
        <w:t xml:space="preserve"> be useful to help assess and compare past performance and effectiveness of risk mitigation programs compared to forecasts.</w:t>
      </w:r>
      <w:r w:rsidR="00E57A3C">
        <w:rPr>
          <w:rStyle w:val="FootnoteReference"/>
        </w:rPr>
        <w:footnoteReference w:id="46"/>
      </w:r>
    </w:p>
    <w:p w:rsidR="00F4348B" w:rsidP="00A01979" w:rsidRDefault="00F4348B" w14:paraId="772C2459" w14:textId="13486EC5">
      <w:pPr>
        <w:pStyle w:val="Standard"/>
      </w:pPr>
      <w:r>
        <w:t xml:space="preserve">MGRA </w:t>
      </w:r>
      <w:r w:rsidR="008619AB">
        <w:t>states that the addi</w:t>
      </w:r>
      <w:r w:rsidR="00C3313B">
        <w:t xml:space="preserve">tion of a definition for overall residual risk to the RDF would be beneficial but recommends that </w:t>
      </w:r>
      <w:r w:rsidR="00552756">
        <w:t>any changes to the definitions or lexicon of the RDF be saved for a successor proceeding or separate track of the present proceeding</w:t>
      </w:r>
      <w:r w:rsidR="00A3310A">
        <w:t xml:space="preserve"> such as that recommended in </w:t>
      </w:r>
      <w:r w:rsidR="0054597D">
        <w:t>the MGRA Risk Tolerance P</w:t>
      </w:r>
      <w:r w:rsidR="00A3310A">
        <w:t>roposal</w:t>
      </w:r>
      <w:r w:rsidR="0054597D">
        <w:t>.</w:t>
      </w:r>
      <w:r w:rsidR="0054597D">
        <w:rPr>
          <w:rStyle w:val="FootnoteReference"/>
        </w:rPr>
        <w:footnoteReference w:id="47"/>
      </w:r>
    </w:p>
    <w:p w:rsidRPr="00F8736F" w:rsidR="00591594" w:rsidP="00A01979" w:rsidRDefault="00591594" w14:paraId="06851BCA" w14:textId="098662D3">
      <w:pPr>
        <w:pStyle w:val="Standard"/>
      </w:pPr>
      <w:r>
        <w:t>EPUC/IS</w:t>
      </w:r>
      <w:r w:rsidR="007D1C49">
        <w:t xml:space="preserve"> supports SPD staff’s recommendation to require utilities to present diagrams and </w:t>
      </w:r>
      <w:r w:rsidR="005374EC">
        <w:t>work papers</w:t>
      </w:r>
      <w:r w:rsidR="007D1C49">
        <w:t xml:space="preserve"> of the trend of overall residual risk </w:t>
      </w:r>
      <w:r w:rsidR="00662736">
        <w:t>for each risk event</w:t>
      </w:r>
      <w:r w:rsidR="00FC7B76">
        <w:t xml:space="preserve"> as well as the addition of </w:t>
      </w:r>
      <w:r w:rsidR="0068663E">
        <w:t>the definition of overall residual risk to the RDF</w:t>
      </w:r>
      <w:r w:rsidR="00662736">
        <w:t xml:space="preserve">. </w:t>
      </w:r>
      <w:r w:rsidR="006F6492">
        <w:t>EPUC/IS recommends that overall residual risk be reported both in natural units and dollars</w:t>
      </w:r>
      <w:r w:rsidR="001705F3">
        <w:t xml:space="preserve"> and </w:t>
      </w:r>
      <w:r w:rsidR="00EE58DE">
        <w:t>that the diagrams show both actual and forecasted risk reductions and allow for independent verification of graphical data.</w:t>
      </w:r>
      <w:r w:rsidR="00EE58DE">
        <w:rPr>
          <w:rStyle w:val="FootnoteReference"/>
        </w:rPr>
        <w:footnoteReference w:id="48"/>
      </w:r>
    </w:p>
    <w:p w:rsidR="00E85063" w:rsidP="00E85063" w:rsidRDefault="00E85063" w14:paraId="7DC09A06" w14:textId="7BEF1FF3">
      <w:pPr>
        <w:pStyle w:val="Heading2"/>
      </w:pPr>
      <w:bookmarkStart w:name="_Toc204258026" w:id="22"/>
      <w:r>
        <w:lastRenderedPageBreak/>
        <w:t>Discussion</w:t>
      </w:r>
      <w:bookmarkEnd w:id="22"/>
    </w:p>
    <w:p w:rsidR="006415A4" w:rsidP="006415A4" w:rsidRDefault="002C3CDA" w14:paraId="1178028E" w14:textId="4C4D536C">
      <w:pPr>
        <w:pStyle w:val="Standard"/>
      </w:pPr>
      <w:r>
        <w:t xml:space="preserve">While the broader issue of a risk tolerance standard is saved for a future </w:t>
      </w:r>
      <w:r w:rsidR="00275860">
        <w:t xml:space="preserve">proceeding, </w:t>
      </w:r>
      <w:r w:rsidR="00053DC9">
        <w:t>we are persuaded that an accounting</w:t>
      </w:r>
      <w:r w:rsidR="00C67961">
        <w:t xml:space="preserve"> and presentation</w:t>
      </w:r>
      <w:r w:rsidR="00053DC9">
        <w:t xml:space="preserve"> of overall residual risk is </w:t>
      </w:r>
      <w:r w:rsidR="0017563E">
        <w:t>a</w:t>
      </w:r>
      <w:r w:rsidR="000A6CC5">
        <w:t xml:space="preserve"> useful development in the RDF</w:t>
      </w:r>
      <w:r w:rsidR="005968D6">
        <w:t xml:space="preserve">. </w:t>
      </w:r>
      <w:r w:rsidR="00C5156B">
        <w:t>Though opposed</w:t>
      </w:r>
      <w:r w:rsidR="00D165C7">
        <w:t xml:space="preserve"> by </w:t>
      </w:r>
      <w:r w:rsidR="00C5156B">
        <w:t>PG&amp;E</w:t>
      </w:r>
      <w:r w:rsidR="00032F10">
        <w:t xml:space="preserve"> and</w:t>
      </w:r>
      <w:r w:rsidR="00C5156B">
        <w:t xml:space="preserve"> the Sempra Companies</w:t>
      </w:r>
      <w:r w:rsidR="00BB366D">
        <w:t xml:space="preserve"> on the grounds </w:t>
      </w:r>
      <w:r w:rsidR="00816DFE">
        <w:t xml:space="preserve">that </w:t>
      </w:r>
      <w:r w:rsidR="00500C94">
        <w:t>an accounting and presentation of overall residual risk</w:t>
      </w:r>
      <w:r w:rsidR="000E68F7">
        <w:t xml:space="preserve"> is unnecessary or </w:t>
      </w:r>
      <w:r w:rsidR="00B97308">
        <w:t xml:space="preserve">conjectural, </w:t>
      </w:r>
      <w:r w:rsidR="00D165C7">
        <w:t xml:space="preserve">Cal Advocates, </w:t>
      </w:r>
      <w:r w:rsidR="00C5156B">
        <w:t>EPUC/IS</w:t>
      </w:r>
      <w:r w:rsidR="00B97308">
        <w:t>,</w:t>
      </w:r>
      <w:r w:rsidR="00686684">
        <w:t xml:space="preserve"> and</w:t>
      </w:r>
      <w:r w:rsidR="00D165C7">
        <w:t xml:space="preserve"> </w:t>
      </w:r>
      <w:r w:rsidR="00686684">
        <w:t xml:space="preserve">TURN </w:t>
      </w:r>
      <w:r w:rsidR="00C5156B">
        <w:t xml:space="preserve">persuasively argue </w:t>
      </w:r>
      <w:r w:rsidR="007001C5">
        <w:t xml:space="preserve">that </w:t>
      </w:r>
      <w:r w:rsidR="00686684">
        <w:t>the presentation of o</w:t>
      </w:r>
      <w:r w:rsidR="005968D6">
        <w:t xml:space="preserve">verall residual risk </w:t>
      </w:r>
      <w:r w:rsidR="001F658A">
        <w:t xml:space="preserve">will allow the Commission and stakeholders to take stock of </w:t>
      </w:r>
      <w:r w:rsidR="00BB1BA7">
        <w:t xml:space="preserve">the progress </w:t>
      </w:r>
      <w:r w:rsidR="005968D6">
        <w:t xml:space="preserve">to date </w:t>
      </w:r>
      <w:r w:rsidR="00AD2286">
        <w:t>in reducing risk</w:t>
      </w:r>
      <w:r w:rsidR="00395870">
        <w:t xml:space="preserve">, </w:t>
      </w:r>
      <w:r w:rsidR="005B5F28">
        <w:t>albeit</w:t>
      </w:r>
      <w:r w:rsidR="00240C20">
        <w:t>,</w:t>
      </w:r>
      <w:r w:rsidR="00DB3C20">
        <w:t xml:space="preserve"> as argued by SCE and the Sempra Companies</w:t>
      </w:r>
      <w:r w:rsidR="00740BD3">
        <w:t xml:space="preserve">, </w:t>
      </w:r>
      <w:r w:rsidR="005B5F28">
        <w:t xml:space="preserve">with </w:t>
      </w:r>
      <w:r w:rsidR="00395870">
        <w:t xml:space="preserve">uncertainty </w:t>
      </w:r>
      <w:r w:rsidR="00F6316A">
        <w:t>around</w:t>
      </w:r>
      <w:r w:rsidR="00777170">
        <w:t xml:space="preserve"> backcasted values</w:t>
      </w:r>
      <w:r w:rsidR="00AD2286">
        <w:t>.</w:t>
      </w:r>
      <w:r w:rsidR="00BA1B44">
        <w:t xml:space="preserve"> </w:t>
      </w:r>
      <w:r w:rsidR="002E2E71">
        <w:t xml:space="preserve">As such, we add </w:t>
      </w:r>
      <w:r w:rsidR="002C26BD">
        <w:t xml:space="preserve">the following </w:t>
      </w:r>
      <w:r w:rsidR="00727C34">
        <w:t xml:space="preserve">definition </w:t>
      </w:r>
      <w:r w:rsidR="006415A4">
        <w:t>of overall residual risk</w:t>
      </w:r>
      <w:r w:rsidR="002C26BD">
        <w:t xml:space="preserve"> to the </w:t>
      </w:r>
      <w:r w:rsidR="005968D6">
        <w:t>RDF</w:t>
      </w:r>
      <w:r w:rsidR="006415A4">
        <w:t xml:space="preserve"> and modify the definition of residual risk to further distinguish the two concepts (language additions in </w:t>
      </w:r>
      <w:r w:rsidR="006415A4">
        <w:rPr>
          <w:i/>
          <w:iCs/>
        </w:rPr>
        <w:t>italics</w:t>
      </w:r>
      <w:r w:rsidR="006415A4">
        <w:t>):</w:t>
      </w:r>
    </w:p>
    <w:p w:rsidRPr="00461668" w:rsidR="006415A4" w:rsidP="001F2AAF" w:rsidRDefault="006415A4" w14:paraId="4406AA1F" w14:textId="654902C8">
      <w:pPr>
        <w:pStyle w:val="ListBullet"/>
        <w:ind w:right="1440"/>
        <w:rPr>
          <w:i/>
        </w:rPr>
      </w:pPr>
      <w:r w:rsidRPr="00461668">
        <w:rPr>
          <w:i/>
        </w:rPr>
        <w:t xml:space="preserve">Overall Residual Risk: </w:t>
      </w:r>
      <w:r w:rsidRPr="00461668" w:rsidR="328915EC">
        <w:rPr>
          <w:i/>
        </w:rPr>
        <w:t>A</w:t>
      </w:r>
      <w:r w:rsidRPr="00461668">
        <w:rPr>
          <w:i/>
        </w:rPr>
        <w:t xml:space="preserve">ll the risk on the utility’s assets or systems </w:t>
      </w:r>
      <w:r w:rsidRPr="00461668" w:rsidR="00414B22">
        <w:rPr>
          <w:i/>
        </w:rPr>
        <w:t xml:space="preserve">for a given enterprise risk presented in the RAMP filing </w:t>
      </w:r>
      <w:r w:rsidRPr="00461668">
        <w:rPr>
          <w:i/>
        </w:rPr>
        <w:t>after taking account of the historical progress of risk reduction since the utility’s first RAMP filing.</w:t>
      </w:r>
    </w:p>
    <w:p w:rsidR="006415A4" w:rsidP="001F2AAF" w:rsidRDefault="006415A4" w14:paraId="4EB94B5E" w14:textId="77777777">
      <w:pPr>
        <w:pStyle w:val="ListBullet"/>
        <w:ind w:right="1440"/>
      </w:pPr>
      <w:r>
        <w:t xml:space="preserve">Residual Risk: Risk remaining after application of Mitigations, including Mitigations classified as Controls </w:t>
      </w:r>
      <w:r>
        <w:rPr>
          <w:i/>
          <w:iCs/>
        </w:rPr>
        <w:t>for a given GRC cycle</w:t>
      </w:r>
      <w:r>
        <w:t>.</w:t>
      </w:r>
    </w:p>
    <w:p w:rsidR="00247DE8" w:rsidP="001F2AAF" w:rsidRDefault="00247DE8" w14:paraId="4312F08E" w14:textId="5104E677">
      <w:pPr>
        <w:pStyle w:val="Standard"/>
      </w:pPr>
      <w:r>
        <w:t xml:space="preserve">Additionally, we </w:t>
      </w:r>
      <w:r w:rsidR="003A4483">
        <w:t xml:space="preserve">modify </w:t>
      </w:r>
      <w:r w:rsidR="00701088">
        <w:t xml:space="preserve">Rows </w:t>
      </w:r>
      <w:r>
        <w:t xml:space="preserve">9 </w:t>
      </w:r>
      <w:r w:rsidR="00701088">
        <w:t xml:space="preserve">and 26 </w:t>
      </w:r>
      <w:r>
        <w:t xml:space="preserve">of the RDF </w:t>
      </w:r>
      <w:r w:rsidR="003A4483">
        <w:t xml:space="preserve">as follows </w:t>
      </w:r>
      <w:r>
        <w:t xml:space="preserve">(language additions in </w:t>
      </w:r>
      <w:r>
        <w:rPr>
          <w:i/>
          <w:iCs/>
        </w:rPr>
        <w:t>italics</w:t>
      </w:r>
      <w:r>
        <w:t>):</w:t>
      </w:r>
    </w:p>
    <w:tbl>
      <w:tblPr>
        <w:tblStyle w:val="TableGrid"/>
        <w:tblW w:w="0" w:type="auto"/>
        <w:tblLook w:val="04A0" w:firstRow="1" w:lastRow="0" w:firstColumn="1" w:lastColumn="0" w:noHBand="0" w:noVBand="1"/>
      </w:tblPr>
      <w:tblGrid>
        <w:gridCol w:w="1211"/>
        <w:gridCol w:w="2107"/>
        <w:gridCol w:w="6032"/>
      </w:tblGrid>
      <w:tr w:rsidR="00247DE8" w:rsidTr="005156B5" w14:paraId="6283ABF6" w14:textId="77777777">
        <w:tc>
          <w:tcPr>
            <w:tcW w:w="1211" w:type="dxa"/>
          </w:tcPr>
          <w:p w:rsidR="00247DE8" w:rsidRDefault="00247DE8" w14:paraId="48A355C5" w14:textId="77777777">
            <w:pPr>
              <w:pStyle w:val="Standard"/>
            </w:pPr>
            <w:r>
              <w:t xml:space="preserve">9. </w:t>
            </w:r>
          </w:p>
        </w:tc>
        <w:tc>
          <w:tcPr>
            <w:tcW w:w="2107" w:type="dxa"/>
          </w:tcPr>
          <w:p w:rsidR="00247DE8" w:rsidRDefault="00247DE8" w14:paraId="3D1E4CC5" w14:textId="77777777">
            <w:pPr>
              <w:pStyle w:val="Standard"/>
            </w:pPr>
            <w:r>
              <w:t>Risk Assessment</w:t>
            </w:r>
          </w:p>
        </w:tc>
        <w:tc>
          <w:tcPr>
            <w:tcW w:w="6032" w:type="dxa"/>
          </w:tcPr>
          <w:p w:rsidR="00247DE8" w:rsidP="00C35A51" w:rsidRDefault="00247DE8" w14:paraId="4E73F21D" w14:textId="77777777">
            <w:pPr>
              <w:pStyle w:val="TableText"/>
            </w:pPr>
            <w:r w:rsidRPr="00C17332">
              <w:t>Using the Cost-Benefit Approach developed in accordance with Step 1A, for each Risk included in the Enterprise Risk Register, the utility will compute a monetized Safety Risk Value using only the Safety Attribute. The utility will sort its ERR Risks in descending order by the monetized Safety Risk Value. For the top 40% of ERR risks with a Safety Risk Value greater than zero dollars, the utility will compute a monetized Risk Value using at least the Safety, Reliability and Financial Attributes to determine the output for Step 2A.</w:t>
            </w:r>
          </w:p>
          <w:p w:rsidRPr="00C17332" w:rsidR="00247DE8" w:rsidP="00C35A51" w:rsidRDefault="00247DE8" w14:paraId="511C267D" w14:textId="77777777">
            <w:pPr>
              <w:pStyle w:val="TableText"/>
            </w:pPr>
          </w:p>
          <w:p w:rsidRPr="00C17332" w:rsidR="00247DE8" w:rsidP="00C35A51" w:rsidRDefault="00247DE8" w14:paraId="3FFD6F17" w14:textId="31143B90">
            <w:pPr>
              <w:pStyle w:val="TableText"/>
            </w:pPr>
            <w:r w:rsidRPr="00C17332">
              <w:lastRenderedPageBreak/>
              <w:t xml:space="preserve">The output of Step 2A, along with the input from stakeholders described in Row 12 below, will be used to decide which risks will be addressed in the RAMP. </w:t>
            </w:r>
            <w:r w:rsidRPr="00C17332">
              <w:rPr>
                <w:i/>
                <w:iCs/>
              </w:rPr>
              <w:t>The output of Step 2A must include a calculation of Overall Residual Risk</w:t>
            </w:r>
            <w:r w:rsidR="00BD34EC">
              <w:rPr>
                <w:i/>
                <w:iCs/>
              </w:rPr>
              <w:t xml:space="preserve"> for a given risk presented in the RAMP filing</w:t>
            </w:r>
            <w:r w:rsidRPr="00C17332">
              <w:rPr>
                <w:i/>
                <w:iCs/>
              </w:rPr>
              <w:t>, along with a diagram and</w:t>
            </w:r>
            <w:r w:rsidRPr="00C17332">
              <w:t xml:space="preserve"> </w:t>
            </w:r>
            <w:r w:rsidRPr="00C17332">
              <w:rPr>
                <w:i/>
                <w:iCs/>
              </w:rPr>
              <w:t>supporting workpapers demonstrating the change of Overall Residual Risk since the utility’s first RAMP filing.</w:t>
            </w:r>
            <w:r w:rsidR="00102E41">
              <w:rPr>
                <w:i/>
                <w:iCs/>
              </w:rPr>
              <w:t xml:space="preserve"> Diagrams and supporting workpapers must </w:t>
            </w:r>
            <w:r w:rsidR="00647FDE">
              <w:rPr>
                <w:i/>
                <w:iCs/>
              </w:rPr>
              <w:t>also</w:t>
            </w:r>
            <w:r w:rsidR="00102E41">
              <w:rPr>
                <w:i/>
                <w:iCs/>
              </w:rPr>
              <w:t xml:space="preserve"> include a </w:t>
            </w:r>
            <w:r w:rsidR="00B96621">
              <w:rPr>
                <w:i/>
                <w:iCs/>
              </w:rPr>
              <w:t>disaggregation</w:t>
            </w:r>
            <w:r w:rsidR="00EA0B3F">
              <w:rPr>
                <w:i/>
                <w:iCs/>
              </w:rPr>
              <w:t xml:space="preserve"> of the Overall Residual Risk values based on the Consequence Attributes</w:t>
            </w:r>
            <w:r w:rsidR="000875B6">
              <w:rPr>
                <w:i/>
                <w:iCs/>
              </w:rPr>
              <w:t>,</w:t>
            </w:r>
            <w:r w:rsidR="00EA0B3F">
              <w:rPr>
                <w:i/>
                <w:iCs/>
              </w:rPr>
              <w:t xml:space="preserve"> both in natural units and dollar values</w:t>
            </w:r>
            <w:r w:rsidR="000875B6">
              <w:rPr>
                <w:i/>
                <w:iCs/>
              </w:rPr>
              <w:t xml:space="preserve">, </w:t>
            </w:r>
            <w:r w:rsidR="00287A67">
              <w:rPr>
                <w:i/>
                <w:iCs/>
              </w:rPr>
              <w:t xml:space="preserve">as well as </w:t>
            </w:r>
            <w:r w:rsidR="00FF799D">
              <w:rPr>
                <w:i/>
                <w:iCs/>
              </w:rPr>
              <w:t>display the Likelihood of those</w:t>
            </w:r>
            <w:r w:rsidR="006D61B5">
              <w:rPr>
                <w:i/>
                <w:iCs/>
              </w:rPr>
              <w:t xml:space="preserve"> Conseq</w:t>
            </w:r>
            <w:r w:rsidR="007509FC">
              <w:rPr>
                <w:i/>
                <w:iCs/>
              </w:rPr>
              <w:t>u</w:t>
            </w:r>
            <w:r w:rsidR="00C35531">
              <w:rPr>
                <w:i/>
                <w:iCs/>
              </w:rPr>
              <w:t>ence Attributes.</w:t>
            </w:r>
          </w:p>
          <w:p w:rsidR="00247DE8" w:rsidP="00C35A51" w:rsidRDefault="00247DE8" w14:paraId="789B8B7C" w14:textId="77777777">
            <w:pPr>
              <w:pStyle w:val="TableText"/>
            </w:pPr>
          </w:p>
          <w:p w:rsidRPr="00C17332" w:rsidR="00247DE8" w:rsidP="00C35A51" w:rsidRDefault="00247DE8" w14:paraId="024314DA" w14:textId="77777777">
            <w:pPr>
              <w:pStyle w:val="TableText"/>
            </w:pPr>
            <w:r w:rsidRPr="00C17332">
              <w:t>The Risk Assessment</w:t>
            </w:r>
            <w:r>
              <w:t xml:space="preserve"> in preparation for RAMP will follow the steps in Rows 10 and 11.</w:t>
            </w:r>
          </w:p>
        </w:tc>
      </w:tr>
      <w:tr w:rsidRPr="00127ADC" w:rsidR="004D6107" w:rsidTr="005156B5" w14:paraId="54CEA335" w14:textId="77777777">
        <w:tc>
          <w:tcPr>
            <w:tcW w:w="1211" w:type="dxa"/>
          </w:tcPr>
          <w:p w:rsidRPr="00FE6721" w:rsidR="004D6107" w:rsidRDefault="004D6107" w14:paraId="2180DBA6" w14:textId="77777777">
            <w:pPr>
              <w:pStyle w:val="Standard"/>
              <w:rPr>
                <w:sz w:val="22"/>
              </w:rPr>
            </w:pPr>
            <w:r w:rsidRPr="00FE6721">
              <w:rPr>
                <w:sz w:val="22"/>
              </w:rPr>
              <w:lastRenderedPageBreak/>
              <w:t>26</w:t>
            </w:r>
            <w:r>
              <w:rPr>
                <w:sz w:val="22"/>
              </w:rPr>
              <w:t>.</w:t>
            </w:r>
          </w:p>
        </w:tc>
        <w:tc>
          <w:tcPr>
            <w:tcW w:w="2107" w:type="dxa"/>
          </w:tcPr>
          <w:p w:rsidRPr="00417367" w:rsidR="004D6107" w:rsidRDefault="004D6107" w14:paraId="67772D32" w14:textId="77777777">
            <w:pPr>
              <w:pStyle w:val="TableText"/>
            </w:pPr>
            <w:r>
              <w:t>Mitigation Strategy Presentation in the RAMP and GRC</w:t>
            </w:r>
          </w:p>
        </w:tc>
        <w:tc>
          <w:tcPr>
            <w:tcW w:w="6032" w:type="dxa"/>
          </w:tcPr>
          <w:p w:rsidR="004D6107" w:rsidRDefault="004D6107" w14:paraId="620DB25A" w14:textId="77777777">
            <w:pPr>
              <w:pStyle w:val="TableText"/>
            </w:pPr>
            <w:r>
              <w:t xml:space="preserve">The utility’s RAMP filing will provide a ranking of all RAMP Mitigation by </w:t>
            </w:r>
            <w:r>
              <w:rPr>
                <w:strike/>
              </w:rPr>
              <w:t>Cost</w:t>
            </w:r>
            <w:r>
              <w:t xml:space="preserve"> Benefit</w:t>
            </w:r>
            <w:r>
              <w:rPr>
                <w:i/>
                <w:iCs/>
              </w:rPr>
              <w:t>-Cost</w:t>
            </w:r>
            <w:r>
              <w:t xml:space="preserve"> </w:t>
            </w:r>
            <w:r>
              <w:rPr>
                <w:strike/>
              </w:rPr>
              <w:t>r</w:t>
            </w:r>
            <w:r>
              <w:rPr>
                <w:i/>
                <w:iCs/>
              </w:rPr>
              <w:t>R</w:t>
            </w:r>
            <w:r>
              <w:t>atios.</w:t>
            </w:r>
            <w:r>
              <w:rPr>
                <w:i/>
                <w:iCs/>
              </w:rPr>
              <w:t xml:space="preserve"> </w:t>
            </w:r>
          </w:p>
          <w:p w:rsidRPr="00FE6721" w:rsidR="004D6107" w:rsidRDefault="004D6107" w14:paraId="428002B5" w14:textId="77777777">
            <w:pPr>
              <w:pStyle w:val="Standard"/>
              <w:rPr>
                <w:sz w:val="22"/>
              </w:rPr>
            </w:pPr>
          </w:p>
          <w:p w:rsidR="004D6107" w:rsidRDefault="004D6107" w14:paraId="43F4B5B1" w14:textId="77777777">
            <w:pPr>
              <w:pStyle w:val="TableText"/>
            </w:pPr>
            <w:r w:rsidRPr="00880488">
              <w:t xml:space="preserve">In the GRC, the utility will provide a ranking of Mitigations by </w:t>
            </w:r>
            <w:r w:rsidRPr="00232185">
              <w:rPr>
                <w:strike/>
              </w:rPr>
              <w:t>Cost-</w:t>
            </w:r>
            <w:r w:rsidRPr="00880488">
              <w:t>Benefit</w:t>
            </w:r>
            <w:r w:rsidRPr="00C935FD">
              <w:rPr>
                <w:i/>
                <w:iCs/>
              </w:rPr>
              <w:t>-Cost</w:t>
            </w:r>
            <w:r w:rsidRPr="00880488">
              <w:t xml:space="preserve"> Ratios, as follows: (1) For Mitigations addressed in the RAMP, the utility will use risk reduction estimates, including any updates, and updated costs to calculate </w:t>
            </w:r>
            <w:r w:rsidRPr="00C935FD">
              <w:rPr>
                <w:strike/>
              </w:rPr>
              <w:t>Cost-</w:t>
            </w:r>
            <w:r w:rsidRPr="00880488">
              <w:t>Benefit</w:t>
            </w:r>
            <w:r w:rsidRPr="003A6AEE">
              <w:rPr>
                <w:i/>
                <w:iCs/>
              </w:rPr>
              <w:t>-Cost</w:t>
            </w:r>
            <w:r w:rsidRPr="00880488">
              <w:t xml:space="preserve"> Ratios and explain any differences from its RAMP filing; (2) For Mitigations that require Step 3 analysis under and consistent with Row 28, the utility will include the </w:t>
            </w:r>
            <w:r w:rsidRPr="003A6AEE">
              <w:rPr>
                <w:strike/>
              </w:rPr>
              <w:t>Cost-</w:t>
            </w:r>
            <w:r w:rsidRPr="00880488">
              <w:t>Benefit</w:t>
            </w:r>
            <w:r w:rsidRPr="003A6AEE">
              <w:rPr>
                <w:i/>
                <w:iCs/>
              </w:rPr>
              <w:t>-Cost</w:t>
            </w:r>
            <w:r w:rsidRPr="00880488">
              <w:t xml:space="preserve"> Ratios, calculated in accordance with Step 3, in the ranking of Mitigations by </w:t>
            </w:r>
            <w:r w:rsidRPr="00336F6A">
              <w:rPr>
                <w:strike/>
              </w:rPr>
              <w:t>Cost-</w:t>
            </w:r>
            <w:r w:rsidRPr="00880488">
              <w:t>Benefit</w:t>
            </w:r>
            <w:r w:rsidRPr="00336F6A">
              <w:rPr>
                <w:i/>
                <w:iCs/>
              </w:rPr>
              <w:t>-Cost</w:t>
            </w:r>
            <w:r w:rsidRPr="00880488">
              <w:t xml:space="preserve"> Ratios.</w:t>
            </w:r>
          </w:p>
          <w:p w:rsidRPr="00FE6721" w:rsidR="004D6107" w:rsidRDefault="004D6107" w14:paraId="1DEB1C46" w14:textId="77777777">
            <w:pPr>
              <w:pStyle w:val="Standard"/>
              <w:ind w:firstLine="0"/>
              <w:rPr>
                <w:sz w:val="22"/>
              </w:rPr>
            </w:pPr>
          </w:p>
          <w:p w:rsidR="004D6107" w:rsidRDefault="004D6107" w14:paraId="5FA85C28" w14:textId="77777777">
            <w:pPr>
              <w:pStyle w:val="TableText"/>
              <w:rPr>
                <w:i/>
                <w:iCs/>
              </w:rPr>
            </w:pPr>
            <w:r w:rsidRPr="004D60E4">
              <w:rPr>
                <w:i/>
                <w:iCs/>
              </w:rPr>
              <w:t>In the GRC, the utility will provide an update of the calculations of Overall Residual Risk and associated diagrams and workpapers previously provided in the RAMP in accordance with Row 9.</w:t>
            </w:r>
          </w:p>
          <w:p w:rsidRPr="004D60E4" w:rsidR="004D6107" w:rsidRDefault="004D6107" w14:paraId="58E4433F" w14:textId="77777777">
            <w:pPr>
              <w:pStyle w:val="TableText"/>
              <w:rPr>
                <w:i/>
                <w:iCs/>
              </w:rPr>
            </w:pPr>
          </w:p>
          <w:p w:rsidRPr="00B02D9B" w:rsidR="004D6107" w:rsidRDefault="004D6107" w14:paraId="47F4A420" w14:textId="77777777">
            <w:pPr>
              <w:pStyle w:val="TableText"/>
            </w:pPr>
            <w:r w:rsidRPr="00B02D9B">
              <w:t xml:space="preserve">In the RAMP and GRC, the utility will clearly and transparently explain its rationale for selecting Mitigations for each risk and for its selection of its overall portfolio of Mitigations. The utility is not bound to select its Mitigation strategy based solely on the </w:t>
            </w:r>
            <w:r w:rsidRPr="00336F6A">
              <w:rPr>
                <w:strike/>
              </w:rPr>
              <w:t>Cost-</w:t>
            </w:r>
            <w:r w:rsidRPr="00880488">
              <w:t>Benefit</w:t>
            </w:r>
            <w:r w:rsidRPr="00336F6A">
              <w:rPr>
                <w:i/>
                <w:iCs/>
              </w:rPr>
              <w:t>-Cost</w:t>
            </w:r>
            <w:r w:rsidRPr="00880488">
              <w:t xml:space="preserve"> Ratios</w:t>
            </w:r>
            <w:r w:rsidRPr="00B02D9B">
              <w:t xml:space="preserve"> produced by the Cost-Benefit Approach.</w:t>
            </w:r>
          </w:p>
          <w:p w:rsidRPr="00FE6721" w:rsidR="004D6107" w:rsidRDefault="004D6107" w14:paraId="0F492A1B" w14:textId="77777777">
            <w:pPr>
              <w:pStyle w:val="Standard"/>
              <w:rPr>
                <w:sz w:val="22"/>
              </w:rPr>
            </w:pPr>
          </w:p>
          <w:p w:rsidR="004D6107" w:rsidRDefault="004D6107" w14:paraId="04E1166B" w14:textId="77777777">
            <w:pPr>
              <w:pStyle w:val="TableText"/>
            </w:pPr>
            <w:r>
              <w:t xml:space="preserve">Mitigation selection can be influenced by other factors including, but not limited to, funding, labor resources, technology, planning and construction lead time, compliance requirements, Risk Tolerance thresholds, operational and execution considerations, and modeling </w:t>
            </w:r>
            <w:r>
              <w:lastRenderedPageBreak/>
              <w:t xml:space="preserve">limitations and/or uncertainties affecting the analysis. In GRC, the utility will explain whether and how any such factors affected the utility’s Mitigation selections. </w:t>
            </w:r>
          </w:p>
          <w:p w:rsidRPr="00FE6721" w:rsidR="004D6107" w:rsidRDefault="004D6107" w14:paraId="4A25BAB9" w14:textId="77777777">
            <w:pPr>
              <w:pStyle w:val="Standard"/>
              <w:rPr>
                <w:sz w:val="22"/>
              </w:rPr>
            </w:pPr>
          </w:p>
          <w:p w:rsidRPr="00127ADC" w:rsidR="004D6107" w:rsidRDefault="004D6107" w14:paraId="2479195C" w14:textId="77777777">
            <w:pPr>
              <w:pStyle w:val="TableText"/>
            </w:pPr>
            <w:r>
              <w:t xml:space="preserve">GRC Post-Test Year Reporting: All Controls and Mitigation programs must include </w:t>
            </w:r>
            <w:r w:rsidRPr="000D33D1">
              <w:rPr>
                <w:i/>
                <w:iCs/>
              </w:rPr>
              <w:t>Benefit-Cost Ratios</w:t>
            </w:r>
            <w:r>
              <w:t xml:space="preserve"> in each of the GRC post-test years as well as aggregate </w:t>
            </w:r>
            <w:r w:rsidRPr="000D33D1">
              <w:rPr>
                <w:i/>
                <w:iCs/>
              </w:rPr>
              <w:t>Benefit-Cost Ratios</w:t>
            </w:r>
            <w:r>
              <w:t xml:space="preserve"> for the entire post-test year period and the entire GRC period, by Tranche.</w:t>
            </w:r>
          </w:p>
        </w:tc>
      </w:tr>
    </w:tbl>
    <w:p w:rsidRPr="00DC31A2" w:rsidR="00A9305C" w:rsidP="005968D6" w:rsidRDefault="00A9305C" w14:paraId="73F1DC36" w14:textId="7CFD8E76">
      <w:pPr>
        <w:pStyle w:val="Standard"/>
      </w:pPr>
    </w:p>
    <w:p w:rsidR="00AB582C" w:rsidP="00AB582C" w:rsidRDefault="00AB582C" w14:paraId="0E308CEA" w14:textId="77777777">
      <w:pPr>
        <w:pStyle w:val="Heading1"/>
      </w:pPr>
      <w:bookmarkStart w:name="_Toc204258027" w:id="23"/>
      <w:r>
        <w:t>Mitigation Portfolio Optimization</w:t>
      </w:r>
      <w:bookmarkEnd w:id="23"/>
    </w:p>
    <w:p w:rsidR="008D50D4" w:rsidP="00AB582C" w:rsidRDefault="00FF7940" w14:paraId="1E1872A0" w14:textId="7837D50D">
      <w:pPr>
        <w:pStyle w:val="Standard"/>
      </w:pPr>
      <w:r>
        <w:t xml:space="preserve">Another topic closely related to </w:t>
      </w:r>
      <w:r w:rsidR="00D804F3">
        <w:t xml:space="preserve">risk tolerance </w:t>
      </w:r>
      <w:r w:rsidR="00B703B5">
        <w:t xml:space="preserve">is </w:t>
      </w:r>
      <w:r w:rsidR="005B0385">
        <w:t>optimizing portfolios of mitigations</w:t>
      </w:r>
      <w:r w:rsidR="004D01F4">
        <w:t xml:space="preserve">. Currently, the RDF </w:t>
      </w:r>
      <w:r w:rsidR="000C556C">
        <w:t xml:space="preserve">requires ranking of </w:t>
      </w:r>
      <w:r w:rsidR="007216DB">
        <w:t>mitigations based on the Benefit-Cost Ratio (BCR)</w:t>
      </w:r>
      <w:r w:rsidR="004B21A6">
        <w:t xml:space="preserve">, which can lead to optimal decisions if </w:t>
      </w:r>
      <w:r w:rsidR="00E15D6C">
        <w:t xml:space="preserve">the mitigations are </w:t>
      </w:r>
      <w:r w:rsidR="000F53F4">
        <w:t>independent in their effectiveness</w:t>
      </w:r>
      <w:r w:rsidR="00837635">
        <w:t xml:space="preserve"> (i.e., mutually exclusive)</w:t>
      </w:r>
      <w:r w:rsidR="000F53F4">
        <w:t xml:space="preserve">. </w:t>
      </w:r>
      <w:r w:rsidR="009C710D">
        <w:t>However, mitigations are often interrelated</w:t>
      </w:r>
      <w:r w:rsidR="007B1B20">
        <w:t xml:space="preserve"> and may be synergistic</w:t>
      </w:r>
      <w:r w:rsidR="008A1E30">
        <w:t>, where they work to</w:t>
      </w:r>
      <w:r w:rsidR="007E79B0">
        <w:t>gether to decrease the amount of risk</w:t>
      </w:r>
      <w:r w:rsidR="00E76954">
        <w:t xml:space="preserve">, or </w:t>
      </w:r>
      <w:r w:rsidR="00B47736">
        <w:t xml:space="preserve">provide diminishing returns, in which </w:t>
      </w:r>
      <w:r w:rsidR="000D198A">
        <w:t xml:space="preserve">mitigations </w:t>
      </w:r>
      <w:r w:rsidR="00035BB3">
        <w:t xml:space="preserve">together reduce risk but as </w:t>
      </w:r>
      <w:r w:rsidR="00C03593">
        <w:t xml:space="preserve">investment in one increases, the </w:t>
      </w:r>
      <w:r w:rsidR="000361AF">
        <w:t>need for the other mitigation is reduced</w:t>
      </w:r>
      <w:r w:rsidR="008D50D4">
        <w:t>.</w:t>
      </w:r>
      <w:r w:rsidRPr="00196E0D" w:rsidR="00196E0D">
        <w:t xml:space="preserve"> </w:t>
      </w:r>
      <w:r w:rsidR="0034093C">
        <w:t xml:space="preserve">The solution that SPD staff proposes to evaluate </w:t>
      </w:r>
      <w:r w:rsidR="0067167B">
        <w:t xml:space="preserve">interrelated mitigations </w:t>
      </w:r>
      <w:r w:rsidR="00A66B7F">
        <w:t xml:space="preserve">is to construct </w:t>
      </w:r>
      <w:r w:rsidR="003B7FEB">
        <w:t xml:space="preserve">portfolios of mitigations that can be </w:t>
      </w:r>
      <w:r w:rsidR="005865D7">
        <w:t>compared and ranked.</w:t>
      </w:r>
      <w:r w:rsidR="00AA56A1">
        <w:rPr>
          <w:rStyle w:val="FootnoteReference"/>
        </w:rPr>
        <w:footnoteReference w:id="49"/>
      </w:r>
      <w:r w:rsidR="005865D7">
        <w:t xml:space="preserve"> </w:t>
      </w:r>
    </w:p>
    <w:p w:rsidR="00A62BD3" w:rsidP="00AB582C" w:rsidRDefault="008D50D4" w14:paraId="573EBFDA" w14:textId="467A9973">
      <w:pPr>
        <w:pStyle w:val="Standard"/>
      </w:pPr>
      <w:r w:rsidRPr="00196E0D">
        <w:t>SPD staff shows how BCRs are helpful in ranking mitigations</w:t>
      </w:r>
      <w:r w:rsidR="00ED30D2">
        <w:t xml:space="preserve"> or portfolios</w:t>
      </w:r>
      <w:r w:rsidRPr="00196E0D">
        <w:t xml:space="preserve"> by cost-effectiveness and how this is different from minimizing overall residual risk within affordability constraints.</w:t>
      </w:r>
      <w:r w:rsidR="002E273E">
        <w:t xml:space="preserve"> That is, a </w:t>
      </w:r>
      <w:r w:rsidR="00305F31">
        <w:t>portfolio</w:t>
      </w:r>
      <w:r w:rsidR="002E273E">
        <w:t xml:space="preserve"> could </w:t>
      </w:r>
      <w:r w:rsidR="00064C43">
        <w:t xml:space="preserve">have a high BCR but </w:t>
      </w:r>
      <w:r w:rsidR="00305F31">
        <w:t>provide a small</w:t>
      </w:r>
      <w:r w:rsidR="00064C43">
        <w:t xml:space="preserve"> risk reduction, which would mean it is ranked highly for BCR but does not greatly </w:t>
      </w:r>
      <w:r w:rsidR="00F40C62">
        <w:t>reduce</w:t>
      </w:r>
      <w:r w:rsidR="00064C43">
        <w:t xml:space="preserve"> </w:t>
      </w:r>
      <w:r w:rsidR="00F40C62">
        <w:t>overall residual risk.</w:t>
      </w:r>
      <w:r w:rsidR="00ED30D2">
        <w:t xml:space="preserve"> If </w:t>
      </w:r>
      <w:r w:rsidR="00D535C2">
        <w:t xml:space="preserve">one is optimizing on cost-effectiveness (i.e., maximizing BCR), </w:t>
      </w:r>
      <w:r w:rsidR="005D0E61">
        <w:t>the</w:t>
      </w:r>
      <w:r w:rsidR="006678D0">
        <w:t xml:space="preserve"> selected portfolios will not </w:t>
      </w:r>
      <w:r w:rsidR="006678D0">
        <w:lastRenderedPageBreak/>
        <w:t xml:space="preserve">necessarily </w:t>
      </w:r>
      <w:r w:rsidR="00D40D0A">
        <w:t>minimize overall residual risk.</w:t>
      </w:r>
      <w:r w:rsidR="004A0E56">
        <w:rPr>
          <w:rStyle w:val="FootnoteReference"/>
        </w:rPr>
        <w:footnoteReference w:id="50"/>
      </w:r>
      <w:r w:rsidR="00D40D0A">
        <w:t xml:space="preserve"> SPD staff proposes </w:t>
      </w:r>
      <w:r w:rsidR="005A7E52">
        <w:t>applying</w:t>
      </w:r>
      <w:r w:rsidR="00E86A7B">
        <w:t xml:space="preserve"> Markowitz’s efficient frontier of optimal portfolios</w:t>
      </w:r>
      <w:r w:rsidR="00C62C4D">
        <w:t xml:space="preserve"> in the context of </w:t>
      </w:r>
      <w:r w:rsidR="00BC3DD1">
        <w:t>mitigation portfolio selection.</w:t>
      </w:r>
      <w:r w:rsidR="00933BF1">
        <w:rPr>
          <w:rStyle w:val="FootnoteReference"/>
        </w:rPr>
        <w:footnoteReference w:id="51"/>
      </w:r>
      <w:r w:rsidR="004A0E56">
        <w:t xml:space="preserve"> Additionally, </w:t>
      </w:r>
      <w:r w:rsidR="00724BCB">
        <w:t xml:space="preserve">SPD staff show how </w:t>
      </w:r>
      <w:r w:rsidR="003221D5">
        <w:t xml:space="preserve">efficient frontiers can be used to optimize </w:t>
      </w:r>
      <w:r w:rsidR="004E0B10">
        <w:t>in multiple dimensions and uses a</w:t>
      </w:r>
      <w:r w:rsidR="0019314B">
        <w:t>n example</w:t>
      </w:r>
      <w:r w:rsidR="004E0B10">
        <w:t xml:space="preserve"> herringbone diagram to demonstrate how </w:t>
      </w:r>
      <w:r w:rsidR="0019314B">
        <w:t>trade-offs can be visualized in three dimensions, in this case</w:t>
      </w:r>
      <w:r w:rsidR="00550C8A">
        <w:t>,</w:t>
      </w:r>
      <w:r w:rsidR="0019314B">
        <w:t xml:space="preserve"> safety, reliability, and budget.</w:t>
      </w:r>
      <w:r w:rsidR="0019314B">
        <w:rPr>
          <w:rStyle w:val="FootnoteReference"/>
        </w:rPr>
        <w:footnoteReference w:id="52"/>
      </w:r>
      <w:r w:rsidR="00BC263D">
        <w:t xml:space="preserve"> </w:t>
      </w:r>
    </w:p>
    <w:p w:rsidR="003C71D5" w:rsidP="00AB582C" w:rsidRDefault="00A54F9D" w14:paraId="21C80502" w14:textId="0962445C">
      <w:pPr>
        <w:pStyle w:val="Standard"/>
      </w:pPr>
      <w:r>
        <w:t xml:space="preserve">SPD staff makes two recommendations regarding mitigation portfolio </w:t>
      </w:r>
      <w:r w:rsidR="00085A39">
        <w:t xml:space="preserve">optimization. First, SPD staff recommends that evaluations be based on portfolios of mitigations </w:t>
      </w:r>
      <w:r w:rsidR="00BE1AD8">
        <w:t xml:space="preserve">to account for the interrelationships between mitigations, as described above. To incorporate the use of portfolios of mitigations into the RDF, SPD </w:t>
      </w:r>
      <w:r w:rsidR="00F9074A">
        <w:t xml:space="preserve">proposes adding the following definitions to the </w:t>
      </w:r>
      <w:r w:rsidRPr="0022151D" w:rsidR="00F9074A">
        <w:t xml:space="preserve">RDF (additions in </w:t>
      </w:r>
      <w:r w:rsidRPr="0022151D" w:rsidR="00F9074A">
        <w:rPr>
          <w:i/>
          <w:iCs/>
        </w:rPr>
        <w:t>italics</w:t>
      </w:r>
      <w:r w:rsidRPr="0022151D" w:rsidR="00F9074A">
        <w:t>):</w:t>
      </w:r>
    </w:p>
    <w:p w:rsidRPr="00461668" w:rsidR="00F9074A" w:rsidP="001F2AAF" w:rsidRDefault="00F9074A" w14:paraId="084F9C34" w14:textId="5CC8301D">
      <w:pPr>
        <w:pStyle w:val="ListBullet"/>
        <w:ind w:right="1440"/>
        <w:rPr>
          <w:i/>
          <w:iCs/>
        </w:rPr>
      </w:pPr>
      <w:r w:rsidRPr="00461668">
        <w:rPr>
          <w:i/>
          <w:iCs/>
        </w:rPr>
        <w:t>Mitigation Portfolio:</w:t>
      </w:r>
      <w:r w:rsidRPr="00461668" w:rsidR="001D3F32">
        <w:rPr>
          <w:i/>
          <w:iCs/>
        </w:rPr>
        <w:t xml:space="preserve"> a collection of one or more risk mitigations with a specified budget constraint for reducing the risk of a given enterprise risk. Costs, benefits, and benefit-cost ratios can be calculated for each portfolio, and portfolios can be compared to one another.</w:t>
      </w:r>
    </w:p>
    <w:p w:rsidRPr="00461668" w:rsidR="001D3F32" w:rsidP="001F2AAF" w:rsidRDefault="001D3F32" w14:paraId="74161B04" w14:textId="0BE8EBCD">
      <w:pPr>
        <w:pStyle w:val="ListBullet"/>
        <w:ind w:right="1440"/>
        <w:rPr>
          <w:i/>
          <w:iCs/>
        </w:rPr>
      </w:pPr>
      <w:r w:rsidRPr="00461668">
        <w:rPr>
          <w:i/>
          <w:iCs/>
        </w:rPr>
        <w:t xml:space="preserve">Mitigation Group: </w:t>
      </w:r>
      <w:r w:rsidRPr="00461668" w:rsidR="000B3888">
        <w:rPr>
          <w:i/>
          <w:iCs/>
        </w:rPr>
        <w:t>the combining of two or more mitigations that exhibit either synergy, meaning the mitigations result in mutually reinforcing risk reduction efficiency</w:t>
      </w:r>
      <w:r w:rsidRPr="00461668" w:rsidR="009A24C0">
        <w:rPr>
          <w:i/>
          <w:iCs/>
        </w:rPr>
        <w:t xml:space="preserve">, or diminishing returns, meaning as one mitigation reduces risk it limits the efficiency of the other mitigation to reduce risk. </w:t>
      </w:r>
    </w:p>
    <w:p w:rsidR="005F1C59" w:rsidP="005F1C59" w:rsidRDefault="005F1C59" w14:paraId="75EE0D39" w14:textId="6AC49FCA">
      <w:pPr>
        <w:pStyle w:val="Standard"/>
      </w:pPr>
      <w:r>
        <w:t xml:space="preserve">Additionally, </w:t>
      </w:r>
      <w:r w:rsidR="00F86F04">
        <w:t>SPD staff recommends the following changes to the RDF</w:t>
      </w:r>
      <w:r w:rsidR="007F0494">
        <w:t xml:space="preserve"> related to portfolios of mitigations</w:t>
      </w:r>
      <w:r w:rsidR="00321D90">
        <w:t xml:space="preserve"> </w:t>
      </w:r>
      <w:r w:rsidRPr="0022151D" w:rsidR="00321D90">
        <w:t xml:space="preserve">(additions in </w:t>
      </w:r>
      <w:r w:rsidRPr="0022151D" w:rsidR="00321D90">
        <w:rPr>
          <w:i/>
          <w:iCs/>
        </w:rPr>
        <w:t>italics</w:t>
      </w:r>
      <w:r w:rsidRPr="0022151D" w:rsidR="00321D90">
        <w:t xml:space="preserve">, deletions in </w:t>
      </w:r>
      <w:r w:rsidRPr="0022151D" w:rsidR="00321D90">
        <w:rPr>
          <w:strike/>
        </w:rPr>
        <w:t>strikethrough</w:t>
      </w:r>
      <w:r w:rsidR="00370F3D">
        <w:t>:</w:t>
      </w:r>
    </w:p>
    <w:tbl>
      <w:tblPr>
        <w:tblStyle w:val="TableGrid"/>
        <w:tblW w:w="0" w:type="auto"/>
        <w:tblLook w:val="04A0" w:firstRow="1" w:lastRow="0" w:firstColumn="1" w:lastColumn="0" w:noHBand="0" w:noVBand="1"/>
      </w:tblPr>
      <w:tblGrid>
        <w:gridCol w:w="1196"/>
        <w:gridCol w:w="2095"/>
        <w:gridCol w:w="6059"/>
      </w:tblGrid>
      <w:tr w:rsidR="00370F3D" w14:paraId="2E589C96" w14:textId="77777777">
        <w:tc>
          <w:tcPr>
            <w:tcW w:w="715" w:type="dxa"/>
          </w:tcPr>
          <w:p w:rsidRPr="00C35A51" w:rsidR="00370F3D" w:rsidP="00C35A51" w:rsidRDefault="00321D90" w14:paraId="4C4152F1" w14:textId="5E96EC40">
            <w:pPr>
              <w:pStyle w:val="TableText"/>
              <w:rPr>
                <w:i/>
                <w:szCs w:val="26"/>
              </w:rPr>
            </w:pPr>
            <w:r w:rsidRPr="00C35A51">
              <w:rPr>
                <w:i/>
                <w:iCs/>
                <w:sz w:val="26"/>
                <w:szCs w:val="26"/>
              </w:rPr>
              <w:t>25.1</w:t>
            </w:r>
            <w:r w:rsidRPr="00C35A51" w:rsidR="00370F3D">
              <w:rPr>
                <w:i/>
                <w:iCs/>
                <w:sz w:val="26"/>
                <w:szCs w:val="26"/>
              </w:rPr>
              <w:t xml:space="preserve"> </w:t>
            </w:r>
          </w:p>
        </w:tc>
        <w:tc>
          <w:tcPr>
            <w:tcW w:w="2160" w:type="dxa"/>
          </w:tcPr>
          <w:p w:rsidRPr="000B0C4E" w:rsidR="00370F3D" w:rsidP="00C35A51" w:rsidRDefault="00321D90" w14:paraId="0117CE35" w14:textId="534C94AF">
            <w:pPr>
              <w:pStyle w:val="TableText"/>
              <w:rPr>
                <w:i/>
                <w:szCs w:val="26"/>
              </w:rPr>
            </w:pPr>
            <w:r w:rsidRPr="00C35A51">
              <w:rPr>
                <w:i/>
                <w:iCs/>
                <w:sz w:val="26"/>
                <w:szCs w:val="26"/>
              </w:rPr>
              <w:t>Portfolios of Risk Mitigations</w:t>
            </w:r>
          </w:p>
        </w:tc>
        <w:tc>
          <w:tcPr>
            <w:tcW w:w="6475" w:type="dxa"/>
          </w:tcPr>
          <w:p w:rsidRPr="00323B1A" w:rsidR="00AD1981" w:rsidP="00C35A51" w:rsidRDefault="00AD1981" w14:paraId="6E7D4A37" w14:textId="77777777">
            <w:pPr>
              <w:pStyle w:val="TableText"/>
              <w:rPr>
                <w:i/>
              </w:rPr>
            </w:pPr>
            <w:r w:rsidRPr="00323B1A">
              <w:rPr>
                <w:i/>
              </w:rPr>
              <w:t xml:space="preserve">Utilities must construct portfolios of risk mitigations for each Risk as identified in Row 8 with a specified budget constraint. Mitigations in each portfolio should account for interrelationships </w:t>
            </w:r>
            <w:r w:rsidRPr="00323B1A">
              <w:rPr>
                <w:i/>
              </w:rPr>
              <w:lastRenderedPageBreak/>
              <w:t>between them, such as mutual exclusivity, synergies, and diminishing returns.</w:t>
            </w:r>
          </w:p>
          <w:p w:rsidRPr="00323B1A" w:rsidR="00AD1981" w:rsidP="00C35A51" w:rsidRDefault="00AD1981" w14:paraId="2AA34303" w14:textId="77777777">
            <w:pPr>
              <w:pStyle w:val="TableText"/>
              <w:numPr>
                <w:ilvl w:val="0"/>
                <w:numId w:val="60"/>
              </w:numPr>
              <w:rPr>
                <w:i/>
              </w:rPr>
            </w:pPr>
            <w:r w:rsidRPr="00323B1A">
              <w:rPr>
                <w:i/>
              </w:rPr>
              <w:t>Mutually exclusive mitigations must be avoided, only one or the other can exist in the same portfolio.</w:t>
            </w:r>
          </w:p>
          <w:p w:rsidRPr="00323B1A" w:rsidR="00AD1981" w:rsidP="00C35A51" w:rsidRDefault="00AD1981" w14:paraId="551DD0F4" w14:textId="25F7B338">
            <w:pPr>
              <w:pStyle w:val="TableText"/>
              <w:numPr>
                <w:ilvl w:val="0"/>
                <w:numId w:val="60"/>
              </w:numPr>
            </w:pPr>
            <w:r w:rsidRPr="00323B1A">
              <w:rPr>
                <w:i/>
              </w:rPr>
              <w:t>Synergies and diminishing returns can be captured by combining two or more mitigations, called a mitigation group. Synergies or diminishing returns can be calculated for the mitigation group</w:t>
            </w:r>
            <w:r w:rsidRPr="00323B1A">
              <w:t>.</w:t>
            </w:r>
          </w:p>
          <w:p w:rsidRPr="00323B1A" w:rsidR="00323B1A" w:rsidP="00323B1A" w:rsidRDefault="00323B1A" w14:paraId="74DE4EA6" w14:textId="77777777">
            <w:pPr>
              <w:pStyle w:val="Standard"/>
              <w:rPr>
                <w:i/>
                <w:iCs/>
              </w:rPr>
            </w:pPr>
          </w:p>
          <w:p w:rsidRPr="00C17332" w:rsidR="00370F3D" w:rsidP="00C35A51" w:rsidRDefault="00AD1981" w14:paraId="23DE9DCE" w14:textId="73E606EA">
            <w:pPr>
              <w:pStyle w:val="TableText"/>
            </w:pPr>
            <w:r w:rsidRPr="00323B1A">
              <w:rPr>
                <w:i/>
              </w:rPr>
              <w:t>For example, a wildfire mitigation portfolio could include for a given circuit segment: covered conductor as mitigation, vegetation management as a mitigation, or covered conductor with vegetation management as a mitigation—but not covered conductor and vegetation management as separate mitigations since their benefits are not additive (re: may exhibit diminishing returns</w:t>
            </w:r>
            <w:r w:rsidRPr="00323B1A">
              <w:t>).</w:t>
            </w:r>
          </w:p>
        </w:tc>
      </w:tr>
      <w:tr w:rsidR="00323B1A" w14:paraId="72D2CCE6" w14:textId="77777777">
        <w:tc>
          <w:tcPr>
            <w:tcW w:w="715" w:type="dxa"/>
          </w:tcPr>
          <w:p w:rsidRPr="00323B1A" w:rsidR="00323B1A" w:rsidRDefault="00323B1A" w14:paraId="0CD2CFB6" w14:textId="7515BBC1">
            <w:pPr>
              <w:pStyle w:val="Standard"/>
            </w:pPr>
            <w:r>
              <w:lastRenderedPageBreak/>
              <w:t>26</w:t>
            </w:r>
          </w:p>
        </w:tc>
        <w:tc>
          <w:tcPr>
            <w:tcW w:w="2160" w:type="dxa"/>
          </w:tcPr>
          <w:p w:rsidRPr="00417367" w:rsidR="00323B1A" w:rsidP="00C35A51" w:rsidRDefault="00417367" w14:paraId="0E7723E8" w14:textId="008A7892">
            <w:pPr>
              <w:pStyle w:val="TableText"/>
            </w:pPr>
            <w:r>
              <w:t>Mitigation Strategy Presentation in the RAMP and GRC</w:t>
            </w:r>
          </w:p>
        </w:tc>
        <w:tc>
          <w:tcPr>
            <w:tcW w:w="6475" w:type="dxa"/>
          </w:tcPr>
          <w:p w:rsidR="00323B1A" w:rsidP="00C35A51" w:rsidRDefault="00417367" w14:paraId="5EB3C409" w14:textId="77777777">
            <w:pPr>
              <w:pStyle w:val="TableText"/>
            </w:pPr>
            <w:r>
              <w:t xml:space="preserve">The utility’s RAMP filing will provide a ranking of all RAMP Mitigation by </w:t>
            </w:r>
            <w:r w:rsidR="002F1B63">
              <w:rPr>
                <w:strike/>
              </w:rPr>
              <w:t>Cost</w:t>
            </w:r>
            <w:r w:rsidR="002F1B63">
              <w:t xml:space="preserve"> Benefit</w:t>
            </w:r>
            <w:r w:rsidR="002F1B63">
              <w:rPr>
                <w:i/>
                <w:iCs/>
              </w:rPr>
              <w:t>-Cost</w:t>
            </w:r>
            <w:r w:rsidR="002F1B63">
              <w:t xml:space="preserve"> </w:t>
            </w:r>
            <w:r w:rsidR="002F1B63">
              <w:rPr>
                <w:strike/>
              </w:rPr>
              <w:t>r</w:t>
            </w:r>
            <w:r w:rsidR="002F1B63">
              <w:rPr>
                <w:i/>
                <w:iCs/>
              </w:rPr>
              <w:t>R</w:t>
            </w:r>
            <w:r w:rsidR="00D93CF3">
              <w:t xml:space="preserve">atios. </w:t>
            </w:r>
            <w:r w:rsidR="00D93CF3">
              <w:rPr>
                <w:i/>
                <w:iCs/>
              </w:rPr>
              <w:t>Additionally, the utility must present a set of optimal portfolios for reducing each enterprise risk. Mitigation Groups defined in Row 25.1 can also be ranked within each portfolio</w:t>
            </w:r>
            <w:r w:rsidR="005E0054">
              <w:rPr>
                <w:i/>
                <w:iCs/>
              </w:rPr>
              <w:t xml:space="preserve">. The utility must justify the portfolio selection, optimization, budget constraint, and structure of Mitigation Groups. </w:t>
            </w:r>
          </w:p>
          <w:p w:rsidR="005E0054" w:rsidP="00AD1981" w:rsidRDefault="005E0054" w14:paraId="5E9AF5AE" w14:textId="77777777">
            <w:pPr>
              <w:pStyle w:val="Standard"/>
            </w:pPr>
          </w:p>
          <w:p w:rsidR="005E0054" w:rsidP="00C35A51" w:rsidRDefault="00880488" w14:paraId="5A12BB9E" w14:textId="77777777">
            <w:pPr>
              <w:pStyle w:val="TableText"/>
            </w:pPr>
            <w:r w:rsidRPr="00880488">
              <w:t xml:space="preserve">In the GRC, the utility will provide a ranking of Mitigations by </w:t>
            </w:r>
            <w:r w:rsidRPr="00232185">
              <w:rPr>
                <w:strike/>
              </w:rPr>
              <w:t>Cost-</w:t>
            </w:r>
            <w:r w:rsidRPr="00880488">
              <w:t>Benefit</w:t>
            </w:r>
            <w:r w:rsidRPr="00C935FD">
              <w:rPr>
                <w:i/>
                <w:iCs/>
              </w:rPr>
              <w:t>-Cost</w:t>
            </w:r>
            <w:r w:rsidRPr="00880488">
              <w:t xml:space="preserve"> Ratios, as follows: (1) For Mitigations addressed in the RAMP, the utility will use risk reduction estimates, including any updates, and updated costs to calculate </w:t>
            </w:r>
            <w:r w:rsidRPr="00C935FD">
              <w:rPr>
                <w:strike/>
              </w:rPr>
              <w:t>Cost-</w:t>
            </w:r>
            <w:r w:rsidRPr="00880488">
              <w:t>Benefit</w:t>
            </w:r>
            <w:r w:rsidRPr="003A6AEE">
              <w:rPr>
                <w:i/>
                <w:iCs/>
              </w:rPr>
              <w:t>-Cost</w:t>
            </w:r>
            <w:r w:rsidRPr="00880488">
              <w:t xml:space="preserve"> Ratios and explain any differences from its RAMP filing; (2) For Mitigations that require Step 3 analysis under and consistent with Row 28, the utility will include the </w:t>
            </w:r>
            <w:r w:rsidRPr="003A6AEE">
              <w:rPr>
                <w:strike/>
              </w:rPr>
              <w:t>Cost-</w:t>
            </w:r>
            <w:r w:rsidRPr="00880488">
              <w:t>Benefit</w:t>
            </w:r>
            <w:r w:rsidRPr="003A6AEE">
              <w:rPr>
                <w:i/>
                <w:iCs/>
              </w:rPr>
              <w:t>-Cost</w:t>
            </w:r>
            <w:r w:rsidRPr="00880488">
              <w:t xml:space="preserve"> Ratios, calculated in accordance with Step 3, in the ranking of Mitigations by </w:t>
            </w:r>
            <w:r w:rsidRPr="00336F6A">
              <w:rPr>
                <w:strike/>
              </w:rPr>
              <w:t>Cost-</w:t>
            </w:r>
            <w:r w:rsidRPr="00880488">
              <w:t>Benefit</w:t>
            </w:r>
            <w:r w:rsidRPr="00336F6A">
              <w:rPr>
                <w:i/>
                <w:iCs/>
              </w:rPr>
              <w:t>-Cost</w:t>
            </w:r>
            <w:r w:rsidRPr="00880488">
              <w:t xml:space="preserve"> Ratios.</w:t>
            </w:r>
          </w:p>
          <w:p w:rsidR="00336F6A" w:rsidP="00AD1981" w:rsidRDefault="00336F6A" w14:paraId="75037583" w14:textId="77777777">
            <w:pPr>
              <w:pStyle w:val="Standard"/>
            </w:pPr>
          </w:p>
          <w:p w:rsidRPr="00C35A51" w:rsidR="00336F6A" w:rsidP="00C35A51" w:rsidRDefault="00336F6A" w14:paraId="058538A5" w14:textId="77777777">
            <w:pPr>
              <w:pStyle w:val="TableText"/>
              <w:rPr>
                <w:i/>
              </w:rPr>
            </w:pPr>
            <w:r w:rsidRPr="00217021">
              <w:rPr>
                <w:i/>
              </w:rPr>
              <w:t xml:space="preserve">In the GRC, the utility will provide an updated presentation of a set of optimal portfolios for reducing each enterprise risk if an </w:t>
            </w:r>
            <w:r w:rsidRPr="00217021" w:rsidR="0004336E">
              <w:rPr>
                <w:i/>
              </w:rPr>
              <w:t xml:space="preserve">update is necessary. Any differences in the set of optimal portfolios from the RAMP filing must be clearly explained by the utility in its GRC filing. </w:t>
            </w:r>
          </w:p>
          <w:p w:rsidR="00127ADC" w:rsidP="00AD1981" w:rsidRDefault="00127ADC" w14:paraId="7D980E41" w14:textId="77777777">
            <w:pPr>
              <w:pStyle w:val="Standard"/>
            </w:pPr>
          </w:p>
          <w:p w:rsidR="003670C6" w:rsidP="00C35A51" w:rsidRDefault="003670C6" w14:paraId="1744A82F" w14:textId="77777777">
            <w:pPr>
              <w:pStyle w:val="TableText"/>
              <w:rPr>
                <w:strike/>
              </w:rPr>
            </w:pPr>
            <w:r>
              <w:t xml:space="preserve">In the RAMP and GRC, the utility will clearly and transparently explain its rationale for selecting Mitigations </w:t>
            </w:r>
            <w:r>
              <w:lastRenderedPageBreak/>
              <w:t xml:space="preserve">for each </w:t>
            </w:r>
            <w:r w:rsidRPr="003670C6">
              <w:rPr>
                <w:i/>
                <w:iCs/>
              </w:rPr>
              <w:t>enterprise</w:t>
            </w:r>
            <w:r>
              <w:t xml:space="preserve"> risk and for its selection </w:t>
            </w:r>
            <w:r w:rsidRPr="003670C6">
              <w:rPr>
                <w:i/>
                <w:iCs/>
              </w:rPr>
              <w:t>and optimization</w:t>
            </w:r>
            <w:r>
              <w:t xml:space="preserve"> of its </w:t>
            </w:r>
            <w:r w:rsidRPr="003670C6">
              <w:rPr>
                <w:strike/>
              </w:rPr>
              <w:t>overall</w:t>
            </w:r>
            <w:r>
              <w:t xml:space="preserve"> portfolio of Mitigations </w:t>
            </w:r>
            <w:r w:rsidRPr="00E00B8E">
              <w:rPr>
                <w:i/>
                <w:iCs/>
              </w:rPr>
              <w:t>for each enterprise risk</w:t>
            </w:r>
            <w:r>
              <w:t xml:space="preserve">. </w:t>
            </w:r>
            <w:r w:rsidRPr="007818D2">
              <w:rPr>
                <w:i/>
                <w:iCs/>
              </w:rPr>
              <w:t>The utility must explain how the budget constraint and other constraints factored into the utility’s portfolio selection.</w:t>
            </w:r>
            <w:r>
              <w:t xml:space="preserve"> </w:t>
            </w:r>
            <w:r w:rsidRPr="007818D2">
              <w:rPr>
                <w:strike/>
              </w:rPr>
              <w:t>The utility is not bound to select its Mitigation strategy based solely on the Cost-Benefit Ratios produced by the Cost-Benefit Approach.</w:t>
            </w:r>
          </w:p>
          <w:p w:rsidR="007818D2" w:rsidP="003670C6" w:rsidRDefault="007818D2" w14:paraId="2744EF30" w14:textId="77777777">
            <w:pPr>
              <w:pStyle w:val="Standard"/>
            </w:pPr>
          </w:p>
          <w:p w:rsidR="003670C6" w:rsidP="00C35A51" w:rsidRDefault="003670C6" w14:paraId="3FF4D589" w14:textId="77777777">
            <w:pPr>
              <w:pStyle w:val="TableText"/>
            </w:pPr>
            <w:r>
              <w:t xml:space="preserve">Mitigation selection </w:t>
            </w:r>
            <w:r w:rsidRPr="007818D2">
              <w:rPr>
                <w:i/>
                <w:iCs/>
              </w:rPr>
              <w:t>and Mitigation Portfolio optimization</w:t>
            </w:r>
            <w:r>
              <w:t xml:space="preserve"> can be influenced by </w:t>
            </w:r>
            <w:r w:rsidRPr="007818D2">
              <w:rPr>
                <w:i/>
                <w:iCs/>
              </w:rPr>
              <w:t>Benefit-Cost Ratios and</w:t>
            </w:r>
            <w:r>
              <w:t xml:space="preserve"> other factors including, but not limited to, funding, labor resources, technology, planning and construction lead time, compliance requirements, Risk Tolerance thresholds, operational and execution considerations, and modeling limitations and/or uncertainties affecting the analysis. In </w:t>
            </w:r>
            <w:r w:rsidRPr="007818D2">
              <w:rPr>
                <w:i/>
                <w:iCs/>
              </w:rPr>
              <w:t>the RAMP and</w:t>
            </w:r>
            <w:r>
              <w:t xml:space="preserve"> GRC, the utility will explain whether and how any such factors affected the utility’s Mitigation selections. </w:t>
            </w:r>
            <w:r w:rsidRPr="000D33D1">
              <w:rPr>
                <w:i/>
                <w:iCs/>
              </w:rPr>
              <w:t>In the RAMP and GRC, the utility must also implement and justify a transparent and systematic way to integrate these other factors into the optimization of its Mitigation Portfolios.</w:t>
            </w:r>
          </w:p>
          <w:p w:rsidRPr="000D33D1" w:rsidR="000D33D1" w:rsidP="003670C6" w:rsidRDefault="000D33D1" w14:paraId="5708A6CC" w14:textId="77777777">
            <w:pPr>
              <w:pStyle w:val="Standard"/>
            </w:pPr>
          </w:p>
          <w:p w:rsidRPr="00127ADC" w:rsidR="00127ADC" w:rsidP="00C35A51" w:rsidRDefault="003670C6" w14:paraId="0BA923E5" w14:textId="2EB0C708">
            <w:pPr>
              <w:pStyle w:val="TableText"/>
            </w:pPr>
            <w:r>
              <w:t xml:space="preserve">GRC Post-Test Year Reporting: All Controls and Mitigation programs must include </w:t>
            </w:r>
            <w:r w:rsidRPr="000D33D1">
              <w:rPr>
                <w:i/>
                <w:iCs/>
              </w:rPr>
              <w:t>Benefit-Cost Ratios</w:t>
            </w:r>
            <w:r>
              <w:t xml:space="preserve"> in each of the GRC post-test years as well as aggregate </w:t>
            </w:r>
            <w:r w:rsidRPr="000D33D1">
              <w:rPr>
                <w:i/>
                <w:iCs/>
              </w:rPr>
              <w:t>Benefit-Cost Ratios</w:t>
            </w:r>
            <w:r>
              <w:t xml:space="preserve"> for the entire post-test year period and the entire GRC period, by Tranche.</w:t>
            </w:r>
          </w:p>
        </w:tc>
      </w:tr>
    </w:tbl>
    <w:p w:rsidR="00370F3D" w:rsidP="005F1C59" w:rsidRDefault="00370F3D" w14:paraId="57EED2C5" w14:textId="77777777">
      <w:pPr>
        <w:pStyle w:val="Standard"/>
      </w:pPr>
    </w:p>
    <w:p w:rsidRPr="00F9074A" w:rsidR="00C90FBC" w:rsidP="005F1C59" w:rsidRDefault="00C90FBC" w14:paraId="786FB541" w14:textId="4BC42B1A">
      <w:pPr>
        <w:pStyle w:val="Standard"/>
      </w:pPr>
      <w:r>
        <w:t xml:space="preserve">Second, SPD staff recommend that portfolio selection be based on </w:t>
      </w:r>
      <w:r w:rsidR="001B645B">
        <w:t>simple optimization instead of ranking</w:t>
      </w:r>
      <w:r w:rsidR="00303CCD">
        <w:t xml:space="preserve"> and note that </w:t>
      </w:r>
      <w:r w:rsidR="00E852DA">
        <w:t xml:space="preserve">optimization can be a complex, computationally intensive, and time-consuming process. </w:t>
      </w:r>
      <w:r w:rsidR="002511DD">
        <w:t>In particular, SPD staff recommends the use of stochastic optimization</w:t>
      </w:r>
      <w:r w:rsidR="009A6264">
        <w:t xml:space="preserve"> using entire probability distributions, </w:t>
      </w:r>
      <w:r w:rsidR="00A83009">
        <w:t>the use of efficient frontiers to enable trade-off and alternatives analysis, and the use of both a</w:t>
      </w:r>
      <w:r w:rsidR="00240FE5">
        <w:t>n average overall residual risk minimization and a tail average overall residual risk minimization scenario.</w:t>
      </w:r>
      <w:r w:rsidR="009D6CBE">
        <w:t xml:space="preserve"> SPD staff does not recommend any additional </w:t>
      </w:r>
      <w:r w:rsidR="0003352E">
        <w:t>text changes to the RDF for this recommendation.</w:t>
      </w:r>
    </w:p>
    <w:p w:rsidR="00AB582C" w:rsidP="00AB582C" w:rsidRDefault="00AB582C" w14:paraId="5398FCA8" w14:textId="67B64C40">
      <w:pPr>
        <w:pStyle w:val="Heading2"/>
      </w:pPr>
      <w:bookmarkStart w:name="_Toc204258028" w:id="24"/>
      <w:r>
        <w:lastRenderedPageBreak/>
        <w:t>Party Comments</w:t>
      </w:r>
      <w:bookmarkEnd w:id="24"/>
    </w:p>
    <w:p w:rsidR="00542DE7" w:rsidP="00DE5566" w:rsidRDefault="005F6975" w14:paraId="6690DF90" w14:textId="500DF180">
      <w:pPr>
        <w:pStyle w:val="Standard"/>
      </w:pPr>
      <w:r>
        <w:t>Parties are split on the question</w:t>
      </w:r>
      <w:r w:rsidR="00E8112E">
        <w:t xml:space="preserve"> of whether </w:t>
      </w:r>
      <w:r w:rsidR="00DE5566">
        <w:t xml:space="preserve">the utilities should be required to construct optimized portfolios of risk mitigations, with the utilities generally being opposed and intervenor parties generally </w:t>
      </w:r>
      <w:r w:rsidR="00A301D8">
        <w:t>being supportive.</w:t>
      </w:r>
    </w:p>
    <w:p w:rsidR="00B00C57" w:rsidP="00A301D8" w:rsidRDefault="002A51E9" w14:paraId="6A601ECC" w14:textId="60BC33B4">
      <w:pPr>
        <w:pStyle w:val="Standard"/>
      </w:pPr>
      <w:r>
        <w:t xml:space="preserve">PG&amp;E is opposed to </w:t>
      </w:r>
      <w:r w:rsidR="004D7663">
        <w:t xml:space="preserve">requiring the utilities to construct </w:t>
      </w:r>
      <w:r w:rsidR="001A49A4">
        <w:t xml:space="preserve">optimized </w:t>
      </w:r>
      <w:r w:rsidR="004D7663">
        <w:t>portfolios of risk mitigations</w:t>
      </w:r>
      <w:r w:rsidR="001A49A4">
        <w:t xml:space="preserve"> on the grounds that </w:t>
      </w:r>
      <w:r w:rsidR="00090714">
        <w:t xml:space="preserve">the theoretical foundation supporting SPD’s mitigation portfolio optimization recommendation, </w:t>
      </w:r>
      <w:r w:rsidR="001A49A4">
        <w:t xml:space="preserve">Markowitz’s </w:t>
      </w:r>
      <w:r w:rsidR="00090714">
        <w:t>P</w:t>
      </w:r>
      <w:r w:rsidR="001A49A4">
        <w:t xml:space="preserve">ortfolio </w:t>
      </w:r>
      <w:r w:rsidR="00090714">
        <w:t>O</w:t>
      </w:r>
      <w:r w:rsidR="001A49A4">
        <w:t>ptimization</w:t>
      </w:r>
      <w:r w:rsidR="00090714">
        <w:t>,</w:t>
      </w:r>
      <w:r w:rsidR="001A49A4">
        <w:t xml:space="preserve"> is</w:t>
      </w:r>
      <w:r w:rsidR="0083267B">
        <w:t xml:space="preserve"> misapplied because SPD’s portrayal </w:t>
      </w:r>
      <w:r w:rsidR="00EA7229">
        <w:t xml:space="preserve">of </w:t>
      </w:r>
      <w:r w:rsidR="00090714">
        <w:t>Markowitz’s work is</w:t>
      </w:r>
      <w:r w:rsidR="0083267B">
        <w:t xml:space="preserve"> inaccurate.</w:t>
      </w:r>
      <w:r w:rsidR="00B15AF6">
        <w:t xml:space="preserve"> </w:t>
      </w:r>
      <w:r w:rsidR="00090714">
        <w:t>PG&amp;E argues that</w:t>
      </w:r>
      <w:r w:rsidR="006133BC">
        <w:t>, because the Staff Risk Tolerance Proposal doe</w:t>
      </w:r>
      <w:r w:rsidR="00432E3A">
        <w:t>s not appear to be based on any decision-theoretic foundation</w:t>
      </w:r>
      <w:r w:rsidR="00C664AD">
        <w:t xml:space="preserve">, it </w:t>
      </w:r>
      <w:r w:rsidR="006C3019">
        <w:t xml:space="preserve">is an incomplete framework that </w:t>
      </w:r>
      <w:r w:rsidR="00C664AD">
        <w:t xml:space="preserve">does nothing more than </w:t>
      </w:r>
      <w:r w:rsidR="006C3019">
        <w:t xml:space="preserve">trade off expected benefits </w:t>
      </w:r>
      <w:r w:rsidRPr="00806527" w:rsidR="006C3019">
        <w:t xml:space="preserve">against costs </w:t>
      </w:r>
      <w:r w:rsidRPr="00806527" w:rsidR="00141F4D">
        <w:t xml:space="preserve">without </w:t>
      </w:r>
      <w:r w:rsidRPr="00806527" w:rsidR="00244F2D">
        <w:t>any consideration of risk</w:t>
      </w:r>
      <w:r w:rsidR="00244F2D">
        <w:t>, such as standard deviation or tail average.</w:t>
      </w:r>
      <w:r w:rsidR="00BD2B3B">
        <w:rPr>
          <w:rStyle w:val="FootnoteReference"/>
        </w:rPr>
        <w:footnoteReference w:id="53"/>
      </w:r>
      <w:r w:rsidR="00BD2B3B">
        <w:t xml:space="preserve"> </w:t>
      </w:r>
      <w:r w:rsidR="009068D1">
        <w:t>PG&amp;E also argues that there are prac</w:t>
      </w:r>
      <w:r w:rsidR="0072771F">
        <w:t xml:space="preserve">tical difficulties with </w:t>
      </w:r>
      <w:r w:rsidR="004A6E0F">
        <w:t xml:space="preserve">implementing an optimization approach </w:t>
      </w:r>
      <w:r w:rsidR="00893DE1">
        <w:t xml:space="preserve">similar to Markowitz’s Portfolio Optimization because </w:t>
      </w:r>
      <w:r w:rsidR="00D32A89">
        <w:t xml:space="preserve">portfolio selection in finance is a continuous problem, whereas mitigations </w:t>
      </w:r>
      <w:r w:rsidR="00DE5009">
        <w:t xml:space="preserve">are </w:t>
      </w:r>
      <w:r w:rsidR="00B03212">
        <w:t>a discrete problem (i.e., it does not mak</w:t>
      </w:r>
      <w:r w:rsidR="00912B71">
        <w:t>e sense to include</w:t>
      </w:r>
      <w:r w:rsidR="00B34064">
        <w:t xml:space="preserve"> fraction</w:t>
      </w:r>
      <w:r w:rsidR="005A56A8">
        <w:t>s</w:t>
      </w:r>
      <w:r w:rsidR="00B34064">
        <w:t xml:space="preserve"> of a mitigation </w:t>
      </w:r>
      <w:r w:rsidR="005A56A8">
        <w:t>to optimize a portfolio of mitigations as would be the case in a continuous problem). PG&amp;E notes that discrete optimization problems are considerably more computationally intensive than continuous optimization problems.</w:t>
      </w:r>
      <w:r w:rsidRPr="00B008AD" w:rsidR="00B008AD">
        <w:rPr>
          <w:rStyle w:val="FootnoteReference"/>
        </w:rPr>
        <w:t xml:space="preserve"> </w:t>
      </w:r>
      <w:r w:rsidR="00B008AD">
        <w:rPr>
          <w:rStyle w:val="FootnoteReference"/>
        </w:rPr>
        <w:footnoteReference w:id="54"/>
      </w:r>
    </w:p>
    <w:p w:rsidR="00FB2400" w:rsidP="00A301D8" w:rsidRDefault="00FB2400" w14:paraId="254791CF" w14:textId="61CA1E68">
      <w:pPr>
        <w:pStyle w:val="Standard"/>
      </w:pPr>
      <w:r>
        <w:t xml:space="preserve">SCE opposes a requirement for the utilities to present a set of optimal portfolios for reducing overall residual risk of each risk event addressed in a RAMP or GRC filing. SCE argues that each of its RAMP filings includes three </w:t>
      </w:r>
      <w:r>
        <w:lastRenderedPageBreak/>
        <w:t>mitigation portfolios, SCE’s preferred portfolio of mitigations and two separate and realistic alternative portfolios of mitigations. As such, SCE argues that additional requirements are not necessary. SCE also recommends removing the word “optimal” from the Staff Risk Tolerance Proposal since different parties will have differing views on what constitutes an “optimal” portfolio.</w:t>
      </w:r>
      <w:r>
        <w:rPr>
          <w:rStyle w:val="FootnoteReference"/>
        </w:rPr>
        <w:footnoteReference w:id="55"/>
      </w:r>
    </w:p>
    <w:p w:rsidR="00F31F0F" w:rsidP="00A301D8" w:rsidRDefault="007E7B13" w14:paraId="7FD9EA3A" w14:textId="620634BE">
      <w:pPr>
        <w:pStyle w:val="Standard"/>
      </w:pPr>
      <w:r>
        <w:t xml:space="preserve">The Sempra Companies are opposed to </w:t>
      </w:r>
      <w:r w:rsidR="00486919">
        <w:t>requiring the utilities to construct portfolios of safety risk mitigations</w:t>
      </w:r>
      <w:r w:rsidR="005608E4">
        <w:t xml:space="preserve"> and note the differences between safety risk mitigations and financial markets</w:t>
      </w:r>
      <w:r w:rsidR="007B210B">
        <w:t xml:space="preserve">, particularly that </w:t>
      </w:r>
      <w:r w:rsidR="0095557D">
        <w:t>different</w:t>
      </w:r>
      <w:r w:rsidR="003F03D2">
        <w:t xml:space="preserve"> aspects of</w:t>
      </w:r>
      <w:r w:rsidR="0095557D">
        <w:t xml:space="preserve"> risk</w:t>
      </w:r>
      <w:r w:rsidR="003F03D2">
        <w:t xml:space="preserve"> impacting safety</w:t>
      </w:r>
      <w:r w:rsidR="0095557D">
        <w:t xml:space="preserve"> are not fungible</w:t>
      </w:r>
      <w:r w:rsidR="005608E4">
        <w:t xml:space="preserve">. </w:t>
      </w:r>
      <w:r w:rsidR="00E112CA">
        <w:t>The Sempra Companies argue that what they currently do is effectively construct portfolios of risk mitigations</w:t>
      </w:r>
      <w:r w:rsidR="00941B88">
        <w:t xml:space="preserve"> but where each mitigation addresses </w:t>
      </w:r>
      <w:r w:rsidR="00D31CA7">
        <w:t xml:space="preserve">different aspects of risk impacting safety. </w:t>
      </w:r>
      <w:r w:rsidR="00E90537">
        <w:t xml:space="preserve">They also note that activities mandated by law or regulation </w:t>
      </w:r>
      <w:r w:rsidR="008707B5">
        <w:t>provide less optionality than found in financial markets</w:t>
      </w:r>
      <w:r w:rsidR="004E1049">
        <w:t>.</w:t>
      </w:r>
      <w:r w:rsidR="008A7CDB">
        <w:t xml:space="preserve"> </w:t>
      </w:r>
      <w:r w:rsidR="00EB3036">
        <w:t>The Sempra Companies additionally argue that utility risk data is less frequent and less granular than financial data, making it challenging to directly apply financial analysis techniques.</w:t>
      </w:r>
      <w:r w:rsidR="004E1049">
        <w:rPr>
          <w:rStyle w:val="FootnoteReference"/>
        </w:rPr>
        <w:footnoteReference w:id="56"/>
      </w:r>
    </w:p>
    <w:p w:rsidR="004E1049" w:rsidP="00A301D8" w:rsidRDefault="00D030F2" w14:paraId="38C72A55" w14:textId="7B4A13AE">
      <w:pPr>
        <w:pStyle w:val="Standard"/>
      </w:pPr>
      <w:r>
        <w:t xml:space="preserve">Cal Advocates recommends </w:t>
      </w:r>
      <w:r w:rsidR="00AD09F4">
        <w:t>utilities be required to submit optimized risk mitigation portfolios based solely on RDF budget constraints.</w:t>
      </w:r>
      <w:r w:rsidR="00AD09F4">
        <w:rPr>
          <w:rStyle w:val="FootnoteReference"/>
        </w:rPr>
        <w:footnoteReference w:id="57"/>
      </w:r>
    </w:p>
    <w:p w:rsidR="00F80817" w:rsidP="00A301D8" w:rsidRDefault="00922635" w14:paraId="573DD12D" w14:textId="66471D37">
      <w:pPr>
        <w:pStyle w:val="Standard"/>
      </w:pPr>
      <w:r>
        <w:t xml:space="preserve">TURN supports most aspects of </w:t>
      </w:r>
      <w:r w:rsidR="00976E76">
        <w:t>SPD staff’s recommendation requiring utilities to present budget-constrained, optimized portfolios of mitigations</w:t>
      </w:r>
      <w:r w:rsidR="003D29D2">
        <w:t xml:space="preserve">. </w:t>
      </w:r>
      <w:r w:rsidR="00D97C40">
        <w:t xml:space="preserve">TURN </w:t>
      </w:r>
      <w:r w:rsidR="001D671F">
        <w:t>notes that the output of a budget-constrained optimization process would be a set of portfolios optimized to provide th</w:t>
      </w:r>
      <w:r w:rsidR="00A278A1">
        <w:t>e</w:t>
      </w:r>
      <w:r w:rsidR="00951079">
        <w:t xml:space="preserve"> maximum residual risk reduction for each required budget constraint. </w:t>
      </w:r>
      <w:r w:rsidR="00B71C21">
        <w:t>That is, the objective function</w:t>
      </w:r>
      <w:r w:rsidR="00292165">
        <w:t xml:space="preserve"> of the </w:t>
      </w:r>
      <w:r w:rsidR="00292165">
        <w:lastRenderedPageBreak/>
        <w:t>optimization process</w:t>
      </w:r>
      <w:r w:rsidR="00B71C21">
        <w:t xml:space="preserve"> is to minimize residual risk</w:t>
      </w:r>
      <w:r w:rsidR="00C868AC">
        <w:t xml:space="preserve"> given budget constraints chosen by the Commission</w:t>
      </w:r>
      <w:r w:rsidR="00AA2214">
        <w:t xml:space="preserve"> with the </w:t>
      </w:r>
      <w:r w:rsidR="00B7580F">
        <w:t xml:space="preserve">decision </w:t>
      </w:r>
      <w:r w:rsidR="00AA2214">
        <w:t>variable</w:t>
      </w:r>
      <w:r w:rsidR="003A770D">
        <w:t xml:space="preserve"> being whether or not a given mitigation is included in a portfolio of mitigations</w:t>
      </w:r>
      <w:r w:rsidR="00F2533C">
        <w:t xml:space="preserve"> for implementation.</w:t>
      </w:r>
      <w:r w:rsidR="00F24DC2">
        <w:t xml:space="preserve"> TURN also notes</w:t>
      </w:r>
      <w:r w:rsidR="00F722E1">
        <w:t xml:space="preserve"> that the relationship between risk reduction and budget level can be graphed </w:t>
      </w:r>
      <w:r w:rsidR="00987BF9">
        <w:t xml:space="preserve">to support decision-makers’ reasoning </w:t>
      </w:r>
      <w:r w:rsidR="008326B4">
        <w:t xml:space="preserve">about the trade-off between residual risk reduction and budget </w:t>
      </w:r>
      <w:r w:rsidR="008071FA">
        <w:t>level.</w:t>
      </w:r>
      <w:r w:rsidR="0078564E">
        <w:t xml:space="preserve"> TURN reiterates its position that </w:t>
      </w:r>
      <w:r w:rsidR="00DB5FDE">
        <w:t xml:space="preserve">budget-constrained optimization is a practical and preferred alternative to </w:t>
      </w:r>
      <w:r w:rsidR="00E34E5A">
        <w:t>SPD staff’s risk tolerance proposal</w:t>
      </w:r>
      <w:r w:rsidR="00C40065">
        <w:t xml:space="preserve"> because it allows the Commission and parties to see the impact of different budget choices on achievable risk reduction</w:t>
      </w:r>
      <w:r w:rsidR="00905F6B">
        <w:t xml:space="preserve"> while still focusing on the key determinants of risk tolerance.</w:t>
      </w:r>
      <w:r w:rsidR="0009203F">
        <w:rPr>
          <w:rStyle w:val="FootnoteReference"/>
        </w:rPr>
        <w:footnoteReference w:id="58"/>
      </w:r>
      <w:r w:rsidR="002139A2">
        <w:t xml:space="preserve"> </w:t>
      </w:r>
      <w:r w:rsidR="00025D72">
        <w:t xml:space="preserve">In its </w:t>
      </w:r>
      <w:r w:rsidR="006C679B">
        <w:t xml:space="preserve">reply comments on Workshop #2, </w:t>
      </w:r>
      <w:r w:rsidR="00DE49AB">
        <w:t>TURN provides a</w:t>
      </w:r>
      <w:r w:rsidR="003B2FA1">
        <w:t xml:space="preserve"> heuristic</w:t>
      </w:r>
      <w:r w:rsidR="00BC0AC8">
        <w:t xml:space="preserve"> approach to </w:t>
      </w:r>
      <w:r w:rsidR="003B2FA1">
        <w:t xml:space="preserve">optimization </w:t>
      </w:r>
      <w:r w:rsidR="005C53AD">
        <w:t xml:space="preserve">in which </w:t>
      </w:r>
      <w:r w:rsidR="00B23628">
        <w:t>optimized portfolios can be approximated.</w:t>
      </w:r>
      <w:r w:rsidR="00073439">
        <w:t xml:space="preserve"> In this approach, the utility would first identify all mandatory programs and include those in all candidate </w:t>
      </w:r>
      <w:r w:rsidR="004406F5">
        <w:t>portfolios. Then the utility would rank all discretionary programs by BCR at the tranche level.</w:t>
      </w:r>
      <w:r w:rsidR="00203359">
        <w:t xml:space="preserve"> Starting with the highest ranked </w:t>
      </w:r>
      <w:r w:rsidR="00781CED">
        <w:t>discretionary tranche-based programs, discretionary tranche-based programs would be added to the portfolio until the budget constraint is reached</w:t>
      </w:r>
      <w:r w:rsidR="00FA5DBB">
        <w:t>.</w:t>
      </w:r>
      <w:r w:rsidR="00FA5DBB">
        <w:rPr>
          <w:rStyle w:val="FootnoteReference"/>
        </w:rPr>
        <w:footnoteReference w:id="59"/>
      </w:r>
      <w:r w:rsidDel="00FB2400" w:rsidR="00FB2400">
        <w:t xml:space="preserve"> </w:t>
      </w:r>
    </w:p>
    <w:p w:rsidRPr="00C441B8" w:rsidR="005C6CAB" w:rsidP="00A301D8" w:rsidRDefault="00400D0A" w14:paraId="7680CB68" w14:textId="69B063CD">
      <w:pPr>
        <w:pStyle w:val="Standard"/>
      </w:pPr>
      <w:r>
        <w:t xml:space="preserve">EPUC/IS supports SPD staff’s recommendations </w:t>
      </w:r>
      <w:r w:rsidR="00EE1F82">
        <w:t>to require the utilities to construct portfolios of risk mitigations for each risk event addressed in a RAMP or GRC filing.</w:t>
      </w:r>
      <w:r w:rsidR="00806862">
        <w:t xml:space="preserve"> EPUC/IS recommends that the </w:t>
      </w:r>
      <w:r w:rsidR="000A32B9">
        <w:t>portfolios be evaluated and compared assuming a suite of budget constraints</w:t>
      </w:r>
      <w:r w:rsidR="00DE7C87">
        <w:t xml:space="preserve">, for example, </w:t>
      </w:r>
      <w:r w:rsidR="00077543">
        <w:t xml:space="preserve">a range of </w:t>
      </w:r>
      <w:r w:rsidR="00077543">
        <w:lastRenderedPageBreak/>
        <w:t xml:space="preserve">percentage changes from the </w:t>
      </w:r>
      <w:r w:rsidR="000E1FEB">
        <w:t xml:space="preserve">utility’s </w:t>
      </w:r>
      <w:r w:rsidR="0060559D">
        <w:t>current non-fuel GRC revenue requirement</w:t>
      </w:r>
      <w:r w:rsidR="00883B90">
        <w:t>.</w:t>
      </w:r>
      <w:r w:rsidR="006F01E6">
        <w:rPr>
          <w:rStyle w:val="FootnoteReference"/>
        </w:rPr>
        <w:footnoteReference w:id="60"/>
      </w:r>
    </w:p>
    <w:p w:rsidRPr="00C441B8" w:rsidR="000E192B" w:rsidP="00A301D8" w:rsidRDefault="00035A52" w14:paraId="385EE54D" w14:textId="13D18334">
      <w:pPr>
        <w:pStyle w:val="Standard"/>
      </w:pPr>
      <w:r>
        <w:t xml:space="preserve">MGRA </w:t>
      </w:r>
      <w:r w:rsidR="009626E1">
        <w:t xml:space="preserve">provides no comment on </w:t>
      </w:r>
      <w:r w:rsidR="00036223">
        <w:t xml:space="preserve">mitigation portfolios and optimization other than to note their technical nature and recommend that they be reserved for </w:t>
      </w:r>
      <w:r w:rsidR="005D1B0F">
        <w:t>future development.</w:t>
      </w:r>
      <w:r w:rsidR="00F51068">
        <w:rPr>
          <w:rStyle w:val="FootnoteReference"/>
        </w:rPr>
        <w:footnoteReference w:id="61"/>
      </w:r>
    </w:p>
    <w:p w:rsidRPr="000F77D9" w:rsidR="00AB582C" w:rsidP="001F2AAF" w:rsidRDefault="00AB582C" w14:paraId="679DCEA4" w14:textId="77777777">
      <w:pPr>
        <w:pStyle w:val="Heading2"/>
      </w:pPr>
      <w:bookmarkStart w:name="_Toc204258029" w:id="25"/>
      <w:r w:rsidRPr="000F77D9">
        <w:t>Discussion</w:t>
      </w:r>
      <w:bookmarkEnd w:id="25"/>
    </w:p>
    <w:p w:rsidR="0050086C" w:rsidP="00AB582C" w:rsidRDefault="00BD26B8" w14:paraId="2D2D6AA5" w14:textId="0959252E">
      <w:pPr>
        <w:pStyle w:val="Standard"/>
      </w:pPr>
      <w:r>
        <w:t xml:space="preserve">We are persuaded that </w:t>
      </w:r>
      <w:r w:rsidR="00674BEA">
        <w:t>a</w:t>
      </w:r>
      <w:r w:rsidR="00E00D84">
        <w:t xml:space="preserve">n optimization framework </w:t>
      </w:r>
      <w:r w:rsidR="002D503C">
        <w:t>for mitigation portfolios is a</w:t>
      </w:r>
      <w:r w:rsidR="00FB5F1B">
        <w:t xml:space="preserve"> worthwhile endeavor</w:t>
      </w:r>
      <w:r w:rsidR="002D48D9">
        <w:t xml:space="preserve"> that will help the Commission </w:t>
      </w:r>
      <w:r w:rsidR="0029733C">
        <w:t xml:space="preserve">reason about the </w:t>
      </w:r>
      <w:r w:rsidR="006F5FEF">
        <w:t xml:space="preserve">relationship between risk reduction and mitigation spending. </w:t>
      </w:r>
      <w:r w:rsidR="00A57130">
        <w:t xml:space="preserve">SCE argues that the mitigation portfolios currently required in RAMPs are sufficient. We disagree, as these portfolios are not produced through any optimizing criteria. </w:t>
      </w:r>
      <w:r w:rsidR="00B05F0E">
        <w:t xml:space="preserve">While we agree with PG&amp;E that </w:t>
      </w:r>
      <w:r w:rsidR="00DE2F43">
        <w:t>Markowitz’s Portfolio Optimization is not directly, literally applicable to mitigation portfolios</w:t>
      </w:r>
      <w:r w:rsidR="00EE7EDB">
        <w:t xml:space="preserve">, it </w:t>
      </w:r>
      <w:r w:rsidR="007662F3">
        <w:t xml:space="preserve">does </w:t>
      </w:r>
      <w:r w:rsidR="00EE7EDB">
        <w:t xml:space="preserve">provide a helpful heuristic for reasoning about mitigation portfolios. </w:t>
      </w:r>
      <w:r w:rsidR="00050861">
        <w:t>Similarly,</w:t>
      </w:r>
      <w:r w:rsidR="005E3827">
        <w:t xml:space="preserve"> </w:t>
      </w:r>
      <w:r w:rsidR="0048200E">
        <w:t>we agree with the Semp</w:t>
      </w:r>
      <w:r w:rsidR="00BB31C8">
        <w:t>r</w:t>
      </w:r>
      <w:r w:rsidR="0048200E">
        <w:t xml:space="preserve">a Companies that </w:t>
      </w:r>
      <w:r w:rsidR="00984200">
        <w:t xml:space="preserve">directly applying financial analysis techniques </w:t>
      </w:r>
      <w:r w:rsidR="001A055E">
        <w:t xml:space="preserve">to utility risk data </w:t>
      </w:r>
      <w:r w:rsidR="00984200">
        <w:t xml:space="preserve">can be challenging. However, we are not persuaded that these </w:t>
      </w:r>
      <w:r w:rsidR="00A57130">
        <w:t>techniques are necessary</w:t>
      </w:r>
      <w:r w:rsidR="00340374">
        <w:t xml:space="preserve"> </w:t>
      </w:r>
      <w:r w:rsidR="00871BA1">
        <w:t>for mitigation portfolio optimization</w:t>
      </w:r>
      <w:r w:rsidR="00A57130">
        <w:t>.</w:t>
      </w:r>
      <w:r w:rsidR="00340374">
        <w:t xml:space="preserve"> </w:t>
      </w:r>
      <w:r w:rsidR="009358DD">
        <w:t xml:space="preserve">TURN provides a compelling </w:t>
      </w:r>
      <w:r w:rsidR="00FF27B9">
        <w:t xml:space="preserve">description of </w:t>
      </w:r>
      <w:r w:rsidR="00884F28">
        <w:t xml:space="preserve">an optimization model </w:t>
      </w:r>
      <w:r w:rsidR="00C526A6">
        <w:t>where the objective function</w:t>
      </w:r>
      <w:r w:rsidR="00224F08">
        <w:t xml:space="preserve"> (i.e., the value to </w:t>
      </w:r>
      <w:r w:rsidR="00155D47">
        <w:t xml:space="preserve">be </w:t>
      </w:r>
      <w:r w:rsidR="002043A6">
        <w:t>maximized)</w:t>
      </w:r>
      <w:r w:rsidR="00C526A6">
        <w:t xml:space="preserve"> is </w:t>
      </w:r>
      <w:r w:rsidR="003D2D04">
        <w:t>risk reduction</w:t>
      </w:r>
      <w:r w:rsidR="00C14CF1">
        <w:t xml:space="preserve">, </w:t>
      </w:r>
      <w:r w:rsidR="00787DED">
        <w:t xml:space="preserve">the constraint </w:t>
      </w:r>
      <w:r w:rsidR="00652420">
        <w:t xml:space="preserve">is </w:t>
      </w:r>
      <w:r w:rsidR="0090746C">
        <w:t>a</w:t>
      </w:r>
      <w:r w:rsidR="0031044F">
        <w:t xml:space="preserve"> </w:t>
      </w:r>
      <w:r w:rsidR="00155D47">
        <w:t xml:space="preserve">given </w:t>
      </w:r>
      <w:r w:rsidR="0031044F">
        <w:t>budget level</w:t>
      </w:r>
      <w:r w:rsidR="00155D47">
        <w:t xml:space="preserve"> in dollars</w:t>
      </w:r>
      <w:r w:rsidR="00FE5B95">
        <w:t>, and the</w:t>
      </w:r>
      <w:r w:rsidR="00AF736E">
        <w:t xml:space="preserve"> </w:t>
      </w:r>
      <w:r w:rsidR="00522B2B">
        <w:t xml:space="preserve">decision variable (i.e., </w:t>
      </w:r>
      <w:r w:rsidR="00ED3CD2">
        <w:t>the value that</w:t>
      </w:r>
      <w:r w:rsidR="008F44D8">
        <w:t xml:space="preserve"> is </w:t>
      </w:r>
      <w:r w:rsidR="0075614A">
        <w:t xml:space="preserve">selected by the optimization algorithm to </w:t>
      </w:r>
      <w:r w:rsidR="00091A92">
        <w:t>maximize the objective function)</w:t>
      </w:r>
      <w:r w:rsidR="00C526A6">
        <w:t xml:space="preserve"> </w:t>
      </w:r>
      <w:r w:rsidR="00A87782">
        <w:t>is whether a given mitigation is included in the portfolio or not.</w:t>
      </w:r>
      <w:r w:rsidR="00426F72">
        <w:t xml:space="preserve"> </w:t>
      </w:r>
      <w:r w:rsidR="0050086C">
        <w:t>We adopt this approach here.</w:t>
      </w:r>
    </w:p>
    <w:p w:rsidR="00DB7BDF" w:rsidP="00AB582C" w:rsidRDefault="00426F72" w14:paraId="5C4562B8" w14:textId="754EDF09">
      <w:pPr>
        <w:pStyle w:val="Standard"/>
      </w:pPr>
      <w:r>
        <w:lastRenderedPageBreak/>
        <w:t xml:space="preserve">Instead of </w:t>
      </w:r>
      <w:r w:rsidR="00B11DF9">
        <w:t>selecting</w:t>
      </w:r>
      <w:r>
        <w:t xml:space="preserve"> </w:t>
      </w:r>
      <w:r w:rsidR="00B43F2D">
        <w:t>a</w:t>
      </w:r>
      <w:r w:rsidR="00167F81">
        <w:t xml:space="preserve"> single budget level, we </w:t>
      </w:r>
      <w:r w:rsidR="00B43F2D">
        <w:t xml:space="preserve">opt instead for </w:t>
      </w:r>
      <w:r w:rsidR="00933E37">
        <w:t>several budget scenarios</w:t>
      </w:r>
      <w:r w:rsidR="008829BC">
        <w:t xml:space="preserve"> as suggested by </w:t>
      </w:r>
      <w:r w:rsidR="005A5E0D">
        <w:t>TURN and EPUC/IS</w:t>
      </w:r>
      <w:r w:rsidR="007D720A">
        <w:t xml:space="preserve">. </w:t>
      </w:r>
      <w:r w:rsidR="00B51EFA">
        <w:t xml:space="preserve">By setting the </w:t>
      </w:r>
      <w:r w:rsidR="00C41818">
        <w:t xml:space="preserve">constraint in the optimization model described above </w:t>
      </w:r>
      <w:r w:rsidR="008C37E5">
        <w:t xml:space="preserve">at </w:t>
      </w:r>
      <w:r w:rsidR="00710925">
        <w:t>each of the budget scenario values, a visual can be produced that shows the</w:t>
      </w:r>
      <w:r w:rsidR="00196EA9">
        <w:t xml:space="preserve"> maxim</w:t>
      </w:r>
      <w:r w:rsidR="00864E37">
        <w:t>um possible</w:t>
      </w:r>
      <w:r w:rsidR="00196EA9">
        <w:t xml:space="preserve"> risk reduction </w:t>
      </w:r>
      <w:r w:rsidR="00E61CCF">
        <w:t>for each budget scenario</w:t>
      </w:r>
      <w:r w:rsidR="00FF2022">
        <w:t xml:space="preserve">, </w:t>
      </w:r>
      <w:r w:rsidR="00754ABB">
        <w:t xml:space="preserve">with each budget scenario having a corresponding optimal </w:t>
      </w:r>
      <w:r w:rsidR="00BD28C5">
        <w:t xml:space="preserve">mitigation </w:t>
      </w:r>
      <w:r w:rsidR="00754ABB">
        <w:t>portfolio</w:t>
      </w:r>
      <w:r w:rsidR="00382396">
        <w:t xml:space="preserve"> that produces that optimal risk reduction.</w:t>
      </w:r>
      <w:r w:rsidR="004052A4">
        <w:t xml:space="preserve"> These budget scenarios will be based on </w:t>
      </w:r>
      <w:r w:rsidR="002B1784">
        <w:t xml:space="preserve">the forecasted costs of </w:t>
      </w:r>
      <w:r w:rsidR="00505152">
        <w:t>Mitigations</w:t>
      </w:r>
      <w:r w:rsidR="002B1784">
        <w:t xml:space="preserve"> and Controls that the utility has proposed in </w:t>
      </w:r>
      <w:r w:rsidR="00E47230">
        <w:t>its</w:t>
      </w:r>
      <w:r w:rsidR="002B1784">
        <w:t xml:space="preserve"> </w:t>
      </w:r>
      <w:r w:rsidR="006C476C">
        <w:t>RAMP or current</w:t>
      </w:r>
      <w:r w:rsidR="00CE4A54">
        <w:t xml:space="preserve"> GRC</w:t>
      </w:r>
      <w:r w:rsidR="00E47230">
        <w:t xml:space="preserve">. </w:t>
      </w:r>
      <w:r w:rsidR="00620A42">
        <w:t xml:space="preserve">We call these </w:t>
      </w:r>
      <w:r w:rsidR="009C11CC">
        <w:t xml:space="preserve">forecasted costs the Baseline Cost Forecast. </w:t>
      </w:r>
      <w:r w:rsidR="006F2139">
        <w:t>The four required budget scenarios are</w:t>
      </w:r>
      <w:r w:rsidR="006B0CD8">
        <w:t xml:space="preserve">: 1) </w:t>
      </w:r>
      <w:r w:rsidR="00BA6057">
        <w:t>85</w:t>
      </w:r>
      <w:r w:rsidR="0025598B">
        <w:t xml:space="preserve">% </w:t>
      </w:r>
      <w:r w:rsidR="00882D7D">
        <w:t xml:space="preserve">of </w:t>
      </w:r>
      <w:r w:rsidR="006B0CD8">
        <w:t xml:space="preserve">the Baseline Cost Forecast, 2) </w:t>
      </w:r>
      <w:r w:rsidR="00BA6057">
        <w:t>90</w:t>
      </w:r>
      <w:r w:rsidR="006B0CD8">
        <w:t>% of the Baseline Cost Forecast</w:t>
      </w:r>
      <w:r w:rsidR="00740B02">
        <w:t xml:space="preserve">, 3) </w:t>
      </w:r>
      <w:r w:rsidR="00BA6057">
        <w:t>95</w:t>
      </w:r>
      <w:r w:rsidR="00740B02">
        <w:t xml:space="preserve">% of the Baseline Cost Forecast, and 4) </w:t>
      </w:r>
      <w:r w:rsidR="00BA6057">
        <w:t xml:space="preserve">100% of </w:t>
      </w:r>
      <w:r w:rsidR="00740B02">
        <w:t xml:space="preserve">the Baseline Cost Forecast. </w:t>
      </w:r>
    </w:p>
    <w:p w:rsidR="000459CA" w:rsidP="00AB582C" w:rsidRDefault="00FF442D" w14:paraId="13DDBF11" w14:textId="794D62D0">
      <w:pPr>
        <w:pStyle w:val="Standard"/>
      </w:pPr>
      <w:r>
        <w:t xml:space="preserve">To </w:t>
      </w:r>
      <w:r w:rsidR="004C1946">
        <w:t xml:space="preserve">provide clarity and </w:t>
      </w:r>
      <w:r>
        <w:t>su</w:t>
      </w:r>
      <w:r w:rsidR="008135D0">
        <w:t>pport the implementation of budget scenario</w:t>
      </w:r>
      <w:r w:rsidR="000459CA">
        <w:t xml:space="preserve">-informed mitigation portfolio optimization, we add the following definitions to the RDF </w:t>
      </w:r>
      <w:r w:rsidR="00C70371">
        <w:t>developed in response to party comments on Workshop #2</w:t>
      </w:r>
      <w:r w:rsidR="000459CA">
        <w:t xml:space="preserve"> (additions in </w:t>
      </w:r>
      <w:r w:rsidR="000459CA">
        <w:rPr>
          <w:i/>
          <w:iCs/>
        </w:rPr>
        <w:t>italics</w:t>
      </w:r>
      <w:r w:rsidR="000459CA">
        <w:t>):</w:t>
      </w:r>
    </w:p>
    <w:p w:rsidRPr="00461668" w:rsidR="00BD26B8" w:rsidP="001F2AAF" w:rsidRDefault="00F14FC6" w14:paraId="1874D0F8" w14:textId="73BF79B5">
      <w:pPr>
        <w:pStyle w:val="ListBullet"/>
        <w:ind w:right="1440"/>
        <w:rPr>
          <w:i/>
        </w:rPr>
      </w:pPr>
      <w:r w:rsidRPr="00461668">
        <w:rPr>
          <w:i/>
        </w:rPr>
        <w:t xml:space="preserve">Baseline Cost Forecast: </w:t>
      </w:r>
      <w:r w:rsidRPr="00461668" w:rsidR="71413315">
        <w:rPr>
          <w:i/>
        </w:rPr>
        <w:t>A</w:t>
      </w:r>
      <w:r w:rsidRPr="00461668" w:rsidR="00362727">
        <w:rPr>
          <w:i/>
        </w:rPr>
        <w:t xml:space="preserve">n estimate of the expenditures for all RAMP-related Mitigation and Control Programs for which </w:t>
      </w:r>
      <w:r w:rsidRPr="00461668" w:rsidR="10C100CE">
        <w:rPr>
          <w:i/>
        </w:rPr>
        <w:t>an</w:t>
      </w:r>
      <w:r w:rsidRPr="00461668" w:rsidR="00362727">
        <w:rPr>
          <w:i/>
        </w:rPr>
        <w:t xml:space="preserve"> IOU </w:t>
      </w:r>
      <w:r w:rsidRPr="00461668" w:rsidR="576FA9CF">
        <w:rPr>
          <w:i/>
        </w:rPr>
        <w:t>is</w:t>
      </w:r>
      <w:r w:rsidRPr="00461668" w:rsidR="00362727">
        <w:rPr>
          <w:i/>
        </w:rPr>
        <w:t xml:space="preserve"> seeking approval and/or funding in </w:t>
      </w:r>
      <w:r w:rsidRPr="00461668" w:rsidR="09C36BC3">
        <w:rPr>
          <w:i/>
        </w:rPr>
        <w:t>its</w:t>
      </w:r>
      <w:r w:rsidRPr="00461668" w:rsidR="00362727">
        <w:rPr>
          <w:i/>
        </w:rPr>
        <w:t xml:space="preserve"> </w:t>
      </w:r>
      <w:r w:rsidR="00A36ACD">
        <w:rPr>
          <w:i/>
        </w:rPr>
        <w:t xml:space="preserve">RAMP or </w:t>
      </w:r>
      <w:r w:rsidRPr="00461668" w:rsidR="00362727">
        <w:rPr>
          <w:i/>
        </w:rPr>
        <w:t xml:space="preserve">current GRC application. The Baseline Forecast </w:t>
      </w:r>
      <w:r w:rsidRPr="00461668" w:rsidR="004C1946">
        <w:rPr>
          <w:i/>
        </w:rPr>
        <w:t>is used to estimate the Budget Scenario for the Enterprise Portfolios.</w:t>
      </w:r>
    </w:p>
    <w:p w:rsidRPr="00461668" w:rsidR="004C1946" w:rsidP="001F2AAF" w:rsidRDefault="004C1946" w14:paraId="62A93061" w14:textId="22A07328">
      <w:pPr>
        <w:pStyle w:val="ListBullet"/>
        <w:ind w:right="1440"/>
        <w:rPr>
          <w:i/>
        </w:rPr>
      </w:pPr>
      <w:r w:rsidRPr="00461668">
        <w:rPr>
          <w:i/>
        </w:rPr>
        <w:t xml:space="preserve">Budget Scenario: </w:t>
      </w:r>
      <w:r w:rsidRPr="00461668" w:rsidR="732C95E9">
        <w:rPr>
          <w:i/>
        </w:rPr>
        <w:t>A</w:t>
      </w:r>
      <w:r w:rsidRPr="00461668">
        <w:rPr>
          <w:i/>
        </w:rPr>
        <w:t xml:space="preserve"> scenario of expenditures for RAMP-related Mitigation and Control </w:t>
      </w:r>
      <w:r w:rsidRPr="00461668" w:rsidR="00956CD4">
        <w:rPr>
          <w:i/>
        </w:rPr>
        <w:t>Programs to be used for portfolio optimization.</w:t>
      </w:r>
    </w:p>
    <w:p w:rsidRPr="00461668" w:rsidR="005309CB" w:rsidP="001F2AAF" w:rsidRDefault="005309CB" w14:paraId="0B9A85B0" w14:textId="3912FAC7">
      <w:pPr>
        <w:pStyle w:val="ListBullet"/>
        <w:ind w:right="1440"/>
        <w:rPr>
          <w:i/>
        </w:rPr>
      </w:pPr>
      <w:r w:rsidRPr="00461668">
        <w:rPr>
          <w:i/>
        </w:rPr>
        <w:t xml:space="preserve">Enterprise Portfolio: </w:t>
      </w:r>
      <w:r w:rsidRPr="00461668" w:rsidR="36F8E872">
        <w:rPr>
          <w:i/>
        </w:rPr>
        <w:t>A</w:t>
      </w:r>
      <w:r w:rsidRPr="00461668">
        <w:rPr>
          <w:i/>
        </w:rPr>
        <w:t xml:space="preserve"> collection of activities within a specified Budget Scenario reflecting all of the RAMP-related Mitig</w:t>
      </w:r>
      <w:r w:rsidRPr="00461668" w:rsidR="00EA0739">
        <w:rPr>
          <w:i/>
        </w:rPr>
        <w:t>ation and Control Programs to be funded in the utility’s General Rate Case</w:t>
      </w:r>
      <w:r w:rsidRPr="00461668" w:rsidR="009C553B">
        <w:rPr>
          <w:i/>
        </w:rPr>
        <w:t>. The Enterprise Portfolio will include a Risk Mitigation Portfolio for every Enterprise Risk presented in a RAMP. Costs,</w:t>
      </w:r>
      <w:r w:rsidRPr="00461668" w:rsidR="008C7807">
        <w:rPr>
          <w:i/>
        </w:rPr>
        <w:t xml:space="preserve"> </w:t>
      </w:r>
      <w:r w:rsidRPr="00461668" w:rsidR="00071671">
        <w:rPr>
          <w:i/>
        </w:rPr>
        <w:t>B</w:t>
      </w:r>
      <w:r w:rsidRPr="00461668" w:rsidR="009C553B">
        <w:rPr>
          <w:i/>
        </w:rPr>
        <w:t>enefits, and Benefit-Cost Ratios</w:t>
      </w:r>
      <w:r w:rsidRPr="00461668" w:rsidR="00071671">
        <w:rPr>
          <w:i/>
        </w:rPr>
        <w:t xml:space="preserve"> can be </w:t>
      </w:r>
      <w:r w:rsidRPr="00461668" w:rsidR="008C7807">
        <w:rPr>
          <w:i/>
        </w:rPr>
        <w:t xml:space="preserve">calculated for each Enterprise Portfolio created for a Budget Scenario sensitivity </w:t>
      </w:r>
      <w:r w:rsidRPr="00461668" w:rsidR="008C7807">
        <w:rPr>
          <w:i/>
        </w:rPr>
        <w:lastRenderedPageBreak/>
        <w:t>analysis, and Enterprise Portfolios can be compared to one another.</w:t>
      </w:r>
    </w:p>
    <w:p w:rsidR="008C7807" w:rsidP="001F2AAF" w:rsidRDefault="004E614C" w14:paraId="741E7A05" w14:textId="6DCF4A7D">
      <w:pPr>
        <w:pStyle w:val="ListBullet"/>
        <w:ind w:right="1440"/>
        <w:rPr>
          <w:i/>
        </w:rPr>
      </w:pPr>
      <w:r w:rsidRPr="00461668">
        <w:rPr>
          <w:i/>
        </w:rPr>
        <w:t xml:space="preserve">Risk Mitigation Portfolio: </w:t>
      </w:r>
      <w:r w:rsidRPr="00461668" w:rsidR="2FD1A495">
        <w:rPr>
          <w:i/>
        </w:rPr>
        <w:t>A</w:t>
      </w:r>
      <w:r w:rsidRPr="00461668">
        <w:rPr>
          <w:i/>
        </w:rPr>
        <w:t xml:space="preserve"> collection of one or mor</w:t>
      </w:r>
      <w:r w:rsidRPr="00461668" w:rsidR="0013554D">
        <w:rPr>
          <w:i/>
        </w:rPr>
        <w:t>e</w:t>
      </w:r>
      <w:r w:rsidRPr="00461668">
        <w:rPr>
          <w:i/>
        </w:rPr>
        <w:t xml:space="preserve"> risk </w:t>
      </w:r>
      <w:r w:rsidR="00F4225F">
        <w:rPr>
          <w:i/>
        </w:rPr>
        <w:t>Mitigations/Control Programs</w:t>
      </w:r>
      <w:r w:rsidRPr="00461668" w:rsidR="00F4225F">
        <w:rPr>
          <w:i/>
        </w:rPr>
        <w:t xml:space="preserve"> </w:t>
      </w:r>
      <w:r w:rsidRPr="00461668">
        <w:rPr>
          <w:i/>
        </w:rPr>
        <w:t xml:space="preserve">with a specified </w:t>
      </w:r>
      <w:r w:rsidRPr="00461668" w:rsidR="000E2D21">
        <w:rPr>
          <w:i/>
        </w:rPr>
        <w:t xml:space="preserve">Budget Scenario for reducing the risk of a given enterprise risk. </w:t>
      </w:r>
      <w:r w:rsidRPr="00461668" w:rsidR="007E7EDF">
        <w:rPr>
          <w:i/>
        </w:rPr>
        <w:t>Costs, Benefits, and Benefit-Cost Ratios can be calculated for each Risk Mitigation Portfolio</w:t>
      </w:r>
      <w:r w:rsidRPr="00461668" w:rsidR="00A34766">
        <w:rPr>
          <w:i/>
        </w:rPr>
        <w:t xml:space="preserve"> created for a Budget Scenario sensitivity analysis, and Risk Mitigation Portfolios can be compared to one another.</w:t>
      </w:r>
    </w:p>
    <w:p w:rsidRPr="00461668" w:rsidR="006F43ED" w:rsidP="001F2AAF" w:rsidRDefault="006F43ED" w14:paraId="2F706882" w14:textId="79BC051B">
      <w:pPr>
        <w:pStyle w:val="ListBullet"/>
        <w:ind w:right="1440"/>
        <w:rPr>
          <w:i/>
        </w:rPr>
      </w:pPr>
      <w:r>
        <w:rPr>
          <w:i/>
        </w:rPr>
        <w:t xml:space="preserve">Optimized (Enterprise or Risk Mitigation) Portfolio: A portfolio that is optimized using an optimization model where the objective to be maximized is risk reduction, the constraint is a given budget level in dollars, and the decision variable (i.e., what is selected by the optimization algorithm to </w:t>
      </w:r>
      <w:r w:rsidR="005778A9">
        <w:rPr>
          <w:i/>
        </w:rPr>
        <w:t>maximize the objective function) is whether a given mitigation is included in the portfolio or not.</w:t>
      </w:r>
    </w:p>
    <w:p w:rsidR="00097672" w:rsidP="00097672" w:rsidRDefault="00097672" w14:paraId="62B4D3F4" w14:textId="4D0FC7EC">
      <w:pPr>
        <w:pStyle w:val="Standard"/>
      </w:pPr>
      <w:r>
        <w:t xml:space="preserve">Additionally, the following changes are </w:t>
      </w:r>
      <w:r w:rsidR="00654491">
        <w:t xml:space="preserve">made </w:t>
      </w:r>
      <w:r w:rsidR="007215EA">
        <w:t xml:space="preserve">to the RDF (additions in </w:t>
      </w:r>
      <w:r w:rsidR="007215EA">
        <w:rPr>
          <w:i/>
          <w:iCs/>
        </w:rPr>
        <w:t>italics</w:t>
      </w:r>
      <w:r w:rsidR="007215EA">
        <w:t xml:space="preserve"> and deletions in </w:t>
      </w:r>
      <w:r w:rsidR="007215EA">
        <w:rPr>
          <w:strike/>
        </w:rPr>
        <w:t>strikethrough</w:t>
      </w:r>
      <w:r w:rsidR="007215EA">
        <w:t>):</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05"/>
        <w:gridCol w:w="1800"/>
        <w:gridCol w:w="5925"/>
      </w:tblGrid>
      <w:tr w:rsidRPr="007215EA" w:rsidR="007215EA" w:rsidTr="007215EA" w14:paraId="294EB754" w14:textId="77777777">
        <w:trPr>
          <w:trHeight w:val="300"/>
        </w:trPr>
        <w:tc>
          <w:tcPr>
            <w:tcW w:w="1605" w:type="dxa"/>
            <w:tcBorders>
              <w:top w:val="single" w:color="auto" w:sz="6" w:space="0"/>
              <w:left w:val="single" w:color="auto" w:sz="6" w:space="0"/>
              <w:bottom w:val="single" w:color="auto" w:sz="6" w:space="0"/>
              <w:right w:val="single" w:color="auto" w:sz="6" w:space="0"/>
            </w:tcBorders>
            <w:hideMark/>
          </w:tcPr>
          <w:p w:rsidRPr="006809C2" w:rsidR="007215EA" w:rsidP="006809C2" w:rsidRDefault="007215EA" w14:paraId="3CBB27CF" w14:textId="77777777">
            <w:pPr>
              <w:pStyle w:val="Standard"/>
              <w:spacing w:line="240" w:lineRule="auto"/>
              <w:rPr>
                <w:i/>
                <w:iCs/>
              </w:rPr>
            </w:pPr>
            <w:r w:rsidRPr="006809C2">
              <w:rPr>
                <w:i/>
                <w:iCs/>
              </w:rPr>
              <w:t>25.1 </w:t>
            </w:r>
          </w:p>
        </w:tc>
        <w:tc>
          <w:tcPr>
            <w:tcW w:w="1800" w:type="dxa"/>
            <w:tcBorders>
              <w:top w:val="single" w:color="auto" w:sz="6" w:space="0"/>
              <w:left w:val="single" w:color="auto" w:sz="6" w:space="0"/>
              <w:bottom w:val="single" w:color="auto" w:sz="6" w:space="0"/>
              <w:right w:val="single" w:color="auto" w:sz="6" w:space="0"/>
            </w:tcBorders>
            <w:hideMark/>
          </w:tcPr>
          <w:p w:rsidRPr="006809C2" w:rsidR="007215EA" w:rsidP="005156B5" w:rsidRDefault="00EE5598" w14:paraId="72F30A09" w14:textId="76F0FCC5">
            <w:pPr>
              <w:pStyle w:val="Standard"/>
              <w:spacing w:line="240" w:lineRule="auto"/>
              <w:ind w:firstLine="0"/>
              <w:rPr>
                <w:i/>
                <w:iCs/>
              </w:rPr>
            </w:pPr>
            <w:r>
              <w:rPr>
                <w:i/>
                <w:iCs/>
              </w:rPr>
              <w:t xml:space="preserve">Optimized </w:t>
            </w:r>
            <w:r w:rsidRPr="006809C2" w:rsidR="007215EA">
              <w:rPr>
                <w:i/>
                <w:iCs/>
              </w:rPr>
              <w:t>Enterprise Portfolio </w:t>
            </w:r>
          </w:p>
        </w:tc>
        <w:tc>
          <w:tcPr>
            <w:tcW w:w="5925" w:type="dxa"/>
            <w:tcBorders>
              <w:top w:val="single" w:color="auto" w:sz="6" w:space="0"/>
              <w:left w:val="single" w:color="auto" w:sz="6" w:space="0"/>
              <w:bottom w:val="single" w:color="auto" w:sz="6" w:space="0"/>
              <w:right w:val="single" w:color="auto" w:sz="6" w:space="0"/>
            </w:tcBorders>
            <w:hideMark/>
          </w:tcPr>
          <w:p w:rsidRPr="00217021" w:rsidR="007215EA" w:rsidP="00372303" w:rsidRDefault="007215EA" w14:paraId="70D4F34D" w14:textId="2FB2954A">
            <w:pPr>
              <w:pStyle w:val="TableText"/>
              <w:rPr>
                <w:i/>
              </w:rPr>
            </w:pPr>
            <w:r w:rsidRPr="00217021">
              <w:rPr>
                <w:i/>
              </w:rPr>
              <w:t xml:space="preserve">The utility will construct four </w:t>
            </w:r>
            <w:r w:rsidR="00F4225F">
              <w:rPr>
                <w:i/>
              </w:rPr>
              <w:t xml:space="preserve">Optimized </w:t>
            </w:r>
            <w:r w:rsidRPr="00217021">
              <w:rPr>
                <w:i/>
              </w:rPr>
              <w:t>Enterprise Portfolios with differing Budget Scenarios. The Budget Scenario for the Enterprise Portfolios will be based on the Baseline Cost Forecast. </w:t>
            </w:r>
          </w:p>
          <w:p w:rsidRPr="00217021" w:rsidR="007215EA" w:rsidP="00372303" w:rsidRDefault="007215EA" w14:paraId="3486D0E0" w14:textId="77777777">
            <w:pPr>
              <w:pStyle w:val="TableText"/>
              <w:rPr>
                <w:i/>
              </w:rPr>
            </w:pPr>
            <w:r w:rsidRPr="00217021">
              <w:rPr>
                <w:i/>
              </w:rPr>
              <w:t>The specified four Budget Scenarios will be based on the Baseline Cost Forecast according to the following structure:  </w:t>
            </w:r>
          </w:p>
          <w:p w:rsidRPr="00217021" w:rsidR="007215EA" w:rsidP="00372303" w:rsidRDefault="007215EA" w14:paraId="3307FD9D" w14:textId="77777777">
            <w:pPr>
              <w:pStyle w:val="TableText"/>
              <w:rPr>
                <w:i/>
              </w:rPr>
            </w:pPr>
            <w:r w:rsidRPr="00217021">
              <w:rPr>
                <w:i/>
              </w:rPr>
              <w:t>Scenario 1: eighty-five percent of the Baseline Cost Forecast,  </w:t>
            </w:r>
          </w:p>
          <w:p w:rsidRPr="00217021" w:rsidR="007215EA" w:rsidP="00372303" w:rsidRDefault="007215EA" w14:paraId="54993A83" w14:textId="77777777">
            <w:pPr>
              <w:pStyle w:val="TableText"/>
              <w:rPr>
                <w:i/>
              </w:rPr>
            </w:pPr>
            <w:r w:rsidRPr="00217021">
              <w:rPr>
                <w:i/>
              </w:rPr>
              <w:t>Scenario 2: ninety percent of the Baseline Cost Forecast,  </w:t>
            </w:r>
          </w:p>
          <w:p w:rsidRPr="00217021" w:rsidR="007215EA" w:rsidP="00372303" w:rsidRDefault="007215EA" w14:paraId="1566A290" w14:textId="77777777">
            <w:pPr>
              <w:pStyle w:val="TableText"/>
              <w:rPr>
                <w:i/>
              </w:rPr>
            </w:pPr>
            <w:r w:rsidRPr="00217021">
              <w:rPr>
                <w:i/>
              </w:rPr>
              <w:t>Scenario 3: ninety-five percent of the Baseline Cost Forecast and, </w:t>
            </w:r>
          </w:p>
          <w:p w:rsidRPr="00217021" w:rsidR="007215EA" w:rsidP="00372303" w:rsidRDefault="007215EA" w14:paraId="1D77222A" w14:textId="77777777">
            <w:pPr>
              <w:pStyle w:val="TableText"/>
              <w:rPr>
                <w:i/>
              </w:rPr>
            </w:pPr>
            <w:r w:rsidRPr="00217021">
              <w:rPr>
                <w:i/>
              </w:rPr>
              <w:t>Scenario 4: the Baseline Cost Forecast.  </w:t>
            </w:r>
          </w:p>
          <w:p w:rsidRPr="00217021" w:rsidR="007215EA" w:rsidP="00372303" w:rsidRDefault="007215EA" w14:paraId="7E667368" w14:textId="77777777">
            <w:pPr>
              <w:pStyle w:val="TableText"/>
              <w:rPr>
                <w:i/>
              </w:rPr>
            </w:pPr>
            <w:r w:rsidRPr="00217021">
              <w:rPr>
                <w:i/>
              </w:rPr>
              <w:t> </w:t>
            </w:r>
          </w:p>
          <w:p w:rsidRPr="00217021" w:rsidR="007215EA" w:rsidP="00372303" w:rsidRDefault="007215EA" w14:paraId="5DE245B5" w14:textId="77777777">
            <w:pPr>
              <w:pStyle w:val="TableText"/>
              <w:rPr>
                <w:i/>
              </w:rPr>
            </w:pPr>
            <w:r w:rsidRPr="00217021">
              <w:rPr>
                <w:i/>
              </w:rPr>
              <w:t> </w:t>
            </w:r>
          </w:p>
          <w:p w:rsidR="007215EA" w:rsidP="00372303" w:rsidRDefault="004E7DD1" w14:paraId="06AA7DEE" w14:textId="2F98021F">
            <w:pPr>
              <w:pStyle w:val="TableText"/>
            </w:pPr>
            <w:r>
              <w:rPr>
                <w:i/>
              </w:rPr>
              <w:t xml:space="preserve">Optimized </w:t>
            </w:r>
            <w:r w:rsidRPr="00217021" w:rsidR="00E84391">
              <w:rPr>
                <w:i/>
              </w:rPr>
              <w:t>Enterprise</w:t>
            </w:r>
            <w:r w:rsidRPr="00217021" w:rsidR="007215EA">
              <w:rPr>
                <w:i/>
              </w:rPr>
              <w:t xml:space="preserve"> Portfolios shall </w:t>
            </w:r>
            <w:r w:rsidR="00C93A21">
              <w:rPr>
                <w:i/>
              </w:rPr>
              <w:t>show the Risk</w:t>
            </w:r>
            <w:r w:rsidRPr="00217021" w:rsidR="007215EA">
              <w:rPr>
                <w:i/>
              </w:rPr>
              <w:t xml:space="preserve"> </w:t>
            </w:r>
            <w:r w:rsidR="003E21D2">
              <w:rPr>
                <w:i/>
              </w:rPr>
              <w:t>Mitigation Portfolios that result</w:t>
            </w:r>
            <w:r w:rsidRPr="00217021" w:rsidR="007215EA">
              <w:rPr>
                <w:i/>
              </w:rPr>
              <w:t xml:space="preserve"> for each enterprise risk presented in the RAMP based on the enterprise-level optimization.</w:t>
            </w:r>
            <w:r w:rsidRPr="006809C2" w:rsidR="007215EA">
              <w:t> </w:t>
            </w:r>
          </w:p>
          <w:p w:rsidR="00F209FE" w:rsidP="00372303" w:rsidRDefault="00F209FE" w14:paraId="252DC908" w14:textId="77777777">
            <w:pPr>
              <w:pStyle w:val="TableText"/>
            </w:pPr>
          </w:p>
          <w:p w:rsidRPr="005156B5" w:rsidR="007215EA" w:rsidP="00372303" w:rsidRDefault="00F209FE" w14:paraId="4C991F33" w14:textId="0A1D124C">
            <w:pPr>
              <w:pStyle w:val="TableText"/>
              <w:rPr>
                <w:i/>
              </w:rPr>
            </w:pPr>
            <w:r w:rsidRPr="005156B5">
              <w:rPr>
                <w:i/>
              </w:rPr>
              <w:t>Optimized Enterprise Port</w:t>
            </w:r>
            <w:r w:rsidRPr="005156B5" w:rsidR="00203731">
              <w:rPr>
                <w:i/>
              </w:rPr>
              <w:t>f</w:t>
            </w:r>
            <w:r w:rsidRPr="005156B5">
              <w:rPr>
                <w:i/>
              </w:rPr>
              <w:t>olios shall account for the interrelationships among mitigations and controls, as described in Row 25.2.</w:t>
            </w:r>
          </w:p>
        </w:tc>
      </w:tr>
      <w:tr w:rsidRPr="007215EA" w:rsidR="007215EA" w:rsidTr="007215EA" w14:paraId="4BA893EB" w14:textId="77777777">
        <w:trPr>
          <w:trHeight w:val="300"/>
        </w:trPr>
        <w:tc>
          <w:tcPr>
            <w:tcW w:w="1605" w:type="dxa"/>
            <w:tcBorders>
              <w:top w:val="single" w:color="auto" w:sz="6" w:space="0"/>
              <w:left w:val="single" w:color="auto" w:sz="6" w:space="0"/>
              <w:bottom w:val="single" w:color="auto" w:sz="6" w:space="0"/>
              <w:right w:val="single" w:color="auto" w:sz="6" w:space="0"/>
            </w:tcBorders>
            <w:hideMark/>
          </w:tcPr>
          <w:p w:rsidRPr="006809C2" w:rsidR="007215EA" w:rsidP="007215EA" w:rsidRDefault="007215EA" w14:paraId="4BDBD626" w14:textId="64876AC7">
            <w:pPr>
              <w:pStyle w:val="Standard"/>
              <w:rPr>
                <w:i/>
                <w:iCs/>
              </w:rPr>
            </w:pPr>
            <w:r w:rsidRPr="006809C2">
              <w:rPr>
                <w:i/>
                <w:iCs/>
              </w:rPr>
              <w:t>25.2</w:t>
            </w:r>
          </w:p>
        </w:tc>
        <w:tc>
          <w:tcPr>
            <w:tcW w:w="1800" w:type="dxa"/>
            <w:tcBorders>
              <w:top w:val="single" w:color="auto" w:sz="6" w:space="0"/>
              <w:left w:val="single" w:color="auto" w:sz="6" w:space="0"/>
              <w:bottom w:val="single" w:color="auto" w:sz="6" w:space="0"/>
              <w:right w:val="single" w:color="auto" w:sz="6" w:space="0"/>
            </w:tcBorders>
            <w:hideMark/>
          </w:tcPr>
          <w:p w:rsidRPr="006809C2" w:rsidR="007215EA" w:rsidP="005156B5" w:rsidRDefault="00203731" w14:paraId="4BB35854" w14:textId="2CD3FF83">
            <w:pPr>
              <w:pStyle w:val="Standard"/>
              <w:spacing w:line="240" w:lineRule="auto"/>
              <w:ind w:firstLine="0"/>
              <w:rPr>
                <w:i/>
                <w:iCs/>
              </w:rPr>
            </w:pPr>
            <w:r>
              <w:rPr>
                <w:i/>
                <w:iCs/>
              </w:rPr>
              <w:t xml:space="preserve">Optimized </w:t>
            </w:r>
            <w:r w:rsidRPr="006809C2" w:rsidR="007215EA">
              <w:rPr>
                <w:i/>
                <w:iCs/>
              </w:rPr>
              <w:t>Risk Mitigations Portfolios </w:t>
            </w:r>
          </w:p>
        </w:tc>
        <w:tc>
          <w:tcPr>
            <w:tcW w:w="5925" w:type="dxa"/>
            <w:tcBorders>
              <w:top w:val="single" w:color="auto" w:sz="6" w:space="0"/>
              <w:left w:val="single" w:color="auto" w:sz="6" w:space="0"/>
              <w:bottom w:val="single" w:color="auto" w:sz="6" w:space="0"/>
              <w:right w:val="single" w:color="auto" w:sz="6" w:space="0"/>
            </w:tcBorders>
            <w:hideMark/>
          </w:tcPr>
          <w:p w:rsidRPr="00217021" w:rsidR="007215EA" w:rsidP="00372303" w:rsidRDefault="006626FF" w14:paraId="3A507744" w14:textId="272BC340">
            <w:pPr>
              <w:pStyle w:val="TableText"/>
              <w:rPr>
                <w:i/>
              </w:rPr>
            </w:pPr>
            <w:r>
              <w:rPr>
                <w:i/>
              </w:rPr>
              <w:t xml:space="preserve">In addition to the </w:t>
            </w:r>
            <w:r w:rsidR="00002745">
              <w:rPr>
                <w:i/>
              </w:rPr>
              <w:t>Optimized Enterprise Portfolios required by Row 25.1</w:t>
            </w:r>
            <w:r w:rsidR="00006BD1">
              <w:rPr>
                <w:i/>
              </w:rPr>
              <w:t>, utilities</w:t>
            </w:r>
            <w:r w:rsidRPr="00217021">
              <w:rPr>
                <w:i/>
              </w:rPr>
              <w:t xml:space="preserve"> </w:t>
            </w:r>
            <w:r w:rsidR="00006BD1">
              <w:rPr>
                <w:i/>
              </w:rPr>
              <w:t>may</w:t>
            </w:r>
            <w:r w:rsidRPr="00217021" w:rsidR="00006BD1">
              <w:rPr>
                <w:i/>
              </w:rPr>
              <w:t xml:space="preserve"> </w:t>
            </w:r>
            <w:r w:rsidRPr="00217021" w:rsidR="007215EA">
              <w:rPr>
                <w:i/>
              </w:rPr>
              <w:t xml:space="preserve">construct </w:t>
            </w:r>
            <w:r w:rsidR="009935EB">
              <w:rPr>
                <w:i/>
              </w:rPr>
              <w:t>Optimized Risk Mitigation</w:t>
            </w:r>
            <w:r w:rsidR="005852F0">
              <w:rPr>
                <w:i/>
              </w:rPr>
              <w:t xml:space="preserve"> Portfolios</w:t>
            </w:r>
            <w:r w:rsidRPr="00217021" w:rsidR="007215EA">
              <w:rPr>
                <w:i/>
              </w:rPr>
              <w:t xml:space="preserve"> for each Risk as identified in Row 8 with a specified Budget Scenario</w:t>
            </w:r>
            <w:r w:rsidR="00761CD7">
              <w:rPr>
                <w:i/>
              </w:rPr>
              <w:t xml:space="preserve"> based</w:t>
            </w:r>
            <w:r w:rsidR="005F72A9">
              <w:rPr>
                <w:i/>
              </w:rPr>
              <w:t xml:space="preserve"> on a different allocation of costs among risks</w:t>
            </w:r>
            <w:r w:rsidR="00246BEA">
              <w:rPr>
                <w:i/>
              </w:rPr>
              <w:t xml:space="preserve"> than result</w:t>
            </w:r>
            <w:r w:rsidR="0039656B">
              <w:rPr>
                <w:i/>
              </w:rPr>
              <w:t xml:space="preserve"> under the corresponding Optimized Enterprise </w:t>
            </w:r>
            <w:r w:rsidR="0039656B">
              <w:rPr>
                <w:i/>
              </w:rPr>
              <w:lastRenderedPageBreak/>
              <w:t>Portfolio</w:t>
            </w:r>
            <w:r w:rsidR="00F44683">
              <w:rPr>
                <w:i/>
              </w:rPr>
              <w:t>. For each of Scenarios 1 through 4</w:t>
            </w:r>
            <w:r w:rsidR="007D0D4A">
              <w:rPr>
                <w:i/>
              </w:rPr>
              <w:t xml:space="preserve"> in Row 25.1</w:t>
            </w:r>
            <w:r w:rsidR="00C84524">
              <w:rPr>
                <w:i/>
              </w:rPr>
              <w:t>,</w:t>
            </w:r>
            <w:r w:rsidR="00346862">
              <w:rPr>
                <w:i/>
              </w:rPr>
              <w:t xml:space="preserve"> the</w:t>
            </w:r>
            <w:r w:rsidRPr="00217021" w:rsidR="007215EA">
              <w:rPr>
                <w:i/>
              </w:rPr>
              <w:t xml:space="preserve"> Budget Scenario for each </w:t>
            </w:r>
            <w:r w:rsidR="00AE3D18">
              <w:rPr>
                <w:i/>
              </w:rPr>
              <w:t>Optimized</w:t>
            </w:r>
            <w:r w:rsidRPr="00217021" w:rsidR="007215EA">
              <w:rPr>
                <w:i/>
              </w:rPr>
              <w:t xml:space="preserve"> Risk Mitigation Portfolio will be some proportion</w:t>
            </w:r>
            <w:r w:rsidR="00A95095">
              <w:rPr>
                <w:i/>
              </w:rPr>
              <w:t xml:space="preserve"> </w:t>
            </w:r>
            <w:r w:rsidRPr="00854341" w:rsidR="00A95095">
              <w:rPr>
                <w:i/>
              </w:rPr>
              <w:t>chosen by the utility</w:t>
            </w:r>
            <w:r w:rsidRPr="00217021" w:rsidR="007215EA">
              <w:rPr>
                <w:i/>
              </w:rPr>
              <w:t xml:space="preserve"> of the Enterprise Portfolio Budget Scenario. The utility shall justify why the proportion of the Enterprise Portfolio Budget Scenario was chosen for each </w:t>
            </w:r>
            <w:r w:rsidRPr="00854341" w:rsidR="00D969F9">
              <w:rPr>
                <w:i/>
              </w:rPr>
              <w:t>Optimized</w:t>
            </w:r>
            <w:r w:rsidR="00D969F9">
              <w:rPr>
                <w:i/>
              </w:rPr>
              <w:t xml:space="preserve"> </w:t>
            </w:r>
            <w:r w:rsidRPr="00217021" w:rsidR="007215EA">
              <w:rPr>
                <w:i/>
              </w:rPr>
              <w:t>Risk Mitigation Portfolio. </w:t>
            </w:r>
          </w:p>
          <w:p w:rsidRPr="00217021" w:rsidR="007215EA" w:rsidP="00372303" w:rsidRDefault="007215EA" w14:paraId="3BFC42FF" w14:textId="77777777">
            <w:pPr>
              <w:pStyle w:val="TableText"/>
              <w:rPr>
                <w:i/>
              </w:rPr>
            </w:pPr>
            <w:r w:rsidRPr="00217021">
              <w:rPr>
                <w:i/>
              </w:rPr>
              <w:t> </w:t>
            </w:r>
          </w:p>
          <w:p w:rsidRPr="00217021" w:rsidR="007215EA" w:rsidP="00372303" w:rsidRDefault="007215EA" w14:paraId="57A2FB90" w14:textId="54EE295E">
            <w:pPr>
              <w:pStyle w:val="TableText"/>
              <w:rPr>
                <w:i/>
              </w:rPr>
            </w:pPr>
            <w:r w:rsidRPr="00217021">
              <w:rPr>
                <w:i/>
              </w:rPr>
              <w:t xml:space="preserve">Mitigations </w:t>
            </w:r>
            <w:r w:rsidR="00FD074E">
              <w:rPr>
                <w:i/>
              </w:rPr>
              <w:t xml:space="preserve">and Controls </w:t>
            </w:r>
            <w:r w:rsidRPr="00217021">
              <w:rPr>
                <w:i/>
              </w:rPr>
              <w:t xml:space="preserve">in each </w:t>
            </w:r>
            <w:r w:rsidR="00FD074E">
              <w:rPr>
                <w:i/>
              </w:rPr>
              <w:t>Optimized</w:t>
            </w:r>
            <w:r w:rsidRPr="00217021">
              <w:rPr>
                <w:i/>
              </w:rPr>
              <w:t xml:space="preserve"> Risk Mitigation Portfolio </w:t>
            </w:r>
            <w:r w:rsidR="00E50E2F">
              <w:rPr>
                <w:i/>
              </w:rPr>
              <w:t>shall</w:t>
            </w:r>
            <w:r w:rsidRPr="00217021" w:rsidR="00E50E2F">
              <w:rPr>
                <w:i/>
              </w:rPr>
              <w:t xml:space="preserve"> </w:t>
            </w:r>
            <w:r w:rsidRPr="00217021">
              <w:rPr>
                <w:i/>
              </w:rPr>
              <w:t>account for interrelationships between them, such as mutual exclusivity, synergies, and diminishing returns. </w:t>
            </w:r>
          </w:p>
          <w:p w:rsidRPr="00217021" w:rsidR="007215EA" w:rsidP="00372303" w:rsidRDefault="007215EA" w14:paraId="2299B5BB" w14:textId="4FB5E10D">
            <w:pPr>
              <w:pStyle w:val="TableText"/>
              <w:rPr>
                <w:i/>
              </w:rPr>
            </w:pPr>
            <w:r w:rsidRPr="00217021">
              <w:rPr>
                <w:i/>
              </w:rPr>
              <w:t xml:space="preserve">Mutually exclusive </w:t>
            </w:r>
            <w:r w:rsidR="00E50E2F">
              <w:rPr>
                <w:i/>
              </w:rPr>
              <w:t>Mitigations and Controls</w:t>
            </w:r>
            <w:r w:rsidRPr="00217021" w:rsidR="00E50E2F">
              <w:rPr>
                <w:i/>
              </w:rPr>
              <w:t xml:space="preserve"> </w:t>
            </w:r>
            <w:r w:rsidRPr="00217021">
              <w:rPr>
                <w:i/>
              </w:rPr>
              <w:t>must be avoided, only one or the other can address the same asset or system that exhibits risk in the same portfolio. </w:t>
            </w:r>
          </w:p>
          <w:p w:rsidRPr="00217021" w:rsidR="007215EA" w:rsidP="00372303" w:rsidRDefault="007215EA" w14:paraId="7DDD886B" w14:textId="0F878AC4">
            <w:pPr>
              <w:pStyle w:val="TableText"/>
              <w:rPr>
                <w:i/>
              </w:rPr>
            </w:pPr>
            <w:r w:rsidRPr="00217021">
              <w:rPr>
                <w:i/>
              </w:rPr>
              <w:t xml:space="preserve">Synergies and diminishing returns can be captured by combining two or more mitigations to address risk on a given asset or system, called a Mitigation Group. Synergies or diminishing returns can be calculated for the </w:t>
            </w:r>
            <w:r w:rsidR="00E50E2F">
              <w:rPr>
                <w:i/>
              </w:rPr>
              <w:t>Mitigation Group</w:t>
            </w:r>
            <w:r w:rsidRPr="00217021">
              <w:rPr>
                <w:i/>
              </w:rPr>
              <w:t>. </w:t>
            </w:r>
          </w:p>
          <w:p w:rsidRPr="00217021" w:rsidR="007215EA" w:rsidP="00372303" w:rsidRDefault="007215EA" w14:paraId="36C767A2" w14:textId="77777777">
            <w:pPr>
              <w:pStyle w:val="TableText"/>
              <w:rPr>
                <w:i/>
              </w:rPr>
            </w:pPr>
            <w:r w:rsidRPr="00217021">
              <w:rPr>
                <w:i/>
              </w:rPr>
              <w:t> </w:t>
            </w:r>
          </w:p>
          <w:p w:rsidRPr="00217021" w:rsidR="007215EA" w:rsidP="00372303" w:rsidRDefault="007215EA" w14:paraId="1ADF87F2" w14:textId="77777777">
            <w:pPr>
              <w:pStyle w:val="TableText"/>
              <w:rPr>
                <w:i/>
              </w:rPr>
            </w:pPr>
            <w:r w:rsidRPr="00217021">
              <w:rPr>
                <w:i/>
              </w:rPr>
              <w:t>For example, a wildfire mitigation portfolio could include for a given circuit segment: covered conductor as a mitigation, vegetation management as a mitigation, or covered conductor with vegetation management as a mitigation—but not covered conductor and vegetation management as separate mitigations since their benefits are not additive (re: may exhibit diminishing returns). </w:t>
            </w:r>
          </w:p>
          <w:p w:rsidRPr="00217021" w:rsidR="007215EA" w:rsidP="00372303" w:rsidRDefault="007215EA" w14:paraId="0C6F1D71" w14:textId="77777777">
            <w:pPr>
              <w:pStyle w:val="TableText"/>
              <w:rPr>
                <w:i/>
              </w:rPr>
            </w:pPr>
            <w:r w:rsidRPr="00217021">
              <w:rPr>
                <w:i/>
              </w:rPr>
              <w:t> </w:t>
            </w:r>
          </w:p>
          <w:p w:rsidRPr="00217021" w:rsidR="007215EA" w:rsidP="00372303" w:rsidRDefault="007215EA" w14:paraId="1DC93951" w14:textId="77777777">
            <w:pPr>
              <w:pStyle w:val="TableText"/>
              <w:rPr>
                <w:i/>
              </w:rPr>
            </w:pPr>
            <w:r w:rsidRPr="00217021">
              <w:rPr>
                <w:i/>
              </w:rPr>
              <w:t> </w:t>
            </w:r>
          </w:p>
        </w:tc>
      </w:tr>
      <w:tr w:rsidRPr="007215EA" w:rsidR="007215EA" w:rsidTr="007215EA" w14:paraId="76B15EB5" w14:textId="77777777">
        <w:trPr>
          <w:trHeight w:val="300"/>
        </w:trPr>
        <w:tc>
          <w:tcPr>
            <w:tcW w:w="1605" w:type="dxa"/>
            <w:tcBorders>
              <w:top w:val="single" w:color="auto" w:sz="6" w:space="0"/>
              <w:left w:val="single" w:color="auto" w:sz="6" w:space="0"/>
              <w:bottom w:val="single" w:color="auto" w:sz="6" w:space="0"/>
              <w:right w:val="single" w:color="auto" w:sz="6" w:space="0"/>
            </w:tcBorders>
            <w:hideMark/>
          </w:tcPr>
          <w:p w:rsidRPr="008A1955" w:rsidR="007215EA" w:rsidP="006809C2" w:rsidRDefault="007215EA" w14:paraId="1D3F80C1" w14:textId="77777777">
            <w:pPr>
              <w:pStyle w:val="Standard"/>
              <w:spacing w:line="240" w:lineRule="auto"/>
              <w:jc w:val="both"/>
            </w:pPr>
            <w:r w:rsidRPr="008A1955">
              <w:lastRenderedPageBreak/>
              <w:t>26 </w:t>
            </w:r>
          </w:p>
        </w:tc>
        <w:tc>
          <w:tcPr>
            <w:tcW w:w="1800" w:type="dxa"/>
            <w:tcBorders>
              <w:top w:val="single" w:color="auto" w:sz="6" w:space="0"/>
              <w:left w:val="single" w:color="auto" w:sz="6" w:space="0"/>
              <w:bottom w:val="single" w:color="auto" w:sz="6" w:space="0"/>
              <w:right w:val="single" w:color="auto" w:sz="6" w:space="0"/>
            </w:tcBorders>
            <w:hideMark/>
          </w:tcPr>
          <w:p w:rsidRPr="00217021" w:rsidR="007215EA" w:rsidP="00372303" w:rsidRDefault="007215EA" w14:paraId="283B328C" w14:textId="77777777">
            <w:pPr>
              <w:pStyle w:val="TableText"/>
              <w:rPr>
                <w:szCs w:val="26"/>
              </w:rPr>
            </w:pPr>
            <w:r w:rsidRPr="00372303">
              <w:rPr>
                <w:i/>
                <w:sz w:val="26"/>
                <w:szCs w:val="26"/>
              </w:rPr>
              <w:t>Portfolio and</w:t>
            </w:r>
            <w:r w:rsidRPr="00372303">
              <w:rPr>
                <w:sz w:val="26"/>
                <w:szCs w:val="26"/>
              </w:rPr>
              <w:t xml:space="preserve"> Mitigation Strategy Presentation in the RAMP and GRC </w:t>
            </w:r>
          </w:p>
        </w:tc>
        <w:tc>
          <w:tcPr>
            <w:tcW w:w="5925" w:type="dxa"/>
            <w:tcBorders>
              <w:top w:val="single" w:color="auto" w:sz="6" w:space="0"/>
              <w:left w:val="single" w:color="auto" w:sz="6" w:space="0"/>
              <w:bottom w:val="single" w:color="auto" w:sz="6" w:space="0"/>
              <w:right w:val="single" w:color="auto" w:sz="6" w:space="0"/>
            </w:tcBorders>
            <w:hideMark/>
          </w:tcPr>
          <w:p w:rsidRPr="008A1955" w:rsidR="007215EA" w:rsidP="00372303" w:rsidRDefault="007215EA" w14:paraId="12D27BC6" w14:textId="6EA57D2F">
            <w:pPr>
              <w:pStyle w:val="TableText"/>
            </w:pPr>
            <w:r w:rsidRPr="008A1955">
              <w:t>The utility’s RAMP filing will provide a ranking of all RAMP Mitigation</w:t>
            </w:r>
            <w:r w:rsidRPr="00461668">
              <w:rPr>
                <w:strike/>
              </w:rPr>
              <w:t>s</w:t>
            </w:r>
            <w:r w:rsidRPr="006809C2">
              <w:t xml:space="preserve"> </w:t>
            </w:r>
            <w:r w:rsidRPr="006809C2">
              <w:rPr>
                <w:i/>
                <w:iCs/>
              </w:rPr>
              <w:t>and Control</w:t>
            </w:r>
            <w:r w:rsidR="0063144F">
              <w:rPr>
                <w:i/>
                <w:iCs/>
              </w:rPr>
              <w:t xml:space="preserve"> </w:t>
            </w:r>
            <w:r w:rsidR="00037167">
              <w:rPr>
                <w:i/>
                <w:iCs/>
              </w:rPr>
              <w:t>Programs</w:t>
            </w:r>
            <w:r w:rsidRPr="008A1955">
              <w:t xml:space="preserve"> by </w:t>
            </w:r>
            <w:r w:rsidRPr="006809C2">
              <w:rPr>
                <w:strike/>
              </w:rPr>
              <w:t>Cost-</w:t>
            </w:r>
            <w:r w:rsidRPr="008A1955">
              <w:t>Benefit</w:t>
            </w:r>
            <w:r w:rsidRPr="006809C2">
              <w:t>-</w:t>
            </w:r>
            <w:r w:rsidRPr="006809C2">
              <w:rPr>
                <w:i/>
                <w:iCs/>
              </w:rPr>
              <w:t xml:space="preserve">Cost </w:t>
            </w:r>
            <w:r w:rsidRPr="006809C2">
              <w:rPr>
                <w:strike/>
              </w:rPr>
              <w:t>r</w:t>
            </w:r>
            <w:r w:rsidRPr="006809C2">
              <w:rPr>
                <w:i/>
                <w:iCs/>
              </w:rPr>
              <w:t>R</w:t>
            </w:r>
            <w:r w:rsidRPr="008A1955">
              <w:t>atios.</w:t>
            </w:r>
            <w:r w:rsidRPr="006809C2">
              <w:t xml:space="preserve"> </w:t>
            </w:r>
            <w:r w:rsidRPr="006809C2">
              <w:rPr>
                <w:i/>
                <w:iCs/>
              </w:rPr>
              <w:t>The utility’s RAMP filing will include a dataset of Risk Reporting Units for each Mitigation and Control Program and rank each Risk Reporting Unit by Benefit-Cost Ratio. Additionally, the utility must present the set of </w:t>
            </w:r>
            <w:r w:rsidR="00002D69">
              <w:rPr>
                <w:i/>
                <w:iCs/>
              </w:rPr>
              <w:t xml:space="preserve">Optimized </w:t>
            </w:r>
            <w:r w:rsidRPr="006809C2">
              <w:rPr>
                <w:i/>
                <w:iCs/>
              </w:rPr>
              <w:t xml:space="preserve">Enterprise Portfolios required by Row 25.1 and </w:t>
            </w:r>
            <w:r w:rsidR="00CC147E">
              <w:rPr>
                <w:i/>
                <w:iCs/>
              </w:rPr>
              <w:t>may present</w:t>
            </w:r>
            <w:r w:rsidRPr="006809C2" w:rsidR="00CC147E">
              <w:rPr>
                <w:i/>
                <w:iCs/>
              </w:rPr>
              <w:t xml:space="preserve"> </w:t>
            </w:r>
            <w:r w:rsidR="00C850A4">
              <w:rPr>
                <w:i/>
                <w:iCs/>
              </w:rPr>
              <w:t>an alternative</w:t>
            </w:r>
            <w:r w:rsidRPr="006809C2" w:rsidR="00CC147E">
              <w:rPr>
                <w:i/>
                <w:iCs/>
              </w:rPr>
              <w:t xml:space="preserve"> </w:t>
            </w:r>
            <w:r w:rsidRPr="006809C2">
              <w:rPr>
                <w:i/>
                <w:iCs/>
              </w:rPr>
              <w:t xml:space="preserve">set of </w:t>
            </w:r>
            <w:r w:rsidR="0080327E">
              <w:rPr>
                <w:i/>
                <w:iCs/>
              </w:rPr>
              <w:t xml:space="preserve">Optimized </w:t>
            </w:r>
            <w:r w:rsidRPr="006809C2">
              <w:rPr>
                <w:i/>
                <w:iCs/>
              </w:rPr>
              <w:t xml:space="preserve">Risk Mitigation Portfolios within each Enterprise Portfolio </w:t>
            </w:r>
            <w:r w:rsidR="00DC3B8F">
              <w:rPr>
                <w:i/>
                <w:iCs/>
              </w:rPr>
              <w:t>in accordance with</w:t>
            </w:r>
            <w:r w:rsidRPr="006809C2">
              <w:rPr>
                <w:i/>
                <w:iCs/>
              </w:rPr>
              <w:t xml:space="preserve"> Row 25.2.</w:t>
            </w:r>
            <w:r w:rsidR="003B3140">
              <w:rPr>
                <w:i/>
                <w:iCs/>
              </w:rPr>
              <w:t xml:space="preserve"> </w:t>
            </w:r>
            <w:r w:rsidRPr="006809C2">
              <w:rPr>
                <w:i/>
                <w:iCs/>
              </w:rPr>
              <w:t>Mitigation</w:t>
            </w:r>
            <w:r w:rsidR="00DC3B8F">
              <w:rPr>
                <w:i/>
                <w:iCs/>
              </w:rPr>
              <w:t>/Control</w:t>
            </w:r>
            <w:r w:rsidRPr="006809C2">
              <w:rPr>
                <w:i/>
                <w:iCs/>
              </w:rPr>
              <w:t xml:space="preserve"> Groups defined in Row 25.2 can also be ranked within each portfolio. The utility must justify the portfolio selection, optimization, and structure of Mitigation</w:t>
            </w:r>
            <w:r w:rsidR="00A705A0">
              <w:rPr>
                <w:i/>
                <w:iCs/>
              </w:rPr>
              <w:t>/Control</w:t>
            </w:r>
            <w:r w:rsidRPr="006809C2">
              <w:rPr>
                <w:i/>
                <w:iCs/>
              </w:rPr>
              <w:t xml:space="preserve"> Groups.</w:t>
            </w:r>
            <w:r w:rsidRPr="006809C2">
              <w:t> </w:t>
            </w:r>
            <w:r w:rsidRPr="008A1955">
              <w:t> </w:t>
            </w:r>
          </w:p>
          <w:p w:rsidRPr="008A1955" w:rsidR="007215EA" w:rsidP="006809C2" w:rsidRDefault="007215EA" w14:paraId="2FE314DA" w14:textId="77777777">
            <w:pPr>
              <w:pStyle w:val="Standard"/>
              <w:spacing w:line="240" w:lineRule="auto"/>
            </w:pPr>
            <w:r w:rsidRPr="008A1955">
              <w:t> </w:t>
            </w:r>
          </w:p>
          <w:p w:rsidRPr="008A1955" w:rsidR="007215EA" w:rsidP="00372303" w:rsidRDefault="007215EA" w14:paraId="35A3C956" w14:textId="38F079C8">
            <w:pPr>
              <w:pStyle w:val="TableText"/>
            </w:pPr>
            <w:r w:rsidRPr="008A1955">
              <w:t>In the GRC, the utility will provide a ranking of Mitigation</w:t>
            </w:r>
            <w:r w:rsidRPr="00461668">
              <w:rPr>
                <w:strike/>
              </w:rPr>
              <w:t>s</w:t>
            </w:r>
            <w:r w:rsidRPr="008A1955">
              <w:t xml:space="preserve"> </w:t>
            </w:r>
            <w:r w:rsidRPr="00461668" w:rsidR="00174041">
              <w:rPr>
                <w:i/>
                <w:iCs/>
              </w:rPr>
              <w:t>and Control Programs</w:t>
            </w:r>
            <w:r w:rsidR="00174041">
              <w:t xml:space="preserve"> </w:t>
            </w:r>
            <w:r w:rsidRPr="008A1955">
              <w:t xml:space="preserve">by </w:t>
            </w:r>
            <w:r w:rsidRPr="006809C2">
              <w:rPr>
                <w:strike/>
              </w:rPr>
              <w:t>Cost-</w:t>
            </w:r>
            <w:r w:rsidRPr="008A1955">
              <w:t>Benefit</w:t>
            </w:r>
            <w:r w:rsidRPr="006809C2">
              <w:rPr>
                <w:i/>
                <w:iCs/>
              </w:rPr>
              <w:t>-Cost</w:t>
            </w:r>
            <w:r w:rsidRPr="008A1955">
              <w:t xml:space="preserve"> Ratios, as follows: </w:t>
            </w:r>
            <w:r w:rsidRPr="006809C2">
              <w:rPr>
                <w:i/>
                <w:iCs/>
              </w:rPr>
              <w:t xml:space="preserve">(1) For any dataset of Risk Reporting Units submitted with the RAMP, the utility will provide an update of the dataset, if any is required, and provide an explanation of any differences from its </w:t>
            </w:r>
            <w:r w:rsidRPr="006809C2">
              <w:rPr>
                <w:i/>
                <w:iCs/>
              </w:rPr>
              <w:lastRenderedPageBreak/>
              <w:t>RAMP filing and a justification for why the dataset from the RAMP filing required to be updated;</w:t>
            </w:r>
            <w:r w:rsidRPr="008A1955">
              <w:t xml:space="preserve"> (</w:t>
            </w:r>
            <w:r w:rsidRPr="006809C2" w:rsidR="00497E92">
              <w:rPr>
                <w:strike/>
              </w:rPr>
              <w:t>1</w:t>
            </w:r>
            <w:r w:rsidRPr="006809C2">
              <w:rPr>
                <w:i/>
                <w:iCs/>
              </w:rPr>
              <w:t>2</w:t>
            </w:r>
            <w:r w:rsidRPr="008A1955">
              <w:t>) For Mitigation</w:t>
            </w:r>
            <w:r w:rsidRPr="006809C2">
              <w:rPr>
                <w:strike/>
              </w:rPr>
              <w:t>s</w:t>
            </w:r>
            <w:r w:rsidRPr="008A1955">
              <w:t xml:space="preserve"> </w:t>
            </w:r>
            <w:r w:rsidRPr="006809C2">
              <w:rPr>
                <w:i/>
                <w:iCs/>
              </w:rPr>
              <w:t xml:space="preserve">and Control Programs </w:t>
            </w:r>
            <w:r w:rsidRPr="008A1955">
              <w:t xml:space="preserve">addressed in the RAMP, the utility will use risk reduction estimates, including any updates, and updated costs to calculate </w:t>
            </w:r>
            <w:r w:rsidRPr="006809C2">
              <w:rPr>
                <w:strike/>
              </w:rPr>
              <w:t>Cost-</w:t>
            </w:r>
            <w:r w:rsidRPr="008A1955">
              <w:t>Benefit</w:t>
            </w:r>
            <w:r w:rsidRPr="006809C2">
              <w:rPr>
                <w:i/>
                <w:iCs/>
              </w:rPr>
              <w:t>-Cost</w:t>
            </w:r>
            <w:r w:rsidRPr="008A1955">
              <w:t xml:space="preserve"> Ratios and explain any differences from its RAMP filing; (</w:t>
            </w:r>
            <w:r w:rsidRPr="006809C2">
              <w:rPr>
                <w:strike/>
              </w:rPr>
              <w:t>2</w:t>
            </w:r>
            <w:r w:rsidRPr="006809C2">
              <w:t>3</w:t>
            </w:r>
            <w:r w:rsidRPr="008A1955">
              <w:t xml:space="preserve">) For Mitigations </w:t>
            </w:r>
            <w:r w:rsidRPr="006809C2">
              <w:rPr>
                <w:i/>
                <w:iCs/>
              </w:rPr>
              <w:t xml:space="preserve">and Control Programs </w:t>
            </w:r>
            <w:r w:rsidRPr="008A1955">
              <w:t xml:space="preserve">that require Step 3 analysis under and consistent with Row 28, the utility will include the </w:t>
            </w:r>
            <w:r w:rsidRPr="006809C2">
              <w:rPr>
                <w:strike/>
              </w:rPr>
              <w:t>Cost-</w:t>
            </w:r>
            <w:r w:rsidRPr="008A1955">
              <w:t>Benefit</w:t>
            </w:r>
            <w:r w:rsidRPr="006809C2">
              <w:rPr>
                <w:i/>
                <w:iCs/>
              </w:rPr>
              <w:t>-Cost</w:t>
            </w:r>
            <w:r w:rsidRPr="008A1955">
              <w:t xml:space="preserve"> Ratios, calculated in accordance with Step 3, in the ranking of Mitigations by </w:t>
            </w:r>
            <w:r w:rsidRPr="006809C2">
              <w:rPr>
                <w:strike/>
              </w:rPr>
              <w:t>Cost-</w:t>
            </w:r>
            <w:r w:rsidRPr="008A1955">
              <w:t>Benefit</w:t>
            </w:r>
            <w:r w:rsidRPr="006809C2">
              <w:rPr>
                <w:i/>
                <w:iCs/>
              </w:rPr>
              <w:t>-Cost</w:t>
            </w:r>
            <w:r w:rsidRPr="008A1955">
              <w:t xml:space="preserve"> Ratios. </w:t>
            </w:r>
            <w:r w:rsidRPr="006809C2">
              <w:rPr>
                <w:i/>
                <w:iCs/>
              </w:rPr>
              <w:t xml:space="preserve">In the GRC, the utility will provide an updated presentation of the set of </w:t>
            </w:r>
            <w:r w:rsidR="00CB38C5">
              <w:rPr>
                <w:i/>
                <w:iCs/>
              </w:rPr>
              <w:t>Optimized</w:t>
            </w:r>
            <w:r w:rsidRPr="006809C2">
              <w:rPr>
                <w:i/>
                <w:iCs/>
              </w:rPr>
              <w:t xml:space="preserve"> Enterprise Portfolios required by Row 25.1 and the </w:t>
            </w:r>
            <w:r w:rsidR="00B80D8E">
              <w:rPr>
                <w:i/>
                <w:iCs/>
              </w:rPr>
              <w:t xml:space="preserve">optional </w:t>
            </w:r>
            <w:r w:rsidRPr="006809C2">
              <w:rPr>
                <w:i/>
                <w:iCs/>
              </w:rPr>
              <w:t xml:space="preserve">set of </w:t>
            </w:r>
            <w:r w:rsidR="00B80D8E">
              <w:rPr>
                <w:i/>
                <w:iCs/>
              </w:rPr>
              <w:t>Optimized</w:t>
            </w:r>
            <w:r w:rsidRPr="006809C2">
              <w:rPr>
                <w:i/>
                <w:iCs/>
              </w:rPr>
              <w:t xml:space="preserve"> Risk Mitigation Portfolios within each Enterprise Portfolio </w:t>
            </w:r>
            <w:r w:rsidR="006A225F">
              <w:rPr>
                <w:i/>
                <w:iCs/>
              </w:rPr>
              <w:t>in accordance with</w:t>
            </w:r>
            <w:r w:rsidRPr="006809C2">
              <w:rPr>
                <w:i/>
                <w:iCs/>
              </w:rPr>
              <w:t xml:space="preserve"> Row 25.2 if an update is necessary. Any differences in these </w:t>
            </w:r>
            <w:r w:rsidR="001754BA">
              <w:rPr>
                <w:i/>
                <w:iCs/>
              </w:rPr>
              <w:t>Optimized Portfolios</w:t>
            </w:r>
            <w:r w:rsidRPr="006809C2">
              <w:rPr>
                <w:i/>
                <w:iCs/>
              </w:rPr>
              <w:t xml:space="preserve"> from the RAMP filing must be clearly explained by the utility in its GRC filing.</w:t>
            </w:r>
            <w:r w:rsidRPr="006809C2">
              <w:t> </w:t>
            </w:r>
            <w:r w:rsidRPr="008A1955">
              <w:t> </w:t>
            </w:r>
          </w:p>
          <w:p w:rsidRPr="008A1955" w:rsidR="007215EA" w:rsidP="006809C2" w:rsidRDefault="007215EA" w14:paraId="676FAF6C" w14:textId="65BA9697">
            <w:pPr>
              <w:pStyle w:val="Standard"/>
              <w:spacing w:line="240" w:lineRule="auto"/>
            </w:pPr>
            <w:r w:rsidRPr="008A1955">
              <w:t> </w:t>
            </w:r>
          </w:p>
          <w:p w:rsidRPr="008A1955" w:rsidR="007215EA" w:rsidP="00372303" w:rsidRDefault="007215EA" w14:paraId="42A9B181" w14:textId="77777777">
            <w:pPr>
              <w:pStyle w:val="TableText"/>
            </w:pPr>
            <w:r w:rsidRPr="008A1955">
              <w:t>In the RAMP and GRC, the utility will clearly and transparently explain its rationale for selecting Mitigation</w:t>
            </w:r>
            <w:r w:rsidRPr="006809C2">
              <w:rPr>
                <w:strike/>
              </w:rPr>
              <w:t>s</w:t>
            </w:r>
            <w:r w:rsidRPr="008A1955">
              <w:t xml:space="preserve"> </w:t>
            </w:r>
            <w:r w:rsidRPr="006809C2">
              <w:rPr>
                <w:i/>
                <w:iCs/>
              </w:rPr>
              <w:t>and Control Programs</w:t>
            </w:r>
            <w:r w:rsidRPr="008A1955">
              <w:t xml:space="preserve"> for each </w:t>
            </w:r>
            <w:r w:rsidRPr="006809C2">
              <w:rPr>
                <w:i/>
                <w:iCs/>
              </w:rPr>
              <w:t>enterprise</w:t>
            </w:r>
            <w:r w:rsidRPr="008A1955">
              <w:t xml:space="preserve"> risk </w:t>
            </w:r>
            <w:r w:rsidRPr="006809C2">
              <w:rPr>
                <w:i/>
                <w:iCs/>
              </w:rPr>
              <w:t>presented in the RAMP</w:t>
            </w:r>
            <w:r w:rsidRPr="008A1955">
              <w:t xml:space="preserve"> and for its selection </w:t>
            </w:r>
            <w:r w:rsidRPr="006809C2">
              <w:rPr>
                <w:i/>
                <w:iCs/>
              </w:rPr>
              <w:t>and optimization</w:t>
            </w:r>
            <w:r w:rsidRPr="008A1955">
              <w:t xml:space="preserve"> of its </w:t>
            </w:r>
            <w:r w:rsidRPr="006809C2">
              <w:rPr>
                <w:strike/>
              </w:rPr>
              <w:t xml:space="preserve">overall </w:t>
            </w:r>
            <w:r w:rsidRPr="008A1955">
              <w:t>portfolio of Mitigation</w:t>
            </w:r>
            <w:r w:rsidRPr="006809C2">
              <w:rPr>
                <w:strike/>
              </w:rPr>
              <w:t>s</w:t>
            </w:r>
            <w:r w:rsidRPr="008A1955">
              <w:t xml:space="preserve"> </w:t>
            </w:r>
            <w:r w:rsidRPr="006809C2">
              <w:rPr>
                <w:i/>
                <w:iCs/>
              </w:rPr>
              <w:t>and Control Programs for each enterprise risk presented in the RAMP. The utility must explain how the budget scenario and other constraints factored into the utility’s portfolio selection. In the RAMP and GRC, the utility will clearly and transparently explain its rationale for prioritizing Risk Reporting Units for each Mitigation and Control Program.</w:t>
            </w:r>
            <w:r w:rsidRPr="008A1955">
              <w:t xml:space="preserve"> </w:t>
            </w:r>
            <w:r w:rsidRPr="006809C2">
              <w:rPr>
                <w:strike/>
              </w:rPr>
              <w:t>The utility is not bound to select its Mitigation strategy based solely on the Cost-Benefit Ratios produced by the Cost-Benefit Approach.</w:t>
            </w:r>
            <w:r w:rsidRPr="008A1955">
              <w:t> </w:t>
            </w:r>
          </w:p>
          <w:p w:rsidRPr="008A1955" w:rsidR="007215EA" w:rsidP="006809C2" w:rsidRDefault="007215EA" w14:paraId="030B7197" w14:textId="77777777">
            <w:pPr>
              <w:pStyle w:val="Standard"/>
              <w:spacing w:line="240" w:lineRule="auto"/>
            </w:pPr>
            <w:r w:rsidRPr="008A1955">
              <w:t> </w:t>
            </w:r>
          </w:p>
          <w:p w:rsidRPr="008A1955" w:rsidR="007215EA" w:rsidP="00372303" w:rsidRDefault="007215EA" w14:paraId="69116B85" w14:textId="2BCEABC9">
            <w:pPr>
              <w:pStyle w:val="TableText"/>
            </w:pPr>
            <w:r w:rsidRPr="006809C2">
              <w:rPr>
                <w:i/>
                <w:iCs/>
              </w:rPr>
              <w:t>The utility’s proposed Enterprise Portfolio, including its</w:t>
            </w:r>
            <w:r w:rsidRPr="008A1955">
              <w:t xml:space="preserve"> Mitigation</w:t>
            </w:r>
            <w:r w:rsidRPr="006809C2">
              <w:rPr>
                <w:strike/>
              </w:rPr>
              <w:t>s</w:t>
            </w:r>
            <w:r w:rsidRPr="008A1955">
              <w:t xml:space="preserve"> </w:t>
            </w:r>
            <w:r w:rsidRPr="006809C2">
              <w:rPr>
                <w:i/>
                <w:iCs/>
              </w:rPr>
              <w:t>and Control Programs</w:t>
            </w:r>
            <w:r w:rsidRPr="008A1955">
              <w:t xml:space="preserve"> selection, </w:t>
            </w:r>
            <w:r w:rsidRPr="006809C2">
              <w:rPr>
                <w:i/>
                <w:iCs/>
              </w:rPr>
              <w:t>Risk Reporting Unit prioritization, and Risk Mitigation Portfolio optimization</w:t>
            </w:r>
            <w:r w:rsidRPr="008A1955">
              <w:t xml:space="preserve"> can be influenced by </w:t>
            </w:r>
            <w:r w:rsidRPr="006809C2">
              <w:rPr>
                <w:i/>
                <w:iCs/>
              </w:rPr>
              <w:t>Benefit-Cost Ratios and</w:t>
            </w:r>
            <w:r w:rsidRPr="008A1955">
              <w:t xml:space="preserve"> other factors including, but not limited to, funding, labor resources, technology, planning and construction lead time, compliance requirements, Risk Tolerance thresholds, operational and execution considerations, and modeling limitations and/or uncertainties affecting the analysis. In the </w:t>
            </w:r>
            <w:r w:rsidRPr="006809C2">
              <w:rPr>
                <w:i/>
                <w:iCs/>
              </w:rPr>
              <w:t>RAMP and</w:t>
            </w:r>
            <w:r w:rsidRPr="008A1955">
              <w:t xml:space="preserve"> GRC, the utility will explain whether and how any such factors affected </w:t>
            </w:r>
            <w:r w:rsidRPr="006809C2">
              <w:rPr>
                <w:i/>
                <w:iCs/>
              </w:rPr>
              <w:t>the utility’s proposed Enterprise Portfolio, including</w:t>
            </w:r>
            <w:r w:rsidRPr="006809C2">
              <w:t xml:space="preserve"> </w:t>
            </w:r>
            <w:r w:rsidRPr="006809C2">
              <w:rPr>
                <w:i/>
                <w:iCs/>
              </w:rPr>
              <w:t>its</w:t>
            </w:r>
            <w:r w:rsidRPr="008A1955">
              <w:t xml:space="preserve"> Mitigation </w:t>
            </w:r>
            <w:r w:rsidRPr="006809C2">
              <w:rPr>
                <w:i/>
                <w:iCs/>
              </w:rPr>
              <w:t>and Control Program</w:t>
            </w:r>
            <w:r w:rsidRPr="008A1955">
              <w:t xml:space="preserve"> selections </w:t>
            </w:r>
            <w:r w:rsidRPr="006809C2">
              <w:rPr>
                <w:i/>
                <w:iCs/>
              </w:rPr>
              <w:t>and Risk Reporting Unit prioritization</w:t>
            </w:r>
            <w:r w:rsidRPr="008A1955">
              <w:t>. </w:t>
            </w:r>
          </w:p>
          <w:p w:rsidRPr="008A1955" w:rsidR="007215EA" w:rsidP="006809C2" w:rsidRDefault="007215EA" w14:paraId="5C56B9F7" w14:textId="77777777">
            <w:pPr>
              <w:pStyle w:val="Standard"/>
              <w:spacing w:line="240" w:lineRule="auto"/>
            </w:pPr>
            <w:r w:rsidRPr="008A1955">
              <w:lastRenderedPageBreak/>
              <w:t> </w:t>
            </w:r>
          </w:p>
          <w:p w:rsidRPr="008A1955" w:rsidR="007215EA" w:rsidP="00372303" w:rsidRDefault="007215EA" w14:paraId="062911C0" w14:textId="77777777">
            <w:pPr>
              <w:pStyle w:val="TableText"/>
            </w:pPr>
            <w:r w:rsidRPr="008A1955">
              <w:t xml:space="preserve">GRC Post-Test Year Reporting: All Controls and Mitigation programs must include </w:t>
            </w:r>
            <w:r w:rsidRPr="006809C2">
              <w:rPr>
                <w:strike/>
              </w:rPr>
              <w:t>CBRs</w:t>
            </w:r>
            <w:r w:rsidRPr="006809C2">
              <w:rPr>
                <w:i/>
                <w:iCs/>
              </w:rPr>
              <w:t>Benefit-Cost Ratios</w:t>
            </w:r>
            <w:r w:rsidRPr="006809C2">
              <w:t xml:space="preserve"> </w:t>
            </w:r>
            <w:r w:rsidRPr="008A1955">
              <w:t xml:space="preserve">in each of the GRC post-test years as well as an aggregate </w:t>
            </w:r>
            <w:r w:rsidRPr="006809C2">
              <w:rPr>
                <w:strike/>
              </w:rPr>
              <w:t>CBRs</w:t>
            </w:r>
            <w:r w:rsidRPr="006809C2">
              <w:rPr>
                <w:i/>
                <w:iCs/>
              </w:rPr>
              <w:t xml:space="preserve">Benefit-Cost Ratio </w:t>
            </w:r>
            <w:r w:rsidRPr="008A1955">
              <w:t>for the entire post-test year period and the entire GRC period, by Tranche.  </w:t>
            </w:r>
          </w:p>
          <w:p w:rsidRPr="008A1955" w:rsidR="007215EA" w:rsidP="006809C2" w:rsidRDefault="007215EA" w14:paraId="709A9E21" w14:textId="77777777">
            <w:pPr>
              <w:pStyle w:val="Standard"/>
              <w:spacing w:line="240" w:lineRule="auto"/>
            </w:pPr>
            <w:r w:rsidRPr="008A1955">
              <w:t> </w:t>
            </w:r>
          </w:p>
        </w:tc>
      </w:tr>
    </w:tbl>
    <w:p w:rsidR="00586183" w:rsidP="00586183" w:rsidRDefault="00586183" w14:paraId="67B2A499" w14:textId="77777777">
      <w:pPr>
        <w:pStyle w:val="Standard"/>
        <w:ind w:firstLine="0"/>
      </w:pPr>
    </w:p>
    <w:p w:rsidRPr="00586183" w:rsidR="00586183" w:rsidP="00586183" w:rsidRDefault="00586183" w14:paraId="748364B2" w14:textId="38B93BC8">
      <w:pPr>
        <w:pStyle w:val="Standard"/>
      </w:pPr>
      <w:r w:rsidRPr="00586183">
        <w:t>The requirements described in Row 25.1 above would require the utilities to establish four Optimized Enterprise Portfolios (one for each Budget Scenario) as part of its RAMP and GRC Application. Row 25.2 provides the utilities the option to optimize on its Risk Mitigation Portfolios, thereby creating four alternative Enterprise Portfolios (one for each Budget Scenario). Each Enterprise Portfolio would include a Risk Mitigation Portfolio for each Risk submitted in a RAMP or GRC Application.</w:t>
      </w:r>
    </w:p>
    <w:p w:rsidR="00586183" w:rsidP="005156B5" w:rsidRDefault="00586183" w14:paraId="1E9A2C3E" w14:textId="77777777">
      <w:pPr>
        <w:pStyle w:val="Standard"/>
        <w:ind w:firstLine="0"/>
      </w:pPr>
    </w:p>
    <w:p w:rsidR="00094BBC" w:rsidP="00506108" w:rsidRDefault="008B4B0A" w14:paraId="15D9B133" w14:textId="53981BCF">
      <w:pPr>
        <w:pStyle w:val="Heading1"/>
      </w:pPr>
      <w:bookmarkStart w:name="_Toc204258030" w:id="26"/>
      <w:r>
        <w:t>Risk Reporting Unit</w:t>
      </w:r>
      <w:bookmarkEnd w:id="26"/>
    </w:p>
    <w:p w:rsidR="00094BBC" w:rsidP="00112715" w:rsidRDefault="547BA66D" w14:paraId="674877A4" w14:textId="4A4CF1C2">
      <w:pPr>
        <w:pStyle w:val="Standard"/>
      </w:pPr>
      <w:r w:rsidRPr="00372303">
        <w:t xml:space="preserve">At issue in Phase 3 </w:t>
      </w:r>
      <w:r w:rsidR="71FB058E">
        <w:t>was</w:t>
      </w:r>
      <w:r w:rsidRPr="00112715">
        <w:t xml:space="preserve"> how to encourage </w:t>
      </w:r>
      <w:r w:rsidR="6483AD97">
        <w:t>a</w:t>
      </w:r>
      <w:r w:rsidRPr="00112715">
        <w:t xml:space="preserve"> utility to maintain the same level of granularity and ensure </w:t>
      </w:r>
      <w:r w:rsidR="00235803">
        <w:t xml:space="preserve">the possibility of </w:t>
      </w:r>
      <w:r w:rsidRPr="00112715">
        <w:t>“apples</w:t>
      </w:r>
      <w:r w:rsidR="00C958C9">
        <w:t>-</w:t>
      </w:r>
      <w:r w:rsidRPr="00112715">
        <w:t>to</w:t>
      </w:r>
      <w:r w:rsidR="00C958C9">
        <w:t>-</w:t>
      </w:r>
      <w:r w:rsidRPr="00112715">
        <w:t xml:space="preserve">apples” comparisons of data and metrics between GRC cycles. </w:t>
      </w:r>
      <w:r w:rsidR="767C6E10">
        <w:t xml:space="preserve">When </w:t>
      </w:r>
      <w:r w:rsidR="71A58CF1">
        <w:t xml:space="preserve">a </w:t>
      </w:r>
      <w:r w:rsidR="767C6E10">
        <w:t>utilit</w:t>
      </w:r>
      <w:r w:rsidR="52061CDA">
        <w:t>y</w:t>
      </w:r>
      <w:r w:rsidR="767C6E10">
        <w:t xml:space="preserve"> change</w:t>
      </w:r>
      <w:r w:rsidR="0F485265">
        <w:t>s</w:t>
      </w:r>
      <w:r w:rsidR="767C6E10">
        <w:t xml:space="preserve"> the organization of </w:t>
      </w:r>
      <w:r w:rsidR="24BABA1A">
        <w:t>its</w:t>
      </w:r>
      <w:r w:rsidR="767C6E10">
        <w:t xml:space="preserve"> </w:t>
      </w:r>
      <w:r w:rsidR="00345EC2">
        <w:t xml:space="preserve">risk </w:t>
      </w:r>
      <w:r w:rsidR="008F706C">
        <w:t>mitigation work</w:t>
      </w:r>
      <w:r w:rsidR="7C3A272A">
        <w:t xml:space="preserve"> and reporting of </w:t>
      </w:r>
      <w:r w:rsidR="2C876576">
        <w:t>such</w:t>
      </w:r>
      <w:r w:rsidR="7C3A272A">
        <w:t xml:space="preserve"> data</w:t>
      </w:r>
      <w:r w:rsidR="06DB03D8">
        <w:t>,</w:t>
      </w:r>
      <w:r w:rsidRPr="00112715">
        <w:t xml:space="preserve"> </w:t>
      </w:r>
      <w:r w:rsidR="003A562A">
        <w:t>this</w:t>
      </w:r>
      <w:r w:rsidRPr="00112715">
        <w:t xml:space="preserve"> can lead to confusion and difficulty in </w:t>
      </w:r>
      <w:r w:rsidR="3E1124EB">
        <w:t xml:space="preserve">analysis and </w:t>
      </w:r>
      <w:r w:rsidRPr="00112715">
        <w:t>tracking</w:t>
      </w:r>
      <w:r w:rsidR="1561D610">
        <w:t xml:space="preserve"> over time</w:t>
      </w:r>
      <w:r w:rsidRPr="00112715">
        <w:t>.</w:t>
      </w:r>
      <w:r>
        <w:t xml:space="preserve"> </w:t>
      </w:r>
    </w:p>
    <w:p w:rsidR="00094BBC" w:rsidP="00094BBC" w:rsidRDefault="00506108" w14:paraId="2001D5E1" w14:textId="0FE410A6">
      <w:pPr>
        <w:pStyle w:val="Standard"/>
      </w:pPr>
      <w:r>
        <w:t>In</w:t>
      </w:r>
      <w:r w:rsidR="00094BBC">
        <w:t xml:space="preserve"> </w:t>
      </w:r>
      <w:r w:rsidRPr="00101D6D" w:rsidR="00094BBC">
        <w:t xml:space="preserve">Phase </w:t>
      </w:r>
      <w:r w:rsidRPr="00101D6D" w:rsidR="00112715">
        <w:t>3</w:t>
      </w:r>
      <w:r w:rsidR="00112715">
        <w:t>,</w:t>
      </w:r>
      <w:r w:rsidR="00094BBC">
        <w:t xml:space="preserve"> Cal Advocates submitted a</w:t>
      </w:r>
      <w:r w:rsidRPr="00101D6D" w:rsidR="00094BBC">
        <w:t xml:space="preserve"> proposal for data templates</w:t>
      </w:r>
      <w:r w:rsidR="00094BBC">
        <w:t xml:space="preserve"> that would require utilities to present data for each mitigation project in its RAMP and GRC </w:t>
      </w:r>
      <w:r w:rsidR="001E352C">
        <w:t>a</w:t>
      </w:r>
      <w:r w:rsidR="00094BBC">
        <w:t xml:space="preserve">pplication. </w:t>
      </w:r>
      <w:r w:rsidRPr="00101D6D" w:rsidR="00094BBC">
        <w:t>Cal Advocates provided a definition of a project</w:t>
      </w:r>
      <w:r w:rsidR="00094BBC">
        <w:t xml:space="preserve"> </w:t>
      </w:r>
      <w:r w:rsidRPr="001533CC" w:rsidR="00094BBC">
        <w:t xml:space="preserve">as a set of tasks with a defined timeline, for which there are a specific set of goals, and which include </w:t>
      </w:r>
      <w:r w:rsidR="00094BBC">
        <w:t>“</w:t>
      </w:r>
      <w:r w:rsidRPr="001533CC" w:rsidR="00094BBC">
        <w:t xml:space="preserve">scoping, estimating, planning, scheduling, tracking, unit cost, </w:t>
      </w:r>
      <w:r w:rsidRPr="001533CC" w:rsidR="00094BBC">
        <w:lastRenderedPageBreak/>
        <w:t>budget, and assessment</w:t>
      </w:r>
      <w:r w:rsidR="00094BBC">
        <w:t>”</w:t>
      </w:r>
      <w:r w:rsidRPr="001533CC" w:rsidR="00094BBC">
        <w:t>.</w:t>
      </w:r>
      <w:r w:rsidRPr="00D97A69" w:rsidR="00094BBC">
        <w:t xml:space="preserve"> </w:t>
      </w:r>
      <w:r w:rsidR="00094BBC">
        <w:rPr>
          <w:rStyle w:val="FootnoteReference"/>
        </w:rPr>
        <w:footnoteReference w:id="62"/>
      </w:r>
      <w:r w:rsidRPr="001533CC" w:rsidR="00094BBC">
        <w:t xml:space="preserve"> </w:t>
      </w:r>
      <w:r w:rsidR="00094BBC">
        <w:t xml:space="preserve">In comments on the Cal Advocates proposal, </w:t>
      </w:r>
      <w:r w:rsidRPr="001533CC" w:rsidR="00094BBC">
        <w:t xml:space="preserve">there was contention among parties regarding the need to define </w:t>
      </w:r>
      <w:r>
        <w:t>“</w:t>
      </w:r>
      <w:r w:rsidRPr="001533CC" w:rsidR="00094BBC">
        <w:t>project</w:t>
      </w:r>
      <w:r>
        <w:t>”</w:t>
      </w:r>
      <w:r w:rsidRPr="001533CC" w:rsidR="00094BBC">
        <w:t xml:space="preserve"> in the context of the RDF. The Commission </w:t>
      </w:r>
      <w:r w:rsidR="008E5C54">
        <w:t>determined</w:t>
      </w:r>
      <w:r w:rsidRPr="001533CC" w:rsidR="00094BBC">
        <w:t xml:space="preserve"> that robust discussion during a workshop would be needed to develop a definition of </w:t>
      </w:r>
      <w:r>
        <w:t>“</w:t>
      </w:r>
      <w:r w:rsidRPr="001533CC" w:rsidR="00094BBC">
        <w:t>project</w:t>
      </w:r>
      <w:r>
        <w:t>”</w:t>
      </w:r>
      <w:r w:rsidRPr="001533CC" w:rsidR="00094BBC">
        <w:t xml:space="preserve"> that addresses the concerns of </w:t>
      </w:r>
      <w:r w:rsidR="009B1A19">
        <w:t>SPD s</w:t>
      </w:r>
      <w:r w:rsidRPr="001533CC" w:rsidR="00094BBC">
        <w:t>taff, intervenors, and the utilities.</w:t>
      </w:r>
      <w:r w:rsidR="00094BBC">
        <w:rPr>
          <w:rStyle w:val="FootnoteReference"/>
        </w:rPr>
        <w:footnoteReference w:id="63"/>
      </w:r>
    </w:p>
    <w:p w:rsidR="00094BBC" w:rsidP="005E2033" w:rsidRDefault="00094BBC" w14:paraId="0176D1EA" w14:textId="24BCE9B3">
      <w:pPr>
        <w:pStyle w:val="Heading2"/>
      </w:pPr>
      <w:bookmarkStart w:name="_Toc204258031" w:id="27"/>
      <w:r>
        <w:t xml:space="preserve">SPD Staff </w:t>
      </w:r>
      <w:r w:rsidR="00C83367">
        <w:t>Scoped Work</w:t>
      </w:r>
      <w:r w:rsidR="00495FBC">
        <w:t xml:space="preserve"> </w:t>
      </w:r>
      <w:r>
        <w:t>Proposal</w:t>
      </w:r>
      <w:bookmarkEnd w:id="27"/>
      <w:r>
        <w:t xml:space="preserve"> </w:t>
      </w:r>
    </w:p>
    <w:p w:rsidR="00094BBC" w:rsidP="005E2033" w:rsidRDefault="00094BBC" w14:paraId="465FA1D3" w14:textId="77777777">
      <w:pPr>
        <w:pStyle w:val="Heading3"/>
      </w:pPr>
      <w:bookmarkStart w:name="_Toc204258032" w:id="28"/>
      <w:r>
        <w:t xml:space="preserve">Review of </w:t>
      </w:r>
      <w:r w:rsidRPr="005E2033">
        <w:t>Scoped</w:t>
      </w:r>
      <w:r>
        <w:t xml:space="preserve"> Work</w:t>
      </w:r>
      <w:bookmarkEnd w:id="28"/>
    </w:p>
    <w:p w:rsidR="00094BBC" w:rsidP="00094BBC" w:rsidRDefault="00094BBC" w14:paraId="5DCFEEBF" w14:textId="77777777">
      <w:pPr>
        <w:pStyle w:val="Standard"/>
      </w:pPr>
      <w:r>
        <w:t xml:space="preserve">Although mitigation project has yet to be defined, the concept of “mitigation program” is well defined within the </w:t>
      </w:r>
      <w:r w:rsidRPr="00D64968">
        <w:t>RDF</w:t>
      </w:r>
      <w:r>
        <w:t>:</w:t>
      </w:r>
    </w:p>
    <w:p w:rsidR="00094BBC" w:rsidP="001F2AAF" w:rsidRDefault="00094BBC" w14:paraId="0D070B8D" w14:textId="50CED4B0">
      <w:pPr>
        <w:pStyle w:val="ListAlpha"/>
        <w:ind w:right="1440"/>
      </w:pPr>
      <w:r w:rsidRPr="009C2BFE">
        <w:t>CPUC jurisdictional effort within Electric Operations or Gas Operations consisting of projects, activities, and/or functions with a defined scope that is intended to meet a specific objective.</w:t>
      </w:r>
      <w:r>
        <w:rPr>
          <w:rStyle w:val="FootnoteReference"/>
        </w:rPr>
        <w:footnoteReference w:id="64"/>
      </w:r>
    </w:p>
    <w:p w:rsidR="00094BBC" w:rsidP="001F2AAF" w:rsidRDefault="00CB00F3" w14:paraId="6252E4DB" w14:textId="067EBA54">
      <w:r>
        <w:t xml:space="preserve">The </w:t>
      </w:r>
      <w:r w:rsidR="00094BBC">
        <w:t xml:space="preserve">Staff </w:t>
      </w:r>
      <w:r w:rsidR="00BC2224">
        <w:t xml:space="preserve">Scoped Work </w:t>
      </w:r>
      <w:r w:rsidR="00094BBC">
        <w:t xml:space="preserve">Proposal </w:t>
      </w:r>
      <w:r w:rsidR="00484F42">
        <w:t xml:space="preserve">states </w:t>
      </w:r>
      <w:r w:rsidR="00094BBC">
        <w:t xml:space="preserve">that the term </w:t>
      </w:r>
      <w:r>
        <w:t>“</w:t>
      </w:r>
      <w:r w:rsidR="00094BBC">
        <w:t>program</w:t>
      </w:r>
      <w:r>
        <w:t>”</w:t>
      </w:r>
      <w:r w:rsidR="00094BBC">
        <w:t xml:space="preserve"> is a high-level aggregation </w:t>
      </w:r>
      <w:r w:rsidRPr="006809C2" w:rsidR="008745C0">
        <w:t>of projects with a defined scope</w:t>
      </w:r>
      <w:r w:rsidRPr="006809C2" w:rsidR="00094BBC">
        <w:t>.</w:t>
      </w:r>
      <w:r w:rsidR="00094BBC">
        <w:t xml:space="preserve"> The Staff </w:t>
      </w:r>
      <w:r w:rsidR="00BC2224">
        <w:t>Scoped Work</w:t>
      </w:r>
      <w:r w:rsidR="00255D36">
        <w:t xml:space="preserve"> </w:t>
      </w:r>
      <w:r w:rsidR="00094BBC">
        <w:t>Proposal notes that t</w:t>
      </w:r>
      <w:r w:rsidRPr="003D3A82" w:rsidR="00094BBC">
        <w:t>ranches are a disaggregation of the risk associated with a given risk event</w:t>
      </w:r>
      <w:r w:rsidR="00094BBC">
        <w:t xml:space="preserve"> and the assets and systems within each tranche share the same LoRE and CoRE profile</w:t>
      </w:r>
      <w:r w:rsidRPr="003D3A82" w:rsidR="00094BBC">
        <w:t>.</w:t>
      </w:r>
      <w:r w:rsidR="00094BBC">
        <w:rPr>
          <w:rStyle w:val="FootnoteReference"/>
        </w:rPr>
        <w:footnoteReference w:id="65"/>
      </w:r>
      <w:r w:rsidR="00094BBC">
        <w:t xml:space="preserve"> I</w:t>
      </w:r>
      <w:r w:rsidRPr="003D3A82" w:rsidR="00094BBC">
        <w:t xml:space="preserve">t is through the risk reduction achieved by </w:t>
      </w:r>
      <w:r w:rsidR="00094BBC">
        <w:t xml:space="preserve">scoped work </w:t>
      </w:r>
      <w:r w:rsidRPr="003D3A82" w:rsidR="00094BBC">
        <w:t xml:space="preserve">that a utility can then properly determine </w:t>
      </w:r>
      <w:r w:rsidR="008748C5">
        <w:t>how</w:t>
      </w:r>
      <w:r w:rsidRPr="003D3A82" w:rsidR="00094BBC">
        <w:t xml:space="preserve"> to manage the risk found within tranches.</w:t>
      </w:r>
    </w:p>
    <w:p w:rsidR="00094BBC" w:rsidP="003C0882" w:rsidRDefault="00094BBC" w14:paraId="45B1A461" w14:textId="6281A465">
      <w:r>
        <w:lastRenderedPageBreak/>
        <w:t xml:space="preserve">The Staff </w:t>
      </w:r>
      <w:r w:rsidR="000A1171">
        <w:t xml:space="preserve">Scoped Work </w:t>
      </w:r>
      <w:r>
        <w:t>Proposal presents a number of examples of project</w:t>
      </w:r>
      <w:r w:rsidR="009F370F">
        <w:t>-</w:t>
      </w:r>
      <w:r>
        <w:t xml:space="preserve">level data submitted to RAMP and GRC </w:t>
      </w:r>
      <w:r w:rsidR="009F370F">
        <w:t>p</w:t>
      </w:r>
      <w:r>
        <w:t>roceedings as well as responses to data requests.</w:t>
      </w:r>
      <w:r>
        <w:rPr>
          <w:rStyle w:val="FootnoteReference"/>
        </w:rPr>
        <w:footnoteReference w:id="66"/>
      </w:r>
      <w:r>
        <w:t xml:space="preserve"> S</w:t>
      </w:r>
      <w:r w:rsidR="00383927">
        <w:t>PD s</w:t>
      </w:r>
      <w:r>
        <w:t xml:space="preserve">taff argue that it would be beneficial to decision-makers, </w:t>
      </w:r>
      <w:r w:rsidR="009F370F">
        <w:t>SPD s</w:t>
      </w:r>
      <w:r>
        <w:t xml:space="preserve">taff, and parties to have access to a set of projects submitted with the RAMP </w:t>
      </w:r>
      <w:r w:rsidR="00383927">
        <w:t xml:space="preserve">application </w:t>
      </w:r>
      <w:r>
        <w:t xml:space="preserve">for evaluation that is then updated in the utility’s GRC. The Staff </w:t>
      </w:r>
      <w:r w:rsidR="00095B4D">
        <w:t xml:space="preserve">Scoped Work </w:t>
      </w:r>
      <w:r>
        <w:t xml:space="preserve">Proposal defines </w:t>
      </w:r>
      <w:r w:rsidR="00095B4D">
        <w:t>“scoped work”</w:t>
      </w:r>
      <w:r>
        <w:t xml:space="preserve"> in the following way:</w:t>
      </w:r>
    </w:p>
    <w:p w:rsidRPr="001F2AAF" w:rsidR="00094BBC" w:rsidP="001F2AAF" w:rsidRDefault="00094BBC" w14:paraId="4AFBF488" w14:textId="5E427601">
      <w:pPr>
        <w:pStyle w:val="BlockQuote"/>
      </w:pPr>
      <w:r w:rsidRPr="001F2AAF">
        <w:t>A CPUC jurisdictional effort within Electric Operations or Gas Operations that simultaneously removes or mitigates a group of assets or systems that exhibit a certain level of risk. Scoped work is traceable through all stages of a lifecycle, including</w:t>
      </w:r>
      <w:r w:rsidRPr="001F2AAF" w:rsidR="0025248E">
        <w:t>,</w:t>
      </w:r>
      <w:r w:rsidRPr="001F2AAF">
        <w:t xml:space="preserve"> but not limited to, scoping, designing, permitting, construction/implementation, </w:t>
      </w:r>
      <w:r w:rsidRPr="001F2AAF" w:rsidR="0025248E">
        <w:t xml:space="preserve">and </w:t>
      </w:r>
      <w:r w:rsidRPr="001F2AAF">
        <w:t>post-construction. Scoped work must be forecastable to at least the third post-test year of a GRC cycle. Scoped work must be auditable in terms of timing, location, work units, cost, and risk reduction.</w:t>
      </w:r>
      <w:r w:rsidRPr="00461668">
        <w:rPr>
          <w:rStyle w:val="FootnoteReference"/>
        </w:rPr>
        <w:footnoteReference w:id="67"/>
      </w:r>
    </w:p>
    <w:p w:rsidR="00094BBC" w:rsidP="00094BBC" w:rsidRDefault="00094BBC" w14:paraId="3EE0D056" w14:textId="46E8858E">
      <w:r>
        <w:t>The proposal also provide</w:t>
      </w:r>
      <w:r w:rsidR="00B5138A">
        <w:t>s</w:t>
      </w:r>
      <w:r>
        <w:t xml:space="preserve"> the following explanation of the terms within this definition:</w:t>
      </w:r>
    </w:p>
    <w:p w:rsidR="00094BBC" w:rsidP="001F2AAF" w:rsidRDefault="00094BBC" w14:paraId="51A53F4B" w14:textId="77777777">
      <w:pPr>
        <w:pStyle w:val="ListBullet"/>
        <w:ind w:right="1440"/>
      </w:pPr>
      <w:r w:rsidRPr="006B0B33">
        <w:rPr>
          <w:u w:val="single"/>
        </w:rPr>
        <w:t>Exhibit a certain level of risk</w:t>
      </w:r>
      <w:r>
        <w:t>: This refers to the level of risk that is estimated by the utility’s risk model.</w:t>
      </w:r>
    </w:p>
    <w:p w:rsidR="00094BBC" w:rsidP="001F2AAF" w:rsidRDefault="00094BBC" w14:paraId="4B7A0819" w14:textId="77777777">
      <w:pPr>
        <w:pStyle w:val="ListBullet"/>
        <w:ind w:right="1440"/>
      </w:pPr>
      <w:r w:rsidRPr="006B0B33">
        <w:rPr>
          <w:u w:val="single"/>
        </w:rPr>
        <w:t>Scoping</w:t>
      </w:r>
      <w:r>
        <w:t xml:space="preserve">: Identifying the size and timeline of the scoped work. </w:t>
      </w:r>
      <w:r w:rsidRPr="00280DE6">
        <w:t>Scoping is the first step to providing visibility to the construction feasibility and possible execution timing.</w:t>
      </w:r>
    </w:p>
    <w:p w:rsidR="00094BBC" w:rsidP="001F2AAF" w:rsidRDefault="00094BBC" w14:paraId="2395777B" w14:textId="77777777">
      <w:pPr>
        <w:pStyle w:val="ListBullet"/>
        <w:ind w:right="1440"/>
      </w:pPr>
      <w:r w:rsidRPr="006B0B33">
        <w:rPr>
          <w:u w:val="single"/>
        </w:rPr>
        <w:t>Designing</w:t>
      </w:r>
      <w:r>
        <w:t>: Delineation of a plan for implementing the scoped work including determining the scoped work’s integration within existing infrastructure or operations and need for materials, training, or permitting. The costs for completing the scoped work, including for permitting, labor and materials, are forecasted at this stage.</w:t>
      </w:r>
    </w:p>
    <w:p w:rsidR="00094BBC" w:rsidP="001F2AAF" w:rsidRDefault="00094BBC" w14:paraId="38157FB4" w14:textId="77777777">
      <w:pPr>
        <w:pStyle w:val="ListBullet"/>
        <w:ind w:right="1440"/>
      </w:pPr>
      <w:r w:rsidRPr="006B0B33">
        <w:rPr>
          <w:u w:val="single"/>
        </w:rPr>
        <w:lastRenderedPageBreak/>
        <w:t>Permitting</w:t>
      </w:r>
      <w:r>
        <w:t>: The process of obtaining the rights and permits from relevant stakeholders to implement the scoped work. This stage of the lifecycle also includes negotiating of contracts to implement the scoped work as well as final estimation of the costs associated with implementing the scoped work.</w:t>
      </w:r>
    </w:p>
    <w:p w:rsidR="00094BBC" w:rsidP="001F2AAF" w:rsidRDefault="00094BBC" w14:paraId="2BD0E3F3" w14:textId="77777777">
      <w:pPr>
        <w:pStyle w:val="ListBullet"/>
        <w:ind w:right="1440"/>
      </w:pPr>
      <w:r w:rsidRPr="006B0B33">
        <w:rPr>
          <w:u w:val="single"/>
        </w:rPr>
        <w:t>Construction/Implementation</w:t>
      </w:r>
      <w:r>
        <w:t>: During this stage a capital investment is built out or an operational activity is put into action. Capital investments are complete when they are used and useful. Operational activities could be an ongoing means of maintaining a level of risk.</w:t>
      </w:r>
    </w:p>
    <w:p w:rsidR="00094BBC" w:rsidP="001F2AAF" w:rsidRDefault="00094BBC" w14:paraId="07C5A6AA" w14:textId="77777777">
      <w:pPr>
        <w:pStyle w:val="ListBullet"/>
        <w:ind w:right="1440"/>
      </w:pPr>
      <w:r w:rsidRPr="006B0B33">
        <w:rPr>
          <w:u w:val="single"/>
        </w:rPr>
        <w:t>Post-Construction</w:t>
      </w:r>
      <w:r>
        <w:t>: For capital investments, there can be final paperwork and updates to asset registries after the scoped work is used and useful.</w:t>
      </w:r>
    </w:p>
    <w:p w:rsidR="00094BBC" w:rsidP="001F2AAF" w:rsidRDefault="00094BBC" w14:paraId="449782E0" w14:textId="77777777">
      <w:pPr>
        <w:pStyle w:val="ListBullet"/>
        <w:ind w:right="1440"/>
      </w:pPr>
      <w:r w:rsidRPr="006B0B33">
        <w:rPr>
          <w:u w:val="single"/>
        </w:rPr>
        <w:t>Forecastable</w:t>
      </w:r>
      <w:r>
        <w:t>: Scoped work is a unit of analysis that is forward-looking, which means the utility must be able to estimate the risk reduction, units of work to be completed and expenses of scoped work implemented in the future. Parties must also be able to verify the accuracy of the risk reduction estimates provided by utilities.</w:t>
      </w:r>
    </w:p>
    <w:p w:rsidR="00094BBC" w:rsidP="001F2AAF" w:rsidRDefault="00094BBC" w14:paraId="7A209146" w14:textId="1D3B83A2">
      <w:pPr>
        <w:pStyle w:val="ListBullet"/>
        <w:ind w:right="1440"/>
      </w:pPr>
      <w:r w:rsidRPr="006B0B33">
        <w:rPr>
          <w:u w:val="single"/>
        </w:rPr>
        <w:t>Auditable</w:t>
      </w:r>
      <w:r>
        <w:t>: Scoped work is a unit of analysis that is backward-looking. Specifically, once a scoped work is implemented, parties, the Commission, or an independent auditor must be able to determine if the risk reduction and units of work estimate was realized by scoped work implemented in the past. It must also be possible to determine if the expenses of scoped work implemented in the past are incremental to expenses authorized in other rate-making proceedings.</w:t>
      </w:r>
    </w:p>
    <w:p w:rsidR="00094BBC" w:rsidP="001F2AAF" w:rsidRDefault="00094BBC" w14:paraId="4E7214C1" w14:textId="77777777">
      <w:pPr>
        <w:pStyle w:val="Heading3"/>
      </w:pPr>
      <w:bookmarkStart w:name="_Toc204258033" w:id="29"/>
      <w:r>
        <w:t>SPD Staff Proposal Introduces the Risk Reporting Unit</w:t>
      </w:r>
      <w:bookmarkEnd w:id="29"/>
    </w:p>
    <w:p w:rsidR="00094BBC" w:rsidP="006809C2" w:rsidRDefault="00094BBC" w14:paraId="0993005D" w14:textId="1122AE7E">
      <w:r>
        <w:t xml:space="preserve">The Staff </w:t>
      </w:r>
      <w:r w:rsidR="003E2FA3">
        <w:t xml:space="preserve">Scoped Work </w:t>
      </w:r>
      <w:r>
        <w:t xml:space="preserve">Proposal </w:t>
      </w:r>
      <w:r w:rsidR="00472E47">
        <w:t>argues</w:t>
      </w:r>
      <w:r>
        <w:t xml:space="preserve"> that the term “scoped work” is not ideal because it could be confused with the concept “a scope of work”. </w:t>
      </w:r>
      <w:r w:rsidR="0007109D">
        <w:t>Additionally</w:t>
      </w:r>
      <w:r>
        <w:t xml:space="preserve">, the term “scoped work” </w:t>
      </w:r>
      <w:r w:rsidR="00AE386B">
        <w:t xml:space="preserve">contains </w:t>
      </w:r>
      <w:r>
        <w:t>an uncountable noun</w:t>
      </w:r>
      <w:r w:rsidR="00AE386B">
        <w:t xml:space="preserve"> (i.e., work)</w:t>
      </w:r>
      <w:r>
        <w:t xml:space="preserve">, which makes phrases like “each scoped work,” “the number of scoped work,” or </w:t>
      </w:r>
      <w:r>
        <w:lastRenderedPageBreak/>
        <w:t xml:space="preserve">even “five scoped work” </w:t>
      </w:r>
      <w:r w:rsidR="00AE386B">
        <w:t>awkward</w:t>
      </w:r>
      <w:r>
        <w:t>. SPD</w:t>
      </w:r>
      <w:r w:rsidR="00AE386B">
        <w:t xml:space="preserve"> staff</w:t>
      </w:r>
      <w:r>
        <w:t xml:space="preserve"> recommends the Commission adopt the term Risk Reporting Unit (RRU).</w:t>
      </w:r>
    </w:p>
    <w:p w:rsidR="00094BBC" w:rsidP="00094BBC" w:rsidRDefault="00094BBC" w14:paraId="6781B7DD" w14:textId="525C2297">
      <w:r w:rsidRPr="00120D18">
        <w:t xml:space="preserve">The Staff </w:t>
      </w:r>
      <w:r w:rsidR="00AE386B">
        <w:t xml:space="preserve">Scoped Work </w:t>
      </w:r>
      <w:r w:rsidRPr="00120D18">
        <w:t xml:space="preserve">Proposal </w:t>
      </w:r>
      <w:r w:rsidR="00D00564">
        <w:t>presents</w:t>
      </w:r>
      <w:r w:rsidRPr="00120D18" w:rsidR="00D00564">
        <w:t xml:space="preserve"> </w:t>
      </w:r>
      <w:r w:rsidRPr="00F93DEA">
        <w:t xml:space="preserve">Figure </w:t>
      </w:r>
      <w:r w:rsidRPr="00F93DEA" w:rsidR="005E1628">
        <w:t>2</w:t>
      </w:r>
      <w:r>
        <w:t xml:space="preserve"> below to </w:t>
      </w:r>
      <w:r w:rsidR="00B4079C">
        <w:t>show the minimal</w:t>
      </w:r>
      <w:r w:rsidR="004E2076">
        <w:t xml:space="preserve"> features of</w:t>
      </w:r>
      <w:r>
        <w:t xml:space="preserve"> an RRU.  The Staff</w:t>
      </w:r>
      <w:r w:rsidR="009030C1">
        <w:t xml:space="preserve"> Scoped Work</w:t>
      </w:r>
      <w:r>
        <w:t xml:space="preserve"> Proposal explains that the first category of data is unique identifiers.  Unique identifiers form the foundation for the utility’s risk reporting hierarchy and enable aggregation. The second category is the actual risk data, which can be aggregated based on unique identifiers, which the Staff </w:t>
      </w:r>
      <w:r w:rsidR="00AD10CF">
        <w:t xml:space="preserve">Scoped Work </w:t>
      </w:r>
      <w:r>
        <w:t>Proposal calls roll-up points within the risk reporting hierarchy.</w:t>
      </w:r>
    </w:p>
    <w:p w:rsidR="00094BBC" w:rsidP="00112715" w:rsidRDefault="001F2AAF" w14:paraId="76778F72" w14:textId="39CCFBEC">
      <w:pPr>
        <w:keepNext/>
        <w:jc w:val="center"/>
      </w:pPr>
      <w:r>
        <w:rPr>
          <w:noProof/>
        </w:rPr>
        <w:drawing>
          <wp:inline distT="0" distB="0" distL="0" distR="0" wp14:anchorId="07E955CB" wp14:editId="1D8D040C">
            <wp:extent cx="2697012" cy="2825086"/>
            <wp:effectExtent l="0" t="0" r="8255" b="0"/>
            <wp:docPr id="5150106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03984" cy="2832390"/>
                    </a:xfrm>
                    <a:prstGeom prst="rect">
                      <a:avLst/>
                    </a:prstGeom>
                    <a:noFill/>
                  </pic:spPr>
                </pic:pic>
              </a:graphicData>
            </a:graphic>
          </wp:inline>
        </w:drawing>
      </w:r>
    </w:p>
    <w:p w:rsidR="00094BBC" w:rsidP="00112715" w:rsidRDefault="00094BBC" w14:paraId="63C6F369" w14:textId="33A7D3A6">
      <w:pPr>
        <w:pStyle w:val="Caption"/>
        <w:jc w:val="center"/>
      </w:pPr>
      <w:bookmarkStart w:name="_Toc181281434" w:id="30"/>
      <w:r w:rsidRPr="00560AC0">
        <w:t xml:space="preserve">Figure </w:t>
      </w:r>
      <w:r w:rsidRPr="00560AC0" w:rsidR="005E1628">
        <w:t>2</w:t>
      </w:r>
      <w:r w:rsidRPr="00560AC0">
        <w:t>.</w:t>
      </w:r>
      <w:r>
        <w:t xml:space="preserve"> How an RRU is organized.</w:t>
      </w:r>
      <w:r>
        <w:rPr>
          <w:rStyle w:val="FootnoteReference"/>
        </w:rPr>
        <w:footnoteReference w:id="68"/>
      </w:r>
      <w:bookmarkEnd w:id="30"/>
    </w:p>
    <w:p w:rsidR="00094BBC" w:rsidP="001F2AAF" w:rsidRDefault="00094BBC" w14:paraId="093BD445" w14:textId="035AEC6D">
      <w:r>
        <w:lastRenderedPageBreak/>
        <w:t>Since each RRU contains risk information for each attribute, RRUs can be aggregated to total Safety, Reliability</w:t>
      </w:r>
      <w:r w:rsidR="00D96FA6">
        <w:t>,</w:t>
      </w:r>
      <w:r>
        <w:t xml:space="preserve"> and Financial </w:t>
      </w:r>
      <w:r w:rsidR="00D96FA6">
        <w:t xml:space="preserve">attributes </w:t>
      </w:r>
      <w:r>
        <w:t>according to those three roll-up points.</w:t>
      </w:r>
    </w:p>
    <w:p w:rsidR="00094BBC" w:rsidP="00094BBC" w:rsidRDefault="00D36D11" w14:paraId="5EC6D2CB" w14:textId="3221A773">
      <w:r>
        <w:tab/>
      </w:r>
      <w:r w:rsidR="00094BBC">
        <w:t xml:space="preserve">The Staff </w:t>
      </w:r>
      <w:r w:rsidR="007713FA">
        <w:t>Scoped Work</w:t>
      </w:r>
      <w:r w:rsidR="00094BBC">
        <w:t xml:space="preserve"> Proposal note</w:t>
      </w:r>
      <w:r w:rsidR="002D0DE0">
        <w:t>s</w:t>
      </w:r>
      <w:r w:rsidR="00094BBC">
        <w:t xml:space="preserve"> that a key question about the RRU is the appropriate level of granularity for disaggregating a particular mitigation program. </w:t>
      </w:r>
      <w:r w:rsidR="00EE3D67">
        <w:t>If RRU</w:t>
      </w:r>
      <w:r w:rsidR="009B50C3">
        <w:t>s</w:t>
      </w:r>
      <w:r w:rsidR="00EE3D67">
        <w:t xml:space="preserve"> </w:t>
      </w:r>
      <w:r w:rsidR="009B50C3">
        <w:t>are</w:t>
      </w:r>
      <w:r w:rsidR="00EE3D67">
        <w:t xml:space="preserve"> overly granular, </w:t>
      </w:r>
      <w:r w:rsidR="009B50C3">
        <w:t xml:space="preserve">mitigation programs may be broken down into </w:t>
      </w:r>
      <w:r w:rsidR="00345537">
        <w:t xml:space="preserve">thousands of RRUs. </w:t>
      </w:r>
      <w:r w:rsidR="008F12A1">
        <w:t xml:space="preserve">If RRUs are overly aggregated, </w:t>
      </w:r>
      <w:r w:rsidR="007058FD">
        <w:t xml:space="preserve">they become </w:t>
      </w:r>
      <w:r w:rsidR="001520C2">
        <w:t xml:space="preserve">easier to manage because they are fewer in number but the RRUs may be </w:t>
      </w:r>
      <w:r w:rsidR="00247E97">
        <w:t>insufficiently flexible</w:t>
      </w:r>
      <w:r w:rsidR="00B3586F">
        <w:t xml:space="preserve"> and not aggregable </w:t>
      </w:r>
      <w:r w:rsidR="001520C2">
        <w:t xml:space="preserve">to the mitigation program level (e.g., if the RRU includes multiple mitigations or multiple tranches). </w:t>
      </w:r>
      <w:r w:rsidR="00094BBC">
        <w:t xml:space="preserve">The Staff </w:t>
      </w:r>
      <w:r w:rsidR="001520C2">
        <w:t xml:space="preserve">Scoped Work </w:t>
      </w:r>
      <w:r w:rsidR="00094BBC">
        <w:t>Proposal argues that a</w:t>
      </w:r>
      <w:r w:rsidRPr="00265750" w:rsidR="00094BBC">
        <w:t xml:space="preserve"> reasonable starting point for </w:t>
      </w:r>
      <w:r w:rsidR="00094BBC">
        <w:t xml:space="preserve">determining the granularity of </w:t>
      </w:r>
      <w:r w:rsidRPr="00265750" w:rsidR="00094BBC">
        <w:t xml:space="preserve">an RRU is scoped work. SPD </w:t>
      </w:r>
      <w:r w:rsidR="001520C2">
        <w:t>staff</w:t>
      </w:r>
      <w:r w:rsidRPr="00265750" w:rsidR="00094BBC">
        <w:t xml:space="preserve"> argues that the principles discussed in the definition of scoped work above are directly relevant to determining the characteristics of an RRU.</w:t>
      </w:r>
    </w:p>
    <w:p w:rsidR="00094BBC" w:rsidP="00094BBC" w:rsidRDefault="00094BBC" w14:paraId="457DA9C4" w14:textId="257D6328">
      <w:r>
        <w:t xml:space="preserve">The Staff </w:t>
      </w:r>
      <w:r w:rsidR="00B1346F">
        <w:t xml:space="preserve">Scoped Work </w:t>
      </w:r>
      <w:r>
        <w:t xml:space="preserve">Proposal </w:t>
      </w:r>
      <w:r w:rsidR="00B1346F">
        <w:t>presents several</w:t>
      </w:r>
      <w:r>
        <w:t xml:space="preserve"> diagrams to assist parties in deciding how to define the granularity of an RRU. </w:t>
      </w:r>
      <w:r w:rsidR="00097D1B">
        <w:t xml:space="preserve">The Staff </w:t>
      </w:r>
      <w:r w:rsidR="006363F7">
        <w:t xml:space="preserve">Scoped Work Proposal </w:t>
      </w:r>
      <w:r w:rsidR="00BD2D53">
        <w:t>argues that a</w:t>
      </w:r>
      <w:r w:rsidR="00252926">
        <w:t xml:space="preserve"> one-to-one relationship between </w:t>
      </w:r>
      <w:r w:rsidR="001C4A3F">
        <w:t xml:space="preserve">a portion or segment of a </w:t>
      </w:r>
      <w:r w:rsidR="00252926">
        <w:t xml:space="preserve">mitigation and RRUs </w:t>
      </w:r>
      <w:r w:rsidR="00485EA1">
        <w:t>ens</w:t>
      </w:r>
      <w:r w:rsidR="00184BAC">
        <w:t xml:space="preserve">ures </w:t>
      </w:r>
      <w:r w:rsidR="002A7317">
        <w:t>a</w:t>
      </w:r>
      <w:r w:rsidR="00184BAC">
        <w:t xml:space="preserve"> level of granularity </w:t>
      </w:r>
      <w:r w:rsidR="003238A8">
        <w:t>t</w:t>
      </w:r>
      <w:r w:rsidR="002A7317">
        <w:t>hat allow</w:t>
      </w:r>
      <w:r w:rsidR="00295EB6">
        <w:t>s</w:t>
      </w:r>
      <w:r w:rsidR="002A7317">
        <w:t xml:space="preserve"> for </w:t>
      </w:r>
      <w:r w:rsidR="00295EB6">
        <w:t>proper aggregation to the mitigation program level</w:t>
      </w:r>
      <w:r w:rsidR="00DF2A76">
        <w:t xml:space="preserve"> while also being auditable</w:t>
      </w:r>
      <w:r w:rsidR="00AE04DC">
        <w:t xml:space="preserve">. The Staff Scoped Work Proposal </w:t>
      </w:r>
      <w:r w:rsidR="00DA1564">
        <w:t xml:space="preserve">does allow that there may be scenarios in which </w:t>
      </w:r>
      <w:r w:rsidR="00826B5C">
        <w:t xml:space="preserve">an RRU </w:t>
      </w:r>
      <w:r w:rsidR="00050643">
        <w:t>can</w:t>
      </w:r>
      <w:r w:rsidR="00826B5C">
        <w:t xml:space="preserve"> </w:t>
      </w:r>
      <w:r w:rsidR="00D20F40">
        <w:t xml:space="preserve">reduce risk for </w:t>
      </w:r>
      <w:r w:rsidR="00314001">
        <w:t xml:space="preserve">more than one </w:t>
      </w:r>
      <w:r w:rsidR="005269FE">
        <w:t>R</w:t>
      </w:r>
      <w:r w:rsidR="005214B7">
        <w:t xml:space="preserve">isk </w:t>
      </w:r>
      <w:r w:rsidR="005269FE">
        <w:t>E</w:t>
      </w:r>
      <w:r w:rsidR="005214B7">
        <w:t>vent</w:t>
      </w:r>
      <w:r w:rsidR="00CB661B">
        <w:t>.</w:t>
      </w:r>
      <w:r w:rsidR="005269FE">
        <w:t xml:space="preserve"> In these scenarios, </w:t>
      </w:r>
      <w:r w:rsidR="00CB20CB">
        <w:t xml:space="preserve">SPD staff note that </w:t>
      </w:r>
      <w:r w:rsidR="005269FE">
        <w:t>cost allocation</w:t>
      </w:r>
      <w:r w:rsidR="00FD518C">
        <w:t xml:space="preserve"> needs to be carefully considered. </w:t>
      </w:r>
      <w:r w:rsidR="00252926">
        <w:t xml:space="preserve"> </w:t>
      </w:r>
      <w:r>
        <w:t xml:space="preserve">Finally, the Staff </w:t>
      </w:r>
      <w:r w:rsidR="00931403">
        <w:t xml:space="preserve">Scoped Work </w:t>
      </w:r>
      <w:r>
        <w:t xml:space="preserve">Proposal emphasizes that consistency across time is an important principle of the RRU. Once the granularity for the RRU is determined, RRU </w:t>
      </w:r>
      <w:r w:rsidR="002137DA">
        <w:t>granularity should not</w:t>
      </w:r>
      <w:r>
        <w:t xml:space="preserve"> change from one GRC </w:t>
      </w:r>
      <w:r w:rsidR="00931403">
        <w:t>c</w:t>
      </w:r>
      <w:r>
        <w:t xml:space="preserve">ycle to the next. The Staff </w:t>
      </w:r>
      <w:r w:rsidR="00672422">
        <w:t xml:space="preserve">Scoped Work </w:t>
      </w:r>
      <w:r>
        <w:t xml:space="preserve">Proposal argues if a utility wishes to update an RRU’s </w:t>
      </w:r>
      <w:r w:rsidR="002137DA">
        <w:t xml:space="preserve">granularity </w:t>
      </w:r>
      <w:r>
        <w:t>level</w:t>
      </w:r>
      <w:r w:rsidR="002137DA">
        <w:t xml:space="preserve">, </w:t>
      </w:r>
      <w:r>
        <w:t xml:space="preserve">it must </w:t>
      </w:r>
      <w:r>
        <w:lastRenderedPageBreak/>
        <w:t>clearly explain the method it chose to update the granularity and how the granularity of the new RRU differs from the granularity of the prior RRU. Additionally, the utility must provide a Backcast of post-mitigated risk, risk reduction and BCRs submitted to the previous cycles of RAMPs and GRCs that</w:t>
      </w:r>
      <w:r w:rsidRPr="00990CC5">
        <w:t xml:space="preserve"> </w:t>
      </w:r>
      <w:r>
        <w:t xml:space="preserve">are </w:t>
      </w:r>
      <w:r w:rsidRPr="00990CC5">
        <w:t xml:space="preserve">impacted by </w:t>
      </w:r>
      <w:r>
        <w:t>an</w:t>
      </w:r>
      <w:r w:rsidRPr="00990CC5">
        <w:t xml:space="preserve"> update to the RRU’s level of granularity</w:t>
      </w:r>
      <w:r>
        <w:t xml:space="preserve">. </w:t>
      </w:r>
      <w:r w:rsidR="002137DA">
        <w:t>That is</w:t>
      </w:r>
      <w:r>
        <w:t xml:space="preserve">, the utility must demonstrate the implications </w:t>
      </w:r>
      <w:r w:rsidR="00DF0C95">
        <w:t>for previous risk assessments</w:t>
      </w:r>
      <w:r w:rsidDel="007546E8" w:rsidR="00DF0C95">
        <w:t xml:space="preserve"> </w:t>
      </w:r>
      <w:r w:rsidR="007546E8">
        <w:t xml:space="preserve">of </w:t>
      </w:r>
      <w:r>
        <w:t>changing t</w:t>
      </w:r>
      <w:r w:rsidR="00DF0C95">
        <w:t>he</w:t>
      </w:r>
      <w:r>
        <w:t xml:space="preserve"> RRU </w:t>
      </w:r>
      <w:r w:rsidR="00DF0C95">
        <w:t>granularity</w:t>
      </w:r>
      <w:r>
        <w:t xml:space="preserve">. The Staff Proposal argues that requiring an RRU Backcast will encourage the utility to maintain the same level of granularity and ensure an “apples-to-apples” comparison of data and metrics between GRC Cycles. </w:t>
      </w:r>
    </w:p>
    <w:p w:rsidR="00094BBC" w:rsidP="001F2AAF" w:rsidRDefault="00094BBC" w14:paraId="00E6AB02" w14:textId="77777777">
      <w:pPr>
        <w:pStyle w:val="Heading3"/>
      </w:pPr>
      <w:bookmarkStart w:name="_Toc204258034" w:id="31"/>
      <w:r>
        <w:t>SPD Staff Recommendations on the Risk Reporting Unit</w:t>
      </w:r>
      <w:bookmarkEnd w:id="31"/>
    </w:p>
    <w:p w:rsidR="00094BBC" w:rsidP="00094BBC" w:rsidRDefault="00094BBC" w14:paraId="2C3B274C" w14:textId="77777777">
      <w:pPr>
        <w:pStyle w:val="Standard"/>
      </w:pPr>
      <w:r>
        <w:t>On the topic of defining scoped work, SPD staff recommends the following. First, SPD staff recommend avoiding the term scoped work and instead integrating the term Risk Reporting Unit (RRU) into the RDF. The Commission should require utilities to present workpapers in RAMP and GRC filings at the RRU scale beginning with the SCE 2026 RAMP and Sempra 2028 GRC filings. Additionally, all data templates discussed in Track 2 of Phase 4 should be structured on the RRU.</w:t>
      </w:r>
    </w:p>
    <w:p w:rsidR="00094BBC" w:rsidP="00094BBC" w:rsidRDefault="00094BBC" w14:paraId="745F5198" w14:textId="526DE25F">
      <w:pPr>
        <w:pStyle w:val="Standard"/>
      </w:pPr>
      <w:r>
        <w:t>Second, SPD staff recommends adding the following definitions to the RDF for clarity related to the RRU</w:t>
      </w:r>
      <w:r w:rsidR="00223137">
        <w:t xml:space="preserve"> (language additions in </w:t>
      </w:r>
      <w:r w:rsidR="00501B52">
        <w:rPr>
          <w:i/>
          <w:iCs/>
        </w:rPr>
        <w:t>i</w:t>
      </w:r>
      <w:r w:rsidR="00223137">
        <w:rPr>
          <w:i/>
          <w:iCs/>
        </w:rPr>
        <w:t>talics</w:t>
      </w:r>
      <w:r w:rsidR="009325A1">
        <w:t>)</w:t>
      </w:r>
      <w:r>
        <w:t>:</w:t>
      </w:r>
    </w:p>
    <w:p w:rsidRPr="00461668" w:rsidR="00094BBC" w:rsidP="001F2AAF" w:rsidRDefault="00094BBC" w14:paraId="07CA2866" w14:textId="58C82CF5">
      <w:pPr>
        <w:pStyle w:val="ListBullet"/>
        <w:ind w:right="1440"/>
        <w:rPr>
          <w:i/>
          <w:iCs/>
        </w:rPr>
      </w:pPr>
      <w:r w:rsidRPr="00461668">
        <w:rPr>
          <w:i/>
          <w:iCs/>
        </w:rPr>
        <w:t xml:space="preserve">Asset: </w:t>
      </w:r>
      <w:r w:rsidRPr="00461668" w:rsidR="21CDA0E7">
        <w:rPr>
          <w:i/>
          <w:iCs/>
        </w:rPr>
        <w:t>A</w:t>
      </w:r>
      <w:r w:rsidRPr="00461668">
        <w:rPr>
          <w:i/>
          <w:iCs/>
        </w:rPr>
        <w:t xml:space="preserve"> retirement unit as defined by Federal Energy Regulatory Commission (FERC) Uniform System of Accounts (USOA) that exhibits risk.</w:t>
      </w:r>
      <w:r w:rsidRPr="00AC3FA8">
        <w:rPr>
          <w:rStyle w:val="FootnoteReference"/>
          <w:i/>
          <w:iCs/>
        </w:rPr>
        <w:footnoteReference w:id="69"/>
      </w:r>
      <w:r w:rsidRPr="00461668">
        <w:rPr>
          <w:i/>
          <w:iCs/>
        </w:rPr>
        <w:t xml:space="preserve"> </w:t>
      </w:r>
    </w:p>
    <w:p w:rsidRPr="00461668" w:rsidR="00094BBC" w:rsidP="001F2AAF" w:rsidRDefault="00094BBC" w14:paraId="717C89C6" w14:textId="5DAABF22">
      <w:pPr>
        <w:pStyle w:val="ListBullet"/>
        <w:ind w:right="1440"/>
        <w:rPr>
          <w:i/>
          <w:iCs/>
        </w:rPr>
      </w:pPr>
      <w:r w:rsidRPr="00461668">
        <w:rPr>
          <w:i/>
          <w:iCs/>
        </w:rPr>
        <w:t xml:space="preserve">Backcast: </w:t>
      </w:r>
      <w:r w:rsidRPr="00461668" w:rsidR="4249A3B6">
        <w:rPr>
          <w:i/>
          <w:iCs/>
        </w:rPr>
        <w:t>U</w:t>
      </w:r>
      <w:r w:rsidRPr="00461668">
        <w:rPr>
          <w:i/>
          <w:iCs/>
        </w:rPr>
        <w:t>se updated inputs (</w:t>
      </w:r>
      <w:r w:rsidRPr="00461668" w:rsidR="001851AD">
        <w:rPr>
          <w:i/>
          <w:iCs/>
        </w:rPr>
        <w:t>e.g.,</w:t>
      </w:r>
      <w:r w:rsidRPr="00461668">
        <w:rPr>
          <w:i/>
          <w:iCs/>
        </w:rPr>
        <w:t xml:space="preserve"> new RRUs, new risk models) to recalculate Benefit-Cost Ratios, pre-mitigated risk, post-mitigated risk or other data points as required by the RDF, </w:t>
      </w:r>
      <w:r w:rsidRPr="00461668">
        <w:rPr>
          <w:i/>
          <w:iCs/>
        </w:rPr>
        <w:lastRenderedPageBreak/>
        <w:t>Commission Ruling or Commission Decision. The goal of a Backcast is to establish a bridge between the prior inputs and the new inputs, which ensure an "apples-to-apples" comparison.</w:t>
      </w:r>
    </w:p>
    <w:p w:rsidRPr="00461668" w:rsidR="00094BBC" w:rsidP="001F2AAF" w:rsidRDefault="00094BBC" w14:paraId="51BE5E06" w14:textId="3613780E">
      <w:pPr>
        <w:pStyle w:val="ListBullet"/>
        <w:ind w:right="1440"/>
        <w:rPr>
          <w:i/>
          <w:iCs/>
        </w:rPr>
      </w:pPr>
      <w:r w:rsidRPr="00461668">
        <w:rPr>
          <w:i/>
          <w:iCs/>
        </w:rPr>
        <w:t>Mitigation/Control Program: A CPUC jurisdictional effort within Electric Operations or Gas Operations consisting of multiple risk reporting units with a defined scope that is intended to meet a specific objective.</w:t>
      </w:r>
    </w:p>
    <w:p w:rsidRPr="00970CB2" w:rsidR="00094BBC" w:rsidP="001F2AAF" w:rsidRDefault="00094BBC" w14:paraId="0F29F801" w14:textId="4AAD0B48">
      <w:pPr>
        <w:pStyle w:val="ListBullet"/>
        <w:ind w:right="1440"/>
        <w:rPr>
          <w:i/>
          <w:iCs/>
        </w:rPr>
      </w:pPr>
      <w:r w:rsidRPr="00461668">
        <w:rPr>
          <w:i/>
          <w:iCs/>
        </w:rPr>
        <w:t>Risk Reporting Unit (RRU): A CPUC jurisdictional effort within Electric Operations or Gas Operations that</w:t>
      </w:r>
      <w:r w:rsidRPr="00970CB2">
        <w:rPr>
          <w:i/>
        </w:rPr>
        <w:t xml:space="preserve"> </w:t>
      </w:r>
      <w:r w:rsidRPr="00970CB2">
        <w:rPr>
          <w:i/>
          <w:iCs/>
        </w:rPr>
        <w:t xml:space="preserve">simultaneously removes or mitigates a group of assets or systems that exhibit high levels of risk. The RRU must include common elements that </w:t>
      </w:r>
      <w:r w:rsidRPr="00970CB2" w:rsidR="00F40CD5">
        <w:rPr>
          <w:i/>
          <w:iCs/>
        </w:rPr>
        <w:t>must</w:t>
      </w:r>
      <w:r w:rsidRPr="00970CB2">
        <w:rPr>
          <w:i/>
          <w:iCs/>
        </w:rPr>
        <w:t xml:space="preserve"> include, but are not limited to Consequence Attributes, Risk level, </w:t>
      </w:r>
      <w:r w:rsidRPr="00970CB2" w:rsidR="001F2AAF">
        <w:rPr>
          <w:i/>
          <w:iCs/>
        </w:rPr>
        <w:t>line-item</w:t>
      </w:r>
      <w:r w:rsidRPr="00970CB2">
        <w:rPr>
          <w:i/>
          <w:iCs/>
        </w:rPr>
        <w:t xml:space="preserve"> costs, work units and time. The RRU can be aggregated based on unique identifiers that should include, but are not limited to, hierarchy</w:t>
      </w:r>
      <w:r w:rsidRPr="00AC3FA8">
        <w:rPr>
          <w:rStyle w:val="FootnoteReference"/>
          <w:i/>
          <w:iCs/>
        </w:rPr>
        <w:footnoteReference w:id="70"/>
      </w:r>
      <w:r w:rsidRPr="00970CB2">
        <w:rPr>
          <w:i/>
          <w:iCs/>
        </w:rPr>
        <w:t>, risk event, tranche and mitigation type.</w:t>
      </w:r>
    </w:p>
    <w:p w:rsidRPr="00970CB2" w:rsidR="00094BBC" w:rsidP="001F2AAF" w:rsidRDefault="00094BBC" w14:paraId="581C0073" w14:textId="3D81CC74">
      <w:pPr>
        <w:pStyle w:val="ListBullet"/>
        <w:ind w:right="1440"/>
        <w:rPr>
          <w:i/>
          <w:iCs/>
        </w:rPr>
      </w:pPr>
      <w:r w:rsidRPr="00970CB2">
        <w:rPr>
          <w:i/>
          <w:iCs/>
        </w:rPr>
        <w:t xml:space="preserve">System: </w:t>
      </w:r>
      <w:r w:rsidRPr="00970CB2" w:rsidR="70B109F5">
        <w:rPr>
          <w:i/>
          <w:iCs/>
        </w:rPr>
        <w:t>A</w:t>
      </w:r>
      <w:r w:rsidRPr="00970CB2">
        <w:rPr>
          <w:i/>
          <w:iCs/>
        </w:rPr>
        <w:t xml:space="preserve"> regularly interacting or interdependent group of items forming a unified whole that exhibits risk and cannot be classified as a retirement unit.</w:t>
      </w:r>
    </w:p>
    <w:p w:rsidRPr="001229E6" w:rsidR="00094BBC" w:rsidP="00094BBC" w:rsidRDefault="00094BBC" w14:paraId="454A1D8F" w14:textId="2E3BCAC3">
      <w:pPr>
        <w:spacing w:line="264" w:lineRule="auto"/>
      </w:pPr>
      <w:r>
        <w:t>Third</w:t>
      </w:r>
      <w:r w:rsidRPr="0077007C">
        <w:t>, SPD staff recommend</w:t>
      </w:r>
      <w:r>
        <w:t>s</w:t>
      </w:r>
      <w:r w:rsidRPr="0077007C">
        <w:t xml:space="preserve"> adding the </w:t>
      </w:r>
      <w:r>
        <w:t xml:space="preserve">following row to the RDF, between Rows 15 and 16, to ensure the RRU is properly </w:t>
      </w:r>
      <w:r w:rsidR="00E160F8">
        <w:t>defined</w:t>
      </w:r>
      <w:r w:rsidR="009952D1">
        <w:t xml:space="preserve">, </w:t>
      </w:r>
      <w:r>
        <w:t>integrated</w:t>
      </w:r>
      <w:r w:rsidR="009952D1">
        <w:t>, and consistently used</w:t>
      </w:r>
      <w:r>
        <w:t xml:space="preserve"> in RAMP and GRC </w:t>
      </w:r>
      <w:r w:rsidR="00867139">
        <w:t>application</w:t>
      </w:r>
      <w:r w:rsidR="006E6813">
        <w:t>s</w:t>
      </w:r>
      <w:r w:rsidR="00867139">
        <w:t xml:space="preserve"> </w:t>
      </w:r>
      <w:r w:rsidR="00A03D14">
        <w:t>(</w:t>
      </w:r>
      <w:r w:rsidR="00EC2055">
        <w:t xml:space="preserve">additions in </w:t>
      </w:r>
      <w:r w:rsidR="00EC2055">
        <w:rPr>
          <w:i/>
          <w:iCs/>
        </w:rPr>
        <w:t>italics</w:t>
      </w:r>
      <w:r w:rsidR="00EC2055">
        <w:t>)</w:t>
      </w:r>
      <w:r w:rsidRPr="0077007C">
        <w:t>:</w:t>
      </w:r>
    </w:p>
    <w:tbl>
      <w:tblPr>
        <w:tblW w:w="9313" w:type="dxa"/>
        <w:tblInd w:w="132" w:type="dxa"/>
        <w:tblBorders>
          <w:top w:val="single" w:color="8FAADB" w:sz="4" w:space="0"/>
          <w:left w:val="single" w:color="8FAADB" w:sz="4" w:space="0"/>
          <w:bottom w:val="single" w:color="8FAADB" w:sz="4" w:space="0"/>
          <w:right w:val="single" w:color="8FAADB" w:sz="4" w:space="0"/>
          <w:insideH w:val="single" w:color="8FAADB" w:sz="4" w:space="0"/>
          <w:insideV w:val="single" w:color="8FAADB" w:sz="4" w:space="0"/>
        </w:tblBorders>
        <w:tblLayout w:type="fixed"/>
        <w:tblCellMar>
          <w:left w:w="0" w:type="dxa"/>
          <w:right w:w="0" w:type="dxa"/>
        </w:tblCellMar>
        <w:tblLook w:val="01E0" w:firstRow="1" w:lastRow="1" w:firstColumn="1" w:lastColumn="1" w:noHBand="0" w:noVBand="0"/>
      </w:tblPr>
      <w:tblGrid>
        <w:gridCol w:w="985"/>
        <w:gridCol w:w="1731"/>
        <w:gridCol w:w="6597"/>
      </w:tblGrid>
      <w:tr w:rsidRPr="00D11D44" w:rsidR="00094BBC" w14:paraId="510AF8D1" w14:textId="77777777">
        <w:trPr>
          <w:trHeight w:val="1794"/>
        </w:trPr>
        <w:tc>
          <w:tcPr>
            <w:tcW w:w="985" w:type="dxa"/>
          </w:tcPr>
          <w:p w:rsidRPr="006809C2" w:rsidR="00094BBC" w:rsidRDefault="00094BBC" w14:paraId="475CD25D" w14:textId="77777777">
            <w:pPr>
              <w:widowControl w:val="0"/>
              <w:autoSpaceDE w:val="0"/>
              <w:autoSpaceDN w:val="0"/>
              <w:spacing w:line="240" w:lineRule="auto"/>
              <w:ind w:left="107"/>
              <w:rPr>
                <w:rFonts w:eastAsia="Times New Roman" w:cs="Times New Roman"/>
                <w:i/>
                <w:iCs/>
                <w:szCs w:val="26"/>
              </w:rPr>
            </w:pPr>
            <w:r w:rsidRPr="006809C2">
              <w:rPr>
                <w:rFonts w:eastAsia="Times New Roman" w:cs="Times New Roman"/>
                <w:i/>
                <w:iCs/>
                <w:spacing w:val="-5"/>
                <w:szCs w:val="26"/>
              </w:rPr>
              <w:t>15.1</w:t>
            </w:r>
          </w:p>
        </w:tc>
        <w:tc>
          <w:tcPr>
            <w:tcW w:w="1731" w:type="dxa"/>
          </w:tcPr>
          <w:p w:rsidRPr="006809C2" w:rsidR="00094BBC" w:rsidRDefault="00094BBC" w14:paraId="4EFF0457" w14:textId="77777777">
            <w:pPr>
              <w:widowControl w:val="0"/>
              <w:autoSpaceDE w:val="0"/>
              <w:autoSpaceDN w:val="0"/>
              <w:spacing w:line="240" w:lineRule="auto"/>
              <w:ind w:left="108" w:right="412"/>
              <w:rPr>
                <w:rFonts w:eastAsia="Times New Roman" w:cs="Times New Roman"/>
                <w:i/>
                <w:iCs/>
                <w:szCs w:val="26"/>
              </w:rPr>
            </w:pPr>
            <w:r w:rsidRPr="006809C2">
              <w:rPr>
                <w:rFonts w:eastAsia="Times New Roman" w:cs="Times New Roman"/>
                <w:i/>
                <w:iCs/>
                <w:szCs w:val="26"/>
              </w:rPr>
              <w:t>Define the Mitigation Risk Reporting Unit</w:t>
            </w:r>
          </w:p>
        </w:tc>
        <w:tc>
          <w:tcPr>
            <w:tcW w:w="6597" w:type="dxa"/>
          </w:tcPr>
          <w:p w:rsidRPr="00112715" w:rsidR="00094BBC" w:rsidP="00112715" w:rsidRDefault="00094BBC" w14:paraId="018807DE" w14:textId="77777777">
            <w:pPr>
              <w:pStyle w:val="TableText"/>
              <w:rPr>
                <w:i/>
              </w:rPr>
            </w:pPr>
            <w:r w:rsidRPr="00112715">
              <w:rPr>
                <w:i/>
              </w:rPr>
              <w:t>A Risk Reporting Unit (RRU) will be defined for each mitigation. The RRU must be:</w:t>
            </w:r>
          </w:p>
          <w:p w:rsidRPr="00112715" w:rsidR="00094BBC" w:rsidP="00112715" w:rsidRDefault="00094BBC" w14:paraId="5AA27A5B" w14:textId="77777777">
            <w:pPr>
              <w:pStyle w:val="TableText"/>
              <w:rPr>
                <w:i/>
              </w:rPr>
            </w:pPr>
            <w:r w:rsidRPr="00112715">
              <w:rPr>
                <w:i/>
              </w:rPr>
              <w:t xml:space="preserve">(a) traceable through all stages of a lifecycle, including but not limited to, scoping, designing, permitting, construction/implementation, post-construction. </w:t>
            </w:r>
          </w:p>
          <w:p w:rsidRPr="00112715" w:rsidR="00094BBC" w:rsidP="00112715" w:rsidRDefault="00094BBC" w14:paraId="263CE36E" w14:textId="77777777">
            <w:pPr>
              <w:pStyle w:val="TableText"/>
              <w:rPr>
                <w:i/>
              </w:rPr>
            </w:pPr>
            <w:r w:rsidRPr="00112715">
              <w:rPr>
                <w:i/>
              </w:rPr>
              <w:t xml:space="preserve">(b) forecastable to at least the third post-test year of a GRC cycle. </w:t>
            </w:r>
          </w:p>
          <w:p w:rsidRPr="00217021" w:rsidR="00094BBC" w:rsidP="00112715" w:rsidRDefault="00094BBC" w14:paraId="08EDC742" w14:textId="77777777">
            <w:pPr>
              <w:pStyle w:val="TableText"/>
              <w:rPr>
                <w:rFonts w:eastAsia="Times New Roman" w:cs="Times New Roman"/>
                <w:i/>
              </w:rPr>
            </w:pPr>
            <w:r w:rsidRPr="00217021">
              <w:rPr>
                <w:rFonts w:eastAsia="Times New Roman" w:cs="Times New Roman"/>
                <w:i/>
              </w:rPr>
              <w:t>(c) auditable in terms of timing, location, work units, cost, and risk reduction.</w:t>
            </w:r>
          </w:p>
          <w:p w:rsidRPr="00217021" w:rsidR="00094BBC" w:rsidP="00112715" w:rsidRDefault="00094BBC" w14:paraId="2501EFB7" w14:textId="77777777">
            <w:pPr>
              <w:pStyle w:val="TableText"/>
              <w:rPr>
                <w:rFonts w:eastAsia="Times New Roman" w:cs="Times New Roman"/>
                <w:i/>
              </w:rPr>
            </w:pPr>
            <w:r w:rsidRPr="00217021">
              <w:rPr>
                <w:rFonts w:eastAsia="Times New Roman" w:cs="Times New Roman"/>
                <w:i/>
              </w:rPr>
              <w:t>(d) able to aggregate up to the Mitigation Program or Control Program.</w:t>
            </w:r>
          </w:p>
          <w:p w:rsidRPr="00217021" w:rsidR="00094BBC" w:rsidP="00112715" w:rsidRDefault="00094BBC" w14:paraId="565616EC" w14:textId="77777777">
            <w:pPr>
              <w:pStyle w:val="TableText"/>
              <w:rPr>
                <w:rFonts w:eastAsia="Times New Roman" w:cs="Times New Roman"/>
                <w:i/>
              </w:rPr>
            </w:pPr>
          </w:p>
          <w:p w:rsidRPr="004B20DB" w:rsidR="00094BBC" w:rsidP="00112715" w:rsidRDefault="00094BBC" w14:paraId="3694B246" w14:textId="56EB81C7">
            <w:pPr>
              <w:pStyle w:val="TableText"/>
            </w:pPr>
            <w:r w:rsidRPr="00217021">
              <w:rPr>
                <w:rFonts w:eastAsia="Times New Roman" w:cs="Times New Roman"/>
                <w:i/>
              </w:rPr>
              <w:t xml:space="preserve">Once the level of granularity of an RRU for each risk is established, beginning with SCE’s 2026 RAMP and SDG&amp;E’s 2028 GRC filings, that level of granularity for the RRU should be maintained for all future filings which include that risk. If a utility wishes to update an RRU’s level of </w:t>
            </w:r>
            <w:r w:rsidRPr="00217021">
              <w:rPr>
                <w:rFonts w:eastAsia="Times New Roman" w:cs="Times New Roman"/>
                <w:i/>
              </w:rPr>
              <w:lastRenderedPageBreak/>
              <w:t>granularity it must clearly explain the method it chose to update the granularity and how the granularity of the new RRU differs from the granularity of the prior RRU. Additionally, the utility must provide a Backcast of post</w:t>
            </w:r>
            <w:r w:rsidRPr="00112715">
              <w:rPr>
                <w:i/>
              </w:rPr>
              <w:t>-</w:t>
            </w:r>
            <w:r w:rsidRPr="00217021">
              <w:rPr>
                <w:rFonts w:eastAsia="Times New Roman" w:cs="Times New Roman"/>
                <w:i/>
              </w:rPr>
              <w:t>mitigated risk, risk reduction and Benefit-Cost Ratios submitted to the previous cycles of RAMPs and GRCs that are impacted by an update to the RRU’s level of granularity.</w:t>
            </w:r>
          </w:p>
        </w:tc>
      </w:tr>
    </w:tbl>
    <w:p w:rsidR="00094BBC" w:rsidP="00094BBC" w:rsidRDefault="00094BBC" w14:paraId="2CF84A36" w14:textId="77777777">
      <w:pPr>
        <w:pStyle w:val="Standard"/>
      </w:pPr>
    </w:p>
    <w:p w:rsidR="00094BBC" w:rsidP="00094BBC" w:rsidRDefault="00094BBC" w14:paraId="4C43BCC1" w14:textId="2CD4FCCA">
      <w:pPr>
        <w:pStyle w:val="Standard"/>
      </w:pPr>
      <w:r>
        <w:t xml:space="preserve">Finally, SPD staff recommends the following changes to the RDF to ensure the RRU is properly integrated with all relevant aspects of RAMP and GRC </w:t>
      </w:r>
      <w:r w:rsidR="006E6813">
        <w:t>a</w:t>
      </w:r>
      <w:r>
        <w:t>pplication</w:t>
      </w:r>
      <w:r w:rsidR="006E6813">
        <w:t>s</w:t>
      </w:r>
      <w:r>
        <w:t xml:space="preserve"> (language additions in </w:t>
      </w:r>
      <w:r>
        <w:rPr>
          <w:i/>
          <w:iCs/>
        </w:rPr>
        <w:t>italics</w:t>
      </w:r>
      <w:r>
        <w:t xml:space="preserve"> and deletions in </w:t>
      </w:r>
      <w:r w:rsidRPr="003A4B5A">
        <w:rPr>
          <w:strike/>
        </w:rPr>
        <w:t>strikethrough</w:t>
      </w:r>
      <w:r w:rsidRPr="00184018">
        <w:t>):</w:t>
      </w:r>
    </w:p>
    <w:tbl>
      <w:tblPr>
        <w:tblW w:w="9313" w:type="dxa"/>
        <w:tblInd w:w="132" w:type="dxa"/>
        <w:tblBorders>
          <w:top w:val="single" w:color="8FAADB" w:sz="4" w:space="0"/>
          <w:left w:val="single" w:color="8FAADB" w:sz="4" w:space="0"/>
          <w:bottom w:val="single" w:color="8FAADB" w:sz="4" w:space="0"/>
          <w:right w:val="single" w:color="8FAADB" w:sz="4" w:space="0"/>
          <w:insideH w:val="single" w:color="8FAADB" w:sz="4" w:space="0"/>
          <w:insideV w:val="single" w:color="8FAADB" w:sz="4" w:space="0"/>
        </w:tblBorders>
        <w:tblLayout w:type="fixed"/>
        <w:tblCellMar>
          <w:left w:w="0" w:type="dxa"/>
          <w:right w:w="0" w:type="dxa"/>
        </w:tblCellMar>
        <w:tblLook w:val="01E0" w:firstRow="1" w:lastRow="1" w:firstColumn="1" w:lastColumn="1" w:noHBand="0" w:noVBand="0"/>
      </w:tblPr>
      <w:tblGrid>
        <w:gridCol w:w="985"/>
        <w:gridCol w:w="1731"/>
        <w:gridCol w:w="6597"/>
      </w:tblGrid>
      <w:tr w:rsidRPr="008867F5" w:rsidR="00094BBC" w14:paraId="549DEE19" w14:textId="77777777">
        <w:trPr>
          <w:trHeight w:val="1295"/>
        </w:trPr>
        <w:tc>
          <w:tcPr>
            <w:tcW w:w="985" w:type="dxa"/>
          </w:tcPr>
          <w:p w:rsidRPr="008867F5" w:rsidR="00094BBC" w:rsidRDefault="00094BBC" w14:paraId="5DAD085C" w14:textId="77777777">
            <w:pPr>
              <w:widowControl w:val="0"/>
              <w:autoSpaceDE w:val="0"/>
              <w:autoSpaceDN w:val="0"/>
              <w:spacing w:line="298" w:lineRule="exact"/>
              <w:ind w:left="107"/>
              <w:rPr>
                <w:rFonts w:eastAsia="Times New Roman" w:cs="Times New Roman"/>
                <w:szCs w:val="26"/>
              </w:rPr>
            </w:pPr>
            <w:r w:rsidRPr="008867F5">
              <w:rPr>
                <w:rFonts w:eastAsia="Times New Roman" w:cs="Times New Roman"/>
                <w:spacing w:val="-5"/>
                <w:szCs w:val="26"/>
              </w:rPr>
              <w:t>14.</w:t>
            </w:r>
          </w:p>
        </w:tc>
        <w:tc>
          <w:tcPr>
            <w:tcW w:w="1731" w:type="dxa"/>
          </w:tcPr>
          <w:p w:rsidRPr="00112715" w:rsidR="00094BBC" w:rsidP="00112715" w:rsidRDefault="00094BBC" w14:paraId="52269FDE" w14:textId="77777777">
            <w:pPr>
              <w:pStyle w:val="TableText"/>
              <w:rPr>
                <w:szCs w:val="26"/>
              </w:rPr>
            </w:pPr>
            <w:r w:rsidRPr="00112715">
              <w:rPr>
                <w:sz w:val="26"/>
                <w:szCs w:val="26"/>
              </w:rPr>
              <w:t>Definition of Risk Events and</w:t>
            </w:r>
            <w:r w:rsidRPr="00112715">
              <w:rPr>
                <w:spacing w:val="-17"/>
                <w:sz w:val="26"/>
                <w:szCs w:val="26"/>
              </w:rPr>
              <w:t xml:space="preserve"> </w:t>
            </w:r>
            <w:r w:rsidRPr="00112715">
              <w:rPr>
                <w:sz w:val="26"/>
                <w:szCs w:val="26"/>
              </w:rPr>
              <w:t>Tranches</w:t>
            </w:r>
          </w:p>
        </w:tc>
        <w:tc>
          <w:tcPr>
            <w:tcW w:w="6597" w:type="dxa"/>
          </w:tcPr>
          <w:p w:rsidRPr="008867F5" w:rsidR="00094BBC" w:rsidP="00112715" w:rsidRDefault="00094BBC" w14:paraId="2ECFD773" w14:textId="77777777">
            <w:pPr>
              <w:pStyle w:val="TableText"/>
            </w:pPr>
            <w:r w:rsidRPr="008867F5">
              <w:t xml:space="preserve">Detailed pre- and post-mitigation analysis of Mitigations </w:t>
            </w:r>
            <w:r w:rsidRPr="008867F5">
              <w:rPr>
                <w:i/>
              </w:rPr>
              <w:t>and Controls</w:t>
            </w:r>
            <w:r w:rsidRPr="008867F5">
              <w:t xml:space="preserve"> will be performed for each risk selected for inclusion in the RAMP.</w:t>
            </w:r>
            <w:r w:rsidRPr="008867F5">
              <w:rPr>
                <w:spacing w:val="40"/>
              </w:rPr>
              <w:t xml:space="preserve"> </w:t>
            </w:r>
            <w:r w:rsidRPr="008867F5">
              <w:t>The utility will endeavor to identify all asset groups or systems subject to the risk and each Risk Event associated with the risk.</w:t>
            </w:r>
            <w:r w:rsidRPr="008867F5">
              <w:rPr>
                <w:spacing w:val="40"/>
              </w:rPr>
              <w:t xml:space="preserve"> </w:t>
            </w:r>
            <w:r w:rsidRPr="008867F5">
              <w:t>For example, if Steps 2A and 2B identify wildfires associated with utility facilities as a RAMP Risk</w:t>
            </w:r>
            <w:r w:rsidRPr="008867F5">
              <w:rPr>
                <w:spacing w:val="-4"/>
              </w:rPr>
              <w:t xml:space="preserve"> </w:t>
            </w:r>
            <w:r w:rsidRPr="008867F5">
              <w:t>Event,</w:t>
            </w:r>
            <w:r w:rsidRPr="008867F5">
              <w:rPr>
                <w:spacing w:val="-4"/>
              </w:rPr>
              <w:t xml:space="preserve"> </w:t>
            </w:r>
            <w:r w:rsidRPr="008867F5">
              <w:t>the</w:t>
            </w:r>
            <w:r w:rsidRPr="008867F5">
              <w:rPr>
                <w:spacing w:val="-4"/>
              </w:rPr>
              <w:t xml:space="preserve"> </w:t>
            </w:r>
            <w:r w:rsidRPr="008867F5">
              <w:t>utility</w:t>
            </w:r>
            <w:r w:rsidRPr="008867F5">
              <w:rPr>
                <w:spacing w:val="-4"/>
              </w:rPr>
              <w:t xml:space="preserve"> </w:t>
            </w:r>
            <w:r w:rsidRPr="008867F5">
              <w:t>will</w:t>
            </w:r>
            <w:r w:rsidRPr="008867F5">
              <w:rPr>
                <w:spacing w:val="-4"/>
              </w:rPr>
              <w:t xml:space="preserve"> </w:t>
            </w:r>
            <w:r w:rsidRPr="008867F5">
              <w:t>identify</w:t>
            </w:r>
            <w:r w:rsidRPr="008867F5">
              <w:rPr>
                <w:spacing w:val="-4"/>
              </w:rPr>
              <w:t xml:space="preserve"> </w:t>
            </w:r>
            <w:r w:rsidRPr="008867F5">
              <w:t>all</w:t>
            </w:r>
            <w:r w:rsidRPr="008867F5">
              <w:rPr>
                <w:spacing w:val="-4"/>
              </w:rPr>
              <w:t xml:space="preserve"> D</w:t>
            </w:r>
            <w:r w:rsidRPr="008867F5">
              <w:t>rivers</w:t>
            </w:r>
            <w:r w:rsidRPr="008867F5">
              <w:rPr>
                <w:spacing w:val="-4"/>
              </w:rPr>
              <w:t xml:space="preserve"> </w:t>
            </w:r>
            <w:r w:rsidRPr="008867F5">
              <w:t>that</w:t>
            </w:r>
            <w:r w:rsidRPr="008867F5">
              <w:rPr>
                <w:spacing w:val="-4"/>
              </w:rPr>
              <w:t xml:space="preserve"> </w:t>
            </w:r>
            <w:r w:rsidRPr="008867F5">
              <w:t>could</w:t>
            </w:r>
            <w:r w:rsidRPr="008867F5">
              <w:rPr>
                <w:spacing w:val="-4"/>
              </w:rPr>
              <w:t xml:space="preserve"> </w:t>
            </w:r>
            <w:r w:rsidRPr="008867F5">
              <w:t>cause</w:t>
            </w:r>
            <w:r w:rsidRPr="008867F5">
              <w:rPr>
                <w:spacing w:val="-4"/>
              </w:rPr>
              <w:t xml:space="preserve"> </w:t>
            </w:r>
            <w:r w:rsidRPr="008867F5">
              <w:t>a</w:t>
            </w:r>
            <w:r w:rsidRPr="008867F5">
              <w:rPr>
                <w:spacing w:val="-3"/>
              </w:rPr>
              <w:t xml:space="preserve"> </w:t>
            </w:r>
            <w:r w:rsidRPr="008867F5">
              <w:t>wildfire and each group of assets or systems that could be associated with the wildfire risk, such as overhead wires and transformers.</w:t>
            </w:r>
          </w:p>
          <w:p w:rsidRPr="008867F5" w:rsidR="00094BBC" w:rsidRDefault="00094BBC" w14:paraId="76891B69" w14:textId="77777777">
            <w:pPr>
              <w:widowControl w:val="0"/>
              <w:autoSpaceDE w:val="0"/>
              <w:autoSpaceDN w:val="0"/>
              <w:spacing w:line="240" w:lineRule="auto"/>
              <w:rPr>
                <w:rFonts w:eastAsia="Times New Roman" w:cs="Times New Roman"/>
                <w:b/>
                <w:szCs w:val="26"/>
              </w:rPr>
            </w:pPr>
          </w:p>
          <w:p w:rsidRPr="008867F5" w:rsidR="00094BBC" w:rsidP="00112715" w:rsidRDefault="00094BBC" w14:paraId="04ED73AC" w14:textId="01F2A528">
            <w:pPr>
              <w:pStyle w:val="TableText"/>
              <w:rPr>
                <w:i/>
              </w:rPr>
            </w:pPr>
            <w:r w:rsidRPr="008867F5">
              <w:t>For each Risk Event, the utility will subdivide the group of assets or the system associated with the risk into Tranches.</w:t>
            </w:r>
            <w:r w:rsidRPr="008867F5">
              <w:rPr>
                <w:spacing w:val="40"/>
              </w:rPr>
              <w:t xml:space="preserve"> </w:t>
            </w:r>
            <w:r w:rsidRPr="008867F5">
              <w:t xml:space="preserve">Risk reductions from Mitigation </w:t>
            </w:r>
            <w:r w:rsidRPr="008867F5">
              <w:rPr>
                <w:i/>
              </w:rPr>
              <w:t>and Control Programs</w:t>
            </w:r>
            <w:r w:rsidRPr="008867F5">
              <w:rPr>
                <w:spacing w:val="-4"/>
              </w:rPr>
              <w:t xml:space="preserve"> </w:t>
            </w:r>
            <w:r w:rsidRPr="008867F5">
              <w:t>and</w:t>
            </w:r>
            <w:r w:rsidRPr="008867F5">
              <w:rPr>
                <w:spacing w:val="-4"/>
              </w:rPr>
              <w:t xml:space="preserve"> </w:t>
            </w:r>
            <w:r w:rsidRPr="006809C2">
              <w:rPr>
                <w:strike/>
              </w:rPr>
              <w:t xml:space="preserve">Cost </w:t>
            </w:r>
            <w:r w:rsidRPr="008867F5">
              <w:t>Benefit</w:t>
            </w:r>
            <w:r w:rsidRPr="006809C2" w:rsidR="002F7C29">
              <w:rPr>
                <w:i/>
              </w:rPr>
              <w:t>-Cost</w:t>
            </w:r>
            <w:r w:rsidRPr="008867F5">
              <w:t xml:space="preserve"> Ratios will</w:t>
            </w:r>
            <w:r w:rsidRPr="008867F5">
              <w:rPr>
                <w:spacing w:val="-4"/>
              </w:rPr>
              <w:t xml:space="preserve"> </w:t>
            </w:r>
            <w:r w:rsidRPr="008867F5">
              <w:t>be</w:t>
            </w:r>
            <w:r w:rsidRPr="008867F5">
              <w:rPr>
                <w:spacing w:val="-4"/>
              </w:rPr>
              <w:t xml:space="preserve"> </w:t>
            </w:r>
            <w:r w:rsidRPr="008867F5">
              <w:t>determined</w:t>
            </w:r>
            <w:r w:rsidRPr="008867F5">
              <w:rPr>
                <w:spacing w:val="-4"/>
              </w:rPr>
              <w:t xml:space="preserve"> </w:t>
            </w:r>
            <w:r w:rsidRPr="008867F5">
              <w:t>at</w:t>
            </w:r>
            <w:r w:rsidRPr="008867F5">
              <w:rPr>
                <w:spacing w:val="-4"/>
              </w:rPr>
              <w:t xml:space="preserve"> </w:t>
            </w:r>
            <w:r w:rsidRPr="008867F5">
              <w:t>the</w:t>
            </w:r>
            <w:r w:rsidRPr="008867F5">
              <w:rPr>
                <w:spacing w:val="-3"/>
              </w:rPr>
              <w:t xml:space="preserve"> </w:t>
            </w:r>
            <w:r w:rsidRPr="008867F5">
              <w:t xml:space="preserve">Tranche level, which gives a more granular view of how Mitigations </w:t>
            </w:r>
            <w:r w:rsidRPr="008867F5">
              <w:rPr>
                <w:i/>
              </w:rPr>
              <w:t xml:space="preserve">and Control Programs </w:t>
            </w:r>
            <w:r w:rsidRPr="008867F5">
              <w:t xml:space="preserve">will reduce </w:t>
            </w:r>
            <w:r w:rsidRPr="008867F5">
              <w:rPr>
                <w:spacing w:val="-2"/>
              </w:rPr>
              <w:t xml:space="preserve">Risk. </w:t>
            </w:r>
            <w:r w:rsidRPr="008867F5">
              <w:rPr>
                <w:i/>
                <w:spacing w:val="-2"/>
              </w:rPr>
              <w:t>The utility will identify which Risk Reporting Units are responsible for reducing risk in each tranche.</w:t>
            </w:r>
          </w:p>
          <w:p w:rsidRPr="008867F5" w:rsidR="00094BBC" w:rsidRDefault="00094BBC" w14:paraId="247B4FF3" w14:textId="77777777">
            <w:pPr>
              <w:widowControl w:val="0"/>
              <w:autoSpaceDE w:val="0"/>
              <w:autoSpaceDN w:val="0"/>
              <w:spacing w:before="10" w:line="240" w:lineRule="auto"/>
              <w:rPr>
                <w:rFonts w:eastAsia="Times New Roman" w:cs="Times New Roman"/>
                <w:b/>
                <w:szCs w:val="26"/>
              </w:rPr>
            </w:pPr>
          </w:p>
          <w:p w:rsidRPr="008867F5" w:rsidR="00094BBC" w:rsidP="00112715" w:rsidRDefault="00094BBC" w14:paraId="29B6D52D" w14:textId="77777777">
            <w:pPr>
              <w:pStyle w:val="TableText"/>
            </w:pPr>
            <w:r w:rsidRPr="008867F5">
              <w:t>The</w:t>
            </w:r>
            <w:r w:rsidRPr="008867F5">
              <w:rPr>
                <w:spacing w:val="-4"/>
              </w:rPr>
              <w:t xml:space="preserve"> </w:t>
            </w:r>
            <w:r w:rsidRPr="008867F5">
              <w:t>determination</w:t>
            </w:r>
            <w:r w:rsidRPr="008867F5">
              <w:rPr>
                <w:spacing w:val="-4"/>
              </w:rPr>
              <w:t xml:space="preserve"> </w:t>
            </w:r>
            <w:r w:rsidRPr="008867F5">
              <w:t>of</w:t>
            </w:r>
            <w:r w:rsidRPr="008867F5">
              <w:rPr>
                <w:spacing w:val="-4"/>
              </w:rPr>
              <w:t xml:space="preserve"> </w:t>
            </w:r>
            <w:r w:rsidRPr="008867F5">
              <w:t>Tranches</w:t>
            </w:r>
            <w:r w:rsidRPr="008867F5">
              <w:rPr>
                <w:spacing w:val="-4"/>
              </w:rPr>
              <w:t xml:space="preserve"> </w:t>
            </w:r>
            <w:r w:rsidRPr="008867F5">
              <w:t>will</w:t>
            </w:r>
            <w:r w:rsidRPr="008867F5">
              <w:rPr>
                <w:spacing w:val="-4"/>
              </w:rPr>
              <w:t xml:space="preserve"> generally </w:t>
            </w:r>
            <w:r w:rsidRPr="008867F5">
              <w:t>be</w:t>
            </w:r>
            <w:r w:rsidRPr="008867F5">
              <w:rPr>
                <w:spacing w:val="-4"/>
              </w:rPr>
              <w:t xml:space="preserve"> </w:t>
            </w:r>
            <w:r w:rsidRPr="008867F5">
              <w:t>based</w:t>
            </w:r>
            <w:r w:rsidRPr="008867F5">
              <w:rPr>
                <w:spacing w:val="-4"/>
              </w:rPr>
              <w:t xml:space="preserve"> </w:t>
            </w:r>
            <w:r w:rsidRPr="008867F5">
              <w:t>on</w:t>
            </w:r>
            <w:r w:rsidRPr="008867F5">
              <w:rPr>
                <w:spacing w:val="-4"/>
              </w:rPr>
              <w:t xml:space="preserve"> </w:t>
            </w:r>
            <w:r w:rsidRPr="008867F5">
              <w:t>how</w:t>
            </w:r>
            <w:r w:rsidRPr="008867F5">
              <w:rPr>
                <w:spacing w:val="-4"/>
              </w:rPr>
              <w:t xml:space="preserve"> </w:t>
            </w:r>
            <w:r w:rsidRPr="008867F5">
              <w:t>the</w:t>
            </w:r>
            <w:r w:rsidRPr="008867F5">
              <w:rPr>
                <w:spacing w:val="-4"/>
              </w:rPr>
              <w:t xml:space="preserve"> </w:t>
            </w:r>
            <w:r w:rsidRPr="008867F5">
              <w:t>risks, as a product of LoRE and CoRE,</w:t>
            </w:r>
            <w:r w:rsidRPr="008867F5">
              <w:rPr>
                <w:spacing w:val="-4"/>
              </w:rPr>
              <w:t xml:space="preserve"> </w:t>
            </w:r>
            <w:r w:rsidRPr="008867F5">
              <w:t>and</w:t>
            </w:r>
            <w:r w:rsidRPr="008867F5">
              <w:rPr>
                <w:spacing w:val="-4"/>
              </w:rPr>
              <w:t xml:space="preserve"> </w:t>
            </w:r>
            <w:r w:rsidRPr="008867F5">
              <w:t>assets are managed by each utility, data availability and model maturity, and strive to achieve as deep a level of granularity as reasonably possible. The rationale for the determination of Tranches, or for a utility’s judgment</w:t>
            </w:r>
            <w:r w:rsidRPr="008867F5">
              <w:rPr>
                <w:spacing w:val="-4"/>
              </w:rPr>
              <w:t xml:space="preserve"> </w:t>
            </w:r>
            <w:r w:rsidRPr="008867F5">
              <w:t>that</w:t>
            </w:r>
            <w:r w:rsidRPr="008867F5">
              <w:rPr>
                <w:spacing w:val="-4"/>
              </w:rPr>
              <w:t xml:space="preserve"> </w:t>
            </w:r>
            <w:r w:rsidRPr="008867F5">
              <w:t>no</w:t>
            </w:r>
            <w:r w:rsidRPr="008867F5">
              <w:rPr>
                <w:spacing w:val="-4"/>
              </w:rPr>
              <w:t xml:space="preserve"> </w:t>
            </w:r>
            <w:r w:rsidRPr="008867F5">
              <w:t>Tranches</w:t>
            </w:r>
            <w:r w:rsidRPr="008867F5">
              <w:rPr>
                <w:spacing w:val="-4"/>
              </w:rPr>
              <w:t xml:space="preserve"> </w:t>
            </w:r>
            <w:r w:rsidRPr="008867F5">
              <w:t>are</w:t>
            </w:r>
            <w:r w:rsidRPr="008867F5">
              <w:rPr>
                <w:spacing w:val="-4"/>
              </w:rPr>
              <w:t xml:space="preserve"> </w:t>
            </w:r>
            <w:r w:rsidRPr="008867F5">
              <w:t>appropriate</w:t>
            </w:r>
            <w:r w:rsidRPr="008867F5">
              <w:rPr>
                <w:spacing w:val="-4"/>
              </w:rPr>
              <w:t xml:space="preserve"> </w:t>
            </w:r>
            <w:r w:rsidRPr="008867F5">
              <w:t>for</w:t>
            </w:r>
            <w:r w:rsidRPr="008867F5">
              <w:rPr>
                <w:spacing w:val="-4"/>
              </w:rPr>
              <w:t xml:space="preserve"> </w:t>
            </w:r>
            <w:r w:rsidRPr="008867F5">
              <w:t>a</w:t>
            </w:r>
            <w:r w:rsidRPr="008867F5">
              <w:rPr>
                <w:spacing w:val="-4"/>
              </w:rPr>
              <w:t xml:space="preserve"> </w:t>
            </w:r>
            <w:r w:rsidRPr="008867F5">
              <w:t>given</w:t>
            </w:r>
            <w:r w:rsidRPr="008867F5">
              <w:rPr>
                <w:spacing w:val="-4"/>
              </w:rPr>
              <w:t xml:space="preserve"> </w:t>
            </w:r>
            <w:r w:rsidRPr="008867F5">
              <w:t>Risk</w:t>
            </w:r>
            <w:r w:rsidRPr="008867F5">
              <w:rPr>
                <w:spacing w:val="-4"/>
              </w:rPr>
              <w:t xml:space="preserve"> </w:t>
            </w:r>
            <w:r w:rsidRPr="008867F5">
              <w:t>Event,</w:t>
            </w:r>
            <w:r w:rsidRPr="008867F5">
              <w:rPr>
                <w:spacing w:val="-4"/>
              </w:rPr>
              <w:t xml:space="preserve"> </w:t>
            </w:r>
            <w:r w:rsidRPr="008867F5">
              <w:t>will be presented in the utility’s RAMP submission.</w:t>
            </w:r>
          </w:p>
          <w:p w:rsidRPr="008867F5" w:rsidR="00094BBC" w:rsidRDefault="00094BBC" w14:paraId="661CE627" w14:textId="77777777">
            <w:pPr>
              <w:widowControl w:val="0"/>
              <w:autoSpaceDE w:val="0"/>
              <w:autoSpaceDN w:val="0"/>
              <w:spacing w:before="11" w:line="240" w:lineRule="auto"/>
              <w:rPr>
                <w:rFonts w:eastAsia="Times New Roman" w:cs="Times New Roman"/>
                <w:b/>
                <w:szCs w:val="26"/>
              </w:rPr>
            </w:pPr>
          </w:p>
          <w:p w:rsidRPr="008867F5" w:rsidR="00094BBC" w:rsidP="00112715" w:rsidRDefault="00094BBC" w14:paraId="7DB658F4" w14:textId="77777777">
            <w:pPr>
              <w:pStyle w:val="TableText"/>
              <w:rPr>
                <w:spacing w:val="-2"/>
              </w:rPr>
            </w:pPr>
            <w:r w:rsidRPr="008867F5">
              <w:t>For</w:t>
            </w:r>
            <w:r w:rsidRPr="008867F5">
              <w:rPr>
                <w:spacing w:val="-4"/>
              </w:rPr>
              <w:t xml:space="preserve"> </w:t>
            </w:r>
            <w:r w:rsidRPr="008867F5">
              <w:t>the</w:t>
            </w:r>
            <w:r w:rsidRPr="008867F5">
              <w:rPr>
                <w:spacing w:val="-4"/>
              </w:rPr>
              <w:t xml:space="preserve"> </w:t>
            </w:r>
            <w:r w:rsidRPr="008867F5">
              <w:t>purposes</w:t>
            </w:r>
            <w:r w:rsidRPr="008867F5">
              <w:rPr>
                <w:spacing w:val="-4"/>
              </w:rPr>
              <w:t xml:space="preserve"> </w:t>
            </w:r>
            <w:r w:rsidRPr="008867F5">
              <w:t>of</w:t>
            </w:r>
            <w:r w:rsidRPr="008867F5">
              <w:rPr>
                <w:spacing w:val="-4"/>
              </w:rPr>
              <w:t xml:space="preserve"> </w:t>
            </w:r>
            <w:r w:rsidRPr="008867F5">
              <w:t>the</w:t>
            </w:r>
            <w:r w:rsidRPr="008867F5">
              <w:rPr>
                <w:spacing w:val="-4"/>
              </w:rPr>
              <w:t xml:space="preserve"> </w:t>
            </w:r>
            <w:r w:rsidRPr="008867F5">
              <w:t>risk</w:t>
            </w:r>
            <w:r w:rsidRPr="008867F5">
              <w:rPr>
                <w:spacing w:val="-4"/>
              </w:rPr>
              <w:t xml:space="preserve"> </w:t>
            </w:r>
            <w:r w:rsidRPr="008867F5">
              <w:t>analysis,</w:t>
            </w:r>
            <w:r w:rsidRPr="008867F5">
              <w:rPr>
                <w:spacing w:val="-4"/>
              </w:rPr>
              <w:t xml:space="preserve"> all of the </w:t>
            </w:r>
            <w:r w:rsidRPr="008867F5">
              <w:t>elements</w:t>
            </w:r>
            <w:r w:rsidRPr="008867F5">
              <w:rPr>
                <w:spacing w:val="-4"/>
              </w:rPr>
              <w:t xml:space="preserve"> </w:t>
            </w:r>
            <w:r w:rsidRPr="008867F5">
              <w:t>(i.e.,</w:t>
            </w:r>
            <w:r w:rsidRPr="008867F5">
              <w:rPr>
                <w:spacing w:val="-4"/>
              </w:rPr>
              <w:t xml:space="preserve"> </w:t>
            </w:r>
            <w:r w:rsidRPr="008867F5">
              <w:t>assets</w:t>
            </w:r>
            <w:r w:rsidRPr="008867F5">
              <w:rPr>
                <w:spacing w:val="-4"/>
              </w:rPr>
              <w:t xml:space="preserve"> </w:t>
            </w:r>
            <w:r w:rsidRPr="008867F5">
              <w:t>or</w:t>
            </w:r>
            <w:r w:rsidRPr="008867F5">
              <w:rPr>
                <w:spacing w:val="-4"/>
              </w:rPr>
              <w:t xml:space="preserve"> </w:t>
            </w:r>
            <w:r w:rsidRPr="008867F5">
              <w:t xml:space="preserve">system) that are scoped for a given RAMP and GRC Application and contained within the identified Tranche would be considered to have homogeneous risk profiles, meaning they should have the same LoRE and </w:t>
            </w:r>
            <w:r w:rsidRPr="008867F5">
              <w:rPr>
                <w:spacing w:val="-2"/>
              </w:rPr>
              <w:t>CoRE.</w:t>
            </w:r>
          </w:p>
          <w:p w:rsidRPr="008867F5" w:rsidR="00094BBC" w:rsidRDefault="00094BBC" w14:paraId="577F9355" w14:textId="77777777">
            <w:pPr>
              <w:widowControl w:val="0"/>
              <w:autoSpaceDE w:val="0"/>
              <w:autoSpaceDN w:val="0"/>
              <w:spacing w:line="240" w:lineRule="auto"/>
              <w:ind w:left="108" w:right="92"/>
              <w:rPr>
                <w:rFonts w:eastAsia="Times New Roman" w:cs="Times New Roman"/>
                <w:szCs w:val="26"/>
              </w:rPr>
            </w:pPr>
          </w:p>
          <w:p w:rsidR="00094BBC" w:rsidP="00994628" w:rsidRDefault="00094BBC" w14:paraId="5444061C" w14:textId="77777777">
            <w:pPr>
              <w:pStyle w:val="TableText"/>
            </w:pPr>
            <w:r w:rsidRPr="008867F5">
              <w:t xml:space="preserve">The best practice for determining the homogeneity of risk profiles in reporting Tranches is the use of quintiles of LoRE and quintiles of CoRE, resulting in 25 reporting tranches.  The utility can and should submit more granular data in workbooks included with RAMP and GRC filings if it is available. If the assets or system associated with a given risk are less than 25 in number, the utility may use an alternative means of determining homogeneity of risk profiles, including quartiles or other smaller divisions of LoRE and CoRE, but this alternative means must be described in detail in the RAMP filing. </w:t>
            </w:r>
            <w:bookmarkStart w:name="_Hlk156807866" w:id="32"/>
          </w:p>
          <w:p w:rsidRPr="008867F5" w:rsidR="00B8141B" w:rsidP="00112715" w:rsidRDefault="00B8141B" w14:paraId="1BDB0771" w14:textId="77777777">
            <w:pPr>
              <w:pStyle w:val="TableText"/>
            </w:pPr>
          </w:p>
          <w:p w:rsidRPr="008867F5" w:rsidR="00094BBC" w:rsidP="00112715" w:rsidRDefault="00094BBC" w14:paraId="50AB3F08" w14:textId="77777777">
            <w:pPr>
              <w:pStyle w:val="TableText"/>
            </w:pPr>
            <w:r w:rsidRPr="008867F5">
              <w:t>If a utility desires to use an alternative determination of Tranches not reflecting 25 homogenous risk profiles based on LoRE and CoRE, or they wish to use a percentile ranking approach that would result in more than 25 reporting Tranches, the utility must submit a White Paper describing their preferred method for determining Tranches and relevant workpapers to SPD no later than 45 days before their first pre-RAMP workshop and must serve the White Paper to the service list of R.20-07-013 or a successor proceeding as well as the service list of the utility’s most recent RAMP application no later than 45 days before their first pre-RAMP workshop.</w:t>
            </w:r>
            <w:bookmarkEnd w:id="32"/>
            <w:r w:rsidRPr="008867F5">
              <w:t xml:space="preserve"> Staff and parties may provide input on the IOU’s White Paper within the 21 days of the submittal. The utility must also include the White Paper in its RAMP filing, clearly indicating any changes to the previously served version. An IOU may submit this White Paper without prejudice to the right of parties</w:t>
            </w:r>
            <w:r w:rsidRPr="008867F5">
              <w:rPr>
                <w:spacing w:val="-4"/>
              </w:rPr>
              <w:t xml:space="preserve"> </w:t>
            </w:r>
            <w:r w:rsidRPr="008867F5">
              <w:t>to</w:t>
            </w:r>
            <w:r w:rsidRPr="008867F5">
              <w:rPr>
                <w:spacing w:val="-4"/>
              </w:rPr>
              <w:t xml:space="preserve"> </w:t>
            </w:r>
            <w:r w:rsidRPr="008867F5">
              <w:t>the</w:t>
            </w:r>
            <w:r w:rsidRPr="008867F5">
              <w:rPr>
                <w:spacing w:val="-4"/>
              </w:rPr>
              <w:t xml:space="preserve"> </w:t>
            </w:r>
            <w:r w:rsidRPr="008867F5">
              <w:t>RAMP</w:t>
            </w:r>
            <w:r w:rsidRPr="008867F5">
              <w:rPr>
                <w:spacing w:val="-4"/>
              </w:rPr>
              <w:t xml:space="preserve"> </w:t>
            </w:r>
            <w:r w:rsidRPr="008867F5">
              <w:t>or</w:t>
            </w:r>
            <w:r w:rsidRPr="008867F5">
              <w:rPr>
                <w:spacing w:val="-4"/>
              </w:rPr>
              <w:t xml:space="preserve"> </w:t>
            </w:r>
            <w:r w:rsidRPr="008867F5">
              <w:t>GRC</w:t>
            </w:r>
            <w:r w:rsidRPr="008867F5">
              <w:rPr>
                <w:spacing w:val="-4"/>
              </w:rPr>
              <w:t xml:space="preserve"> </w:t>
            </w:r>
            <w:r w:rsidRPr="008867F5">
              <w:t>to</w:t>
            </w:r>
            <w:r w:rsidRPr="008867F5">
              <w:rPr>
                <w:spacing w:val="-4"/>
              </w:rPr>
              <w:t xml:space="preserve"> </w:t>
            </w:r>
            <w:r w:rsidRPr="008867F5">
              <w:t>challenge</w:t>
            </w:r>
            <w:r w:rsidRPr="008867F5">
              <w:rPr>
                <w:spacing w:val="-4"/>
              </w:rPr>
              <w:t xml:space="preserve"> </w:t>
            </w:r>
            <w:r w:rsidRPr="008867F5">
              <w:t>such</w:t>
            </w:r>
            <w:r w:rsidRPr="008867F5">
              <w:rPr>
                <w:spacing w:val="-4"/>
              </w:rPr>
              <w:t xml:space="preserve"> </w:t>
            </w:r>
            <w:r w:rsidRPr="008867F5">
              <w:t>alternative</w:t>
            </w:r>
            <w:r w:rsidRPr="008867F5">
              <w:rPr>
                <w:spacing w:val="-4"/>
              </w:rPr>
              <w:t xml:space="preserve"> </w:t>
            </w:r>
            <w:r w:rsidRPr="008867F5">
              <w:t>determination of tranches.</w:t>
            </w:r>
          </w:p>
        </w:tc>
      </w:tr>
    </w:tbl>
    <w:p w:rsidR="00094BBC" w:rsidP="00094BBC" w:rsidRDefault="00094BBC" w14:paraId="49C406E7" w14:textId="77777777">
      <w:pPr>
        <w:pStyle w:val="Standard"/>
      </w:pPr>
    </w:p>
    <w:tbl>
      <w:tblPr>
        <w:tblW w:w="9313" w:type="dxa"/>
        <w:tblInd w:w="132" w:type="dxa"/>
        <w:tblBorders>
          <w:top w:val="single" w:color="8FAADB" w:sz="4" w:space="0"/>
          <w:left w:val="single" w:color="8FAADB" w:sz="4" w:space="0"/>
          <w:bottom w:val="single" w:color="8FAADB" w:sz="4" w:space="0"/>
          <w:right w:val="single" w:color="8FAADB" w:sz="4" w:space="0"/>
          <w:insideH w:val="single" w:color="8FAADB" w:sz="4" w:space="0"/>
          <w:insideV w:val="single" w:color="8FAADB" w:sz="4" w:space="0"/>
        </w:tblBorders>
        <w:tblLayout w:type="fixed"/>
        <w:tblCellMar>
          <w:left w:w="0" w:type="dxa"/>
          <w:right w:w="0" w:type="dxa"/>
        </w:tblCellMar>
        <w:tblLook w:val="01E0" w:firstRow="1" w:lastRow="1" w:firstColumn="1" w:lastColumn="1" w:noHBand="0" w:noVBand="0"/>
      </w:tblPr>
      <w:tblGrid>
        <w:gridCol w:w="985"/>
        <w:gridCol w:w="1848"/>
        <w:gridCol w:w="6480"/>
      </w:tblGrid>
      <w:tr w:rsidRPr="008A33C0" w:rsidR="00094BBC" w:rsidTr="00256CC5" w14:paraId="69AB7B45" w14:textId="77777777">
        <w:trPr>
          <w:trHeight w:val="1794"/>
        </w:trPr>
        <w:tc>
          <w:tcPr>
            <w:tcW w:w="985" w:type="dxa"/>
          </w:tcPr>
          <w:p w:rsidRPr="008A33C0" w:rsidR="00094BBC" w:rsidRDefault="00094BBC" w14:paraId="0049B340" w14:textId="77777777">
            <w:pPr>
              <w:widowControl w:val="0"/>
              <w:autoSpaceDE w:val="0"/>
              <w:autoSpaceDN w:val="0"/>
              <w:spacing w:line="240" w:lineRule="auto"/>
              <w:ind w:left="107"/>
              <w:rPr>
                <w:rFonts w:eastAsia="Times New Roman" w:cs="Times New Roman"/>
                <w:szCs w:val="26"/>
              </w:rPr>
            </w:pPr>
            <w:r w:rsidRPr="008A33C0">
              <w:rPr>
                <w:rFonts w:eastAsia="Times New Roman" w:cs="Times New Roman"/>
                <w:spacing w:val="-5"/>
                <w:szCs w:val="26"/>
              </w:rPr>
              <w:t>16.</w:t>
            </w:r>
          </w:p>
        </w:tc>
        <w:tc>
          <w:tcPr>
            <w:tcW w:w="1848" w:type="dxa"/>
          </w:tcPr>
          <w:p w:rsidRPr="008A33C0" w:rsidR="00094BBC" w:rsidRDefault="00EC2055" w14:paraId="266E3DDF" w14:textId="3F550297">
            <w:pPr>
              <w:widowControl w:val="0"/>
              <w:autoSpaceDE w:val="0"/>
              <w:autoSpaceDN w:val="0"/>
              <w:spacing w:line="240" w:lineRule="auto"/>
              <w:ind w:left="108" w:right="412"/>
              <w:jc w:val="both"/>
              <w:rPr>
                <w:rFonts w:eastAsia="Times New Roman" w:cs="Times New Roman"/>
                <w:szCs w:val="26"/>
              </w:rPr>
            </w:pPr>
            <w:r w:rsidRPr="008A33C0">
              <w:rPr>
                <w:rFonts w:eastAsia="Times New Roman" w:cs="Times New Roman"/>
                <w:spacing w:val="-2"/>
                <w:szCs w:val="26"/>
              </w:rPr>
              <w:t>Expressing</w:t>
            </w:r>
            <w:r w:rsidRPr="008A33C0" w:rsidR="00094BBC">
              <w:rPr>
                <w:rFonts w:eastAsia="Times New Roman" w:cs="Times New Roman"/>
                <w:spacing w:val="-2"/>
                <w:szCs w:val="26"/>
              </w:rPr>
              <w:t xml:space="preserve"> </w:t>
            </w:r>
            <w:r w:rsidRPr="008A33C0" w:rsidR="00094BBC">
              <w:rPr>
                <w:rFonts w:eastAsia="Times New Roman" w:cs="Times New Roman"/>
                <w:szCs w:val="26"/>
              </w:rPr>
              <w:t>Effects</w:t>
            </w:r>
            <w:r w:rsidRPr="008A33C0" w:rsidR="00094BBC">
              <w:rPr>
                <w:rFonts w:eastAsia="Times New Roman" w:cs="Times New Roman"/>
                <w:spacing w:val="-17"/>
                <w:szCs w:val="26"/>
              </w:rPr>
              <w:t xml:space="preserve"> </w:t>
            </w:r>
            <w:r w:rsidRPr="008A33C0" w:rsidR="00094BBC">
              <w:rPr>
                <w:rFonts w:eastAsia="Times New Roman" w:cs="Times New Roman"/>
                <w:szCs w:val="26"/>
              </w:rPr>
              <w:t>of</w:t>
            </w:r>
            <w:r w:rsidRPr="008A33C0" w:rsidR="00094BBC">
              <w:rPr>
                <w:rFonts w:eastAsia="Times New Roman" w:cs="Times New Roman"/>
                <w:spacing w:val="-16"/>
                <w:szCs w:val="26"/>
              </w:rPr>
              <w:t xml:space="preserve"> </w:t>
            </w:r>
            <w:r w:rsidRPr="008A33C0" w:rsidR="00094BBC">
              <w:rPr>
                <w:rFonts w:eastAsia="Times New Roman" w:cs="Times New Roman"/>
                <w:szCs w:val="26"/>
              </w:rPr>
              <w:t xml:space="preserve">a </w:t>
            </w:r>
            <w:r w:rsidRPr="008A33C0" w:rsidR="00094BBC">
              <w:rPr>
                <w:rFonts w:eastAsia="Times New Roman" w:cs="Times New Roman"/>
                <w:spacing w:val="-2"/>
                <w:szCs w:val="26"/>
              </w:rPr>
              <w:t>Mitigation</w:t>
            </w:r>
          </w:p>
        </w:tc>
        <w:tc>
          <w:tcPr>
            <w:tcW w:w="6480" w:type="dxa"/>
          </w:tcPr>
          <w:p w:rsidRPr="008A33C0" w:rsidR="00094BBC" w:rsidP="00112715" w:rsidRDefault="00094BBC" w14:paraId="6E486083" w14:textId="77777777">
            <w:pPr>
              <w:pStyle w:val="TableText"/>
            </w:pPr>
            <w:r w:rsidRPr="008A33C0">
              <w:t>The</w:t>
            </w:r>
            <w:r w:rsidRPr="008A33C0">
              <w:rPr>
                <w:spacing w:val="-3"/>
              </w:rPr>
              <w:t xml:space="preserve"> </w:t>
            </w:r>
            <w:r w:rsidRPr="008A33C0">
              <w:t>effects</w:t>
            </w:r>
            <w:r w:rsidRPr="008A33C0">
              <w:rPr>
                <w:spacing w:val="-3"/>
              </w:rPr>
              <w:t xml:space="preserve"> </w:t>
            </w:r>
            <w:r w:rsidRPr="008A33C0">
              <w:t>of</w:t>
            </w:r>
            <w:r w:rsidRPr="008A33C0">
              <w:rPr>
                <w:spacing w:val="-3"/>
              </w:rPr>
              <w:t xml:space="preserve"> </w:t>
            </w:r>
            <w:r w:rsidRPr="008A33C0">
              <w:t>a</w:t>
            </w:r>
            <w:r w:rsidRPr="008A33C0">
              <w:rPr>
                <w:spacing w:val="-3"/>
              </w:rPr>
              <w:t xml:space="preserve"> </w:t>
            </w:r>
            <w:r w:rsidRPr="008A33C0">
              <w:t>Mitigation</w:t>
            </w:r>
            <w:r w:rsidRPr="008A33C0">
              <w:rPr>
                <w:spacing w:val="-3"/>
              </w:rPr>
              <w:t xml:space="preserve"> </w:t>
            </w:r>
            <w:r w:rsidRPr="008A33C0">
              <w:t>on</w:t>
            </w:r>
            <w:r w:rsidRPr="008A33C0">
              <w:rPr>
                <w:spacing w:val="-3"/>
              </w:rPr>
              <w:t xml:space="preserve"> </w:t>
            </w:r>
            <w:r w:rsidRPr="008A33C0">
              <w:t>a</w:t>
            </w:r>
            <w:r w:rsidRPr="008A33C0">
              <w:rPr>
                <w:spacing w:val="-5"/>
              </w:rPr>
              <w:t xml:space="preserve"> </w:t>
            </w:r>
            <w:r w:rsidRPr="008A33C0">
              <w:t>Tranche</w:t>
            </w:r>
            <w:r w:rsidRPr="008A33C0">
              <w:rPr>
                <w:spacing w:val="-3"/>
              </w:rPr>
              <w:t xml:space="preserve"> </w:t>
            </w:r>
            <w:r w:rsidRPr="008A33C0">
              <w:t>will</w:t>
            </w:r>
            <w:r w:rsidRPr="008A33C0">
              <w:rPr>
                <w:spacing w:val="-3"/>
              </w:rPr>
              <w:t xml:space="preserve"> </w:t>
            </w:r>
            <w:r w:rsidRPr="008A33C0">
              <w:t>be</w:t>
            </w:r>
            <w:r w:rsidRPr="008A33C0">
              <w:rPr>
                <w:spacing w:val="-3"/>
              </w:rPr>
              <w:t xml:space="preserve"> </w:t>
            </w:r>
            <w:r w:rsidRPr="008A33C0">
              <w:t>expressed</w:t>
            </w:r>
            <w:r w:rsidRPr="008A33C0">
              <w:rPr>
                <w:spacing w:val="-3"/>
              </w:rPr>
              <w:t xml:space="preserve"> </w:t>
            </w:r>
            <w:r w:rsidRPr="008A33C0">
              <w:t>as</w:t>
            </w:r>
            <w:r w:rsidRPr="008A33C0">
              <w:rPr>
                <w:spacing w:val="-3"/>
              </w:rPr>
              <w:t xml:space="preserve"> </w:t>
            </w:r>
            <w:r w:rsidRPr="008A33C0">
              <w:t>a</w:t>
            </w:r>
            <w:r w:rsidRPr="008A33C0">
              <w:rPr>
                <w:spacing w:val="-4"/>
              </w:rPr>
              <w:t xml:space="preserve"> </w:t>
            </w:r>
            <w:r w:rsidRPr="008A33C0">
              <w:t>change</w:t>
            </w:r>
            <w:r w:rsidRPr="008A33C0">
              <w:rPr>
                <w:spacing w:val="-3"/>
              </w:rPr>
              <w:t xml:space="preserve"> </w:t>
            </w:r>
            <w:r w:rsidRPr="008A33C0">
              <w:t>to the Tranche-specific pre-mitigation values for LoRE and/or CoRE.</w:t>
            </w:r>
            <w:r w:rsidRPr="008A33C0">
              <w:rPr>
                <w:spacing w:val="40"/>
              </w:rPr>
              <w:t xml:space="preserve"> </w:t>
            </w:r>
            <w:r w:rsidRPr="008A33C0">
              <w:t xml:space="preserve">The utility will provide the pre- and post-mitigation values for LoRE and CoRE determined in accordance with this Step 3 for all Mitigations subject to this Step 3 analysis. </w:t>
            </w:r>
            <w:r w:rsidRPr="008A33C0">
              <w:rPr>
                <w:i/>
              </w:rPr>
              <w:t>Additionally, the utility must provide pre- and post-mitigation values for LoRE, CoRE, Monetized Risk Value, Risk Reduction, and Benefit-Cost Ratios for all Risk Reporting Units that aggregate up to the Mitigation Program subject to this Step 3 analysis.</w:t>
            </w:r>
          </w:p>
        </w:tc>
      </w:tr>
    </w:tbl>
    <w:p w:rsidRPr="0004101C" w:rsidR="00094BBC" w:rsidP="00094BBC" w:rsidRDefault="00094BBC" w14:paraId="72A505AB" w14:textId="77777777">
      <w:pPr>
        <w:pStyle w:val="Standard"/>
      </w:pPr>
    </w:p>
    <w:tbl>
      <w:tblPr>
        <w:tblW w:w="9313" w:type="dxa"/>
        <w:tblInd w:w="132" w:type="dxa"/>
        <w:tblBorders>
          <w:top w:val="single" w:color="8FAADB" w:sz="4" w:space="0"/>
          <w:left w:val="single" w:color="8FAADB" w:sz="4" w:space="0"/>
          <w:bottom w:val="single" w:color="8FAADB" w:sz="4" w:space="0"/>
          <w:right w:val="single" w:color="8FAADB" w:sz="4" w:space="0"/>
          <w:insideH w:val="single" w:color="8FAADB" w:sz="4" w:space="0"/>
          <w:insideV w:val="single" w:color="8FAADB" w:sz="4" w:space="0"/>
        </w:tblBorders>
        <w:tblLayout w:type="fixed"/>
        <w:tblCellMar>
          <w:left w:w="0" w:type="dxa"/>
          <w:right w:w="0" w:type="dxa"/>
        </w:tblCellMar>
        <w:tblLook w:val="01E0" w:firstRow="1" w:lastRow="1" w:firstColumn="1" w:lastColumn="1" w:noHBand="0" w:noVBand="0"/>
      </w:tblPr>
      <w:tblGrid>
        <w:gridCol w:w="978"/>
        <w:gridCol w:w="1847"/>
        <w:gridCol w:w="6488"/>
      </w:tblGrid>
      <w:tr w:rsidRPr="00C67173" w:rsidR="00094BBC" w14:paraId="2121D7C4" w14:textId="77777777">
        <w:trPr>
          <w:trHeight w:val="395"/>
        </w:trPr>
        <w:tc>
          <w:tcPr>
            <w:tcW w:w="978" w:type="dxa"/>
          </w:tcPr>
          <w:p w:rsidRPr="00C67173" w:rsidR="00094BBC" w:rsidRDefault="00094BBC" w14:paraId="3FD757C6" w14:textId="77777777">
            <w:pPr>
              <w:widowControl w:val="0"/>
              <w:autoSpaceDE w:val="0"/>
              <w:autoSpaceDN w:val="0"/>
              <w:spacing w:line="298" w:lineRule="exact"/>
              <w:ind w:left="107"/>
              <w:rPr>
                <w:rFonts w:eastAsia="Times New Roman" w:cs="Times New Roman"/>
                <w:szCs w:val="26"/>
              </w:rPr>
            </w:pPr>
            <w:r w:rsidRPr="00C67173">
              <w:rPr>
                <w:rFonts w:eastAsia="Times New Roman" w:cs="Times New Roman"/>
                <w:spacing w:val="-5"/>
                <w:szCs w:val="26"/>
              </w:rPr>
              <w:t>26.</w:t>
            </w:r>
          </w:p>
        </w:tc>
        <w:tc>
          <w:tcPr>
            <w:tcW w:w="1847" w:type="dxa"/>
          </w:tcPr>
          <w:p w:rsidRPr="00C67173" w:rsidR="00094BBC" w:rsidRDefault="00094BBC" w14:paraId="434F1B13" w14:textId="77777777">
            <w:pPr>
              <w:widowControl w:val="0"/>
              <w:autoSpaceDE w:val="0"/>
              <w:autoSpaceDN w:val="0"/>
              <w:spacing w:line="240" w:lineRule="auto"/>
              <w:ind w:left="107"/>
              <w:rPr>
                <w:rFonts w:eastAsia="Times New Roman" w:cs="Times New Roman"/>
                <w:szCs w:val="26"/>
              </w:rPr>
            </w:pPr>
            <w:r w:rsidRPr="00C67173">
              <w:rPr>
                <w:rFonts w:eastAsia="Times New Roman" w:cs="Times New Roman"/>
                <w:spacing w:val="-2"/>
                <w:szCs w:val="26"/>
              </w:rPr>
              <w:t xml:space="preserve">Mitigation Strategy </w:t>
            </w:r>
            <w:r w:rsidRPr="00C67173">
              <w:rPr>
                <w:rFonts w:eastAsia="Times New Roman" w:cs="Times New Roman"/>
                <w:szCs w:val="26"/>
              </w:rPr>
              <w:t>Presentation</w:t>
            </w:r>
            <w:r w:rsidRPr="00C67173">
              <w:rPr>
                <w:rFonts w:eastAsia="Times New Roman" w:cs="Times New Roman"/>
                <w:spacing w:val="-17"/>
                <w:szCs w:val="26"/>
              </w:rPr>
              <w:t xml:space="preserve"> </w:t>
            </w:r>
            <w:r w:rsidRPr="00C67173">
              <w:rPr>
                <w:rFonts w:eastAsia="Times New Roman" w:cs="Times New Roman"/>
                <w:szCs w:val="26"/>
              </w:rPr>
              <w:t xml:space="preserve">in </w:t>
            </w:r>
            <w:r w:rsidRPr="00C67173">
              <w:rPr>
                <w:rFonts w:eastAsia="Times New Roman" w:cs="Times New Roman"/>
                <w:szCs w:val="26"/>
              </w:rPr>
              <w:lastRenderedPageBreak/>
              <w:t>the</w:t>
            </w:r>
            <w:r w:rsidRPr="00C67173">
              <w:rPr>
                <w:rFonts w:eastAsia="Times New Roman" w:cs="Times New Roman"/>
                <w:spacing w:val="-17"/>
                <w:szCs w:val="26"/>
              </w:rPr>
              <w:t xml:space="preserve"> </w:t>
            </w:r>
            <w:r w:rsidRPr="00C67173">
              <w:rPr>
                <w:rFonts w:eastAsia="Times New Roman" w:cs="Times New Roman"/>
                <w:szCs w:val="26"/>
              </w:rPr>
              <w:t>RAMP</w:t>
            </w:r>
            <w:r w:rsidRPr="00C67173">
              <w:rPr>
                <w:rFonts w:eastAsia="Times New Roman" w:cs="Times New Roman"/>
                <w:spacing w:val="-16"/>
                <w:szCs w:val="26"/>
              </w:rPr>
              <w:t xml:space="preserve"> </w:t>
            </w:r>
            <w:r w:rsidRPr="00C67173">
              <w:rPr>
                <w:rFonts w:eastAsia="Times New Roman" w:cs="Times New Roman"/>
                <w:szCs w:val="26"/>
              </w:rPr>
              <w:t xml:space="preserve">and </w:t>
            </w:r>
            <w:r w:rsidRPr="00C67173">
              <w:rPr>
                <w:rFonts w:eastAsia="Times New Roman" w:cs="Times New Roman"/>
                <w:spacing w:val="-4"/>
                <w:szCs w:val="26"/>
              </w:rPr>
              <w:t>GRC</w:t>
            </w:r>
          </w:p>
        </w:tc>
        <w:tc>
          <w:tcPr>
            <w:tcW w:w="6488" w:type="dxa"/>
          </w:tcPr>
          <w:p w:rsidRPr="00C67173" w:rsidR="00094BBC" w:rsidP="00112715" w:rsidRDefault="00094BBC" w14:paraId="4CCE8111" w14:textId="57943347">
            <w:pPr>
              <w:pStyle w:val="TableText"/>
              <w:rPr>
                <w:i/>
              </w:rPr>
            </w:pPr>
            <w:r w:rsidRPr="00C67173">
              <w:lastRenderedPageBreak/>
              <w:t>The</w:t>
            </w:r>
            <w:r w:rsidRPr="00C67173">
              <w:rPr>
                <w:spacing w:val="-4"/>
              </w:rPr>
              <w:t xml:space="preserve"> </w:t>
            </w:r>
            <w:r w:rsidRPr="00C67173">
              <w:t>utility’s</w:t>
            </w:r>
            <w:r w:rsidRPr="00C67173">
              <w:rPr>
                <w:spacing w:val="-4"/>
              </w:rPr>
              <w:t xml:space="preserve"> </w:t>
            </w:r>
            <w:r w:rsidRPr="00C67173">
              <w:t>RAMP</w:t>
            </w:r>
            <w:r w:rsidRPr="00C67173">
              <w:rPr>
                <w:spacing w:val="-4"/>
              </w:rPr>
              <w:t xml:space="preserve"> </w:t>
            </w:r>
            <w:r w:rsidRPr="00C67173">
              <w:t>filing</w:t>
            </w:r>
            <w:r w:rsidRPr="00C67173">
              <w:rPr>
                <w:spacing w:val="-4"/>
              </w:rPr>
              <w:t xml:space="preserve"> </w:t>
            </w:r>
            <w:r w:rsidRPr="00C67173">
              <w:t>will</w:t>
            </w:r>
            <w:r w:rsidRPr="00C67173">
              <w:rPr>
                <w:spacing w:val="-4"/>
              </w:rPr>
              <w:t xml:space="preserve"> </w:t>
            </w:r>
            <w:r w:rsidRPr="00C67173">
              <w:t>provide</w:t>
            </w:r>
            <w:r w:rsidRPr="00C67173">
              <w:rPr>
                <w:spacing w:val="-4"/>
              </w:rPr>
              <w:t xml:space="preserve"> </w:t>
            </w:r>
            <w:r w:rsidRPr="00C67173">
              <w:t>a</w:t>
            </w:r>
            <w:r w:rsidRPr="00C67173">
              <w:rPr>
                <w:spacing w:val="-4"/>
              </w:rPr>
              <w:t xml:space="preserve"> </w:t>
            </w:r>
            <w:r w:rsidRPr="00C67173">
              <w:t>ranking</w:t>
            </w:r>
            <w:r w:rsidRPr="00C67173">
              <w:rPr>
                <w:spacing w:val="-4"/>
              </w:rPr>
              <w:t xml:space="preserve"> </w:t>
            </w:r>
            <w:r w:rsidRPr="00C67173">
              <w:t>of</w:t>
            </w:r>
            <w:r w:rsidRPr="00C67173">
              <w:rPr>
                <w:spacing w:val="-4"/>
              </w:rPr>
              <w:t xml:space="preserve"> </w:t>
            </w:r>
            <w:r w:rsidRPr="00C67173">
              <w:t>all</w:t>
            </w:r>
            <w:r w:rsidRPr="00C67173">
              <w:rPr>
                <w:spacing w:val="-4"/>
              </w:rPr>
              <w:t xml:space="preserve"> </w:t>
            </w:r>
            <w:r w:rsidRPr="00C67173">
              <w:t>RAMP Mitigation</w:t>
            </w:r>
            <w:r w:rsidRPr="00C67173">
              <w:rPr>
                <w:strike/>
              </w:rPr>
              <w:t>s</w:t>
            </w:r>
            <w:r w:rsidRPr="00C67173">
              <w:t xml:space="preserve"> </w:t>
            </w:r>
            <w:r w:rsidRPr="00C67173">
              <w:rPr>
                <w:i/>
              </w:rPr>
              <w:t>Programs</w:t>
            </w:r>
            <w:r w:rsidRPr="00C67173">
              <w:t xml:space="preserve"> by </w:t>
            </w:r>
            <w:r w:rsidRPr="00C67173">
              <w:rPr>
                <w:strike/>
              </w:rPr>
              <w:t>Cost-</w:t>
            </w:r>
            <w:r w:rsidRPr="00C67173">
              <w:t>Benefit</w:t>
            </w:r>
            <w:r w:rsidRPr="00C67173">
              <w:rPr>
                <w:i/>
              </w:rPr>
              <w:t>-Cost</w:t>
            </w:r>
            <w:r w:rsidRPr="00C67173">
              <w:t xml:space="preserve"> </w:t>
            </w:r>
            <w:r w:rsidRPr="00C67173">
              <w:rPr>
                <w:strike/>
              </w:rPr>
              <w:t>r</w:t>
            </w:r>
            <w:r w:rsidRPr="00C67173">
              <w:rPr>
                <w:i/>
              </w:rPr>
              <w:t>R</w:t>
            </w:r>
            <w:r w:rsidRPr="00C67173">
              <w:t xml:space="preserve">atios. </w:t>
            </w:r>
            <w:r w:rsidRPr="00C67173">
              <w:rPr>
                <w:i/>
              </w:rPr>
              <w:t xml:space="preserve">The utility’s RAMP filing will include a dataset of Risk Reporting Units for each </w:t>
            </w:r>
            <w:r w:rsidRPr="00C67173">
              <w:rPr>
                <w:i/>
              </w:rPr>
              <w:lastRenderedPageBreak/>
              <w:t>Mitigation and Control Program and rank each Risk Reporting Unit by Benefit-Cost Ratio.</w:t>
            </w:r>
          </w:p>
          <w:p w:rsidRPr="00C67173" w:rsidR="00094BBC" w:rsidRDefault="00094BBC" w14:paraId="293A48DC" w14:textId="77777777">
            <w:pPr>
              <w:widowControl w:val="0"/>
              <w:autoSpaceDE w:val="0"/>
              <w:autoSpaceDN w:val="0"/>
              <w:spacing w:before="10" w:line="240" w:lineRule="auto"/>
              <w:rPr>
                <w:rFonts w:eastAsia="Times New Roman" w:cs="Times New Roman"/>
                <w:b/>
                <w:szCs w:val="26"/>
              </w:rPr>
            </w:pPr>
          </w:p>
          <w:p w:rsidRPr="00C67173" w:rsidR="00094BBC" w:rsidP="00237320" w:rsidRDefault="00094BBC" w14:paraId="3C09F80A" w14:textId="19DE4DE1">
            <w:pPr>
              <w:pStyle w:val="TableText"/>
            </w:pPr>
            <w:r w:rsidRPr="00C67173">
              <w:t xml:space="preserve">In the GRC, the utility will provide a ranking of </w:t>
            </w:r>
            <w:r w:rsidRPr="00C67173">
              <w:rPr>
                <w:rFonts w:eastAsia="Times New Roman" w:cs="Times New Roman"/>
              </w:rPr>
              <w:t>Mitigation</w:t>
            </w:r>
            <w:r w:rsidRPr="00C67173">
              <w:rPr>
                <w:rFonts w:eastAsia="Times New Roman" w:cs="Times New Roman"/>
                <w:strike/>
              </w:rPr>
              <w:t>s</w:t>
            </w:r>
            <w:r w:rsidRPr="00C67173">
              <w:rPr>
                <w:rFonts w:eastAsia="Times New Roman" w:cs="Times New Roman"/>
              </w:rPr>
              <w:t xml:space="preserve"> </w:t>
            </w:r>
            <w:r w:rsidRPr="00C67173">
              <w:rPr>
                <w:rFonts w:eastAsia="Times New Roman" w:cs="Times New Roman"/>
                <w:i/>
              </w:rPr>
              <w:t>Programs</w:t>
            </w:r>
            <w:r w:rsidRPr="00C67173">
              <w:rPr>
                <w:rFonts w:eastAsia="Times New Roman" w:cs="Times New Roman"/>
              </w:rPr>
              <w:t xml:space="preserve"> by </w:t>
            </w:r>
            <w:r w:rsidRPr="00C67173">
              <w:rPr>
                <w:rFonts w:eastAsia="Times New Roman" w:cs="Times New Roman"/>
                <w:strike/>
              </w:rPr>
              <w:t>Cost-</w:t>
            </w:r>
            <w:r w:rsidRPr="00C67173">
              <w:rPr>
                <w:rFonts w:eastAsia="Times New Roman" w:cs="Times New Roman"/>
              </w:rPr>
              <w:t>Benefit</w:t>
            </w:r>
            <w:r w:rsidRPr="00C67173">
              <w:rPr>
                <w:rFonts w:eastAsia="Times New Roman" w:cs="Times New Roman"/>
                <w:i/>
              </w:rPr>
              <w:t>-Cost</w:t>
            </w:r>
            <w:r w:rsidRPr="00C67173">
              <w:rPr>
                <w:rFonts w:eastAsia="Times New Roman" w:cs="Times New Roman"/>
              </w:rPr>
              <w:t xml:space="preserve"> </w:t>
            </w:r>
            <w:r w:rsidRPr="00C67173">
              <w:t xml:space="preserve">Ratios, as follows: </w:t>
            </w:r>
            <w:r w:rsidRPr="00C67173">
              <w:rPr>
                <w:i/>
              </w:rPr>
              <w:t>(1) For any dataset of Risk Reporting Units submitted with the RAMP, the utility will provide an update of the dataset, if any is required, and provide an explanation of any differences from its RAMP filing and a justification for why the dataset from the RAMP filing required to be updated</w:t>
            </w:r>
            <w:r w:rsidR="0038055D">
              <w:rPr>
                <w:i/>
              </w:rPr>
              <w:t>;</w:t>
            </w:r>
            <w:r w:rsidRPr="00C67173">
              <w:t xml:space="preserve"> (</w:t>
            </w:r>
            <w:r w:rsidRPr="00C67173">
              <w:rPr>
                <w:strike/>
              </w:rPr>
              <w:t>1</w:t>
            </w:r>
            <w:r w:rsidRPr="00C67173">
              <w:rPr>
                <w:i/>
              </w:rPr>
              <w:t>2</w:t>
            </w:r>
            <w:r w:rsidRPr="00C67173">
              <w:t>) For Mitigation</w:t>
            </w:r>
            <w:r w:rsidRPr="00C67173">
              <w:rPr>
                <w:strike/>
              </w:rPr>
              <w:t>s</w:t>
            </w:r>
            <w:r w:rsidRPr="00C67173">
              <w:t xml:space="preserve"> </w:t>
            </w:r>
            <w:r w:rsidRPr="00C67173">
              <w:rPr>
                <w:i/>
              </w:rPr>
              <w:t xml:space="preserve">and Control Programs </w:t>
            </w:r>
            <w:r w:rsidRPr="00C67173">
              <w:t xml:space="preserve">addressed in the RAMP, the utility will use risk reduction estimates, including any updates, and updated costs to calculate </w:t>
            </w:r>
            <w:r w:rsidRPr="00C67173">
              <w:rPr>
                <w:strike/>
              </w:rPr>
              <w:t>Cost-</w:t>
            </w:r>
            <w:r w:rsidRPr="00C67173">
              <w:t>Benefit</w:t>
            </w:r>
            <w:r w:rsidRPr="00C67173">
              <w:rPr>
                <w:i/>
              </w:rPr>
              <w:t>-Cost</w:t>
            </w:r>
            <w:r w:rsidRPr="00C67173">
              <w:t xml:space="preserve"> Ratios and explain any differences from its RAMP filing; (</w:t>
            </w:r>
            <w:r w:rsidRPr="00C67173">
              <w:rPr>
                <w:strike/>
              </w:rPr>
              <w:t>2</w:t>
            </w:r>
            <w:r w:rsidRPr="00C67173">
              <w:rPr>
                <w:i/>
              </w:rPr>
              <w:t>3</w:t>
            </w:r>
            <w:r w:rsidRPr="00C67173">
              <w:t>) For Mitigation</w:t>
            </w:r>
            <w:r w:rsidRPr="00C67173">
              <w:rPr>
                <w:strike/>
              </w:rPr>
              <w:t>s</w:t>
            </w:r>
            <w:r w:rsidRPr="00C67173">
              <w:t xml:space="preserve"> </w:t>
            </w:r>
            <w:r w:rsidRPr="00C67173">
              <w:rPr>
                <w:i/>
              </w:rPr>
              <w:t>and Control Programs</w:t>
            </w:r>
            <w:r w:rsidRPr="00C67173">
              <w:t xml:space="preserve"> that require Step 3 analysis under and consistent with Row 28, the utility will include the </w:t>
            </w:r>
            <w:r w:rsidRPr="00C67173">
              <w:rPr>
                <w:strike/>
              </w:rPr>
              <w:t>Cost-</w:t>
            </w:r>
            <w:r w:rsidRPr="00C67173">
              <w:t>Benefit</w:t>
            </w:r>
            <w:r w:rsidRPr="00C67173">
              <w:rPr>
                <w:i/>
              </w:rPr>
              <w:t>-Cost</w:t>
            </w:r>
            <w:r w:rsidRPr="00C67173">
              <w:t xml:space="preserve"> Ratios, calculated in accordance with Step 3, in the ranking of Mitigations by </w:t>
            </w:r>
            <w:r w:rsidRPr="00C67173">
              <w:rPr>
                <w:strike/>
              </w:rPr>
              <w:t>Cost-</w:t>
            </w:r>
            <w:r w:rsidRPr="00C67173">
              <w:t>Benefit</w:t>
            </w:r>
            <w:r w:rsidRPr="00C67173">
              <w:rPr>
                <w:i/>
              </w:rPr>
              <w:t>-Cost</w:t>
            </w:r>
            <w:r w:rsidRPr="00C67173">
              <w:t xml:space="preserve"> Ratios.</w:t>
            </w:r>
          </w:p>
          <w:p w:rsidRPr="00C67173" w:rsidR="00094BBC" w:rsidRDefault="00094BBC" w14:paraId="657D627C" w14:textId="77777777">
            <w:pPr>
              <w:widowControl w:val="0"/>
              <w:autoSpaceDE w:val="0"/>
              <w:autoSpaceDN w:val="0"/>
              <w:spacing w:line="240" w:lineRule="auto"/>
              <w:rPr>
                <w:rFonts w:eastAsia="Times New Roman" w:cs="Times New Roman"/>
                <w:b/>
                <w:szCs w:val="26"/>
              </w:rPr>
            </w:pPr>
          </w:p>
          <w:p w:rsidRPr="00C67173" w:rsidR="00094BBC" w:rsidP="00237320" w:rsidRDefault="00094BBC" w14:paraId="16381A7F" w14:textId="77777777">
            <w:pPr>
              <w:pStyle w:val="TableText"/>
            </w:pPr>
            <w:r w:rsidRPr="00C67173">
              <w:t>In the RAMP and GRC, the utility will clearly and transparently explain its rationale for selecting Mitigation</w:t>
            </w:r>
            <w:r w:rsidRPr="00C67173">
              <w:rPr>
                <w:strike/>
              </w:rPr>
              <w:t>s</w:t>
            </w:r>
            <w:r w:rsidRPr="00C67173">
              <w:t xml:space="preserve"> </w:t>
            </w:r>
            <w:r w:rsidRPr="00C67173">
              <w:rPr>
                <w:i/>
              </w:rPr>
              <w:t>and Control Programs</w:t>
            </w:r>
            <w:r w:rsidRPr="00C67173">
              <w:t xml:space="preserve"> for each risk and for its selection</w:t>
            </w:r>
            <w:r w:rsidRPr="00C67173">
              <w:rPr>
                <w:spacing w:val="-4"/>
              </w:rPr>
              <w:t xml:space="preserve"> </w:t>
            </w:r>
            <w:r w:rsidRPr="00C67173">
              <w:t>of</w:t>
            </w:r>
            <w:r w:rsidRPr="00C67173">
              <w:rPr>
                <w:spacing w:val="-4"/>
              </w:rPr>
              <w:t xml:space="preserve"> </w:t>
            </w:r>
            <w:r w:rsidRPr="00C67173">
              <w:t>its</w:t>
            </w:r>
            <w:r w:rsidRPr="00C67173">
              <w:rPr>
                <w:spacing w:val="-4"/>
              </w:rPr>
              <w:t xml:space="preserve"> </w:t>
            </w:r>
            <w:r w:rsidRPr="00C67173">
              <w:t>overall</w:t>
            </w:r>
            <w:r w:rsidRPr="00C67173">
              <w:rPr>
                <w:spacing w:val="-4"/>
              </w:rPr>
              <w:t xml:space="preserve"> </w:t>
            </w:r>
            <w:r w:rsidRPr="00C67173">
              <w:t>portfolio</w:t>
            </w:r>
            <w:r w:rsidRPr="00C67173">
              <w:rPr>
                <w:spacing w:val="-4"/>
              </w:rPr>
              <w:t xml:space="preserve"> </w:t>
            </w:r>
            <w:r w:rsidRPr="00C67173">
              <w:t>of</w:t>
            </w:r>
            <w:r w:rsidRPr="00C67173">
              <w:rPr>
                <w:spacing w:val="-4"/>
              </w:rPr>
              <w:t xml:space="preserve"> </w:t>
            </w:r>
            <w:r w:rsidRPr="00C67173">
              <w:t>Mitigations.</w:t>
            </w:r>
            <w:r w:rsidRPr="00C67173">
              <w:rPr>
                <w:spacing w:val="40"/>
              </w:rPr>
              <w:t xml:space="preserve"> </w:t>
            </w:r>
            <w:r w:rsidRPr="00C67173">
              <w:rPr>
                <w:i/>
              </w:rPr>
              <w:t>In the RAMP and GRC, the utility will clearly and transparently explain its rationale for prioritizing Risk Reporting Units for each Mitigation and Control Program.</w:t>
            </w:r>
            <w:r w:rsidRPr="00C67173">
              <w:t xml:space="preserve"> </w:t>
            </w:r>
            <w:r w:rsidRPr="00E24724">
              <w:t>The</w:t>
            </w:r>
            <w:r w:rsidRPr="00E24724">
              <w:rPr>
                <w:spacing w:val="-4"/>
              </w:rPr>
              <w:t xml:space="preserve"> </w:t>
            </w:r>
            <w:r w:rsidRPr="00E24724">
              <w:t>utility</w:t>
            </w:r>
            <w:r w:rsidRPr="00E24724">
              <w:rPr>
                <w:spacing w:val="-4"/>
              </w:rPr>
              <w:t xml:space="preserve"> </w:t>
            </w:r>
            <w:r w:rsidRPr="00E24724">
              <w:t>is</w:t>
            </w:r>
            <w:r w:rsidRPr="00E24724">
              <w:rPr>
                <w:spacing w:val="-4"/>
              </w:rPr>
              <w:t xml:space="preserve"> </w:t>
            </w:r>
            <w:r w:rsidRPr="00E24724">
              <w:t>not</w:t>
            </w:r>
            <w:r w:rsidRPr="00E24724">
              <w:rPr>
                <w:spacing w:val="-4"/>
              </w:rPr>
              <w:t xml:space="preserve"> </w:t>
            </w:r>
            <w:r w:rsidRPr="00E24724">
              <w:t>bound to select its Mitigation</w:t>
            </w:r>
            <w:r w:rsidRPr="0020043E">
              <w:rPr>
                <w:strike/>
              </w:rPr>
              <w:t>s</w:t>
            </w:r>
            <w:r w:rsidRPr="00E24724">
              <w:t xml:space="preserve"> </w:t>
            </w:r>
            <w:r w:rsidRPr="00E24724">
              <w:rPr>
                <w:i/>
              </w:rPr>
              <w:t>and Control Programs</w:t>
            </w:r>
            <w:r w:rsidRPr="00E24724">
              <w:t xml:space="preserve"> strategy based solely on the </w:t>
            </w:r>
            <w:r w:rsidRPr="0020043E">
              <w:rPr>
                <w:strike/>
              </w:rPr>
              <w:t>Cost-</w:t>
            </w:r>
            <w:r w:rsidRPr="00E24724">
              <w:t>Benefit</w:t>
            </w:r>
            <w:r w:rsidRPr="00E24724">
              <w:rPr>
                <w:i/>
              </w:rPr>
              <w:t>-Cost</w:t>
            </w:r>
            <w:r w:rsidRPr="00E24724">
              <w:t xml:space="preserve"> Ratios produced by the Cost-Benefit Approach</w:t>
            </w:r>
            <w:r w:rsidRPr="00970CB2">
              <w:rPr>
                <w:strike/>
              </w:rPr>
              <w:t>.</w:t>
            </w:r>
          </w:p>
          <w:p w:rsidRPr="00C67173" w:rsidR="00094BBC" w:rsidRDefault="00094BBC" w14:paraId="015D3FC0" w14:textId="77777777">
            <w:pPr>
              <w:widowControl w:val="0"/>
              <w:autoSpaceDE w:val="0"/>
              <w:autoSpaceDN w:val="0"/>
              <w:spacing w:line="240" w:lineRule="auto"/>
              <w:rPr>
                <w:rFonts w:eastAsia="Times New Roman" w:cs="Times New Roman"/>
                <w:b/>
                <w:szCs w:val="26"/>
              </w:rPr>
            </w:pPr>
          </w:p>
          <w:p w:rsidRPr="00C67173" w:rsidR="00094BBC" w:rsidP="00237320" w:rsidRDefault="00094BBC" w14:paraId="71635268" w14:textId="77777777">
            <w:pPr>
              <w:pStyle w:val="TableText"/>
            </w:pPr>
            <w:r w:rsidRPr="00C67173">
              <w:t>Mitigation</w:t>
            </w:r>
            <w:r w:rsidRPr="00C67173">
              <w:rPr>
                <w:strike/>
              </w:rPr>
              <w:t>s</w:t>
            </w:r>
            <w:r w:rsidRPr="00C67173">
              <w:t xml:space="preserve"> </w:t>
            </w:r>
            <w:r w:rsidRPr="00C67173">
              <w:rPr>
                <w:i/>
              </w:rPr>
              <w:t>and Control Programs</w:t>
            </w:r>
            <w:r w:rsidRPr="00C67173">
              <w:t xml:space="preserve"> selection </w:t>
            </w:r>
            <w:r w:rsidRPr="00C67173">
              <w:rPr>
                <w:i/>
              </w:rPr>
              <w:t>and Risk Reporting Unit prioritization</w:t>
            </w:r>
            <w:r w:rsidRPr="00C67173">
              <w:t xml:space="preserve"> can be influenced by other factors including, but not limited to, funding, labor resources, technology, planning and construction lead time, compliance requirements, Risk Tolerance thresholds, operational and execution considerations, and modeling limitations and/or uncertainties affecting the analysis.</w:t>
            </w:r>
            <w:r w:rsidRPr="00C67173">
              <w:rPr>
                <w:spacing w:val="40"/>
              </w:rPr>
              <w:t xml:space="preserve"> </w:t>
            </w:r>
            <w:r w:rsidRPr="00C67173">
              <w:t>In</w:t>
            </w:r>
            <w:r w:rsidRPr="00C67173">
              <w:rPr>
                <w:spacing w:val="-4"/>
              </w:rPr>
              <w:t xml:space="preserve"> </w:t>
            </w:r>
            <w:r w:rsidRPr="00C67173">
              <w:t>the</w:t>
            </w:r>
            <w:r w:rsidRPr="00C67173">
              <w:rPr>
                <w:spacing w:val="-4"/>
              </w:rPr>
              <w:t xml:space="preserve"> </w:t>
            </w:r>
            <w:r w:rsidRPr="00C67173">
              <w:rPr>
                <w:i/>
                <w:spacing w:val="-4"/>
              </w:rPr>
              <w:t>RAMP and</w:t>
            </w:r>
            <w:r w:rsidRPr="00C67173">
              <w:rPr>
                <w:spacing w:val="-4"/>
                <w:u w:val="single"/>
              </w:rPr>
              <w:t xml:space="preserve"> </w:t>
            </w:r>
            <w:r w:rsidRPr="00C67173">
              <w:t>GRC,</w:t>
            </w:r>
            <w:r w:rsidRPr="00C67173">
              <w:rPr>
                <w:spacing w:val="-4"/>
              </w:rPr>
              <w:t xml:space="preserve"> </w:t>
            </w:r>
            <w:r w:rsidRPr="00C67173">
              <w:t>the</w:t>
            </w:r>
            <w:r w:rsidRPr="00C67173">
              <w:rPr>
                <w:spacing w:val="-6"/>
              </w:rPr>
              <w:t xml:space="preserve"> </w:t>
            </w:r>
            <w:r w:rsidRPr="00C67173">
              <w:t>utility</w:t>
            </w:r>
            <w:r w:rsidRPr="00C67173">
              <w:rPr>
                <w:spacing w:val="-4"/>
              </w:rPr>
              <w:t xml:space="preserve"> </w:t>
            </w:r>
            <w:r w:rsidRPr="00C67173">
              <w:t>will</w:t>
            </w:r>
            <w:r w:rsidRPr="00C67173">
              <w:rPr>
                <w:spacing w:val="-4"/>
              </w:rPr>
              <w:t xml:space="preserve"> </w:t>
            </w:r>
            <w:r w:rsidRPr="00C67173">
              <w:t>explain</w:t>
            </w:r>
            <w:r w:rsidRPr="00C67173">
              <w:rPr>
                <w:spacing w:val="-4"/>
              </w:rPr>
              <w:t xml:space="preserve"> </w:t>
            </w:r>
            <w:r w:rsidRPr="00C67173">
              <w:t>whether</w:t>
            </w:r>
            <w:r w:rsidRPr="00C67173">
              <w:rPr>
                <w:spacing w:val="-4"/>
              </w:rPr>
              <w:t xml:space="preserve"> </w:t>
            </w:r>
            <w:r w:rsidRPr="00C67173">
              <w:t>and</w:t>
            </w:r>
            <w:r w:rsidRPr="00C67173">
              <w:rPr>
                <w:spacing w:val="-5"/>
              </w:rPr>
              <w:t xml:space="preserve"> </w:t>
            </w:r>
            <w:r w:rsidRPr="00C67173">
              <w:t xml:space="preserve">how any such factors affected the utility’s Mitigation </w:t>
            </w:r>
            <w:r w:rsidRPr="00C67173">
              <w:rPr>
                <w:i/>
              </w:rPr>
              <w:t>and Control Program</w:t>
            </w:r>
            <w:r w:rsidRPr="00C67173">
              <w:rPr>
                <w:u w:val="single"/>
              </w:rPr>
              <w:t xml:space="preserve"> </w:t>
            </w:r>
            <w:r w:rsidRPr="00C67173">
              <w:t xml:space="preserve">selections </w:t>
            </w:r>
            <w:r w:rsidRPr="00C67173">
              <w:rPr>
                <w:i/>
              </w:rPr>
              <w:t>and Risk Reporting Unit prioritization</w:t>
            </w:r>
            <w:r w:rsidRPr="00C67173">
              <w:t>.</w:t>
            </w:r>
          </w:p>
          <w:p w:rsidRPr="00C67173" w:rsidR="00094BBC" w:rsidRDefault="00094BBC" w14:paraId="0A5D5FB0" w14:textId="77777777">
            <w:pPr>
              <w:widowControl w:val="0"/>
              <w:autoSpaceDE w:val="0"/>
              <w:autoSpaceDN w:val="0"/>
              <w:spacing w:line="240" w:lineRule="auto"/>
              <w:ind w:left="86" w:right="126" w:hanging="1"/>
              <w:rPr>
                <w:rFonts w:eastAsia="Times New Roman" w:cs="Times New Roman"/>
                <w:szCs w:val="26"/>
              </w:rPr>
            </w:pPr>
          </w:p>
          <w:p w:rsidRPr="00C67173" w:rsidR="00094BBC" w:rsidP="00237320" w:rsidRDefault="00094BBC" w14:paraId="3B2CA45A" w14:textId="77777777">
            <w:pPr>
              <w:pStyle w:val="TableText"/>
            </w:pPr>
            <w:r w:rsidRPr="00C67173">
              <w:t xml:space="preserve">GRC Post-Test Year Reporting: All Controls and Mitigation programs must include </w:t>
            </w:r>
            <w:r w:rsidRPr="00C67173">
              <w:rPr>
                <w:i/>
                <w:strike/>
                <w:u w:val="single"/>
              </w:rPr>
              <w:t>CBRs</w:t>
            </w:r>
            <w:r w:rsidRPr="00C67173">
              <w:rPr>
                <w:i/>
                <w:u w:val="single"/>
              </w:rPr>
              <w:t>Benefit-Cost Ratios</w:t>
            </w:r>
            <w:r w:rsidRPr="00C67173">
              <w:rPr>
                <w:u w:val="single"/>
              </w:rPr>
              <w:t xml:space="preserve"> </w:t>
            </w:r>
            <w:r w:rsidRPr="00C67173">
              <w:t xml:space="preserve">in each of the GRC post-test years as well as an aggregate </w:t>
            </w:r>
            <w:r w:rsidRPr="00C67173">
              <w:rPr>
                <w:strike/>
              </w:rPr>
              <w:t>CBRs</w:t>
            </w:r>
            <w:r w:rsidRPr="00C67173">
              <w:rPr>
                <w:i/>
              </w:rPr>
              <w:t>Benefit-Cost Ratio</w:t>
            </w:r>
            <w:r w:rsidRPr="00C67173">
              <w:rPr>
                <w:u w:val="single"/>
              </w:rPr>
              <w:t xml:space="preserve"> </w:t>
            </w:r>
            <w:r w:rsidRPr="00C67173">
              <w:t xml:space="preserve">for the entire post-test year period and the entire GRC period, by Tranche. </w:t>
            </w:r>
          </w:p>
          <w:p w:rsidRPr="00C67173" w:rsidR="00094BBC" w:rsidRDefault="00094BBC" w14:paraId="3AA9DA20" w14:textId="77777777">
            <w:pPr>
              <w:widowControl w:val="0"/>
              <w:autoSpaceDE w:val="0"/>
              <w:autoSpaceDN w:val="0"/>
              <w:spacing w:line="240" w:lineRule="auto"/>
              <w:ind w:right="126"/>
              <w:rPr>
                <w:rFonts w:eastAsia="Times New Roman" w:cs="Times New Roman"/>
                <w:szCs w:val="26"/>
                <w:u w:val="single"/>
              </w:rPr>
            </w:pPr>
          </w:p>
        </w:tc>
      </w:tr>
    </w:tbl>
    <w:p w:rsidRPr="00DA06FA" w:rsidR="00094BBC" w:rsidP="00094BBC" w:rsidRDefault="00094BBC" w14:paraId="2A5F4163" w14:textId="77777777">
      <w:pPr>
        <w:pStyle w:val="Standard"/>
      </w:pPr>
    </w:p>
    <w:p w:rsidR="00094BBC" w:rsidP="001F2AAF" w:rsidRDefault="00094BBC" w14:paraId="235C3BDF" w14:textId="7AD4749B">
      <w:pPr>
        <w:pStyle w:val="Heading2"/>
      </w:pPr>
      <w:bookmarkStart w:name="_Toc204258035" w:id="33"/>
      <w:r>
        <w:lastRenderedPageBreak/>
        <w:t xml:space="preserve">Joint IOU </w:t>
      </w:r>
      <w:r w:rsidR="00D46C73">
        <w:t>Scoped Work</w:t>
      </w:r>
      <w:r>
        <w:t xml:space="preserve"> Proposal</w:t>
      </w:r>
      <w:bookmarkEnd w:id="33"/>
    </w:p>
    <w:p w:rsidR="00094BBC" w:rsidP="00094BBC" w:rsidRDefault="00094BBC" w14:paraId="2471A9BD" w14:textId="20845ACB">
      <w:pPr>
        <w:pStyle w:val="Standard"/>
      </w:pPr>
      <w:r>
        <w:t xml:space="preserve">The Joint </w:t>
      </w:r>
      <w:r w:rsidR="00F109FC">
        <w:t>IOUs</w:t>
      </w:r>
      <w:r>
        <w:t xml:space="preserve"> filed a proposal (Joint IOU </w:t>
      </w:r>
      <w:r w:rsidR="00390E88">
        <w:t xml:space="preserve">Scoped Work </w:t>
      </w:r>
      <w:r>
        <w:t>Proposal) in response to the Staff</w:t>
      </w:r>
      <w:r w:rsidR="00332A69">
        <w:t xml:space="preserve"> </w:t>
      </w:r>
      <w:r w:rsidR="005741F2">
        <w:t xml:space="preserve">Scoped Work </w:t>
      </w:r>
      <w:r>
        <w:t xml:space="preserve">Proposal. The Joint </w:t>
      </w:r>
      <w:r w:rsidR="00F109FC">
        <w:t>IOUs</w:t>
      </w:r>
      <w:r>
        <w:t xml:space="preserve"> generally support the inclusion of an RRU in the RDF.</w:t>
      </w:r>
      <w:r>
        <w:rPr>
          <w:rStyle w:val="FootnoteReference"/>
        </w:rPr>
        <w:footnoteReference w:id="71"/>
      </w:r>
      <w:r>
        <w:t xml:space="preserve"> However, the Joint IOU </w:t>
      </w:r>
      <w:r w:rsidR="00332A69">
        <w:t xml:space="preserve">Scoped Work </w:t>
      </w:r>
      <w:r>
        <w:t xml:space="preserve">Proposal argues that while </w:t>
      </w:r>
      <w:r w:rsidRPr="006E7C9D">
        <w:t xml:space="preserve">the IOUs can theoretically </w:t>
      </w:r>
      <w:r>
        <w:t>present RRUs</w:t>
      </w:r>
      <w:r w:rsidRPr="006E7C9D">
        <w:t xml:space="preserve"> in RAMP</w:t>
      </w:r>
      <w:r>
        <w:t xml:space="preserve"> </w:t>
      </w:r>
      <w:r w:rsidR="00332A69">
        <w:t>a</w:t>
      </w:r>
      <w:r>
        <w:t>pplications</w:t>
      </w:r>
      <w:r w:rsidRPr="006E7C9D">
        <w:t xml:space="preserve">, those projects will necessarily be largely hypothetical and simply based on risk model outputs. The </w:t>
      </w:r>
      <w:r w:rsidRPr="006E7C9D" w:rsidR="00FD201F">
        <w:t>implemented</w:t>
      </w:r>
      <w:r w:rsidRPr="006E7C9D">
        <w:t xml:space="preserve"> </w:t>
      </w:r>
      <w:r>
        <w:t>RRUs</w:t>
      </w:r>
      <w:r w:rsidRPr="006E7C9D">
        <w:t xml:space="preserve"> are going to be different than the provided forecasts.</w:t>
      </w:r>
      <w:r>
        <w:t xml:space="preserve"> The </w:t>
      </w:r>
      <w:r w:rsidR="00332A69">
        <w:t xml:space="preserve">Joint </w:t>
      </w:r>
      <w:r w:rsidR="00F109FC">
        <w:t>IOUs</w:t>
      </w:r>
      <w:r>
        <w:t xml:space="preserve"> argue they require </w:t>
      </w:r>
      <w:r w:rsidRPr="00961282">
        <w:t xml:space="preserve">the appropriate flexibility to adapt </w:t>
      </w:r>
      <w:r>
        <w:t>their</w:t>
      </w:r>
      <w:r w:rsidRPr="00961282">
        <w:t xml:space="preserve"> plans based on real-time data and evolving circumstances.</w:t>
      </w:r>
      <w:r>
        <w:t xml:space="preserve"> The Joint IOU </w:t>
      </w:r>
      <w:r w:rsidR="00B8116A">
        <w:t xml:space="preserve">Scoped Work </w:t>
      </w:r>
      <w:r>
        <w:t xml:space="preserve">Proposal presents an approach allowing </w:t>
      </w:r>
      <w:r w:rsidRPr="00540DBA">
        <w:t xml:space="preserve">RRUs </w:t>
      </w:r>
      <w:r>
        <w:t>to</w:t>
      </w:r>
      <w:r w:rsidRPr="00540DBA">
        <w:t xml:space="preserve"> be refined as information becomes available.</w:t>
      </w:r>
      <w:r>
        <w:t xml:space="preserve"> </w:t>
      </w:r>
    </w:p>
    <w:p w:rsidR="00094BBC" w:rsidP="00094BBC" w:rsidRDefault="00094BBC" w14:paraId="37897554" w14:textId="27AC3986">
      <w:pPr>
        <w:pStyle w:val="Standard"/>
      </w:pPr>
      <w:r>
        <w:t xml:space="preserve">Additionally, the Joint IOU </w:t>
      </w:r>
      <w:r w:rsidR="00B8116A">
        <w:t xml:space="preserve">Scoped Work </w:t>
      </w:r>
      <w:r>
        <w:t xml:space="preserve">Proposal emphasizes that </w:t>
      </w:r>
      <w:r w:rsidRPr="005D235F">
        <w:t>certain controls and mitigations do not lend themselves readily to an RRU and are more appropriately forecast at a programmatic level.</w:t>
      </w:r>
      <w:r>
        <w:rPr>
          <w:rStyle w:val="FootnoteReference"/>
        </w:rPr>
        <w:footnoteReference w:id="72"/>
      </w:r>
      <w:r>
        <w:t xml:space="preserve"> The </w:t>
      </w:r>
      <w:r w:rsidR="00F109FC">
        <w:t xml:space="preserve">Joint </w:t>
      </w:r>
      <w:r>
        <w:t xml:space="preserve">IOUs argue that </w:t>
      </w:r>
      <w:r w:rsidRPr="009D38F8">
        <w:t>having an RRU for this type of forecast hypothetical work would not provide meaningful benefits to stakeholders.</w:t>
      </w:r>
      <w:r>
        <w:t xml:space="preserve"> Finally, the Joint IOU</w:t>
      </w:r>
      <w:r w:rsidR="00B8116A">
        <w:t xml:space="preserve">s </w:t>
      </w:r>
      <w:r>
        <w:t xml:space="preserve">argues that it is </w:t>
      </w:r>
      <w:r w:rsidRPr="00B03DF4">
        <w:t>premature to include a backcast requirement in the RDF.</w:t>
      </w:r>
      <w:r>
        <w:rPr>
          <w:rStyle w:val="FootnoteReference"/>
        </w:rPr>
        <w:footnoteReference w:id="73"/>
      </w:r>
      <w:r>
        <w:t xml:space="preserve"> Assuming that a</w:t>
      </w:r>
      <w:r w:rsidRPr="00ED2982">
        <w:t xml:space="preserve"> risk does not change, </w:t>
      </w:r>
      <w:r>
        <w:t xml:space="preserve">the </w:t>
      </w:r>
      <w:r w:rsidR="00B8116A">
        <w:t xml:space="preserve">Joint </w:t>
      </w:r>
      <w:r>
        <w:t xml:space="preserve">IOUs recognize that </w:t>
      </w:r>
      <w:r w:rsidRPr="00ED2982">
        <w:t>forecasting and backcasting may be possible at a programmatic level, but</w:t>
      </w:r>
      <w:r>
        <w:t xml:space="preserve"> argue it</w:t>
      </w:r>
      <w:r w:rsidRPr="00ED2982">
        <w:t xml:space="preserve"> may not be feasible with any level of accuracy at the RRU level for all risks and/or mitigation programs.</w:t>
      </w:r>
      <w:r>
        <w:rPr>
          <w:rStyle w:val="FootnoteReference"/>
        </w:rPr>
        <w:footnoteReference w:id="74"/>
      </w:r>
      <w:r w:rsidRPr="00ED2982">
        <w:t xml:space="preserve"> </w:t>
      </w:r>
    </w:p>
    <w:p w:rsidR="00094BBC" w:rsidP="00094BBC" w:rsidRDefault="00094BBC" w14:paraId="2F66DDCD" w14:textId="3BE5AA52">
      <w:pPr>
        <w:pStyle w:val="Standard"/>
      </w:pPr>
      <w:r>
        <w:lastRenderedPageBreak/>
        <w:t xml:space="preserve">The </w:t>
      </w:r>
      <w:r w:rsidR="00D057FC">
        <w:t>Joint IOUs</w:t>
      </w:r>
      <w:r>
        <w:t xml:space="preserve"> do not present a definition of RRU for the RDF, but they do recommend </w:t>
      </w:r>
      <w:r w:rsidRPr="0077007C">
        <w:t xml:space="preserve">adding the </w:t>
      </w:r>
      <w:r>
        <w:t>following row to the RDF, between Rows 15 and 16, as a substitute for what was presented in the Staff Proposal:</w:t>
      </w:r>
      <w:r>
        <w:rPr>
          <w:rStyle w:val="FootnoteReference"/>
        </w:rPr>
        <w:footnoteReference w:id="75"/>
      </w:r>
    </w:p>
    <w:tbl>
      <w:tblPr>
        <w:tblW w:w="9313" w:type="dxa"/>
        <w:tblInd w:w="132" w:type="dxa"/>
        <w:tblBorders>
          <w:top w:val="single" w:color="8FAADB" w:sz="4" w:space="0"/>
          <w:left w:val="single" w:color="8FAADB" w:sz="4" w:space="0"/>
          <w:bottom w:val="single" w:color="8FAADB" w:sz="4" w:space="0"/>
          <w:right w:val="single" w:color="8FAADB" w:sz="4" w:space="0"/>
          <w:insideH w:val="single" w:color="8FAADB" w:sz="4" w:space="0"/>
          <w:insideV w:val="single" w:color="8FAADB" w:sz="4" w:space="0"/>
        </w:tblBorders>
        <w:tblLayout w:type="fixed"/>
        <w:tblCellMar>
          <w:left w:w="0" w:type="dxa"/>
          <w:right w:w="0" w:type="dxa"/>
        </w:tblCellMar>
        <w:tblLook w:val="01E0" w:firstRow="1" w:lastRow="1" w:firstColumn="1" w:lastColumn="1" w:noHBand="0" w:noVBand="0"/>
      </w:tblPr>
      <w:tblGrid>
        <w:gridCol w:w="985"/>
        <w:gridCol w:w="1758"/>
        <w:gridCol w:w="6570"/>
      </w:tblGrid>
      <w:tr w:rsidRPr="00D11D44" w:rsidR="00094BBC" w:rsidTr="00B522B6" w14:paraId="2681D8D2" w14:textId="77777777">
        <w:trPr>
          <w:trHeight w:val="1794"/>
        </w:trPr>
        <w:tc>
          <w:tcPr>
            <w:tcW w:w="985" w:type="dxa"/>
          </w:tcPr>
          <w:p w:rsidRPr="0048566A" w:rsidR="00094BBC" w:rsidRDefault="00094BBC" w14:paraId="1857C37D" w14:textId="4E60F4A6">
            <w:pPr>
              <w:widowControl w:val="0"/>
              <w:autoSpaceDE w:val="0"/>
              <w:autoSpaceDN w:val="0"/>
              <w:spacing w:line="240" w:lineRule="auto"/>
              <w:ind w:left="107"/>
              <w:rPr>
                <w:rFonts w:eastAsia="Times New Roman" w:cs="Times New Roman"/>
                <w:szCs w:val="26"/>
              </w:rPr>
            </w:pPr>
            <w:r w:rsidRPr="0048566A">
              <w:rPr>
                <w:rFonts w:eastAsia="Times New Roman" w:cs="Times New Roman"/>
                <w:spacing w:val="-5"/>
                <w:szCs w:val="26"/>
              </w:rPr>
              <w:t>15.1</w:t>
            </w:r>
          </w:p>
        </w:tc>
        <w:tc>
          <w:tcPr>
            <w:tcW w:w="1758" w:type="dxa"/>
          </w:tcPr>
          <w:p w:rsidRPr="0048566A" w:rsidR="00094BBC" w:rsidRDefault="00094BBC" w14:paraId="79F346DB" w14:textId="77777777">
            <w:pPr>
              <w:widowControl w:val="0"/>
              <w:autoSpaceDE w:val="0"/>
              <w:autoSpaceDN w:val="0"/>
              <w:spacing w:line="240" w:lineRule="auto"/>
              <w:ind w:left="108" w:right="412"/>
              <w:rPr>
                <w:rFonts w:eastAsia="Times New Roman" w:cs="Times New Roman"/>
                <w:szCs w:val="26"/>
              </w:rPr>
            </w:pPr>
            <w:r w:rsidRPr="0048566A">
              <w:rPr>
                <w:rFonts w:eastAsia="Times New Roman" w:cs="Times New Roman"/>
                <w:szCs w:val="26"/>
              </w:rPr>
              <w:t>Define the Mitigation Risk Reporting Unit</w:t>
            </w:r>
          </w:p>
        </w:tc>
        <w:tc>
          <w:tcPr>
            <w:tcW w:w="6570" w:type="dxa"/>
          </w:tcPr>
          <w:p w:rsidRPr="0048566A" w:rsidR="00094BBC" w:rsidP="00237320" w:rsidRDefault="00094BBC" w14:paraId="04F24576" w14:textId="77777777">
            <w:pPr>
              <w:pStyle w:val="TableText"/>
            </w:pPr>
            <w:r w:rsidRPr="00C9742C">
              <w:t xml:space="preserve">Define Risk Reporting Unit(s) (RRU) for each control and mitigation for physical asset-based risks. </w:t>
            </w:r>
            <w:r w:rsidRPr="0048566A">
              <w:t xml:space="preserve">The RRU </w:t>
            </w:r>
            <w:r w:rsidRPr="00C9742C">
              <w:t>should</w:t>
            </w:r>
            <w:r w:rsidRPr="0048566A">
              <w:t xml:space="preserve"> be:</w:t>
            </w:r>
          </w:p>
          <w:p w:rsidRPr="0048566A" w:rsidR="00094BBC" w:rsidP="00237320" w:rsidRDefault="00094BBC" w14:paraId="5D5F63C2" w14:textId="77777777">
            <w:pPr>
              <w:pStyle w:val="TableText"/>
            </w:pPr>
            <w:r w:rsidRPr="0048566A">
              <w:t xml:space="preserve">(a) traceable through </w:t>
            </w:r>
            <w:r>
              <w:t>any</w:t>
            </w:r>
            <w:r w:rsidRPr="0048566A">
              <w:t xml:space="preserve"> stages of </w:t>
            </w:r>
            <w:r>
              <w:t xml:space="preserve">execution relevant to the risk and/or mitigation itself, which could include </w:t>
            </w:r>
            <w:r w:rsidRPr="0048566A">
              <w:t xml:space="preserve">but </w:t>
            </w:r>
            <w:r>
              <w:t xml:space="preserve">is </w:t>
            </w:r>
            <w:r w:rsidRPr="0048566A">
              <w:t xml:space="preserve">not limited to, scoping, designing, permitting, construction/implementation, post-construction. </w:t>
            </w:r>
          </w:p>
          <w:p w:rsidR="00094BBC" w:rsidP="00237320" w:rsidRDefault="00094BBC" w14:paraId="2F82E38B" w14:textId="77777777">
            <w:pPr>
              <w:pStyle w:val="TableText"/>
              <w:rPr>
                <w:rFonts w:eastAsia="Times New Roman" w:cs="Times New Roman"/>
              </w:rPr>
            </w:pPr>
            <w:r w:rsidRPr="0048566A">
              <w:rPr>
                <w:rFonts w:eastAsia="Times New Roman" w:cs="Times New Roman"/>
              </w:rPr>
              <w:t>(</w:t>
            </w:r>
            <w:r>
              <w:rPr>
                <w:rFonts w:eastAsia="Times New Roman" w:cs="Times New Roman"/>
              </w:rPr>
              <w:t>b</w:t>
            </w:r>
            <w:r w:rsidRPr="0048566A">
              <w:rPr>
                <w:rFonts w:eastAsia="Times New Roman" w:cs="Times New Roman"/>
              </w:rPr>
              <w:t>) auditable in terms of timing, location, work units, cost, and risk reduction.</w:t>
            </w:r>
          </w:p>
          <w:p w:rsidRPr="0048566A" w:rsidR="00094BBC" w:rsidP="00237320" w:rsidRDefault="00094BBC" w14:paraId="4B600BB6" w14:textId="77777777">
            <w:pPr>
              <w:pStyle w:val="TableText"/>
              <w:rPr>
                <w:rFonts w:eastAsia="Times New Roman" w:cs="Times New Roman"/>
              </w:rPr>
            </w:pPr>
            <w:r>
              <w:rPr>
                <w:rFonts w:eastAsia="Times New Roman" w:cs="Times New Roman"/>
              </w:rPr>
              <w:t xml:space="preserve">(c) </w:t>
            </w:r>
            <w:r w:rsidRPr="00C9742C">
              <w:rPr>
                <w:rFonts w:eastAsia="Times New Roman" w:cs="Times New Roman"/>
              </w:rPr>
              <w:t>reasonably forecastable in terms of timing, cost, and risk reduction</w:t>
            </w:r>
          </w:p>
          <w:p w:rsidRPr="0048566A" w:rsidR="00094BBC" w:rsidP="00237320" w:rsidRDefault="00094BBC" w14:paraId="36FAE4CB" w14:textId="1DDA0ABE">
            <w:pPr>
              <w:pStyle w:val="TableText"/>
            </w:pPr>
            <w:r w:rsidRPr="0048566A">
              <w:rPr>
                <w:rFonts w:eastAsia="Times New Roman" w:cs="Times New Roman"/>
              </w:rPr>
              <w:t>(d) able to aggregate up to the Mitigation Program or Control Program.</w:t>
            </w:r>
          </w:p>
          <w:p w:rsidR="00094BBC" w:rsidP="00237320" w:rsidRDefault="00094BBC" w14:paraId="522800EF" w14:textId="77777777">
            <w:pPr>
              <w:pStyle w:val="TableText"/>
            </w:pPr>
            <w:r w:rsidRPr="00C9742C">
              <w:t>The RRU(s) should be defined at the relevant level of detail that is available to the utility at the time of its RAMP or GRC filing. Hence, to the extent that detailed information beyond the mitigation or control level is unavailable, the RRU may be defined at the Control and/or Mitigation level instead. The IOU will provide its rationale for defining the RRU accordingly and parties will be afforded the opportunity to challenge this explanation prior to the IOU filing its subsequent GRC.</w:t>
            </w:r>
          </w:p>
          <w:p w:rsidRPr="00C9742C" w:rsidR="00094BBC" w:rsidRDefault="00094BBC" w14:paraId="63B8ABB6" w14:textId="77777777">
            <w:pPr>
              <w:widowControl w:val="0"/>
              <w:autoSpaceDE w:val="0"/>
              <w:autoSpaceDN w:val="0"/>
              <w:spacing w:line="240" w:lineRule="auto"/>
              <w:ind w:left="86" w:right="126" w:hanging="1"/>
              <w:rPr>
                <w:rFonts w:eastAsia="Times New Roman" w:cs="Times New Roman"/>
                <w:szCs w:val="26"/>
              </w:rPr>
            </w:pPr>
          </w:p>
          <w:p w:rsidRPr="0048566A" w:rsidR="00094BBC" w:rsidP="00237320" w:rsidRDefault="00094BBC" w14:paraId="3EA04B9F" w14:textId="77777777">
            <w:pPr>
              <w:pStyle w:val="TableText"/>
            </w:pPr>
            <w:r w:rsidRPr="00C9742C">
              <w:t>The RRU(s) for each risk are to be established by each utility in its RAMP filing, beginning with SCE’s 2026 RAMP filing. Each utility shall also provide updates to its RRU(s) on a timely basis, to reflect newly available information and details relevant to Controls and/or Mitigations. If a utility updates its RRU(s) it must clearly explain the rationale for the update and how the new RRU(s) differs, or are derived from prior RRU(s).</w:t>
            </w:r>
          </w:p>
        </w:tc>
      </w:tr>
    </w:tbl>
    <w:p w:rsidRPr="002B7636" w:rsidR="00094BBC" w:rsidP="00C70239" w:rsidRDefault="00094BBC" w14:paraId="4DCDD0A7" w14:textId="37F3D0F6">
      <w:pPr>
        <w:pStyle w:val="Standard"/>
      </w:pPr>
      <w:r>
        <w:t xml:space="preserve">The Joint IOU Proposal does not recommend </w:t>
      </w:r>
      <w:r w:rsidR="00D02C1A">
        <w:t>adding</w:t>
      </w:r>
      <w:r>
        <w:t xml:space="preserve"> any definitions to the RDF.</w:t>
      </w:r>
      <w:r>
        <w:rPr>
          <w:rStyle w:val="FootnoteReference"/>
        </w:rPr>
        <w:footnoteReference w:id="76"/>
      </w:r>
    </w:p>
    <w:p w:rsidR="00094BBC" w:rsidP="005340D9" w:rsidRDefault="00094BBC" w14:paraId="6BCA7513" w14:textId="77777777">
      <w:pPr>
        <w:pStyle w:val="Heading2"/>
      </w:pPr>
      <w:bookmarkStart w:name="_Toc204258036" w:id="34"/>
      <w:r>
        <w:lastRenderedPageBreak/>
        <w:t>Party Comments</w:t>
      </w:r>
      <w:bookmarkEnd w:id="34"/>
    </w:p>
    <w:p w:rsidR="00094BBC" w:rsidP="00094BBC" w:rsidRDefault="00094BBC" w14:paraId="50FA5502" w14:textId="4FFFC0B6">
      <w:pPr>
        <w:pStyle w:val="Standard"/>
      </w:pPr>
      <w:r w:rsidRPr="00B94146">
        <w:t>Parties were split</w:t>
      </w:r>
      <w:r w:rsidR="00E16C2D">
        <w:t xml:space="preserve"> in their </w:t>
      </w:r>
      <w:r w:rsidR="00537FAC">
        <w:t>support of the two proposals</w:t>
      </w:r>
      <w:r w:rsidRPr="00B94146">
        <w:t xml:space="preserve">, with the IOUs supporting the Joint IOU </w:t>
      </w:r>
      <w:r w:rsidR="00D02C1A">
        <w:t xml:space="preserve">Scoped Work </w:t>
      </w:r>
      <w:r w:rsidRPr="00B94146">
        <w:t xml:space="preserve">Proposal and </w:t>
      </w:r>
      <w:r w:rsidR="00200D83">
        <w:t xml:space="preserve">Cal Advocates, </w:t>
      </w:r>
      <w:r w:rsidR="00A45105">
        <w:t xml:space="preserve">EPUC/IS, </w:t>
      </w:r>
      <w:r w:rsidR="000A7FB6">
        <w:t>and TURN (collectively,</w:t>
      </w:r>
      <w:r w:rsidRPr="00B94146">
        <w:t xml:space="preserve"> Joint Intervenors</w:t>
      </w:r>
      <w:r w:rsidR="000A7FB6">
        <w:t>)</w:t>
      </w:r>
      <w:r w:rsidRPr="00B94146">
        <w:t xml:space="preserve"> and PCF supporting the Staff </w:t>
      </w:r>
      <w:r w:rsidR="007F2CC0">
        <w:t xml:space="preserve">Scoped Work </w:t>
      </w:r>
      <w:r w:rsidRPr="00B94146">
        <w:t>Proposal.</w:t>
      </w:r>
      <w:r>
        <w:t xml:space="preserve"> The Joint Intervenors and PCF provide limited comment on the Joint IOU </w:t>
      </w:r>
      <w:r w:rsidR="00BC478C">
        <w:t xml:space="preserve">Scoped Work </w:t>
      </w:r>
      <w:r>
        <w:t>Proposal, other than that it should not be accepted by the Commission. Comments from PG&amp;E, SCE</w:t>
      </w:r>
      <w:r w:rsidR="00BC478C">
        <w:t>,</w:t>
      </w:r>
      <w:r>
        <w:t xml:space="preserve"> and </w:t>
      </w:r>
      <w:r w:rsidR="00BC478C">
        <w:t xml:space="preserve">the </w:t>
      </w:r>
      <w:r>
        <w:t>Sempra Companies focus on describing the need for exceptions in various aspects of the Staff</w:t>
      </w:r>
      <w:r w:rsidR="00480DE4">
        <w:t xml:space="preserve"> Scoped Work</w:t>
      </w:r>
      <w:r>
        <w:t xml:space="preserve"> Proposal. For instance, SCE argue</w:t>
      </w:r>
      <w:r w:rsidR="00865F12">
        <w:t>s</w:t>
      </w:r>
      <w:r>
        <w:t xml:space="preserve"> that it is not necessary for the RDF to include a prescriptive list of lifecycle stages.</w:t>
      </w:r>
      <w:r>
        <w:rPr>
          <w:rStyle w:val="FootnoteReference"/>
        </w:rPr>
        <w:footnoteReference w:id="77"/>
      </w:r>
      <w:r>
        <w:t xml:space="preserve"> In contrast, the Joint Intervenors request that the Commission add the “retirement/decommissioning phase” to the list of lifecycle stages.</w:t>
      </w:r>
      <w:r>
        <w:rPr>
          <w:rStyle w:val="FootnoteReference"/>
        </w:rPr>
        <w:footnoteReference w:id="78"/>
      </w:r>
      <w:r>
        <w:t xml:space="preserve"> Regarding examples of mitigations that would not conform to the lifecycle stages in the Staff</w:t>
      </w:r>
      <w:r w:rsidR="009514DF">
        <w:t xml:space="preserve"> Scoped Work</w:t>
      </w:r>
      <w:r>
        <w:t xml:space="preserve"> Proposal, PG&amp;E and</w:t>
      </w:r>
      <w:r w:rsidR="00EF3C5C">
        <w:t xml:space="preserve"> the</w:t>
      </w:r>
      <w:r>
        <w:t xml:space="preserve"> Sempra </w:t>
      </w:r>
      <w:r w:rsidR="00A04F67">
        <w:t>C</w:t>
      </w:r>
      <w:r>
        <w:t>ompanies provided limited examples but only SCE presented a list of mitigations.</w:t>
      </w:r>
      <w:r>
        <w:rPr>
          <w:rStyle w:val="FootnoteReference"/>
        </w:rPr>
        <w:footnoteReference w:id="79"/>
      </w:r>
      <w:r>
        <w:t xml:space="preserve"> The Joint Intervenors argue that the utilities should present their case that a mitigation should be exempt from being presented at the RRU level in a RAMP </w:t>
      </w:r>
      <w:r w:rsidR="009C10E2">
        <w:t>a</w:t>
      </w:r>
      <w:r w:rsidRPr="00571273">
        <w:t>pplication and should not be preliminarily excluded in the definition of the RRU itself.</w:t>
      </w:r>
      <w:r>
        <w:rPr>
          <w:rStyle w:val="FootnoteReference"/>
        </w:rPr>
        <w:footnoteReference w:id="80"/>
      </w:r>
      <w:r w:rsidRPr="00571273">
        <w:t xml:space="preserve"> </w:t>
      </w:r>
      <w:r>
        <w:t xml:space="preserve">The three IOUs oppose requiring RRUs be applied to all Mitigation and Control </w:t>
      </w:r>
      <w:r w:rsidR="009C10E2">
        <w:t>p</w:t>
      </w:r>
      <w:r>
        <w:t xml:space="preserve">rograms and PG&amp;E emphasizes that Row 28 of the RDF </w:t>
      </w:r>
      <w:r w:rsidR="00400231">
        <w:t xml:space="preserve">provides guidance </w:t>
      </w:r>
      <w:r>
        <w:t>on when risk analysis is required for non-RAMP programs.</w:t>
      </w:r>
      <w:r>
        <w:rPr>
          <w:rStyle w:val="FootnoteReference"/>
        </w:rPr>
        <w:footnoteReference w:id="81"/>
      </w:r>
      <w:r>
        <w:t xml:space="preserve"> </w:t>
      </w:r>
      <w:r>
        <w:lastRenderedPageBreak/>
        <w:t xml:space="preserve">The Joint Intervenors argue that the RRU level should be applied to all Mitigation and Control </w:t>
      </w:r>
      <w:r w:rsidR="009C10E2">
        <w:t>p</w:t>
      </w:r>
      <w:r>
        <w:t>rograms, similar to the way the IOUs must present information in the R</w:t>
      </w:r>
      <w:r w:rsidR="0087773B">
        <w:t xml:space="preserve">isk </w:t>
      </w:r>
      <w:r>
        <w:t>S</w:t>
      </w:r>
      <w:r w:rsidR="0087773B">
        <w:t xml:space="preserve">pend </w:t>
      </w:r>
      <w:r>
        <w:t>A</w:t>
      </w:r>
      <w:r w:rsidR="0087773B">
        <w:t xml:space="preserve">ccountability </w:t>
      </w:r>
      <w:r>
        <w:t>R</w:t>
      </w:r>
      <w:r w:rsidR="0087773B">
        <w:t>eport (RSAR)</w:t>
      </w:r>
      <w:r>
        <w:t>.</w:t>
      </w:r>
      <w:r>
        <w:rPr>
          <w:rStyle w:val="FootnoteReference"/>
        </w:rPr>
        <w:footnoteReference w:id="82"/>
      </w:r>
    </w:p>
    <w:p w:rsidR="00094BBC" w:rsidP="00094BBC" w:rsidRDefault="00094BBC" w14:paraId="2E9C185A" w14:textId="47C74704">
      <w:pPr>
        <w:pStyle w:val="Standard"/>
      </w:pPr>
      <w:r>
        <w:t>The Joint Intervenors emphasize that the RRU should extend to more than just asset-based risks including P</w:t>
      </w:r>
      <w:r w:rsidR="005132FF">
        <w:t xml:space="preserve">ublic </w:t>
      </w:r>
      <w:r>
        <w:t>S</w:t>
      </w:r>
      <w:r w:rsidR="005132FF">
        <w:t xml:space="preserve">afety </w:t>
      </w:r>
      <w:r>
        <w:t>P</w:t>
      </w:r>
      <w:r w:rsidR="005132FF">
        <w:t xml:space="preserve">ower </w:t>
      </w:r>
      <w:r>
        <w:t>S</w:t>
      </w:r>
      <w:r w:rsidR="005132FF">
        <w:t>hutoffs (</w:t>
      </w:r>
      <w:r>
        <w:t>PSPS</w:t>
      </w:r>
      <w:r w:rsidR="005132FF">
        <w:t>)</w:t>
      </w:r>
      <w:r>
        <w:t>.</w:t>
      </w:r>
      <w:r>
        <w:rPr>
          <w:rStyle w:val="FootnoteReference"/>
        </w:rPr>
        <w:footnoteReference w:id="83"/>
      </w:r>
      <w:r>
        <w:t xml:space="preserve"> PG&amp;E argues that it is difficult to conceive of PSPS as an RRU since it only temporarily removes the risk of wildfire.</w:t>
      </w:r>
      <w:r>
        <w:rPr>
          <w:rStyle w:val="FootnoteReference"/>
        </w:rPr>
        <w:footnoteReference w:id="84"/>
      </w:r>
      <w:r>
        <w:t xml:space="preserve"> SCE </w:t>
      </w:r>
      <w:r w:rsidR="005767EF">
        <w:t>notes</w:t>
      </w:r>
      <w:r>
        <w:t xml:space="preserve"> that both the Commission and </w:t>
      </w:r>
      <w:r w:rsidR="00FB6318">
        <w:t xml:space="preserve">the Office of </w:t>
      </w:r>
      <w:r>
        <w:t>E</w:t>
      </w:r>
      <w:r w:rsidR="00FB6318">
        <w:t xml:space="preserve">nergy </w:t>
      </w:r>
      <w:r>
        <w:t>I</w:t>
      </w:r>
      <w:r w:rsidR="00FB6318">
        <w:t xml:space="preserve">nfrastructure </w:t>
      </w:r>
      <w:r>
        <w:t>S</w:t>
      </w:r>
      <w:r w:rsidR="00FB6318">
        <w:t>afety</w:t>
      </w:r>
      <w:r w:rsidR="00E76D34">
        <w:t xml:space="preserve"> (OEIS)</w:t>
      </w:r>
      <w:r>
        <w:t xml:space="preserve"> do not require R</w:t>
      </w:r>
      <w:r w:rsidR="003551D0">
        <w:t xml:space="preserve">isk </w:t>
      </w:r>
      <w:r>
        <w:t>S</w:t>
      </w:r>
      <w:r w:rsidR="003551D0">
        <w:t xml:space="preserve">pend </w:t>
      </w:r>
      <w:r>
        <w:t>E</w:t>
      </w:r>
      <w:r w:rsidR="003551D0">
        <w:t>fficiencie</w:t>
      </w:r>
      <w:r>
        <w:t>s to be calculated for PSPS and that the Commission considers PSPS a measure of last resort</w:t>
      </w:r>
      <w:r w:rsidR="00E76D34">
        <w:t>.</w:t>
      </w:r>
      <w:r>
        <w:t xml:space="preserve"> </w:t>
      </w:r>
      <w:r w:rsidR="00ED3B42">
        <w:t>As such, SCE argues</w:t>
      </w:r>
      <w:r>
        <w:t xml:space="preserve"> it cannot be considered an acceptable alternative to other wildfire mitigation programs.</w:t>
      </w:r>
      <w:r>
        <w:rPr>
          <w:rStyle w:val="FootnoteReference"/>
        </w:rPr>
        <w:footnoteReference w:id="85"/>
      </w:r>
    </w:p>
    <w:p w:rsidR="00094BBC" w:rsidP="00094BBC" w:rsidRDefault="00094BBC" w14:paraId="355EFA61" w14:textId="67DA9938">
      <w:pPr>
        <w:pStyle w:val="Standard"/>
      </w:pPr>
      <w:r>
        <w:t xml:space="preserve">The IOUs provide recommended cost thresholds below which a mitigation or control program would be exempt from establishing RRUs. PG&amp;E recommends that the </w:t>
      </w:r>
      <w:r w:rsidRPr="00FD77E6">
        <w:t xml:space="preserve">IOUs </w:t>
      </w:r>
      <w:r>
        <w:t>be</w:t>
      </w:r>
      <w:r w:rsidRPr="00FD77E6">
        <w:t xml:space="preserve"> required to develop RRUs for control and mitigation programs that contribute to the top 90% of the total estimated mitigation costs over the GRC period.</w:t>
      </w:r>
      <w:r>
        <w:rPr>
          <w:rStyle w:val="FootnoteReference"/>
        </w:rPr>
        <w:footnoteReference w:id="86"/>
      </w:r>
      <w:r>
        <w:t xml:space="preserve"> The Sempra Companies </w:t>
      </w:r>
      <w:r w:rsidRPr="00F8060B">
        <w:t>recommend, at a</w:t>
      </w:r>
      <w:r>
        <w:t xml:space="preserve"> </w:t>
      </w:r>
      <w:r w:rsidRPr="00F8060B">
        <w:t>minimum, adopting the utility-specific Variance Selection criteria thresholds adopted in D.19-04-020</w:t>
      </w:r>
      <w:r>
        <w:t>.</w:t>
      </w:r>
      <w:r>
        <w:rPr>
          <w:rStyle w:val="FootnoteReference"/>
        </w:rPr>
        <w:footnoteReference w:id="87"/>
      </w:r>
      <w:r>
        <w:t xml:space="preserve"> SCE recommend</w:t>
      </w:r>
      <w:r w:rsidR="00E37A0E">
        <w:t>s</w:t>
      </w:r>
      <w:r>
        <w:t xml:space="preserve"> the cost thresholds for incorporating foundational costs </w:t>
      </w:r>
      <w:r w:rsidR="00F55270">
        <w:t xml:space="preserve">found </w:t>
      </w:r>
      <w:r>
        <w:t>in D.21-11-009.</w:t>
      </w:r>
      <w:r>
        <w:rPr>
          <w:rStyle w:val="FootnoteReference"/>
        </w:rPr>
        <w:footnoteReference w:id="88"/>
      </w:r>
      <w:r>
        <w:t xml:space="preserve"> The Joint Intervenors did not comment </w:t>
      </w:r>
      <w:r>
        <w:lastRenderedPageBreak/>
        <w:t xml:space="preserve">on this issue, but the Sempra Companies agree </w:t>
      </w:r>
      <w:r w:rsidR="00631C97">
        <w:t xml:space="preserve">in their reply comments </w:t>
      </w:r>
      <w:r>
        <w:t>with SCE’s approach.</w:t>
      </w:r>
      <w:r>
        <w:rPr>
          <w:rStyle w:val="FootnoteReference"/>
        </w:rPr>
        <w:footnoteReference w:id="89"/>
      </w:r>
    </w:p>
    <w:p w:rsidR="00094BBC" w:rsidP="00094BBC" w:rsidRDefault="00094BBC" w14:paraId="17B8323C" w14:textId="578E8B45">
      <w:pPr>
        <w:pStyle w:val="Standard"/>
      </w:pPr>
      <w:r>
        <w:t>SCE and the Sempra Companies</w:t>
      </w:r>
      <w:r w:rsidRPr="00B94146">
        <w:t xml:space="preserve"> argue that for many mitigation programs it is not possible to forecast out to the third post-test year at the RRU level of granularity.</w:t>
      </w:r>
      <w:r>
        <w:rPr>
          <w:rStyle w:val="FootnoteReference"/>
        </w:rPr>
        <w:footnoteReference w:id="90"/>
      </w:r>
      <w:r>
        <w:t xml:space="preserve"> In contrast</w:t>
      </w:r>
      <w:r w:rsidR="003D1571">
        <w:t>,</w:t>
      </w:r>
      <w:r>
        <w:t xml:space="preserve"> the Joint Intervenors argue that the IOU</w:t>
      </w:r>
      <w:r w:rsidR="003D1571">
        <w:t>s</w:t>
      </w:r>
      <w:r>
        <w:t xml:space="preserve"> should be required to forecast an RRU at least 5 years into the future</w:t>
      </w:r>
      <w:r w:rsidR="003D1571">
        <w:t>,</w:t>
      </w:r>
      <w:r>
        <w:t xml:space="preserve"> if not longer.</w:t>
      </w:r>
      <w:r>
        <w:rPr>
          <w:rStyle w:val="FootnoteReference"/>
        </w:rPr>
        <w:footnoteReference w:id="91"/>
      </w:r>
      <w:r>
        <w:t xml:space="preserve"> The Joint Intervenors also suggest that if the forecasted data is inaccurate, the utility should present an annual update of the data associated with an RRU prior to the Test Year.</w:t>
      </w:r>
      <w:r w:rsidRPr="000318A1">
        <w:rPr>
          <w:rStyle w:val="FootnoteReference"/>
        </w:rPr>
        <w:t xml:space="preserve"> </w:t>
      </w:r>
      <w:r>
        <w:rPr>
          <w:rStyle w:val="FootnoteReference"/>
        </w:rPr>
        <w:footnoteReference w:id="92"/>
      </w:r>
      <w:r>
        <w:t xml:space="preserve"> SCE </w:t>
      </w:r>
      <w:r w:rsidR="00255952">
        <w:t>notes</w:t>
      </w:r>
      <w:r>
        <w:t xml:space="preserve"> that such a requirement may not be allowed by the Rate Case Plan, which requires the GRC forecast to be set at a point in time.</w:t>
      </w:r>
      <w:r>
        <w:rPr>
          <w:rStyle w:val="FootnoteReference"/>
        </w:rPr>
        <w:footnoteReference w:id="93"/>
      </w:r>
      <w:r>
        <w:t xml:space="preserve"> </w:t>
      </w:r>
    </w:p>
    <w:p w:rsidR="00094BBC" w:rsidP="005306B1" w:rsidRDefault="00094BBC" w14:paraId="106BD6DB" w14:textId="38055EA8">
      <w:pPr>
        <w:pStyle w:val="Standard"/>
      </w:pPr>
      <w:r>
        <w:t xml:space="preserve">PG&amp;E agrees that RRUs should be auditable </w:t>
      </w:r>
      <w:r w:rsidR="003D1571">
        <w:t>in</w:t>
      </w:r>
      <w:r w:rsidRPr="00D1644D">
        <w:t xml:space="preserve"> how they are planned, managed</w:t>
      </w:r>
      <w:r w:rsidR="003D1571">
        <w:t>,</w:t>
      </w:r>
      <w:r w:rsidRPr="00D1644D">
        <w:t xml:space="preserve"> and performed</w:t>
      </w:r>
      <w:r>
        <w:t>.</w:t>
      </w:r>
      <w:r>
        <w:rPr>
          <w:rStyle w:val="FootnoteReference"/>
        </w:rPr>
        <w:footnoteReference w:id="94"/>
      </w:r>
      <w:r>
        <w:t xml:space="preserve"> SCE argues that it is not clear what benefit would be gained from auditing a “hypothetical project”.</w:t>
      </w:r>
      <w:r>
        <w:rPr>
          <w:rStyle w:val="FootnoteReference"/>
        </w:rPr>
        <w:footnoteReference w:id="95"/>
      </w:r>
      <w:r>
        <w:t xml:space="preserve"> The Joint Intervenors note that auditing an RRU </w:t>
      </w:r>
      <w:r w:rsidRPr="001B7472">
        <w:t>can inform cost-of</w:t>
      </w:r>
      <w:r>
        <w:t xml:space="preserve"> </w:t>
      </w:r>
      <w:r w:rsidRPr="001B7472">
        <w:t>service</w:t>
      </w:r>
      <w:r>
        <w:t xml:space="preserve"> </w:t>
      </w:r>
      <w:r w:rsidRPr="001B7472">
        <w:t>planning</w:t>
      </w:r>
      <w:r>
        <w:t xml:space="preserve"> </w:t>
      </w:r>
      <w:r w:rsidRPr="001B7472">
        <w:t>and the minimization of abandoned</w:t>
      </w:r>
      <w:r w:rsidR="00B80BE3">
        <w:t xml:space="preserve"> or </w:t>
      </w:r>
      <w:r w:rsidRPr="001B7472">
        <w:t>stranded</w:t>
      </w:r>
      <w:r>
        <w:t xml:space="preserve"> </w:t>
      </w:r>
      <w:r w:rsidRPr="001B7472">
        <w:t>plant costs</w:t>
      </w:r>
      <w:r>
        <w:t>.</w:t>
      </w:r>
      <w:r>
        <w:rPr>
          <w:rStyle w:val="FootnoteReference"/>
        </w:rPr>
        <w:footnoteReference w:id="96"/>
      </w:r>
      <w:r>
        <w:t xml:space="preserve"> The Joint Intervenors provide a list of additional auditable elements that they argue should be added </w:t>
      </w:r>
      <w:r w:rsidR="006A1E1C">
        <w:t xml:space="preserve">to the RDF </w:t>
      </w:r>
      <w:r>
        <w:t xml:space="preserve">as Row 15.2. In particular, Row 15.2 includes depreciation and rate of return costs </w:t>
      </w:r>
      <w:r>
        <w:lastRenderedPageBreak/>
        <w:t>charged to the ratepayer over the lifetime of an RRU.</w:t>
      </w:r>
      <w:r>
        <w:rPr>
          <w:rStyle w:val="FootnoteReference"/>
        </w:rPr>
        <w:footnoteReference w:id="97"/>
      </w:r>
      <w:r>
        <w:t xml:space="preserve"> All three IOUs oppose the additional elements recommended by the Joint Intervenors on the grounds that forecasting the additional data points five or more years out would be highly speculative.</w:t>
      </w:r>
      <w:r>
        <w:rPr>
          <w:rStyle w:val="FootnoteReference"/>
        </w:rPr>
        <w:footnoteReference w:id="98"/>
      </w:r>
      <w:r>
        <w:t xml:space="preserve"> SCE emphasizes that asking for the lifetime costs of depreciation and rate of return for each RRU would represent an expansion of the Results of Operation </w:t>
      </w:r>
      <w:r w:rsidR="005306B1">
        <w:t xml:space="preserve">(RO) </w:t>
      </w:r>
      <w:r>
        <w:t xml:space="preserve">model in a GRC </w:t>
      </w:r>
      <w:r w:rsidR="00B80BE3">
        <w:t>a</w:t>
      </w:r>
      <w:r>
        <w:t>pplication, which may not be feasible to complete.</w:t>
      </w:r>
      <w:r>
        <w:rPr>
          <w:rStyle w:val="FootnoteReference"/>
        </w:rPr>
        <w:footnoteReference w:id="99"/>
      </w:r>
      <w:r>
        <w:t xml:space="preserve"> The Joint Intervenors support the backcasting requirement as presented in the Staff </w:t>
      </w:r>
      <w:r w:rsidR="005306B1">
        <w:t xml:space="preserve">Scoped Work </w:t>
      </w:r>
      <w:r>
        <w:t>Proposal. They argue that w</w:t>
      </w:r>
      <w:r w:rsidRPr="00E15A1A">
        <w:t>ithout a backcasting</w:t>
      </w:r>
      <w:r>
        <w:t xml:space="preserve"> </w:t>
      </w:r>
      <w:r w:rsidRPr="00E15A1A">
        <w:t xml:space="preserve">requirement, utilities may rename or change programs from </w:t>
      </w:r>
      <w:r w:rsidR="00876EB5">
        <w:t>one</w:t>
      </w:r>
      <w:r w:rsidRPr="00E15A1A">
        <w:t xml:space="preserve"> GRC to </w:t>
      </w:r>
      <w:r w:rsidR="00876EB5">
        <w:t>another</w:t>
      </w:r>
      <w:r w:rsidRPr="00E15A1A">
        <w:t xml:space="preserve"> which </w:t>
      </w:r>
      <w:r>
        <w:t xml:space="preserve">will </w:t>
      </w:r>
      <w:r w:rsidRPr="00E15A1A">
        <w:t>impede</w:t>
      </w:r>
      <w:r>
        <w:t xml:space="preserve"> </w:t>
      </w:r>
      <w:r w:rsidRPr="00E15A1A">
        <w:t>the</w:t>
      </w:r>
      <w:r>
        <w:t xml:space="preserve"> </w:t>
      </w:r>
      <w:r w:rsidRPr="00E15A1A">
        <w:t>Commission’s ability to hold utilities accountable.</w:t>
      </w:r>
      <w:r>
        <w:rPr>
          <w:rStyle w:val="FootnoteReference"/>
        </w:rPr>
        <w:footnoteReference w:id="100"/>
      </w:r>
      <w:r>
        <w:t xml:space="preserve"> PG&amp;E recommend</w:t>
      </w:r>
      <w:r w:rsidR="00BB00E0">
        <w:t>s</w:t>
      </w:r>
      <w:r>
        <w:t xml:space="preserve"> that discussion of the backcast be considered further in the context of the RMAR.</w:t>
      </w:r>
      <w:r>
        <w:rPr>
          <w:rStyle w:val="FootnoteReference"/>
        </w:rPr>
        <w:footnoteReference w:id="101"/>
      </w:r>
      <w:r>
        <w:t xml:space="preserve"> </w:t>
      </w:r>
    </w:p>
    <w:p w:rsidR="00094BBC" w:rsidP="00094BBC" w:rsidRDefault="00094BBC" w14:paraId="141E45BC" w14:textId="43D48B7F">
      <w:pPr>
        <w:pStyle w:val="Standard"/>
      </w:pPr>
      <w:r>
        <w:t xml:space="preserve">Both </w:t>
      </w:r>
      <w:r w:rsidR="00BB00E0">
        <w:t>t</w:t>
      </w:r>
      <w:r w:rsidR="00A04F67">
        <w:t>he Sempra Companies</w:t>
      </w:r>
      <w:r>
        <w:t xml:space="preserve"> and the Joint Intervenors are against a One-to-Many mapping of RRUs and </w:t>
      </w:r>
      <w:r w:rsidR="007605EC">
        <w:t>argue</w:t>
      </w:r>
      <w:r>
        <w:t xml:space="preserve"> that such a mapping can potentially lead to double counting of costs. </w:t>
      </w:r>
      <w:r>
        <w:rPr>
          <w:rStyle w:val="FootnoteReference"/>
        </w:rPr>
        <w:footnoteReference w:id="102"/>
      </w:r>
      <w:r>
        <w:t xml:space="preserve"> PG&amp;E present</w:t>
      </w:r>
      <w:r w:rsidR="006C76F3">
        <w:t>s</w:t>
      </w:r>
      <w:r>
        <w:t xml:space="preserve"> alternative language for dealing with the costs associated with the One-to-Many approach that could be added to Row 15.1 in the Joint IOU Proposal:</w:t>
      </w:r>
    </w:p>
    <w:p w:rsidR="00094BBC" w:rsidP="00D5528C" w:rsidRDefault="00094BBC" w14:paraId="6865FD49" w14:textId="77777777">
      <w:pPr>
        <w:pStyle w:val="BlockQuote"/>
      </w:pPr>
      <w:r w:rsidRPr="00F023A2">
        <w:t xml:space="preserve">Each IOU shall incorporate the costs of an RRU that impacts multiple Risks by allocating the costs of the RRU across the impacted Risks, and shall clearly and transparently explain and </w:t>
      </w:r>
      <w:r w:rsidRPr="00F023A2">
        <w:lastRenderedPageBreak/>
        <w:t>justify their chosen allocations in their RAMP or GRC filings. Furthermore, each IOU shall also provide updates to its allocations on a timely basis, as necessary. If a utility updates the allocations of an RRU, it must clearly explain the rationale for it.</w:t>
      </w:r>
      <w:r>
        <w:rPr>
          <w:rStyle w:val="FootnoteReference"/>
        </w:rPr>
        <w:footnoteReference w:id="103"/>
      </w:r>
      <w:r w:rsidRPr="00F023A2">
        <w:t xml:space="preserve"> </w:t>
      </w:r>
    </w:p>
    <w:p w:rsidR="00094BBC" w:rsidP="00094BBC" w:rsidRDefault="00094BBC" w14:paraId="2BB2B801" w14:textId="4A217FE2">
      <w:pPr>
        <w:pStyle w:val="Standard"/>
      </w:pPr>
      <w:r>
        <w:t>SCE state</w:t>
      </w:r>
      <w:r w:rsidR="007E0553">
        <w:t>s</w:t>
      </w:r>
      <w:r>
        <w:t xml:space="preserve"> that it would be necessary to pilot an approach before it could determine the best way to address One-to-Many mapping of RRUs.</w:t>
      </w:r>
      <w:r>
        <w:rPr>
          <w:rStyle w:val="FootnoteReference"/>
        </w:rPr>
        <w:footnoteReference w:id="104"/>
      </w:r>
    </w:p>
    <w:p w:rsidR="00094BBC" w:rsidP="00094BBC" w:rsidRDefault="00094BBC" w14:paraId="0249DA14" w14:textId="0233E80F">
      <w:pPr>
        <w:pStyle w:val="Standard"/>
      </w:pPr>
      <w:r>
        <w:t>In terms of establishing the granularity of an RRU, all three utilities argue that they should be allowed the flexibility to determine if an RRU should be associated with a single asset or whether a group of assets are continuous.</w:t>
      </w:r>
      <w:r>
        <w:rPr>
          <w:rStyle w:val="FootnoteReference"/>
        </w:rPr>
        <w:footnoteReference w:id="105"/>
      </w:r>
      <w:r>
        <w:t xml:space="preserve"> The Joint Intervenors argue that RRUs should only remove or mitigate contiguous assets, systems, or locations to ensure that the </w:t>
      </w:r>
      <w:r w:rsidR="00DE2618">
        <w:t xml:space="preserve">risk reduction of </w:t>
      </w:r>
      <w:r>
        <w:t>work completed</w:t>
      </w:r>
      <w:r w:rsidR="00DE2618">
        <w:t xml:space="preserve"> </w:t>
      </w:r>
      <w:r>
        <w:t>at a given location is auditable.</w:t>
      </w:r>
      <w:r>
        <w:rPr>
          <w:rStyle w:val="FootnoteReference"/>
        </w:rPr>
        <w:footnoteReference w:id="106"/>
      </w:r>
      <w:r>
        <w:t xml:space="preserve"> The Joint Intervenors also argue that in some instances different components of a single asset, such as dams, may have different risk profiles and contains different levels of risk and should be treated as separate RRUs.</w:t>
      </w:r>
      <w:r>
        <w:rPr>
          <w:rStyle w:val="FootnoteReference"/>
        </w:rPr>
        <w:footnoteReference w:id="107"/>
      </w:r>
    </w:p>
    <w:p w:rsidR="00094BBC" w:rsidP="00094BBC" w:rsidRDefault="00094BBC" w14:paraId="663FF154" w14:textId="394D5B2E">
      <w:pPr>
        <w:pStyle w:val="Standard"/>
      </w:pPr>
      <w:r>
        <w:t>The Joint Intervenors provide redlines on the Staff</w:t>
      </w:r>
      <w:r w:rsidR="00DE2618">
        <w:t xml:space="preserve"> Scoped Work</w:t>
      </w:r>
      <w:r>
        <w:t xml:space="preserve"> Proposal. For instance, they recommend adding “retirement” </w:t>
      </w:r>
      <w:r w:rsidR="00DD4ACC">
        <w:t xml:space="preserve">to Row 15.1 </w:t>
      </w:r>
      <w:r>
        <w:t xml:space="preserve">as part of the lifecycle and requiring </w:t>
      </w:r>
      <w:r w:rsidR="00C61349">
        <w:t>the Sempra Companies</w:t>
      </w:r>
      <w:r>
        <w:t xml:space="preserve"> to include RRU</w:t>
      </w:r>
      <w:r w:rsidR="00C61349">
        <w:t>-</w:t>
      </w:r>
      <w:r>
        <w:t>level data in their 2028 GRC filing.</w:t>
      </w:r>
      <w:r>
        <w:rPr>
          <w:rStyle w:val="FootnoteReference"/>
        </w:rPr>
        <w:footnoteReference w:id="108"/>
      </w:r>
      <w:r>
        <w:t xml:space="preserve"> The Joint Intervenors also present an alternative definition for RRU to allow for comparison with work units and ensure applicability to non-</w:t>
      </w:r>
      <w:r>
        <w:lastRenderedPageBreak/>
        <w:t xml:space="preserve">asset based mitigations and controls (language additions in </w:t>
      </w:r>
      <w:r>
        <w:rPr>
          <w:i/>
          <w:iCs/>
        </w:rPr>
        <w:t>italics</w:t>
      </w:r>
      <w:r>
        <w:t xml:space="preserve"> and deletions in </w:t>
      </w:r>
      <w:r w:rsidRPr="003A4B5A">
        <w:rPr>
          <w:strike/>
        </w:rPr>
        <w:t>strikethrough</w:t>
      </w:r>
      <w:r w:rsidRPr="00184018">
        <w:t>):</w:t>
      </w:r>
    </w:p>
    <w:p w:rsidR="00B522B6" w:rsidP="00D5528C" w:rsidRDefault="00094BBC" w14:paraId="52F2C77A" w14:textId="24B4A874">
      <w:pPr>
        <w:pStyle w:val="ListBullet"/>
        <w:ind w:right="1440"/>
      </w:pPr>
      <w:r w:rsidRPr="00B522B6">
        <w:t>Risk Reporting Unit (RRU):</w:t>
      </w:r>
      <w:r w:rsidRPr="006331BF">
        <w:t xml:space="preserve"> A CPUC jurisdictional effort within Electric Operations or Gas Operations that simultaneously removes or mitigates </w:t>
      </w:r>
      <w:r w:rsidRPr="006331BF">
        <w:rPr>
          <w:i/>
          <w:iCs/>
        </w:rPr>
        <w:t>the risks associated with</w:t>
      </w:r>
      <w:r w:rsidRPr="006331BF">
        <w:t xml:space="preserve"> a </w:t>
      </w:r>
      <w:r w:rsidRPr="006331BF">
        <w:rPr>
          <w:i/>
          <w:iCs/>
        </w:rPr>
        <w:t>contiguous</w:t>
      </w:r>
      <w:r w:rsidRPr="006331BF">
        <w:t xml:space="preserve"> group of assets</w:t>
      </w:r>
      <w:r w:rsidRPr="006331BF">
        <w:rPr>
          <w:i/>
          <w:iCs/>
        </w:rPr>
        <w:t xml:space="preserve">, </w:t>
      </w:r>
      <w:r w:rsidRPr="006331BF">
        <w:rPr>
          <w:strike/>
        </w:rPr>
        <w:t>or</w:t>
      </w:r>
      <w:r w:rsidRPr="006331BF">
        <w:t xml:space="preserve"> systems</w:t>
      </w:r>
      <w:r w:rsidRPr="006331BF">
        <w:rPr>
          <w:i/>
          <w:iCs/>
        </w:rPr>
        <w:t>, or locations</w:t>
      </w:r>
      <w:r w:rsidRPr="006331BF">
        <w:t xml:space="preserve"> that exhibit high levels of </w:t>
      </w:r>
      <w:r w:rsidRPr="006331BF">
        <w:rPr>
          <w:i/>
          <w:iCs/>
        </w:rPr>
        <w:t>enterprise</w:t>
      </w:r>
      <w:r w:rsidRPr="006331BF">
        <w:t xml:space="preserve"> risk. The RRU must include </w:t>
      </w:r>
      <w:r w:rsidRPr="0067396C">
        <w:t>common</w:t>
      </w:r>
      <w:r w:rsidRPr="006331BF">
        <w:rPr>
          <w:u w:val="single"/>
        </w:rPr>
        <w:t xml:space="preserve"> </w:t>
      </w:r>
      <w:r w:rsidRPr="006331BF">
        <w:t xml:space="preserve">elements that should include, but are not limited to Consequence Attributes, Risk level, line item costs, work units, </w:t>
      </w:r>
      <w:r w:rsidRPr="006331BF">
        <w:rPr>
          <w:i/>
          <w:iCs/>
        </w:rPr>
        <w:t>Benefit-Cost Ratios (BCRs), geographical information system (GIS) data,</w:t>
      </w:r>
      <w:r w:rsidRPr="006331BF">
        <w:t xml:space="preserve"> and time. The RRU can be aggregated </w:t>
      </w:r>
      <w:r w:rsidRPr="006331BF">
        <w:rPr>
          <w:i/>
          <w:iCs/>
        </w:rPr>
        <w:t>along several dimensions</w:t>
      </w:r>
      <w:r w:rsidRPr="006331BF">
        <w:t xml:space="preserve"> based on unique identifiers that </w:t>
      </w:r>
      <w:r w:rsidRPr="006331BF">
        <w:rPr>
          <w:strike/>
        </w:rPr>
        <w:t>should</w:t>
      </w:r>
      <w:r w:rsidRPr="006331BF">
        <w:t xml:space="preserve"> include, but are not limited to, </w:t>
      </w:r>
      <w:r w:rsidRPr="006331BF">
        <w:rPr>
          <w:i/>
          <w:iCs/>
        </w:rPr>
        <w:t>IOU</w:t>
      </w:r>
      <w:r w:rsidRPr="006331BF">
        <w:t xml:space="preserve"> hierarchy, </w:t>
      </w:r>
      <w:r w:rsidRPr="006331BF">
        <w:rPr>
          <w:i/>
          <w:iCs/>
        </w:rPr>
        <w:t>risk model version, scenario,</w:t>
      </w:r>
      <w:r w:rsidRPr="006331BF">
        <w:t xml:space="preserve"> risk event, tranche and mitigation type.</w:t>
      </w:r>
      <w:r w:rsidRPr="00E473F4">
        <w:t xml:space="preserve"> </w:t>
      </w:r>
      <w:r>
        <w:rPr>
          <w:rStyle w:val="FootnoteReference"/>
        </w:rPr>
        <w:footnoteReference w:id="109"/>
      </w:r>
    </w:p>
    <w:p w:rsidR="00094BBC" w:rsidP="00237320" w:rsidRDefault="00094BBC" w14:paraId="07D700B1" w14:textId="3F73FDAF">
      <w:pPr>
        <w:pStyle w:val="Standard"/>
      </w:pPr>
      <w:r>
        <w:t>Additionally, the Joint Intervenors recommend adding the following</w:t>
      </w:r>
      <w:r w:rsidR="00121EC9">
        <w:t xml:space="preserve"> </w:t>
      </w:r>
      <w:r>
        <w:t>definition for Work Units to the RDF:</w:t>
      </w:r>
    </w:p>
    <w:p w:rsidRPr="00B94146" w:rsidR="00094BBC" w:rsidP="00891678" w:rsidRDefault="00094BBC" w14:paraId="56B04A59" w14:textId="2507D576">
      <w:pPr>
        <w:pStyle w:val="ListParagraph"/>
        <w:numPr>
          <w:ilvl w:val="0"/>
          <w:numId w:val="17"/>
        </w:numPr>
        <w:spacing w:line="259" w:lineRule="auto"/>
      </w:pPr>
      <w:r w:rsidRPr="00B522B6">
        <w:t>Work Units</w:t>
      </w:r>
      <w:r w:rsidRPr="00264124">
        <w:t>: Metrics used to quantify the scope of a larger program or project (such as miles of pipe replaced)</w:t>
      </w:r>
      <w:r w:rsidRPr="00264124">
        <w:rPr>
          <w:rStyle w:val="FootnoteReference"/>
        </w:rPr>
        <w:footnoteReference w:id="110"/>
      </w:r>
      <w:r w:rsidRPr="00264124">
        <w:rPr>
          <w:b/>
          <w:bCs/>
        </w:rPr>
        <w:t xml:space="preserve"> </w:t>
      </w:r>
      <w:r w:rsidRPr="00264124">
        <w:t>RRU work units will be a subset of the program-level work units reported in RSARs.</w:t>
      </w:r>
      <w:r>
        <w:rPr>
          <w:rStyle w:val="FootnoteReference"/>
        </w:rPr>
        <w:footnoteReference w:id="111"/>
      </w:r>
    </w:p>
    <w:p w:rsidR="00094BBC" w:rsidP="005340D9" w:rsidRDefault="00094BBC" w14:paraId="44212D5F" w14:textId="548F9BE0">
      <w:pPr>
        <w:pStyle w:val="Heading2"/>
      </w:pPr>
      <w:bookmarkStart w:name="_Toc204258037" w:id="35"/>
      <w:r>
        <w:t>Discussion</w:t>
      </w:r>
      <w:bookmarkEnd w:id="35"/>
    </w:p>
    <w:p w:rsidR="00094BBC" w:rsidP="00094BBC" w:rsidRDefault="00094BBC" w14:paraId="47D664B6" w14:textId="7EA660BC">
      <w:pPr>
        <w:pStyle w:val="Standard"/>
      </w:pPr>
      <w:r>
        <w:t xml:space="preserve">In general, the Commission is </w:t>
      </w:r>
      <w:r w:rsidR="002454BF">
        <w:t xml:space="preserve">persuaded </w:t>
      </w:r>
      <w:r>
        <w:t xml:space="preserve">of the approach to scoped work presented in the Staff </w:t>
      </w:r>
      <w:r w:rsidR="00092952">
        <w:t xml:space="preserve">Scoped Work </w:t>
      </w:r>
      <w:r>
        <w:t xml:space="preserve">Proposal. We agree that the term Risk Reporting Unit </w:t>
      </w:r>
      <w:r w:rsidR="00682059">
        <w:t>(</w:t>
      </w:r>
      <w:r>
        <w:t>RRU</w:t>
      </w:r>
      <w:r w:rsidR="00682059">
        <w:t>)</w:t>
      </w:r>
      <w:r>
        <w:t xml:space="preserve"> is a better choice than scoped work and we adopt </w:t>
      </w:r>
      <w:r w:rsidR="00024B97">
        <w:t>s</w:t>
      </w:r>
      <w:r>
        <w:t>taff’s definition with adjustments informed by the Joint Intervenors</w:t>
      </w:r>
      <w:r w:rsidR="00C25999">
        <w:t xml:space="preserve"> (additions in </w:t>
      </w:r>
      <w:r w:rsidR="00C25999">
        <w:rPr>
          <w:i/>
          <w:iCs/>
        </w:rPr>
        <w:t>italics</w:t>
      </w:r>
      <w:r w:rsidR="00C25999">
        <w:t>)</w:t>
      </w:r>
      <w:r>
        <w:t>:</w:t>
      </w:r>
    </w:p>
    <w:p w:rsidRPr="00970CB2" w:rsidR="00094BBC" w:rsidP="00D5528C" w:rsidRDefault="00094BBC" w14:paraId="06E273BC" w14:textId="6C696050">
      <w:pPr>
        <w:pStyle w:val="ListBullet"/>
        <w:ind w:right="1440"/>
        <w:rPr>
          <w:i/>
        </w:rPr>
      </w:pPr>
      <w:r w:rsidRPr="00970CB2">
        <w:rPr>
          <w:i/>
        </w:rPr>
        <w:t xml:space="preserve">Risk Reporting Unit (RRU): A CPUC jurisdictional effort within Electric Operations or Gas Operations that </w:t>
      </w:r>
      <w:r w:rsidRPr="00970CB2">
        <w:rPr>
          <w:i/>
        </w:rPr>
        <w:lastRenderedPageBreak/>
        <w:t xml:space="preserve">simultaneously removes or mitigates the risk associated with a group of contiguous assets or systems that exhibit high levels of risk. The RRU must include common elements that </w:t>
      </w:r>
      <w:r w:rsidRPr="00970CB2" w:rsidR="00EA3A92">
        <w:rPr>
          <w:i/>
        </w:rPr>
        <w:t xml:space="preserve">must </w:t>
      </w:r>
      <w:r w:rsidRPr="00970CB2">
        <w:rPr>
          <w:i/>
        </w:rPr>
        <w:t xml:space="preserve">include, but are not limited to Consequence Attributes, Risk level, </w:t>
      </w:r>
      <w:r w:rsidRPr="00970CB2" w:rsidR="005F0462">
        <w:rPr>
          <w:i/>
        </w:rPr>
        <w:t>line-item</w:t>
      </w:r>
      <w:r w:rsidRPr="00970CB2">
        <w:rPr>
          <w:i/>
        </w:rPr>
        <w:t xml:space="preserve"> costs, </w:t>
      </w:r>
      <w:r w:rsidRPr="00970CB2" w:rsidR="00CA27BF">
        <w:rPr>
          <w:i/>
        </w:rPr>
        <w:t>B</w:t>
      </w:r>
      <w:r w:rsidRPr="00970CB2">
        <w:rPr>
          <w:i/>
        </w:rPr>
        <w:t>enefit-</w:t>
      </w:r>
      <w:r w:rsidRPr="00970CB2" w:rsidR="00CA27BF">
        <w:rPr>
          <w:i/>
        </w:rPr>
        <w:t>C</w:t>
      </w:r>
      <w:r w:rsidRPr="00970CB2">
        <w:rPr>
          <w:i/>
        </w:rPr>
        <w:t xml:space="preserve">ost </w:t>
      </w:r>
      <w:r w:rsidRPr="00970CB2" w:rsidR="00CA27BF">
        <w:rPr>
          <w:i/>
        </w:rPr>
        <w:t>R</w:t>
      </w:r>
      <w:r w:rsidRPr="00970CB2">
        <w:rPr>
          <w:i/>
        </w:rPr>
        <w:t xml:space="preserve">atios, </w:t>
      </w:r>
      <w:r w:rsidRPr="00970CB2" w:rsidR="00CA27BF">
        <w:rPr>
          <w:i/>
        </w:rPr>
        <w:t>W</w:t>
      </w:r>
      <w:r w:rsidRPr="00970CB2">
        <w:rPr>
          <w:i/>
        </w:rPr>
        <w:t xml:space="preserve">ork </w:t>
      </w:r>
      <w:r w:rsidRPr="00970CB2" w:rsidR="00CA27BF">
        <w:rPr>
          <w:i/>
        </w:rPr>
        <w:t>U</w:t>
      </w:r>
      <w:r w:rsidRPr="00970CB2">
        <w:rPr>
          <w:i/>
        </w:rPr>
        <w:t xml:space="preserve">nits and time. The RRU can be aggregated along several dimensions based on unique identifiers that include, but are not limited to, </w:t>
      </w:r>
      <w:r w:rsidRPr="00970CB2" w:rsidR="00844474">
        <w:rPr>
          <w:i/>
        </w:rPr>
        <w:t>H</w:t>
      </w:r>
      <w:r w:rsidRPr="00970CB2">
        <w:rPr>
          <w:i/>
        </w:rPr>
        <w:t>ierarchy</w:t>
      </w:r>
      <w:r w:rsidRPr="00970CB2" w:rsidR="00042E17">
        <w:rPr>
          <w:i/>
        </w:rPr>
        <w:t>,</w:t>
      </w:r>
      <w:r w:rsidRPr="00970CB2">
        <w:rPr>
          <w:rStyle w:val="FootnoteReference"/>
          <w:i/>
        </w:rPr>
        <w:footnoteReference w:id="112"/>
      </w:r>
      <w:r w:rsidRPr="00970CB2">
        <w:rPr>
          <w:i/>
        </w:rPr>
        <w:t xml:space="preserve"> </w:t>
      </w:r>
      <w:r w:rsidRPr="00970CB2" w:rsidR="00844474">
        <w:rPr>
          <w:i/>
        </w:rPr>
        <w:t>S</w:t>
      </w:r>
      <w:r w:rsidRPr="00970CB2">
        <w:rPr>
          <w:i/>
        </w:rPr>
        <w:t>cenario</w:t>
      </w:r>
      <w:r w:rsidRPr="00970CB2" w:rsidR="00042E17">
        <w:rPr>
          <w:i/>
        </w:rPr>
        <w:t>,</w:t>
      </w:r>
      <w:r w:rsidRPr="00970CB2">
        <w:rPr>
          <w:rStyle w:val="FootnoteReference"/>
          <w:i/>
        </w:rPr>
        <w:footnoteReference w:id="113"/>
      </w:r>
      <w:r w:rsidRPr="00970CB2">
        <w:rPr>
          <w:i/>
        </w:rPr>
        <w:t xml:space="preserve"> </w:t>
      </w:r>
      <w:r w:rsidRPr="00970CB2" w:rsidR="00844474">
        <w:rPr>
          <w:i/>
        </w:rPr>
        <w:t>V</w:t>
      </w:r>
      <w:r w:rsidRPr="00970CB2">
        <w:rPr>
          <w:i/>
        </w:rPr>
        <w:t>ersion</w:t>
      </w:r>
      <w:r w:rsidRPr="00970CB2" w:rsidR="00042E17">
        <w:rPr>
          <w:i/>
        </w:rPr>
        <w:t>,</w:t>
      </w:r>
      <w:r w:rsidRPr="00970CB2">
        <w:rPr>
          <w:rStyle w:val="FootnoteReference"/>
          <w:i/>
        </w:rPr>
        <w:footnoteReference w:id="114"/>
      </w:r>
      <w:r w:rsidRPr="00970CB2">
        <w:rPr>
          <w:i/>
        </w:rPr>
        <w:t xml:space="preserve"> </w:t>
      </w:r>
      <w:r w:rsidRPr="00970CB2" w:rsidR="00844474">
        <w:rPr>
          <w:i/>
        </w:rPr>
        <w:t>R</w:t>
      </w:r>
      <w:r w:rsidRPr="00970CB2">
        <w:rPr>
          <w:i/>
        </w:rPr>
        <w:t xml:space="preserve">isk </w:t>
      </w:r>
      <w:r w:rsidRPr="00970CB2" w:rsidR="00844474">
        <w:rPr>
          <w:i/>
        </w:rPr>
        <w:t>E</w:t>
      </w:r>
      <w:r w:rsidRPr="00970CB2">
        <w:rPr>
          <w:i/>
        </w:rPr>
        <w:t xml:space="preserve">vent, </w:t>
      </w:r>
      <w:r w:rsidRPr="00970CB2" w:rsidR="00844474">
        <w:rPr>
          <w:i/>
        </w:rPr>
        <w:t>T</w:t>
      </w:r>
      <w:r w:rsidRPr="00970CB2">
        <w:rPr>
          <w:i/>
        </w:rPr>
        <w:t>ranche</w:t>
      </w:r>
      <w:r w:rsidRPr="00970CB2" w:rsidR="00970EAE">
        <w:rPr>
          <w:i/>
        </w:rPr>
        <w:t>,</w:t>
      </w:r>
      <w:r w:rsidRPr="00970CB2">
        <w:rPr>
          <w:i/>
        </w:rPr>
        <w:t xml:space="preserve"> and mitigation type.</w:t>
      </w:r>
    </w:p>
    <w:p w:rsidRPr="00534D31" w:rsidR="00094BBC" w:rsidP="00094BBC" w:rsidRDefault="00094BBC" w14:paraId="6F353B90" w14:textId="130C970E">
      <w:pPr>
        <w:pStyle w:val="Standard"/>
      </w:pPr>
      <w:r>
        <w:t xml:space="preserve">The Commission is also </w:t>
      </w:r>
      <w:r w:rsidR="0089372C">
        <w:t xml:space="preserve">persuaded </w:t>
      </w:r>
      <w:r>
        <w:t xml:space="preserve">that the </w:t>
      </w:r>
      <w:r w:rsidR="00247B21">
        <w:t xml:space="preserve">supplementary </w:t>
      </w:r>
      <w:r>
        <w:t xml:space="preserve">definitions </w:t>
      </w:r>
      <w:r w:rsidR="00EA6AC2">
        <w:t xml:space="preserve">proposed by SPD staff and </w:t>
      </w:r>
      <w:r w:rsidR="00BE39EF">
        <w:t>provided in Section 7.1.3 above</w:t>
      </w:r>
      <w:r>
        <w:t xml:space="preserve"> will add clarity to the RDF and are included in Appendix A. We also agree with the Joint Intervenors that the term Work Unit should also be added to the RDF in Appendix A. This is discussed further in the context of RMAR in Section 8.3.</w:t>
      </w:r>
    </w:p>
    <w:p w:rsidR="00094BBC" w:rsidP="00F61E1A" w:rsidRDefault="00094BBC" w14:paraId="683AF6C6" w14:textId="45BA5239">
      <w:pPr>
        <w:pStyle w:val="Standard"/>
      </w:pPr>
      <w:r>
        <w:t>The Commission</w:t>
      </w:r>
      <w:r w:rsidR="00E65ABF">
        <w:t xml:space="preserve"> </w:t>
      </w:r>
      <w:r w:rsidR="009A2798">
        <w:t>rejects the</w:t>
      </w:r>
      <w:r>
        <w:t xml:space="preserve"> requirements </w:t>
      </w:r>
      <w:r w:rsidR="00F61E1A">
        <w:t xml:space="preserve">requested by the Joint Intervenors </w:t>
      </w:r>
      <w:r>
        <w:t>in Row 15.2. In particular, we agree with SCE that requiring the lifetime costs of depreciation and rate of return for each RRU would represent an expansion of the R</w:t>
      </w:r>
      <w:r w:rsidR="00E039FD">
        <w:t xml:space="preserve">O </w:t>
      </w:r>
      <w:r>
        <w:t xml:space="preserve">model in GRC </w:t>
      </w:r>
      <w:r w:rsidR="00F4717C">
        <w:t>application</w:t>
      </w:r>
      <w:r w:rsidR="00BF392D">
        <w:t>s</w:t>
      </w:r>
      <w:r>
        <w:t>. However, we do note that P</w:t>
      </w:r>
      <w:r w:rsidR="00603666">
        <w:t xml:space="preserve">ub. </w:t>
      </w:r>
      <w:r>
        <w:t>U</w:t>
      </w:r>
      <w:r w:rsidR="00021377">
        <w:t xml:space="preserve">til. </w:t>
      </w:r>
      <w:r>
        <w:t>C</w:t>
      </w:r>
      <w:r w:rsidR="009F47CA">
        <w:t>ode</w:t>
      </w:r>
      <w:r>
        <w:t xml:space="preserve"> 739.15 require</w:t>
      </w:r>
      <w:r w:rsidR="00F61E1A">
        <w:t>s</w:t>
      </w:r>
      <w:r>
        <w:t xml:space="preserve"> IOUs to calculate </w:t>
      </w:r>
      <w:r w:rsidRPr="00C01222">
        <w:t xml:space="preserve">annual revenue requirement for each year that capital expenditures described in </w:t>
      </w:r>
      <w:r>
        <w:t>a cost-recovery</w:t>
      </w:r>
      <w:r w:rsidRPr="00C01222">
        <w:t xml:space="preserve"> application</w:t>
      </w:r>
      <w:r>
        <w:t xml:space="preserve"> to the Commission</w:t>
      </w:r>
      <w:r w:rsidRPr="00C01222">
        <w:t xml:space="preserve"> are expected to remain in the application’s rate base</w:t>
      </w:r>
      <w:r>
        <w:t xml:space="preserve">. Thus, if discussions regarding refinements to the RO model occur in future proceedings, an important topic could be whether it would be in the interest of ratepayers to </w:t>
      </w:r>
      <w:r>
        <w:lastRenderedPageBreak/>
        <w:t xml:space="preserve">require the RO models to generate revenue requests </w:t>
      </w:r>
      <w:r w:rsidR="0068315A">
        <w:t>and, if so, at what level of granularity (e.g., program, RRU, etc.)</w:t>
      </w:r>
      <w:r>
        <w:t>.</w:t>
      </w:r>
    </w:p>
    <w:p w:rsidR="00094BBC" w:rsidP="00094BBC" w:rsidRDefault="00094BBC" w14:paraId="391A06B0" w14:textId="296B97E5">
      <w:pPr>
        <w:pStyle w:val="Standard"/>
      </w:pPr>
      <w:r>
        <w:t>The Commission agree</w:t>
      </w:r>
      <w:r w:rsidR="00AE4349">
        <w:t>s</w:t>
      </w:r>
      <w:r>
        <w:t xml:space="preserve"> with the Staff </w:t>
      </w:r>
      <w:r w:rsidR="00AE4349">
        <w:t>Scoped Work</w:t>
      </w:r>
      <w:r>
        <w:t xml:space="preserve"> Proposal and the Joint Intervenors that the RRU should be auditable once the activity has taken place or the mitigation becomes used and useful. The Commission is concerned about the </w:t>
      </w:r>
      <w:r w:rsidR="009D28BA">
        <w:t>difficulty</w:t>
      </w:r>
      <w:r>
        <w:t xml:space="preserve"> of audit</w:t>
      </w:r>
      <w:r w:rsidR="009D28BA">
        <w:t>ing</w:t>
      </w:r>
      <w:r>
        <w:t xml:space="preserve"> </w:t>
      </w:r>
      <w:r w:rsidR="0019387C">
        <w:t xml:space="preserve">mitigation </w:t>
      </w:r>
      <w:r>
        <w:t>spending</w:t>
      </w:r>
      <w:r w:rsidR="00FE0355">
        <w:t xml:space="preserve"> when an RRU</w:t>
      </w:r>
      <w:r w:rsidR="00E251AA">
        <w:t xml:space="preserve"> is mapped to </w:t>
      </w:r>
      <w:r w:rsidR="00FE11E8">
        <w:t>more than one mitigation or risk event</w:t>
      </w:r>
      <w:r>
        <w:t xml:space="preserve">. For this reason, </w:t>
      </w:r>
      <w:r w:rsidR="005031F1">
        <w:t xml:space="preserve">mapping RRUs to more than one risk event </w:t>
      </w:r>
      <w:r>
        <w:t xml:space="preserve">should only be </w:t>
      </w:r>
      <w:r w:rsidR="005031F1">
        <w:t xml:space="preserve">done </w:t>
      </w:r>
      <w:r>
        <w:t xml:space="preserve">if an RRU has benefits for more than one risk and in such cases the utility must only present BCR calculations </w:t>
      </w:r>
      <w:r w:rsidRPr="0048228D" w:rsidR="0048228D">
        <w:t xml:space="preserve">for the primary risk event </w:t>
      </w:r>
      <w:r w:rsidR="004817F2">
        <w:t xml:space="preserve">(i.e., the risk event </w:t>
      </w:r>
      <w:r w:rsidR="008028FC">
        <w:t>where the risk is reduced</w:t>
      </w:r>
      <w:r w:rsidR="002B4621">
        <w:t xml:space="preserve"> by the most)</w:t>
      </w:r>
      <w:r w:rsidR="005208CC">
        <w:t>. A</w:t>
      </w:r>
      <w:r w:rsidRPr="0048228D" w:rsidR="0048228D">
        <w:t xml:space="preserve">ll the costs of that mitigation </w:t>
      </w:r>
      <w:r w:rsidR="005208CC">
        <w:t>must</w:t>
      </w:r>
      <w:r w:rsidRPr="0048228D" w:rsidR="0048228D">
        <w:t xml:space="preserve"> only be associated with that primary risk event. </w:t>
      </w:r>
      <w:r w:rsidR="00A020C8">
        <w:t>In the event</w:t>
      </w:r>
      <w:r w:rsidR="00C95A43">
        <w:t xml:space="preserve"> a mitigation </w:t>
      </w:r>
      <w:r w:rsidR="00EE51B2">
        <w:t>has benefits for more than one risk, t</w:t>
      </w:r>
      <w:r w:rsidRPr="0048228D" w:rsidR="0048228D">
        <w:t xml:space="preserve">he utility </w:t>
      </w:r>
      <w:r w:rsidR="005208CC">
        <w:t>must</w:t>
      </w:r>
      <w:r w:rsidRPr="0048228D" w:rsidR="0048228D">
        <w:t xml:space="preserve"> demonstrate in the RAMP and in its workpapers that risk reduction is achieved in the non-primary risk events.</w:t>
      </w:r>
      <w:r w:rsidR="0048228D">
        <w:t xml:space="preserve"> </w:t>
      </w:r>
      <w:r>
        <w:t>Th</w:t>
      </w:r>
      <w:r w:rsidR="003A52BA">
        <w:t>is</w:t>
      </w:r>
      <w:r>
        <w:t xml:space="preserve"> approach</w:t>
      </w:r>
      <w:r w:rsidR="003A52BA">
        <w:t xml:space="preserve"> of mapping RRUs to more than one risk event</w:t>
      </w:r>
      <w:r>
        <w:t xml:space="preserve"> shall not be applicable in any other case, including tranches.</w:t>
      </w:r>
    </w:p>
    <w:p w:rsidRPr="000A6B7A" w:rsidR="00094BBC" w:rsidP="00094BBC" w:rsidRDefault="00094BBC" w14:paraId="331993F0" w14:textId="233A7F4A">
      <w:pPr>
        <w:pStyle w:val="Standard"/>
      </w:pPr>
      <w:r w:rsidRPr="000A6B7A">
        <w:t>The Commission</w:t>
      </w:r>
      <w:r w:rsidR="00C24112">
        <w:t>, through the RDF,</w:t>
      </w:r>
      <w:r w:rsidRPr="000A6B7A">
        <w:t xml:space="preserve"> requires IOUs to model PSPS events as risk events.</w:t>
      </w:r>
      <w:r w:rsidRPr="009A28C4">
        <w:rPr>
          <w:rStyle w:val="FootnoteReference"/>
        </w:rPr>
        <w:footnoteReference w:id="115"/>
      </w:r>
      <w:r w:rsidRPr="000A6B7A">
        <w:t xml:space="preserve"> However, the Commission </w:t>
      </w:r>
      <w:r w:rsidR="00D82D42">
        <w:t xml:space="preserve"> recognizes </w:t>
      </w:r>
      <w:r w:rsidRPr="000A6B7A">
        <w:t xml:space="preserve">PG&amp;E’s argument that </w:t>
      </w:r>
      <w:r w:rsidRPr="000A6B7A" w:rsidR="5F3B9827">
        <w:t>because PSPS events only mitigate the risk of wildfire temporarily</w:t>
      </w:r>
      <w:r w:rsidR="003E0779">
        <w:t xml:space="preserve">, </w:t>
      </w:r>
      <w:r w:rsidR="00D82D42">
        <w:t xml:space="preserve">therefore </w:t>
      </w:r>
      <w:r w:rsidR="00F51E62">
        <w:t xml:space="preserve">it </w:t>
      </w:r>
      <w:r w:rsidR="00D53878">
        <w:t>may be inappropriate to treat</w:t>
      </w:r>
      <w:r w:rsidRPr="000A6B7A">
        <w:t xml:space="preserve"> PSPS as a distinct RRU. This argument </w:t>
      </w:r>
      <w:r w:rsidR="003E1A6B">
        <w:t xml:space="preserve">could </w:t>
      </w:r>
      <w:r w:rsidRPr="000A6B7A">
        <w:t xml:space="preserve">also </w:t>
      </w:r>
      <w:r w:rsidR="004713C6">
        <w:t>hold</w:t>
      </w:r>
      <w:r w:rsidRPr="000A6B7A" w:rsidR="004713C6">
        <w:t xml:space="preserve"> </w:t>
      </w:r>
      <w:r w:rsidRPr="000A6B7A">
        <w:t xml:space="preserve">for Protective Equipment </w:t>
      </w:r>
      <w:r w:rsidR="00AC3D3F">
        <w:t xml:space="preserve">and </w:t>
      </w:r>
      <w:r w:rsidRPr="000A6B7A">
        <w:t xml:space="preserve">Device Settings (PEDS). </w:t>
      </w:r>
      <w:r w:rsidR="004713C6">
        <w:t>As such</w:t>
      </w:r>
      <w:r w:rsidRPr="000A6B7A">
        <w:t xml:space="preserve">, the Commission </w:t>
      </w:r>
      <w:r w:rsidR="004713C6">
        <w:t>exempts</w:t>
      </w:r>
      <w:r w:rsidRPr="000A6B7A" w:rsidR="004713C6">
        <w:t xml:space="preserve"> </w:t>
      </w:r>
      <w:r w:rsidRPr="000A6B7A">
        <w:t xml:space="preserve">PSPS and PEDS from the RRU requirements </w:t>
      </w:r>
      <w:r w:rsidR="00705F84">
        <w:t>adopted here</w:t>
      </w:r>
      <w:r w:rsidR="007415CB">
        <w:t xml:space="preserve">, </w:t>
      </w:r>
      <w:r w:rsidRPr="000C2A27" w:rsidR="007415CB">
        <w:t xml:space="preserve">but </w:t>
      </w:r>
      <w:r w:rsidR="000C2A27">
        <w:t>may re-assess</w:t>
      </w:r>
      <w:r w:rsidR="0030061E">
        <w:t xml:space="preserve"> the application of</w:t>
      </w:r>
      <w:r w:rsidRPr="000C2A27" w:rsidR="007415CB">
        <w:t xml:space="preserve"> RRU requirements to PSPS and PEDS in the future</w:t>
      </w:r>
      <w:r w:rsidRPr="000A6B7A">
        <w:t>.</w:t>
      </w:r>
    </w:p>
    <w:p w:rsidR="00094BBC" w:rsidP="00094BBC" w:rsidRDefault="00094BBC" w14:paraId="774D1DCC" w14:textId="0AED2905">
      <w:pPr>
        <w:pStyle w:val="Standard"/>
      </w:pPr>
      <w:r w:rsidRPr="000A6B7A">
        <w:lastRenderedPageBreak/>
        <w:t>We agree</w:t>
      </w:r>
      <w:r>
        <w:t xml:space="preserve"> with SCE’s approach to establishing a cost threshold for mitigation and control programs based on the same thresholds found in the Phase 1 Decision</w:t>
      </w:r>
      <w:r w:rsidR="00AD6098">
        <w:rPr>
          <w:rStyle w:val="FootnoteReference"/>
        </w:rPr>
        <w:footnoteReference w:id="116"/>
      </w:r>
      <w:r>
        <w:t xml:space="preserve"> for foundational costs</w:t>
      </w:r>
      <w:r w:rsidR="00832640">
        <w:t xml:space="preserve"> and do not see the need to develop a new approach as</w:t>
      </w:r>
      <w:r w:rsidR="00ED7D20">
        <w:t xml:space="preserve"> proposed by PG&amp;E</w:t>
      </w:r>
      <w:r>
        <w:t>. These</w:t>
      </w:r>
      <w:r w:rsidR="00ED7D20">
        <w:t xml:space="preserve"> </w:t>
      </w:r>
      <w:r>
        <w:t xml:space="preserve">thresholds are integrated into Row 15.1 of the RDF as described below. </w:t>
      </w:r>
    </w:p>
    <w:p w:rsidRPr="000A6B7A" w:rsidR="00094BBC" w:rsidP="00094BBC" w:rsidRDefault="004E6838" w14:paraId="647D237A" w14:textId="42F802B6">
      <w:pPr>
        <w:pStyle w:val="Standard"/>
      </w:pPr>
      <w:r w:rsidRPr="004E6838">
        <w:t xml:space="preserve">The Commission </w:t>
      </w:r>
      <w:r w:rsidR="00880243">
        <w:t>adopts</w:t>
      </w:r>
      <w:r w:rsidRPr="004E6838" w:rsidR="00880243">
        <w:t xml:space="preserve"> </w:t>
      </w:r>
      <w:r w:rsidRPr="004E6838">
        <w:t>the edits recommended by the Staff Scoped Work Proposal in Rows 14, 16</w:t>
      </w:r>
      <w:r w:rsidR="00880243">
        <w:t>,</w:t>
      </w:r>
      <w:r w:rsidRPr="004E6838">
        <w:t xml:space="preserve"> and 26 and these changes are </w:t>
      </w:r>
      <w:r w:rsidR="00DD25E3">
        <w:t>codified in the</w:t>
      </w:r>
      <w:r w:rsidRPr="004E6838">
        <w:t xml:space="preserve"> Risk-Based Decision-Making Framework contained in Appendix A of this decision.</w:t>
      </w:r>
      <w:r w:rsidR="00CC1436">
        <w:t xml:space="preserve"> </w:t>
      </w:r>
      <w:r w:rsidR="00094BBC">
        <w:t xml:space="preserve">Although the Joint IOU Proposal </w:t>
      </w:r>
      <w:r w:rsidR="0068643C">
        <w:t xml:space="preserve">recommends </w:t>
      </w:r>
      <w:r w:rsidR="00094BBC">
        <w:t>removing a backcast requirement from Row 15.1, we agree with the Joint Intervenors that without a backcast requirement</w:t>
      </w:r>
      <w:r w:rsidR="00662776">
        <w:t>,</w:t>
      </w:r>
      <w:r w:rsidR="00094BBC">
        <w:t xml:space="preserve"> the Commission will </w:t>
      </w:r>
      <w:r w:rsidR="00D455CD">
        <w:t xml:space="preserve">have difficulty </w:t>
      </w:r>
      <w:r w:rsidR="00094BBC">
        <w:t>hold</w:t>
      </w:r>
      <w:r w:rsidR="00D455CD">
        <w:t>ing</w:t>
      </w:r>
      <w:r w:rsidR="00094BBC">
        <w:t xml:space="preserve"> the utilities accountable for changes they make to the granularity of RRUs. </w:t>
      </w:r>
      <w:r w:rsidR="00597B1F">
        <w:t xml:space="preserve">Additionally, while we recognize </w:t>
      </w:r>
      <w:r w:rsidR="00DD6C60">
        <w:t>that the farther out an RRU is forecasted, the more uncertainty there</w:t>
      </w:r>
      <w:r w:rsidR="006A68B8">
        <w:t xml:space="preserve"> could</w:t>
      </w:r>
      <w:r w:rsidR="00DD6C60">
        <w:t xml:space="preserve"> be</w:t>
      </w:r>
      <w:r w:rsidR="00D94BB3">
        <w:t xml:space="preserve">, as argued by SCE and the Sempra Companies, we are not persuaded </w:t>
      </w:r>
      <w:r w:rsidR="00163BB1">
        <w:t xml:space="preserve">that this </w:t>
      </w:r>
      <w:r w:rsidR="004D3419">
        <w:t xml:space="preserve">forecasting </w:t>
      </w:r>
      <w:r w:rsidR="00163BB1">
        <w:t>is not possible.</w:t>
      </w:r>
      <w:r w:rsidR="0063059D">
        <w:t xml:space="preserve"> </w:t>
      </w:r>
      <w:r w:rsidR="004B13FA">
        <w:t>E</w:t>
      </w:r>
      <w:r w:rsidR="009F7E54">
        <w:t xml:space="preserve">nsuring that an RRU is forecastable </w:t>
      </w:r>
      <w:r w:rsidR="003E4A29">
        <w:t>to at least the third post-test year of a GRC cy</w:t>
      </w:r>
      <w:r w:rsidR="00797ADE">
        <w:t>cle</w:t>
      </w:r>
      <w:r w:rsidR="00163BB1">
        <w:t xml:space="preserve"> </w:t>
      </w:r>
      <w:r w:rsidR="005A109F">
        <w:t xml:space="preserve">will provide useful information to </w:t>
      </w:r>
      <w:r w:rsidR="00AC02C8">
        <w:t xml:space="preserve">the Commission and </w:t>
      </w:r>
      <w:r w:rsidR="00B548A7">
        <w:t>interested parties.</w:t>
      </w:r>
      <w:r w:rsidR="0077797B">
        <w:t xml:space="preserve"> </w:t>
      </w:r>
      <w:r w:rsidR="00E122EE">
        <w:t xml:space="preserve">At the same time, we recognize that </w:t>
      </w:r>
      <w:r w:rsidR="000059B4">
        <w:t xml:space="preserve">utilities may improve their </w:t>
      </w:r>
      <w:r w:rsidR="004B12A6">
        <w:t xml:space="preserve">depth </w:t>
      </w:r>
      <w:r w:rsidR="002E3A66">
        <w:t xml:space="preserve">of </w:t>
      </w:r>
      <w:r w:rsidR="004B12A6">
        <w:t xml:space="preserve">analysis </w:t>
      </w:r>
      <w:r w:rsidR="002E3A66">
        <w:t xml:space="preserve">once they begin implementing the RRU requirements. </w:t>
      </w:r>
      <w:r w:rsidRPr="002E3A66" w:rsidR="002E3A66">
        <w:t>We expect the development of RRUs to improve from cycle to cycle as the utilities gain more experience using granular information to help develop program forecasts. Utilities’ RRUs for wildfire mitigation will be the most developed and accurate, particularly for SCE and SDG&amp;E who are filing in 2026, due to the focus in recent years on wildfire mitigation.</w:t>
      </w:r>
      <w:r w:rsidR="00B548A7">
        <w:t xml:space="preserve"> </w:t>
      </w:r>
      <w:r w:rsidR="001C5B0C">
        <w:t xml:space="preserve">We </w:t>
      </w:r>
      <w:r w:rsidR="0045508B">
        <w:t>add</w:t>
      </w:r>
      <w:r w:rsidR="001C5B0C">
        <w:t xml:space="preserve"> Row 15.1</w:t>
      </w:r>
      <w:r w:rsidR="00551A89">
        <w:t xml:space="preserve"> </w:t>
      </w:r>
      <w:r w:rsidR="001C5B0C">
        <w:t>to the RDF</w:t>
      </w:r>
      <w:r w:rsidR="00551A89">
        <w:t xml:space="preserve"> (</w:t>
      </w:r>
      <w:r w:rsidR="00C22F26">
        <w:t xml:space="preserve">additions in </w:t>
      </w:r>
      <w:r w:rsidR="00C22F26">
        <w:rPr>
          <w:i/>
          <w:iCs/>
        </w:rPr>
        <w:t>italics</w:t>
      </w:r>
      <w:r w:rsidR="00C22F26">
        <w:t>)</w:t>
      </w:r>
      <w:r w:rsidR="00094BBC">
        <w:t xml:space="preserve">: </w:t>
      </w:r>
    </w:p>
    <w:tbl>
      <w:tblPr>
        <w:tblW w:w="9313" w:type="dxa"/>
        <w:tblInd w:w="132" w:type="dxa"/>
        <w:tblBorders>
          <w:top w:val="single" w:color="8FAADB" w:sz="4" w:space="0"/>
          <w:left w:val="single" w:color="8FAADB" w:sz="4" w:space="0"/>
          <w:bottom w:val="single" w:color="8FAADB" w:sz="4" w:space="0"/>
          <w:right w:val="single" w:color="8FAADB" w:sz="4" w:space="0"/>
          <w:insideH w:val="single" w:color="8FAADB" w:sz="4" w:space="0"/>
          <w:insideV w:val="single" w:color="8FAADB" w:sz="4" w:space="0"/>
        </w:tblBorders>
        <w:tblLayout w:type="fixed"/>
        <w:tblCellMar>
          <w:left w:w="0" w:type="dxa"/>
          <w:right w:w="0" w:type="dxa"/>
        </w:tblCellMar>
        <w:tblLook w:val="01E0" w:firstRow="1" w:lastRow="1" w:firstColumn="1" w:lastColumn="1" w:noHBand="0" w:noVBand="0"/>
      </w:tblPr>
      <w:tblGrid>
        <w:gridCol w:w="853"/>
        <w:gridCol w:w="1863"/>
        <w:gridCol w:w="6597"/>
      </w:tblGrid>
      <w:tr w:rsidRPr="00C22F26" w:rsidR="00094BBC" w14:paraId="26B3B434" w14:textId="77777777">
        <w:trPr>
          <w:trHeight w:val="1160"/>
        </w:trPr>
        <w:tc>
          <w:tcPr>
            <w:tcW w:w="853" w:type="dxa"/>
          </w:tcPr>
          <w:p w:rsidRPr="00891678" w:rsidR="00094BBC" w:rsidRDefault="00094BBC" w14:paraId="2FC6EFA4" w14:textId="3D5E7ADE">
            <w:pPr>
              <w:widowControl w:val="0"/>
              <w:autoSpaceDE w:val="0"/>
              <w:autoSpaceDN w:val="0"/>
              <w:spacing w:line="240" w:lineRule="auto"/>
              <w:ind w:left="107"/>
              <w:rPr>
                <w:rFonts w:eastAsia="Times New Roman" w:cs="Times New Roman"/>
                <w:i/>
                <w:iCs/>
                <w:szCs w:val="26"/>
              </w:rPr>
            </w:pPr>
            <w:r w:rsidRPr="00891678">
              <w:rPr>
                <w:rFonts w:eastAsia="Times New Roman" w:cs="Times New Roman"/>
                <w:i/>
                <w:iCs/>
                <w:spacing w:val="-5"/>
                <w:szCs w:val="26"/>
              </w:rPr>
              <w:lastRenderedPageBreak/>
              <w:t>15.1</w:t>
            </w:r>
          </w:p>
        </w:tc>
        <w:tc>
          <w:tcPr>
            <w:tcW w:w="1863" w:type="dxa"/>
          </w:tcPr>
          <w:p w:rsidRPr="00891678" w:rsidR="00094BBC" w:rsidRDefault="00094BBC" w14:paraId="7DE424C4" w14:textId="77777777">
            <w:pPr>
              <w:widowControl w:val="0"/>
              <w:autoSpaceDE w:val="0"/>
              <w:autoSpaceDN w:val="0"/>
              <w:spacing w:line="240" w:lineRule="auto"/>
              <w:ind w:left="108" w:right="412"/>
              <w:rPr>
                <w:rFonts w:eastAsia="Times New Roman" w:cs="Times New Roman"/>
                <w:i/>
                <w:iCs/>
                <w:szCs w:val="26"/>
              </w:rPr>
            </w:pPr>
            <w:r w:rsidRPr="00891678">
              <w:rPr>
                <w:rFonts w:eastAsia="Times New Roman" w:cs="Times New Roman"/>
                <w:i/>
                <w:iCs/>
                <w:szCs w:val="26"/>
              </w:rPr>
              <w:t>Define the Mitigation Risk Reporting Unit</w:t>
            </w:r>
          </w:p>
        </w:tc>
        <w:tc>
          <w:tcPr>
            <w:tcW w:w="6597" w:type="dxa"/>
          </w:tcPr>
          <w:p w:rsidRPr="00891678" w:rsidR="00094BBC" w:rsidP="00891678" w:rsidRDefault="00094BBC" w14:paraId="34636A44" w14:textId="30A6FC09">
            <w:pPr>
              <w:pStyle w:val="TableText"/>
              <w:rPr>
                <w:i/>
                <w:iCs/>
              </w:rPr>
            </w:pPr>
            <w:r w:rsidRPr="00891678">
              <w:rPr>
                <w:i/>
                <w:iCs/>
              </w:rPr>
              <w:t xml:space="preserve">A Risk Reporting Unit (RRU) will be defined for each mitigation. The RRU </w:t>
            </w:r>
            <w:r w:rsidRPr="00891678" w:rsidR="0016690D">
              <w:rPr>
                <w:i/>
                <w:iCs/>
              </w:rPr>
              <w:t>must</w:t>
            </w:r>
            <w:r w:rsidRPr="00891678">
              <w:rPr>
                <w:i/>
                <w:iCs/>
              </w:rPr>
              <w:t xml:space="preserve"> be:</w:t>
            </w:r>
          </w:p>
          <w:p w:rsidRPr="00891678" w:rsidR="00094BBC" w:rsidP="00891678" w:rsidRDefault="00094BBC" w14:paraId="64F07E4E" w14:textId="4373C328">
            <w:pPr>
              <w:pStyle w:val="TableText"/>
              <w:rPr>
                <w:i/>
                <w:iCs/>
              </w:rPr>
            </w:pPr>
            <w:r w:rsidRPr="00891678">
              <w:rPr>
                <w:i/>
                <w:iCs/>
              </w:rPr>
              <w:t xml:space="preserve">(a) traceable through </w:t>
            </w:r>
            <w:r w:rsidRPr="00891678" w:rsidR="0003551B">
              <w:rPr>
                <w:i/>
                <w:iCs/>
              </w:rPr>
              <w:t xml:space="preserve">most, if not </w:t>
            </w:r>
            <w:r w:rsidRPr="00891678">
              <w:rPr>
                <w:i/>
                <w:iCs/>
              </w:rPr>
              <w:t>all</w:t>
            </w:r>
            <w:r w:rsidRPr="00891678" w:rsidR="0003551B">
              <w:rPr>
                <w:i/>
                <w:iCs/>
              </w:rPr>
              <w:t>,</w:t>
            </w:r>
            <w:r w:rsidRPr="00891678">
              <w:rPr>
                <w:i/>
                <w:iCs/>
              </w:rPr>
              <w:t xml:space="preserve"> stages of a lifecycle, including but not limited to, scoping, designing, permitting, construction/implementation, post-construction, retirement/decommissioning. </w:t>
            </w:r>
          </w:p>
          <w:p w:rsidRPr="00891678" w:rsidR="00094BBC" w:rsidP="00891678" w:rsidRDefault="00094BBC" w14:paraId="792A5ABD" w14:textId="77777777">
            <w:pPr>
              <w:pStyle w:val="TableText"/>
              <w:rPr>
                <w:i/>
                <w:iCs/>
              </w:rPr>
            </w:pPr>
            <w:r w:rsidRPr="00891678">
              <w:rPr>
                <w:i/>
                <w:iCs/>
              </w:rPr>
              <w:t xml:space="preserve">(b) forecastable to at least the third post-test year of a GRC cycle. </w:t>
            </w:r>
          </w:p>
          <w:p w:rsidRPr="00891678" w:rsidR="00094BBC" w:rsidP="00891678" w:rsidRDefault="00094BBC" w14:paraId="68E7EDC8" w14:textId="77777777">
            <w:pPr>
              <w:pStyle w:val="TableText"/>
              <w:rPr>
                <w:i/>
                <w:iCs/>
              </w:rPr>
            </w:pPr>
            <w:r w:rsidRPr="00891678">
              <w:rPr>
                <w:i/>
                <w:iCs/>
              </w:rPr>
              <w:t>(c) auditable in terms of timing, location, work units, cost, and risk reduction.</w:t>
            </w:r>
          </w:p>
          <w:p w:rsidRPr="00891678" w:rsidR="00094BBC" w:rsidP="00891678" w:rsidRDefault="00094BBC" w14:paraId="249A0BDE" w14:textId="77777777">
            <w:pPr>
              <w:pStyle w:val="TableText"/>
              <w:rPr>
                <w:i/>
                <w:iCs/>
              </w:rPr>
            </w:pPr>
            <w:r w:rsidRPr="00891678">
              <w:rPr>
                <w:i/>
                <w:iCs/>
              </w:rPr>
              <w:t>(d) able to aggregate up to the Mitigation Program or Control Program.</w:t>
            </w:r>
          </w:p>
          <w:p w:rsidRPr="00891678" w:rsidR="00094BBC" w:rsidP="00891678" w:rsidRDefault="00094BBC" w14:paraId="44C600F1" w14:textId="76A895DE">
            <w:pPr>
              <w:pStyle w:val="TableText"/>
              <w:rPr>
                <w:i/>
                <w:iCs/>
              </w:rPr>
            </w:pPr>
          </w:p>
          <w:p w:rsidR="00094BBC" w:rsidP="00891678" w:rsidRDefault="00094BBC" w14:paraId="5E741826" w14:textId="159CFF63">
            <w:pPr>
              <w:pStyle w:val="TableText"/>
              <w:rPr>
                <w:i/>
                <w:iCs/>
              </w:rPr>
            </w:pPr>
            <w:r w:rsidRPr="00891678">
              <w:rPr>
                <w:i/>
                <w:iCs/>
              </w:rPr>
              <w:t>Once the level of granularity of an RRU for each risk is established, beginning with SCE’s 2026 RAMP and Sempra Companies’ 2028 GRC filings, that level of granularity for the RRU should be maintained for all future filings which include that risk. If a utility wishes to update an RRU’s level of granularity it must clearly explain the method it chose to update the granularity and how the granularity of the new RRU differs from the granularity of the prior RRU. Additionally, the utility must provide a Backca</w:t>
            </w:r>
            <w:r w:rsidRPr="00C22F26">
              <w:t>s</w:t>
            </w:r>
            <w:r w:rsidRPr="00891678">
              <w:rPr>
                <w:i/>
                <w:iCs/>
              </w:rPr>
              <w:t>t of post-mitigated risk, risk reduction and Benefit-Cost Ratios submitted to the previous cycles of RAMPs and GRCs that are impacted by an update to the RRU’s level of granularity.</w:t>
            </w:r>
          </w:p>
          <w:p w:rsidRPr="00C22F26" w:rsidR="00FB3129" w:rsidP="00891678" w:rsidRDefault="00FB3129" w14:paraId="77B6485B" w14:textId="77777777">
            <w:pPr>
              <w:pStyle w:val="TableText"/>
            </w:pPr>
          </w:p>
          <w:p w:rsidRPr="00891678" w:rsidR="00094BBC" w:rsidP="00891678" w:rsidRDefault="00094BBC" w14:paraId="368919CA" w14:textId="063ED186">
            <w:pPr>
              <w:pStyle w:val="TableText"/>
              <w:rPr>
                <w:i/>
                <w:iCs/>
              </w:rPr>
            </w:pPr>
            <w:r w:rsidRPr="00891678">
              <w:rPr>
                <w:i/>
                <w:iCs/>
              </w:rPr>
              <w:t xml:space="preserve">The disaggregation of a Mitigation and Control Program to the RRU scale </w:t>
            </w:r>
            <w:r w:rsidRPr="00891678" w:rsidR="00042075">
              <w:rPr>
                <w:i/>
                <w:iCs/>
              </w:rPr>
              <w:t xml:space="preserve">is </w:t>
            </w:r>
            <w:r w:rsidRPr="00891678">
              <w:rPr>
                <w:i/>
                <w:iCs/>
              </w:rPr>
              <w:t>not required for the following:</w:t>
            </w:r>
          </w:p>
          <w:p w:rsidRPr="00891678" w:rsidR="00094BBC" w:rsidP="00891678" w:rsidRDefault="00094BBC" w14:paraId="44AF253C" w14:textId="77777777">
            <w:pPr>
              <w:pStyle w:val="TableText"/>
              <w:numPr>
                <w:ilvl w:val="0"/>
                <w:numId w:val="62"/>
              </w:numPr>
              <w:rPr>
                <w:i/>
                <w:iCs/>
              </w:rPr>
            </w:pPr>
            <w:r w:rsidRPr="00891678">
              <w:rPr>
                <w:i/>
                <w:iCs/>
              </w:rPr>
              <w:t>Public Safety Power Shutoffs</w:t>
            </w:r>
          </w:p>
          <w:p w:rsidRPr="00891678" w:rsidR="00094BBC" w:rsidP="00891678" w:rsidRDefault="00094BBC" w14:paraId="0E345A3F" w14:textId="77777777">
            <w:pPr>
              <w:pStyle w:val="TableText"/>
              <w:numPr>
                <w:ilvl w:val="0"/>
                <w:numId w:val="62"/>
              </w:numPr>
              <w:rPr>
                <w:i/>
                <w:iCs/>
              </w:rPr>
            </w:pPr>
            <w:r w:rsidRPr="00891678">
              <w:rPr>
                <w:i/>
                <w:iCs/>
              </w:rPr>
              <w:t>Protective Equipment Device Settings</w:t>
            </w:r>
          </w:p>
          <w:p w:rsidRPr="00891678" w:rsidR="00094BBC" w:rsidP="00891678" w:rsidRDefault="00094BBC" w14:paraId="0976E880" w14:textId="77777777">
            <w:pPr>
              <w:pStyle w:val="TableText"/>
              <w:numPr>
                <w:ilvl w:val="0"/>
                <w:numId w:val="62"/>
              </w:numPr>
              <w:rPr>
                <w:i/>
                <w:iCs/>
              </w:rPr>
            </w:pPr>
            <w:r w:rsidRPr="00891678">
              <w:rPr>
                <w:i/>
                <w:iCs/>
              </w:rPr>
              <w:t>Mitigation and Control Programs that do not meet the following thresholds:</w:t>
            </w:r>
          </w:p>
          <w:p w:rsidRPr="00891678" w:rsidR="00094BBC" w:rsidP="00891678" w:rsidRDefault="00094BBC" w14:paraId="31C22029" w14:textId="4FA09FE1">
            <w:pPr>
              <w:pStyle w:val="TableText"/>
              <w:numPr>
                <w:ilvl w:val="1"/>
                <w:numId w:val="62"/>
              </w:numPr>
              <w:rPr>
                <w:i/>
                <w:iCs/>
              </w:rPr>
            </w:pPr>
            <w:r w:rsidRPr="00891678">
              <w:rPr>
                <w:i/>
                <w:iCs/>
              </w:rPr>
              <w:t>For PG&amp;E and SCE, $10 million;</w:t>
            </w:r>
          </w:p>
          <w:p w:rsidRPr="00891678" w:rsidR="00094BBC" w:rsidP="00891678" w:rsidRDefault="00094BBC" w14:paraId="7F589E6E" w14:textId="1F168ED2">
            <w:pPr>
              <w:pStyle w:val="TableText"/>
              <w:numPr>
                <w:ilvl w:val="1"/>
                <w:numId w:val="62"/>
              </w:numPr>
              <w:rPr>
                <w:i/>
                <w:iCs/>
              </w:rPr>
            </w:pPr>
            <w:r w:rsidRPr="00891678">
              <w:rPr>
                <w:i/>
                <w:iCs/>
              </w:rPr>
              <w:t>For SDG&amp;E, for its electric and other operations, $5 million;</w:t>
            </w:r>
          </w:p>
          <w:p w:rsidRPr="00891678" w:rsidR="00094BBC" w:rsidP="00891678" w:rsidRDefault="00094BBC" w14:paraId="05C2E47D" w14:textId="0CACF0A7">
            <w:pPr>
              <w:pStyle w:val="TableText"/>
              <w:numPr>
                <w:ilvl w:val="1"/>
                <w:numId w:val="62"/>
              </w:numPr>
              <w:rPr>
                <w:i/>
                <w:iCs/>
              </w:rPr>
            </w:pPr>
            <w:r w:rsidRPr="00891678">
              <w:rPr>
                <w:i/>
                <w:iCs/>
              </w:rPr>
              <w:t>For SDG&amp;E, for its gas operations, $2.5 million; and,</w:t>
            </w:r>
          </w:p>
          <w:p w:rsidRPr="00891678" w:rsidR="00094BBC" w:rsidP="00891678" w:rsidRDefault="00094BBC" w14:paraId="20C45313" w14:textId="40B1F241">
            <w:pPr>
              <w:pStyle w:val="TableText"/>
              <w:numPr>
                <w:ilvl w:val="1"/>
                <w:numId w:val="62"/>
              </w:numPr>
              <w:rPr>
                <w:i/>
                <w:iCs/>
              </w:rPr>
            </w:pPr>
            <w:r w:rsidRPr="00891678">
              <w:rPr>
                <w:i/>
                <w:iCs/>
              </w:rPr>
              <w:t>For SoCalGas, $5 million</w:t>
            </w:r>
            <w:r w:rsidRPr="00891678" w:rsidR="336ACFEE">
              <w:rPr>
                <w:i/>
                <w:iCs/>
              </w:rPr>
              <w:t>.</w:t>
            </w:r>
            <w:r w:rsidRPr="00891678">
              <w:rPr>
                <w:i/>
                <w:iCs/>
              </w:rPr>
              <w:t xml:space="preserve"> </w:t>
            </w:r>
          </w:p>
        </w:tc>
      </w:tr>
    </w:tbl>
    <w:p w:rsidRPr="00DA06FA" w:rsidR="002304F3" w:rsidP="00591891" w:rsidRDefault="002304F3" w14:paraId="2D75F47F" w14:textId="74E18868">
      <w:pPr>
        <w:pStyle w:val="Standard"/>
      </w:pPr>
    </w:p>
    <w:p w:rsidR="00B77C9A" w:rsidP="00086173" w:rsidRDefault="00B067B1" w14:paraId="257CD0C7" w14:textId="305D4893">
      <w:pPr>
        <w:pStyle w:val="Heading1"/>
      </w:pPr>
      <w:bookmarkStart w:name="_Toc204258038" w:id="36"/>
      <w:r>
        <w:t>Risk Mitigation Accountability Reporting</w:t>
      </w:r>
      <w:bookmarkEnd w:id="36"/>
    </w:p>
    <w:p w:rsidR="00A02582" w:rsidP="00A02582" w:rsidRDefault="008622C2" w14:paraId="1D490735" w14:textId="7CD1489A">
      <w:pPr>
        <w:pStyle w:val="Standard"/>
      </w:pPr>
      <w:bookmarkStart w:name="_Hlk188469915" w:id="37"/>
      <w:r w:rsidRPr="008622C2">
        <w:t xml:space="preserve">The Commission has discussed risk mitigation accountability reporting since at least 2014, as the Risk Mitigation Accountability Report (RMAR) was first mentioned in D.14-12-025 as a utility report that would compare projected benefits and costs of risk mitigation programs adopted in GRCs to the actual benefits and costs realized from these risk mitigations. </w:t>
      </w:r>
      <w:r w:rsidR="0A93A963">
        <w:t xml:space="preserve">D.14-12-025 also introduced the Risk Spending Accountability Report (RSAR) which compares </w:t>
      </w:r>
      <w:r w:rsidR="0A93A963">
        <w:lastRenderedPageBreak/>
        <w:t xml:space="preserve">GRC-projected spending for approved risk mitigation projects with the actual spending. </w:t>
      </w:r>
      <w:r w:rsidRPr="008622C2">
        <w:t xml:space="preserve">The RMAR was further conceptualized in subsequent Commission decisions, with D.16-08-018 discussing the development of a common set of performance metrics and D.19-04-020 noting timing issues resulting from the staggered RAMP schedule. </w:t>
      </w:r>
      <w:r w:rsidR="004824FD">
        <w:t xml:space="preserve">In the interim, IOUs were directed to include </w:t>
      </w:r>
      <w:r w:rsidR="00D06375">
        <w:t xml:space="preserve">some of the information originally envisioned as belonging in the RMARs </w:t>
      </w:r>
      <w:r w:rsidR="004824FD">
        <w:t>in their annual Safety Performance Metrics (SPM) Reports.</w:t>
      </w:r>
      <w:r w:rsidRPr="00BC1719" w:rsidR="004824FD">
        <w:rPr>
          <w:rStyle w:val="FootnoteReference"/>
        </w:rPr>
        <w:footnoteReference w:id="117"/>
      </w:r>
      <w:r w:rsidR="004824FD">
        <w:t xml:space="preserve"> The PG&amp;E 2023 Test Year GRC Decision </w:t>
      </w:r>
      <w:r w:rsidR="5D5C5778">
        <w:t>piloted many of the concepts we adopt here for th</w:t>
      </w:r>
      <w:r w:rsidR="0E020307">
        <w:t>e RMAR, and</w:t>
      </w:r>
      <w:r w:rsidR="28D85503">
        <w:t xml:space="preserve"> </w:t>
      </w:r>
      <w:r w:rsidR="004824FD">
        <w:t xml:space="preserve">required an annual filing of a System Hardening Accountability Report (SHAR) to closely examine PG&amp;E’s progress in implementing undergrounding of overhead electric lines to reduce wildfire risk. </w:t>
      </w:r>
      <w:r w:rsidR="39490D27">
        <w:t>Th</w:t>
      </w:r>
      <w:r w:rsidR="7CE6D3DC">
        <w:t>is tool</w:t>
      </w:r>
      <w:r w:rsidR="39490D27">
        <w:t xml:space="preserve"> created transparency and allowed parties and the Commission to track PG&amp;E’s progress in construction</w:t>
      </w:r>
      <w:r w:rsidR="6690F48C">
        <w:t xml:space="preserve"> </w:t>
      </w:r>
      <w:r w:rsidR="4F5B46C8">
        <w:t>of</w:t>
      </w:r>
      <w:r w:rsidR="6690F48C">
        <w:t xml:space="preserve"> undergrounding </w:t>
      </w:r>
      <w:r w:rsidR="004D11D6">
        <w:t>work and</w:t>
      </w:r>
      <w:r w:rsidR="39490D27">
        <w:t xml:space="preserve"> </w:t>
      </w:r>
      <w:r w:rsidR="09377B2C">
        <w:t xml:space="preserve">see the actual risk reduction achieved. </w:t>
      </w:r>
      <w:r w:rsidR="004824FD">
        <w:t xml:space="preserve">The objective of the SHAR is to inform </w:t>
      </w:r>
      <w:r w:rsidR="004D11D6">
        <w:t xml:space="preserve">the </w:t>
      </w:r>
      <w:r w:rsidR="004824FD">
        <w:t>review of future requests made by PG&amp;E for ratepayer funding for undergrounding and that future forecasts of unit costs and pace of work will be informed by historic actual data.</w:t>
      </w:r>
      <w:r w:rsidR="004824FD">
        <w:rPr>
          <w:rStyle w:val="FootnoteReference"/>
        </w:rPr>
        <w:footnoteReference w:id="118"/>
      </w:r>
      <w:r w:rsidR="004824FD">
        <w:t xml:space="preserve"> The Staff </w:t>
      </w:r>
      <w:r w:rsidR="00EF0C8B">
        <w:t xml:space="preserve">RMAR </w:t>
      </w:r>
      <w:r w:rsidR="004824FD">
        <w:t>Proposal, discussed below, argues that while the SPM, RSAR</w:t>
      </w:r>
      <w:r w:rsidR="00EF0C8B">
        <w:t>,</w:t>
      </w:r>
      <w:r w:rsidR="004824FD">
        <w:t xml:space="preserve"> and SHAR have </w:t>
      </w:r>
      <w:r w:rsidR="5511B605">
        <w:t>many of the key concepts of an RMAR, a</w:t>
      </w:r>
      <w:r w:rsidR="27008260">
        <w:t xml:space="preserve"> stand-alone RMAR </w:t>
      </w:r>
      <w:r w:rsidR="4C4BDCE7">
        <w:t xml:space="preserve">will </w:t>
      </w:r>
      <w:r w:rsidR="00F385C7">
        <w:t xml:space="preserve">further </w:t>
      </w:r>
      <w:r w:rsidR="4C4BDCE7">
        <w:t>advance the policy goal of transparency</w:t>
      </w:r>
      <w:r w:rsidR="7326D8C8">
        <w:t xml:space="preserve"> by presenting information that is consistent across utilities</w:t>
      </w:r>
      <w:r w:rsidR="4BFE801F">
        <w:t>.</w:t>
      </w:r>
      <w:r w:rsidR="004824FD">
        <w:rPr>
          <w:rStyle w:val="FootnoteReference"/>
        </w:rPr>
        <w:footnoteReference w:id="119"/>
      </w:r>
      <w:r w:rsidR="004824FD">
        <w:t xml:space="preserve"> </w:t>
      </w:r>
      <w:r>
        <w:t>Full implementation of the RMAR has been deferred to the present proceeding.</w:t>
      </w:r>
      <w:r w:rsidR="00B25B72">
        <w:t xml:space="preserve"> </w:t>
      </w:r>
      <w:r w:rsidRPr="00B25B72" w:rsidR="00B25B72">
        <w:t>The Staff RMAR Proposal</w:t>
      </w:r>
      <w:r w:rsidR="00B25B72">
        <w:t>, discussed below,</w:t>
      </w:r>
      <w:r w:rsidRPr="00B25B72" w:rsidR="00B25B72">
        <w:t xml:space="preserve"> provides a thorough framework for conceptualizing risk reporting in general, and the </w:t>
      </w:r>
      <w:r w:rsidRPr="00B25B72" w:rsidR="00B25B72">
        <w:lastRenderedPageBreak/>
        <w:t>RMAR in particular, as a consolidated statement of risk that consists of tables that examine different aspects of risk and risk reduction that can be consolidated into a high-level view of risk and risk reduction</w:t>
      </w:r>
      <w:r w:rsidR="00A02582">
        <w:t>.</w:t>
      </w:r>
    </w:p>
    <w:p w:rsidR="00A02582" w:rsidP="005340D9" w:rsidRDefault="00B67701" w14:paraId="15A643AA" w14:textId="062E8ABF">
      <w:pPr>
        <w:pStyle w:val="Heading2"/>
      </w:pPr>
      <w:bookmarkStart w:name="_Toc204258039" w:id="38"/>
      <w:r>
        <w:t xml:space="preserve">Staff </w:t>
      </w:r>
      <w:r w:rsidR="00A02582">
        <w:t>RMAR Proposal</w:t>
      </w:r>
      <w:bookmarkEnd w:id="38"/>
    </w:p>
    <w:p w:rsidR="00A02582" w:rsidP="00086173" w:rsidRDefault="00A02582" w14:paraId="267E8835" w14:textId="77777777">
      <w:pPr>
        <w:pStyle w:val="Heading3"/>
      </w:pPr>
      <w:bookmarkStart w:name="_Toc204258040" w:id="39"/>
      <w:r>
        <w:t>Consolidated Statement of Risk and Multi-</w:t>
      </w:r>
      <w:r w:rsidRPr="00086173">
        <w:t>Dimensionality</w:t>
      </w:r>
      <w:bookmarkEnd w:id="39"/>
    </w:p>
    <w:p w:rsidR="00A02582" w:rsidP="006809C2" w:rsidRDefault="00A02582" w14:paraId="20229831" w14:textId="79DF9D06">
      <w:pPr>
        <w:pStyle w:val="Standard"/>
      </w:pPr>
      <w:r>
        <w:t xml:space="preserve">The Staff </w:t>
      </w:r>
      <w:r w:rsidR="001B6931">
        <w:t xml:space="preserve">RMAR </w:t>
      </w:r>
      <w:r>
        <w:t xml:space="preserve">Proposal presents the RMAR as a consolidated statement of risk </w:t>
      </w:r>
      <w:r w:rsidR="00B54AD0">
        <w:t xml:space="preserve">in </w:t>
      </w:r>
      <w:r>
        <w:t xml:space="preserve">which </w:t>
      </w:r>
      <w:r w:rsidR="00B54AD0">
        <w:t>e</w:t>
      </w:r>
      <w:r>
        <w:t>very table in the RMAR is comparative in nature</w:t>
      </w:r>
      <w:r w:rsidR="00B54AD0">
        <w:t xml:space="preserve"> </w:t>
      </w:r>
      <w:r w:rsidR="00EE31DF">
        <w:t>with</w:t>
      </w:r>
      <w:r>
        <w:t xml:space="preserve"> every presentation of data </w:t>
      </w:r>
      <w:r w:rsidR="00F70FAA">
        <w:t>designed to answer</w:t>
      </w:r>
      <w:r>
        <w:t xml:space="preserve"> the question</w:t>
      </w:r>
      <w:r w:rsidR="00C6241B">
        <w:t>s</w:t>
      </w:r>
      <w:r>
        <w:t xml:space="preserve"> “compared to what” </w:t>
      </w:r>
      <w:r w:rsidR="00E22CE8">
        <w:t xml:space="preserve">and </w:t>
      </w:r>
      <w:r>
        <w:t>“why”.</w:t>
      </w:r>
      <w:r w:rsidR="00D10E91">
        <w:t xml:space="preserve"> </w:t>
      </w:r>
      <w:r w:rsidR="00005F79">
        <w:t xml:space="preserve">The </w:t>
      </w:r>
      <w:r>
        <w:t xml:space="preserve">Staff </w:t>
      </w:r>
      <w:r w:rsidR="00D10E91">
        <w:t>RMA</w:t>
      </w:r>
      <w:r w:rsidR="006C70AA">
        <w:t>R</w:t>
      </w:r>
      <w:r w:rsidR="00D10E91">
        <w:t xml:space="preserve"> </w:t>
      </w:r>
      <w:r>
        <w:t xml:space="preserve">Proposal </w:t>
      </w:r>
      <w:r w:rsidR="00005F79">
        <w:t>highlights</w:t>
      </w:r>
      <w:r>
        <w:t xml:space="preserve"> that the RDF examines risk in at least 1</w:t>
      </w:r>
      <w:r w:rsidR="007C6967">
        <w:t>1</w:t>
      </w:r>
      <w:r>
        <w:t xml:space="preserve"> dimensions:</w:t>
      </w:r>
      <w:r w:rsidR="00A030A7">
        <w:t xml:space="preserve"> hierarchy, </w:t>
      </w:r>
      <w:r w:rsidR="00A243A2">
        <w:t>scenario</w:t>
      </w:r>
      <w:r w:rsidR="00317D71">
        <w:t>, version, risk event, tranche</w:t>
      </w:r>
      <w:r w:rsidR="00EA5F92">
        <w:t xml:space="preserve">, </w:t>
      </w:r>
      <w:r w:rsidR="00511A78">
        <w:t>mitigation, attribute</w:t>
      </w:r>
      <w:r w:rsidR="00FC4F4D">
        <w:t xml:space="preserve">, risk measure, accounts, </w:t>
      </w:r>
      <w:r w:rsidR="00BD06BA">
        <w:t xml:space="preserve">work unit, and time. </w:t>
      </w:r>
      <w:r w:rsidR="00480221">
        <w:t xml:space="preserve">Consequently, </w:t>
      </w:r>
      <w:r w:rsidR="008314A3">
        <w:t xml:space="preserve">SPD staff argues that </w:t>
      </w:r>
      <w:r w:rsidR="00480221">
        <w:t>t</w:t>
      </w:r>
      <w:r w:rsidR="00440510">
        <w:t xml:space="preserve">he RMAR requires </w:t>
      </w:r>
      <w:r w:rsidR="00480221">
        <w:t>multiple tables to capture this dimensionality.</w:t>
      </w:r>
    </w:p>
    <w:p w:rsidR="00A02582" w:rsidP="00086173" w:rsidRDefault="00A02582" w14:paraId="13A5C99D" w14:textId="77777777">
      <w:pPr>
        <w:pStyle w:val="Heading3"/>
      </w:pPr>
      <w:bookmarkStart w:name="_Toc197676327" w:id="40"/>
      <w:bookmarkStart w:name="_Toc197693432" w:id="41"/>
      <w:bookmarkStart w:name="_Toc197945998" w:id="42"/>
      <w:bookmarkStart w:name="_Toc197676328" w:id="43"/>
      <w:bookmarkStart w:name="_Toc197693433" w:id="44"/>
      <w:bookmarkStart w:name="_Toc197945999" w:id="45"/>
      <w:bookmarkStart w:name="_Toc197676331" w:id="46"/>
      <w:bookmarkStart w:name="_Toc197693436" w:id="47"/>
      <w:bookmarkStart w:name="_Toc197946002" w:id="48"/>
      <w:bookmarkStart w:name="_Toc197676334" w:id="49"/>
      <w:bookmarkStart w:name="_Toc197693439" w:id="50"/>
      <w:bookmarkStart w:name="_Toc197946005" w:id="51"/>
      <w:bookmarkStart w:name="_Toc197676336" w:id="52"/>
      <w:bookmarkStart w:name="_Toc197693441" w:id="53"/>
      <w:bookmarkStart w:name="_Toc197946007" w:id="54"/>
      <w:bookmarkStart w:name="_Toc197676392" w:id="55"/>
      <w:bookmarkStart w:name="_Toc197693497" w:id="56"/>
      <w:bookmarkStart w:name="_Toc197946063" w:id="57"/>
      <w:bookmarkStart w:name="_Toc197676393" w:id="58"/>
      <w:bookmarkStart w:name="_Toc197693498" w:id="59"/>
      <w:bookmarkStart w:name="_Toc197946064" w:id="60"/>
      <w:bookmarkStart w:name="_Toc204258041" w:id="61"/>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t xml:space="preserve">The Phases of RMAR and Structure of </w:t>
      </w:r>
      <w:r w:rsidRPr="00086173">
        <w:t>Tables</w:t>
      </w:r>
      <w:bookmarkEnd w:id="61"/>
      <w:r>
        <w:t xml:space="preserve"> </w:t>
      </w:r>
    </w:p>
    <w:p w:rsidR="00816625" w:rsidP="00BF6173" w:rsidRDefault="008314A3" w14:paraId="1CF38038" w14:textId="0D378F4F">
      <w:pPr>
        <w:pStyle w:val="Standard"/>
      </w:pPr>
      <w:r>
        <w:t xml:space="preserve">SPD staff proposes </w:t>
      </w:r>
      <w:r w:rsidR="006E587D">
        <w:t xml:space="preserve">three </w:t>
      </w:r>
      <w:r w:rsidR="005807C3">
        <w:t>components of the RMAR that function as fundamental building blocks of the RMAR.</w:t>
      </w:r>
      <w:r w:rsidR="0088154E">
        <w:rPr>
          <w:rStyle w:val="FootnoteReference"/>
        </w:rPr>
        <w:footnoteReference w:id="120"/>
      </w:r>
      <w:r w:rsidR="005807C3">
        <w:t xml:space="preserve"> The </w:t>
      </w:r>
      <w:r w:rsidR="002B6223">
        <w:t>first component, discussed extensively in Section 7 above, is the</w:t>
      </w:r>
      <w:r w:rsidR="00A02582">
        <w:t xml:space="preserve"> RRU. T</w:t>
      </w:r>
      <w:r w:rsidR="002B6223">
        <w:t>he other t</w:t>
      </w:r>
      <w:r w:rsidR="00A02582">
        <w:t xml:space="preserve">wo </w:t>
      </w:r>
      <w:r w:rsidR="00FC535E">
        <w:t>components</w:t>
      </w:r>
      <w:r w:rsidR="00A02582">
        <w:t xml:space="preserve"> of the RMAR </w:t>
      </w:r>
      <w:r w:rsidR="00FC535E">
        <w:t xml:space="preserve">that function as </w:t>
      </w:r>
      <w:r w:rsidR="001B3EDF">
        <w:t xml:space="preserve">fundamental building blocks of </w:t>
      </w:r>
      <w:r w:rsidR="007F5435">
        <w:t xml:space="preserve">the </w:t>
      </w:r>
      <w:r w:rsidR="001B3EDF">
        <w:t>RMAR are</w:t>
      </w:r>
      <w:r w:rsidR="00A02582">
        <w:t xml:space="preserve"> the </w:t>
      </w:r>
      <w:r w:rsidR="001B3EDF">
        <w:t>P</w:t>
      </w:r>
      <w:r w:rsidR="00A02582">
        <w:t xml:space="preserve">lan </w:t>
      </w:r>
      <w:r w:rsidR="001B3EDF">
        <w:t>P</w:t>
      </w:r>
      <w:r w:rsidR="00A02582">
        <w:t xml:space="preserve">hase and the </w:t>
      </w:r>
      <w:r w:rsidR="001B3EDF">
        <w:t>R</w:t>
      </w:r>
      <w:r w:rsidR="00A02582">
        <w:t xml:space="preserve">esults </w:t>
      </w:r>
      <w:r w:rsidR="001B3EDF">
        <w:t>P</w:t>
      </w:r>
      <w:r w:rsidR="00A02582">
        <w:t xml:space="preserve">hase. </w:t>
      </w:r>
    </w:p>
    <w:p w:rsidRPr="00597178" w:rsidR="00A02582" w:rsidP="00BF6173" w:rsidRDefault="00992F76" w14:paraId="1E67FF0B" w14:textId="3673EE66">
      <w:pPr>
        <w:pStyle w:val="Standard"/>
      </w:pPr>
      <w:r>
        <w:t xml:space="preserve">The Plan Phase </w:t>
      </w:r>
      <w:r w:rsidR="00816625">
        <w:t xml:space="preserve">of the RMAR </w:t>
      </w:r>
      <w:r>
        <w:t xml:space="preserve">is </w:t>
      </w:r>
      <w:r w:rsidR="00402CC4">
        <w:t xml:space="preserve">the </w:t>
      </w:r>
      <w:r w:rsidR="001E26A9">
        <w:t xml:space="preserve">forward-looking business case </w:t>
      </w:r>
      <w:r w:rsidR="00FE4D24">
        <w:t xml:space="preserve">for risk-reducing actions that </w:t>
      </w:r>
      <w:r w:rsidR="00921CAA">
        <w:t>includes a set of pro</w:t>
      </w:r>
      <w:r w:rsidR="00DC3F8B">
        <w:t xml:space="preserve">jections based on data, models, and subject matter expertise. </w:t>
      </w:r>
      <w:r w:rsidR="00197CA3">
        <w:t xml:space="preserve">In the context of the RDF, the RAMP would ideally function as the </w:t>
      </w:r>
      <w:r w:rsidR="0077673D">
        <w:t>Plan Phase</w:t>
      </w:r>
      <w:r w:rsidR="00097C50">
        <w:t xml:space="preserve">, though this would require </w:t>
      </w:r>
      <w:r w:rsidR="00C13600">
        <w:t xml:space="preserve">modifications to the RAMP to include </w:t>
      </w:r>
      <w:r w:rsidR="004C67C1">
        <w:t>all dimensions reported in the RMAR</w:t>
      </w:r>
      <w:r w:rsidR="0077673D">
        <w:t>.</w:t>
      </w:r>
      <w:r w:rsidRPr="00097C50" w:rsidR="00097C50">
        <w:rPr>
          <w:rStyle w:val="FootnoteReference"/>
        </w:rPr>
        <w:t xml:space="preserve"> </w:t>
      </w:r>
      <w:r w:rsidR="00BF6173">
        <w:t>Rela</w:t>
      </w:r>
      <w:r w:rsidR="001A519E">
        <w:t>tedly, SPD s</w:t>
      </w:r>
      <w:r w:rsidR="00A02582">
        <w:t xml:space="preserve">taff </w:t>
      </w:r>
      <w:r w:rsidR="001A519E">
        <w:lastRenderedPageBreak/>
        <w:t>propose</w:t>
      </w:r>
      <w:r w:rsidR="00A02582">
        <w:t xml:space="preserve"> that a high</w:t>
      </w:r>
      <w:r w:rsidR="00A13688">
        <w:t>-</w:t>
      </w:r>
      <w:r w:rsidR="00A02582">
        <w:t xml:space="preserve">level backcast </w:t>
      </w:r>
      <w:r w:rsidR="001A519E">
        <w:t>be included with</w:t>
      </w:r>
      <w:r w:rsidR="00A02582">
        <w:t xml:space="preserve"> initial RMAR submission</w:t>
      </w:r>
      <w:r w:rsidR="001A519E">
        <w:t xml:space="preserve">s </w:t>
      </w:r>
      <w:r w:rsidR="00E63314">
        <w:t xml:space="preserve">showing overall residual risk reduction since </w:t>
      </w:r>
      <w:r w:rsidR="00E16A5C">
        <w:t>RAMPs were first filed in 2016</w:t>
      </w:r>
      <w:r w:rsidR="00A02582">
        <w:t xml:space="preserve">. The backcast would not need to be at the same level of detail as </w:t>
      </w:r>
      <w:r w:rsidR="0013011C">
        <w:t xml:space="preserve">the </w:t>
      </w:r>
      <w:r w:rsidR="00A02582">
        <w:t>RMAR and would capture a more holistic view of risk and risk reduction since the beginning of the RDF process.</w:t>
      </w:r>
      <w:r w:rsidRPr="008D11BE" w:rsidR="008D11BE">
        <w:rPr>
          <w:rStyle w:val="FootnoteReference"/>
        </w:rPr>
        <w:t xml:space="preserve"> </w:t>
      </w:r>
      <w:r w:rsidR="008D11BE">
        <w:rPr>
          <w:rStyle w:val="FootnoteReference"/>
        </w:rPr>
        <w:footnoteReference w:id="121"/>
      </w:r>
    </w:p>
    <w:p w:rsidRPr="00597178" w:rsidR="00A02582" w:rsidP="006809C2" w:rsidRDefault="00816625" w14:paraId="470417BC" w14:textId="7351AA07">
      <w:pPr>
        <w:pStyle w:val="Standard"/>
      </w:pPr>
      <w:r>
        <w:t>T</w:t>
      </w:r>
      <w:r w:rsidR="00A02582">
        <w:t>he Results Phase of the RMAR</w:t>
      </w:r>
      <w:r w:rsidR="004D531B">
        <w:t xml:space="preserve"> </w:t>
      </w:r>
      <w:r w:rsidR="001D2159">
        <w:t>is comprised of four scenarios</w:t>
      </w:r>
      <w:r w:rsidR="00D93920">
        <w:t xml:space="preserve">, </w:t>
      </w:r>
      <w:r w:rsidR="00A65053">
        <w:t>the Plan</w:t>
      </w:r>
      <w:r w:rsidR="009A2BE8">
        <w:t xml:space="preserve"> Scenario</w:t>
      </w:r>
      <w:r w:rsidR="00A65053">
        <w:t>, Outcomes</w:t>
      </w:r>
      <w:r w:rsidR="009A2BE8">
        <w:t xml:space="preserve"> Scenario</w:t>
      </w:r>
      <w:r w:rsidR="00A65053">
        <w:t>, Results</w:t>
      </w:r>
      <w:r w:rsidR="009A2BE8">
        <w:t xml:space="preserve"> Scenario, and Forecasts Scenario.</w:t>
      </w:r>
      <w:r w:rsidR="005C42F8">
        <w:t xml:space="preserve"> </w:t>
      </w:r>
      <w:r w:rsidRPr="00030D29" w:rsidR="00A02582">
        <w:t xml:space="preserve">The </w:t>
      </w:r>
      <w:r w:rsidR="005C42F8">
        <w:t>P</w:t>
      </w:r>
      <w:r w:rsidRPr="00030D29" w:rsidR="00A02582">
        <w:t xml:space="preserve">lan scenario is the original plan from the base year. </w:t>
      </w:r>
      <w:r w:rsidR="00DC6FD5">
        <w:t>The Outcomes Scenario</w:t>
      </w:r>
      <w:r w:rsidR="00675DDF">
        <w:t xml:space="preserve"> includes</w:t>
      </w:r>
      <w:r w:rsidRPr="00030D29" w:rsidR="00A02582">
        <w:t xml:space="preserve"> the impacts of risk events that have occurred during the report period and prior report periods.</w:t>
      </w:r>
      <w:r w:rsidR="00675DDF">
        <w:t xml:space="preserve"> The Results Scenario</w:t>
      </w:r>
      <w:r w:rsidRPr="00030D29" w:rsidR="00A02582">
        <w:t xml:space="preserve"> </w:t>
      </w:r>
      <w:r w:rsidR="00675DDF">
        <w:t>includes</w:t>
      </w:r>
      <w:r w:rsidRPr="00030D29" w:rsidR="00A02582">
        <w:t xml:space="preserve"> the calculations of mitigation benefits and costs for the report period and prior report periods</w:t>
      </w:r>
      <w:r w:rsidR="00A24D42">
        <w:t>. The Forecast Scenario includes</w:t>
      </w:r>
      <w:r w:rsidRPr="00030D29" w:rsidR="00A02582">
        <w:t xml:space="preserve"> </w:t>
      </w:r>
      <w:r w:rsidR="00A24D42">
        <w:t>updates</w:t>
      </w:r>
      <w:r w:rsidRPr="00030D29" w:rsidR="00A02582">
        <w:t xml:space="preserve"> projections based on new information based on outcomes, modeled results, and advancements in risk modeling.</w:t>
      </w:r>
      <w:r w:rsidR="002A18C8">
        <w:t xml:space="preserve"> </w:t>
      </w:r>
      <w:r w:rsidR="00A02582">
        <w:t>The Plan Phase includes only the Plan Scenario, while the Results Phase includes all the Scenarios</w:t>
      </w:r>
      <w:r w:rsidR="002A18C8">
        <w:t>, allowing for comparison</w:t>
      </w:r>
      <w:r w:rsidR="00604585">
        <w:t xml:space="preserve"> between scenarios</w:t>
      </w:r>
      <w:r w:rsidR="00A02582">
        <w:t>.</w:t>
      </w:r>
    </w:p>
    <w:p w:rsidR="00A02582" w:rsidP="006809C2" w:rsidRDefault="00C64388" w14:paraId="62B26025" w14:textId="065CB2B2">
      <w:r>
        <w:t xml:space="preserve">SPD staff </w:t>
      </w:r>
      <w:r w:rsidR="00DA42F0">
        <w:t xml:space="preserve">conceptually </w:t>
      </w:r>
      <w:r w:rsidR="005679CC">
        <w:t xml:space="preserve">organize data within each scenario as either Stock data or Flow data. </w:t>
      </w:r>
      <w:r w:rsidR="00152F39">
        <w:t xml:space="preserve">Stock data </w:t>
      </w:r>
      <w:r w:rsidR="005764B1">
        <w:t>is non-additive</w:t>
      </w:r>
      <w:r w:rsidR="004E5F0D">
        <w:t xml:space="preserve"> and focus</w:t>
      </w:r>
      <w:r w:rsidR="00606E76">
        <w:t>es on a point in time</w:t>
      </w:r>
      <w:r w:rsidR="001E6077">
        <w:t xml:space="preserve">, such as </w:t>
      </w:r>
      <w:r w:rsidR="004E1C45">
        <w:t xml:space="preserve">end-of-period results or the average between two periods. </w:t>
      </w:r>
      <w:r w:rsidR="0048597B">
        <w:t>Examples</w:t>
      </w:r>
      <w:r w:rsidR="00AA0FD6">
        <w:t xml:space="preserve"> of Stock data</w:t>
      </w:r>
      <w:r w:rsidR="0048597B">
        <w:t xml:space="preserve"> provide</w:t>
      </w:r>
      <w:r w:rsidR="00AA0FD6">
        <w:t>d</w:t>
      </w:r>
      <w:r w:rsidR="0048597B">
        <w:t xml:space="preserve"> by SPD staff include </w:t>
      </w:r>
      <w:r w:rsidR="0031099B">
        <w:t xml:space="preserve">pre-mitigated risk, risk reduction, and overall residual risk. </w:t>
      </w:r>
      <w:r w:rsidR="004E1C45">
        <w:t>Flow data is additive</w:t>
      </w:r>
      <w:r w:rsidR="00C81E35">
        <w:t xml:space="preserve"> and </w:t>
      </w:r>
      <w:r w:rsidR="00A53838">
        <w:t xml:space="preserve">includes data that </w:t>
      </w:r>
      <w:r w:rsidR="003942FA">
        <w:t>represent sums</w:t>
      </w:r>
      <w:r w:rsidR="00F820F9">
        <w:t xml:space="preserve"> for a value over a given period</w:t>
      </w:r>
      <w:r w:rsidR="00CE136C">
        <w:t xml:space="preserve">. Examples </w:t>
      </w:r>
      <w:r w:rsidR="00AA0FD6">
        <w:t xml:space="preserve">of Flow data </w:t>
      </w:r>
      <w:r w:rsidR="00CE136C">
        <w:t xml:space="preserve">provided by SPD staff include </w:t>
      </w:r>
      <w:r w:rsidR="00AB4726">
        <w:t>the inputs into BCRs</w:t>
      </w:r>
      <w:r w:rsidR="003A3872">
        <w:t xml:space="preserve"> and mitigation benefits for a given reporting period.</w:t>
      </w:r>
      <w:r w:rsidR="001D6353">
        <w:rPr>
          <w:rStyle w:val="FootnoteReference"/>
        </w:rPr>
        <w:footnoteReference w:id="122"/>
      </w:r>
      <w:r w:rsidR="00FF4F87">
        <w:t xml:space="preserve"> For </w:t>
      </w:r>
      <w:r w:rsidR="00FF4F87">
        <w:lastRenderedPageBreak/>
        <w:t xml:space="preserve">each of the </w:t>
      </w:r>
      <w:r w:rsidR="007C4A94">
        <w:t xml:space="preserve">scenarios, SPD staff provide </w:t>
      </w:r>
      <w:r w:rsidR="00E73479">
        <w:t xml:space="preserve">example tables with hypothetical data to show how </w:t>
      </w:r>
      <w:r w:rsidR="004D17F2">
        <w:t xml:space="preserve">data for </w:t>
      </w:r>
      <w:r w:rsidR="0025128E">
        <w:t>each table should be presented.</w:t>
      </w:r>
    </w:p>
    <w:p w:rsidR="00A02582" w:rsidP="005340D9" w:rsidRDefault="00A02582" w14:paraId="0F8791C8" w14:textId="77777777">
      <w:pPr>
        <w:pStyle w:val="Heading4"/>
      </w:pPr>
      <w:bookmarkStart w:name="_Toc197676399" w:id="62"/>
      <w:bookmarkStart w:name="_Toc197693504" w:id="63"/>
      <w:bookmarkStart w:name="_Toc197946070" w:id="64"/>
      <w:bookmarkStart w:name="_Toc204258042" w:id="65"/>
      <w:bookmarkEnd w:id="62"/>
      <w:bookmarkEnd w:id="63"/>
      <w:bookmarkEnd w:id="64"/>
      <w:r>
        <w:t>Plan Phase Tables</w:t>
      </w:r>
      <w:bookmarkEnd w:id="65"/>
    </w:p>
    <w:p w:rsidR="00A02582" w:rsidP="00A02582" w:rsidRDefault="00A02582" w14:paraId="5EF06EEF" w14:textId="29B6E02B">
      <w:r>
        <w:t xml:space="preserve">The Staff Proposal presents the schema in </w:t>
      </w:r>
      <w:r w:rsidRPr="00F93DEA">
        <w:t xml:space="preserve">Table </w:t>
      </w:r>
      <w:r w:rsidRPr="00F93DEA" w:rsidR="003B55A5">
        <w:t>1</w:t>
      </w:r>
      <w:r>
        <w:t xml:space="preserve"> below to describe the structure of Plan Phase reports. Y1 denotes the first year of the plan, and YZ the final year.</w:t>
      </w:r>
    </w:p>
    <w:p w:rsidRPr="000B79C2" w:rsidR="00A02582" w:rsidP="00A02582" w:rsidRDefault="00A02582" w14:paraId="48DCB964" w14:textId="67C2AB02">
      <w:pPr>
        <w:keepNext/>
        <w:spacing w:before="240" w:after="80" w:line="264" w:lineRule="auto"/>
        <w:rPr>
          <w:rFonts w:eastAsia="Century Gothic" w:cs="Times New Roman"/>
          <w:kern w:val="24"/>
        </w:rPr>
      </w:pPr>
      <w:bookmarkStart w:name="_Toc185591426" w:id="66"/>
      <w:r w:rsidRPr="00F93DEA">
        <w:rPr>
          <w:rFonts w:eastAsia="Century Gothic" w:cs="Times New Roman"/>
          <w:kern w:val="24"/>
        </w:rPr>
        <w:t xml:space="preserve">Table </w:t>
      </w:r>
      <w:r w:rsidRPr="00F93DEA" w:rsidR="003B55A5">
        <w:rPr>
          <w:rFonts w:eastAsia="Century Gothic" w:cs="Times New Roman"/>
          <w:kern w:val="24"/>
        </w:rPr>
        <w:t>1</w:t>
      </w:r>
      <w:r w:rsidRPr="00CF200A">
        <w:rPr>
          <w:rFonts w:eastAsia="Century Gothic" w:cs="Times New Roman"/>
          <w:kern w:val="24"/>
        </w:rPr>
        <w:t>:</w:t>
      </w:r>
      <w:r w:rsidRPr="000B79C2">
        <w:rPr>
          <w:rFonts w:eastAsia="Century Gothic" w:cs="Times New Roman"/>
          <w:kern w:val="24"/>
        </w:rPr>
        <w:t xml:space="preserve"> Plan Phase Table Structure</w:t>
      </w:r>
      <w:bookmarkEnd w:id="66"/>
    </w:p>
    <w:tbl>
      <w:tblPr>
        <w:tblStyle w:val="GridTable4-Accent3"/>
        <w:tblW w:w="9985" w:type="dxa"/>
        <w:tblLook w:val="04A0" w:firstRow="1" w:lastRow="0" w:firstColumn="1" w:lastColumn="0" w:noHBand="0" w:noVBand="1"/>
      </w:tblPr>
      <w:tblGrid>
        <w:gridCol w:w="4675"/>
        <w:gridCol w:w="5310"/>
      </w:tblGrid>
      <w:tr w:rsidRPr="000B79C2" w:rsidR="00102EF1" w:rsidTr="00E446E9" w14:paraId="447E91D5" w14:textId="77777777">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675" w:type="dxa"/>
          </w:tcPr>
          <w:p w:rsidRPr="000B79C2" w:rsidR="00A02582" w:rsidRDefault="00A02582" w14:paraId="56C100C0" w14:textId="77777777">
            <w:pPr>
              <w:keepNext/>
              <w:spacing w:line="240" w:lineRule="auto"/>
              <w:ind w:left="360"/>
              <w:jc w:val="center"/>
              <w:rPr>
                <w:rFonts w:eastAsia="Century Gothic" w:cs="Times New Roman"/>
                <w:color w:val="FFFFFF"/>
                <w:sz w:val="28"/>
                <w:szCs w:val="28"/>
              </w:rPr>
            </w:pPr>
            <w:r w:rsidRPr="000B79C2">
              <w:rPr>
                <w:rFonts w:eastAsia="Century Gothic" w:cs="Times New Roman"/>
                <w:color w:val="FFFFFF"/>
                <w:sz w:val="28"/>
                <w:szCs w:val="28"/>
              </w:rPr>
              <w:t>I. Mitigation Cost and Benefit (Flow)</w:t>
            </w:r>
          </w:p>
        </w:tc>
        <w:tc>
          <w:tcPr>
            <w:tcW w:w="5310" w:type="dxa"/>
          </w:tcPr>
          <w:p w:rsidRPr="000B79C2" w:rsidR="00A02582" w:rsidRDefault="00A02582" w14:paraId="4546B445" w14:textId="77777777">
            <w:pPr>
              <w:keepNext/>
              <w:spacing w:line="240" w:lineRule="auto"/>
              <w:ind w:left="360"/>
              <w:jc w:val="center"/>
              <w:cnfStyle w:val="100000000000" w:firstRow="1" w:lastRow="0" w:firstColumn="0" w:lastColumn="0" w:oddVBand="0" w:evenVBand="0" w:oddHBand="0" w:evenHBand="0" w:firstRowFirstColumn="0" w:firstRowLastColumn="0" w:lastRowFirstColumn="0" w:lastRowLastColumn="0"/>
              <w:rPr>
                <w:rFonts w:eastAsia="Century Gothic" w:cs="Times New Roman"/>
                <w:color w:val="FFFFFF"/>
                <w:sz w:val="28"/>
                <w:szCs w:val="28"/>
              </w:rPr>
            </w:pPr>
            <w:r w:rsidRPr="000B79C2">
              <w:rPr>
                <w:rFonts w:eastAsia="Century Gothic" w:cs="Times New Roman"/>
                <w:color w:val="FFFFFF"/>
                <w:sz w:val="28"/>
                <w:szCs w:val="28"/>
              </w:rPr>
              <w:t>II. Risk Reduction (Stock)</w:t>
            </w:r>
          </w:p>
        </w:tc>
      </w:tr>
      <w:tr w:rsidRPr="000B79C2" w:rsidR="00B34032" w:rsidTr="00E446E9" w14:paraId="24FA8BD2"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675" w:type="dxa"/>
          </w:tcPr>
          <w:p w:rsidRPr="000B79C2" w:rsidR="00A02582" w:rsidRDefault="00A02582" w14:paraId="46AD7F41" w14:textId="77777777">
            <w:pPr>
              <w:keepNext/>
              <w:spacing w:line="240" w:lineRule="auto"/>
              <w:rPr>
                <w:rFonts w:eastAsia="Century Gothic" w:cs="Times New Roman"/>
                <w:u w:val="single"/>
              </w:rPr>
            </w:pPr>
            <w:r w:rsidRPr="000B79C2">
              <w:rPr>
                <w:rFonts w:eastAsia="Century Gothic" w:cs="Times New Roman"/>
                <w:u w:val="single"/>
              </w:rPr>
              <w:t>Average Risk</w:t>
            </w:r>
          </w:p>
        </w:tc>
        <w:tc>
          <w:tcPr>
            <w:tcW w:w="5310" w:type="dxa"/>
          </w:tcPr>
          <w:p w:rsidRPr="000B79C2" w:rsidR="00A02582" w:rsidRDefault="00A02582" w14:paraId="08F7C984" w14:textId="77777777">
            <w:pPr>
              <w:keepNext/>
              <w:spacing w:line="240" w:lineRule="auto"/>
              <w:cnfStyle w:val="000000100000" w:firstRow="0" w:lastRow="0" w:firstColumn="0" w:lastColumn="0" w:oddVBand="0" w:evenVBand="0" w:oddHBand="1" w:evenHBand="0" w:firstRowFirstColumn="0" w:firstRowLastColumn="0" w:lastRowFirstColumn="0" w:lastRowLastColumn="0"/>
              <w:rPr>
                <w:rFonts w:eastAsia="Century Gothic" w:cs="Times New Roman"/>
                <w:b/>
                <w:u w:val="single"/>
              </w:rPr>
            </w:pPr>
            <w:r w:rsidRPr="000B79C2">
              <w:rPr>
                <w:rFonts w:eastAsia="Century Gothic" w:cs="Times New Roman"/>
                <w:b/>
                <w:u w:val="single"/>
              </w:rPr>
              <w:t>Average Risk</w:t>
            </w:r>
          </w:p>
        </w:tc>
      </w:tr>
      <w:tr w:rsidRPr="000B79C2" w:rsidR="00A02582" w:rsidTr="00E446E9" w14:paraId="3B614C92" w14:textId="77777777">
        <w:trPr>
          <w:trHeight w:val="350"/>
        </w:trPr>
        <w:tc>
          <w:tcPr>
            <w:cnfStyle w:val="001000000000" w:firstRow="0" w:lastRow="0" w:firstColumn="1" w:lastColumn="0" w:oddVBand="0" w:evenVBand="0" w:oddHBand="0" w:evenHBand="0" w:firstRowFirstColumn="0" w:firstRowLastColumn="0" w:lastRowFirstColumn="0" w:lastRowLastColumn="0"/>
            <w:tcW w:w="4675" w:type="dxa"/>
          </w:tcPr>
          <w:p w:rsidRPr="000B79C2" w:rsidR="00A02582" w:rsidRDefault="00A02582" w14:paraId="3AD2B9FA" w14:textId="77777777">
            <w:pPr>
              <w:keepNext/>
              <w:spacing w:line="240" w:lineRule="auto"/>
              <w:rPr>
                <w:rFonts w:eastAsia="Century Gothic" w:cs="Times New Roman"/>
              </w:rPr>
            </w:pPr>
            <w:r w:rsidRPr="000B79C2">
              <w:rPr>
                <w:rFonts w:eastAsia="Century Gothic" w:cs="Times New Roman"/>
              </w:rPr>
              <w:t>Modeled benefit Y1-YZ</w:t>
            </w:r>
          </w:p>
        </w:tc>
        <w:tc>
          <w:tcPr>
            <w:tcW w:w="5310" w:type="dxa"/>
          </w:tcPr>
          <w:p w:rsidRPr="000B79C2" w:rsidR="00A02582" w:rsidRDefault="00A02582" w14:paraId="4135789F" w14:textId="77777777">
            <w:pPr>
              <w:keepNext/>
              <w:spacing w:line="240" w:lineRule="auto"/>
              <w:cnfStyle w:val="000000000000" w:firstRow="0" w:lastRow="0" w:firstColumn="0" w:lastColumn="0" w:oddVBand="0" w:evenVBand="0" w:oddHBand="0" w:evenHBand="0" w:firstRowFirstColumn="0" w:firstRowLastColumn="0" w:lastRowFirstColumn="0" w:lastRowLastColumn="0"/>
              <w:rPr>
                <w:rFonts w:eastAsia="Century Gothic" w:cs="Times New Roman"/>
              </w:rPr>
            </w:pPr>
            <w:r w:rsidRPr="000B79C2">
              <w:rPr>
                <w:rFonts w:eastAsia="Century Gothic" w:cs="Times New Roman"/>
              </w:rPr>
              <w:t>Pre-mitigated risk</w:t>
            </w:r>
          </w:p>
        </w:tc>
      </w:tr>
      <w:tr w:rsidRPr="000B79C2" w:rsidR="00B34032" w:rsidTr="00E446E9" w14:paraId="461B0A77"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675" w:type="dxa"/>
          </w:tcPr>
          <w:p w:rsidRPr="000B79C2" w:rsidR="00A02582" w:rsidRDefault="00A02582" w14:paraId="1EC34A98" w14:textId="77777777">
            <w:pPr>
              <w:keepNext/>
              <w:spacing w:line="240" w:lineRule="auto"/>
              <w:rPr>
                <w:rFonts w:eastAsia="Century Gothic" w:cs="Times New Roman"/>
              </w:rPr>
            </w:pPr>
            <w:r w:rsidRPr="000B79C2">
              <w:rPr>
                <w:rFonts w:eastAsia="Century Gothic" w:cs="Times New Roman"/>
              </w:rPr>
              <w:t>Modeled cost Y1-YZ</w:t>
            </w:r>
          </w:p>
        </w:tc>
        <w:tc>
          <w:tcPr>
            <w:tcW w:w="5310" w:type="dxa"/>
          </w:tcPr>
          <w:p w:rsidRPr="000B79C2" w:rsidR="00A02582" w:rsidRDefault="00A02582" w14:paraId="45115C9F" w14:textId="77777777">
            <w:pPr>
              <w:keepNext/>
              <w:spacing w:line="240" w:lineRule="auto"/>
              <w:cnfStyle w:val="000000100000" w:firstRow="0" w:lastRow="0" w:firstColumn="0" w:lastColumn="0" w:oddVBand="0" w:evenVBand="0" w:oddHBand="1" w:evenHBand="0" w:firstRowFirstColumn="0" w:firstRowLastColumn="0" w:lastRowFirstColumn="0" w:lastRowLastColumn="0"/>
              <w:rPr>
                <w:rFonts w:eastAsia="Century Gothic" w:cs="Times New Roman"/>
              </w:rPr>
            </w:pPr>
            <w:r w:rsidRPr="000B79C2">
              <w:rPr>
                <w:rFonts w:eastAsia="Century Gothic" w:cs="Times New Roman"/>
              </w:rPr>
              <w:t>Risk Reduction (YZ)</w:t>
            </w:r>
          </w:p>
        </w:tc>
      </w:tr>
      <w:tr w:rsidRPr="000B79C2" w:rsidR="00A02582" w:rsidTr="00E446E9" w14:paraId="186BC2A7" w14:textId="77777777">
        <w:trPr>
          <w:trHeight w:val="359"/>
        </w:trPr>
        <w:tc>
          <w:tcPr>
            <w:cnfStyle w:val="001000000000" w:firstRow="0" w:lastRow="0" w:firstColumn="1" w:lastColumn="0" w:oddVBand="0" w:evenVBand="0" w:oddHBand="0" w:evenHBand="0" w:firstRowFirstColumn="0" w:firstRowLastColumn="0" w:lastRowFirstColumn="0" w:lastRowLastColumn="0"/>
            <w:tcW w:w="4675" w:type="dxa"/>
          </w:tcPr>
          <w:p w:rsidRPr="000B79C2" w:rsidR="00A02582" w:rsidRDefault="00A02582" w14:paraId="166D54BE" w14:textId="77777777">
            <w:pPr>
              <w:keepNext/>
              <w:spacing w:line="240" w:lineRule="auto"/>
              <w:rPr>
                <w:rFonts w:eastAsia="Century Gothic" w:cs="Times New Roman"/>
              </w:rPr>
            </w:pPr>
            <w:r w:rsidRPr="000B79C2">
              <w:rPr>
                <w:rFonts w:eastAsia="Century Gothic" w:cs="Times New Roman"/>
              </w:rPr>
              <w:t>BCR</w:t>
            </w:r>
          </w:p>
        </w:tc>
        <w:tc>
          <w:tcPr>
            <w:tcW w:w="5310" w:type="dxa"/>
          </w:tcPr>
          <w:p w:rsidRPr="000B79C2" w:rsidR="00A02582" w:rsidRDefault="00A02582" w14:paraId="7B58CADF" w14:textId="77777777">
            <w:pPr>
              <w:keepNext/>
              <w:spacing w:line="240" w:lineRule="auto"/>
              <w:cnfStyle w:val="000000000000" w:firstRow="0" w:lastRow="0" w:firstColumn="0" w:lastColumn="0" w:oddVBand="0" w:evenVBand="0" w:oddHBand="0" w:evenHBand="0" w:firstRowFirstColumn="0" w:firstRowLastColumn="0" w:lastRowFirstColumn="0" w:lastRowLastColumn="0"/>
              <w:rPr>
                <w:rFonts w:eastAsia="Century Gothic" w:cs="Times New Roman"/>
              </w:rPr>
            </w:pPr>
            <w:r w:rsidRPr="000B79C2">
              <w:rPr>
                <w:rFonts w:eastAsia="Century Gothic" w:cs="Times New Roman"/>
              </w:rPr>
              <w:t>Overall residual risk (YZ)</w:t>
            </w:r>
          </w:p>
        </w:tc>
      </w:tr>
      <w:tr w:rsidRPr="000B79C2" w:rsidR="00B34032" w:rsidTr="00E446E9" w14:paraId="4C74DD04"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4675" w:type="dxa"/>
          </w:tcPr>
          <w:p w:rsidRPr="000B79C2" w:rsidR="00A02582" w:rsidRDefault="00A02582" w14:paraId="79173B09" w14:textId="77777777">
            <w:pPr>
              <w:keepNext/>
              <w:spacing w:line="240" w:lineRule="auto"/>
              <w:rPr>
                <w:rFonts w:eastAsia="Century Gothic" w:cs="Times New Roman"/>
              </w:rPr>
            </w:pPr>
          </w:p>
        </w:tc>
        <w:tc>
          <w:tcPr>
            <w:tcW w:w="5310" w:type="dxa"/>
          </w:tcPr>
          <w:p w:rsidRPr="000B79C2" w:rsidR="00A02582" w:rsidRDefault="00A02582" w14:paraId="0B40B538" w14:textId="77777777">
            <w:pPr>
              <w:keepNext/>
              <w:spacing w:line="240" w:lineRule="auto"/>
              <w:cnfStyle w:val="000000100000" w:firstRow="0" w:lastRow="0" w:firstColumn="0" w:lastColumn="0" w:oddVBand="0" w:evenVBand="0" w:oddHBand="1" w:evenHBand="0" w:firstRowFirstColumn="0" w:firstRowLastColumn="0" w:lastRowFirstColumn="0" w:lastRowLastColumn="0"/>
              <w:rPr>
                <w:rFonts w:eastAsia="Century Gothic" w:cs="Times New Roman"/>
              </w:rPr>
            </w:pPr>
            <w:r w:rsidRPr="000B79C2">
              <w:rPr>
                <w:rFonts w:eastAsia="Century Gothic" w:cs="Times New Roman"/>
              </w:rPr>
              <w:t>Risk Tolerance</w:t>
            </w:r>
          </w:p>
        </w:tc>
      </w:tr>
      <w:tr w:rsidRPr="000B79C2" w:rsidR="00A02582" w:rsidTr="00E446E9" w14:paraId="63A1130E" w14:textId="77777777">
        <w:trPr>
          <w:trHeight w:val="350"/>
        </w:trPr>
        <w:tc>
          <w:tcPr>
            <w:cnfStyle w:val="001000000000" w:firstRow="0" w:lastRow="0" w:firstColumn="1" w:lastColumn="0" w:oddVBand="0" w:evenVBand="0" w:oddHBand="0" w:evenHBand="0" w:firstRowFirstColumn="0" w:firstRowLastColumn="0" w:lastRowFirstColumn="0" w:lastRowLastColumn="0"/>
            <w:tcW w:w="4675" w:type="dxa"/>
          </w:tcPr>
          <w:p w:rsidRPr="000B79C2" w:rsidR="00A02582" w:rsidRDefault="00A02582" w14:paraId="3A4FBAB8" w14:textId="77777777">
            <w:pPr>
              <w:keepNext/>
              <w:spacing w:line="240" w:lineRule="auto"/>
              <w:rPr>
                <w:rFonts w:eastAsia="Century Gothic" w:cs="Times New Roman"/>
              </w:rPr>
            </w:pPr>
          </w:p>
        </w:tc>
        <w:tc>
          <w:tcPr>
            <w:tcW w:w="5310" w:type="dxa"/>
          </w:tcPr>
          <w:p w:rsidRPr="000B79C2" w:rsidR="00A02582" w:rsidRDefault="00A02582" w14:paraId="1FBAFDA3" w14:textId="77777777">
            <w:pPr>
              <w:keepNext/>
              <w:spacing w:line="240" w:lineRule="auto"/>
              <w:cnfStyle w:val="000000000000" w:firstRow="0" w:lastRow="0" w:firstColumn="0" w:lastColumn="0" w:oddVBand="0" w:evenVBand="0" w:oddHBand="0" w:evenHBand="0" w:firstRowFirstColumn="0" w:firstRowLastColumn="0" w:lastRowFirstColumn="0" w:lastRowLastColumn="0"/>
              <w:rPr>
                <w:rFonts w:eastAsia="Century Gothic" w:cs="Times New Roman"/>
              </w:rPr>
            </w:pPr>
            <w:r w:rsidRPr="000B79C2">
              <w:rPr>
                <w:rFonts w:eastAsia="Century Gothic" w:cs="Times New Roman"/>
              </w:rPr>
              <w:t>% of risk tolerance gap closed</w:t>
            </w:r>
          </w:p>
        </w:tc>
      </w:tr>
      <w:tr w:rsidRPr="000B79C2" w:rsidR="00B34032" w:rsidTr="00E446E9" w14:paraId="7D0ADD66" w14:textId="77777777">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4675" w:type="dxa"/>
          </w:tcPr>
          <w:p w:rsidRPr="000B79C2" w:rsidR="00A02582" w:rsidRDefault="00A02582" w14:paraId="3564ECCF" w14:textId="77777777">
            <w:pPr>
              <w:keepNext/>
              <w:spacing w:line="240" w:lineRule="auto"/>
              <w:rPr>
                <w:rFonts w:eastAsia="Century Gothic" w:cs="Times New Roman"/>
              </w:rPr>
            </w:pPr>
          </w:p>
        </w:tc>
        <w:tc>
          <w:tcPr>
            <w:tcW w:w="5310" w:type="dxa"/>
          </w:tcPr>
          <w:p w:rsidRPr="000B79C2" w:rsidR="00A02582" w:rsidRDefault="00A02582" w14:paraId="7BDD8A2D" w14:textId="77777777">
            <w:pPr>
              <w:keepNext/>
              <w:spacing w:line="240" w:lineRule="auto"/>
              <w:cnfStyle w:val="000000100000" w:firstRow="0" w:lastRow="0" w:firstColumn="0" w:lastColumn="0" w:oddVBand="0" w:evenVBand="0" w:oddHBand="1" w:evenHBand="0" w:firstRowFirstColumn="0" w:firstRowLastColumn="0" w:lastRowFirstColumn="0" w:lastRowLastColumn="0"/>
              <w:rPr>
                <w:rFonts w:eastAsia="Century Gothic" w:cs="Times New Roman"/>
              </w:rPr>
            </w:pPr>
          </w:p>
        </w:tc>
      </w:tr>
      <w:tr w:rsidRPr="000B79C2" w:rsidR="00A02582" w:rsidTr="00E446E9" w14:paraId="5ACCE799" w14:textId="77777777">
        <w:trPr>
          <w:trHeight w:val="341"/>
        </w:trPr>
        <w:tc>
          <w:tcPr>
            <w:cnfStyle w:val="001000000000" w:firstRow="0" w:lastRow="0" w:firstColumn="1" w:lastColumn="0" w:oddVBand="0" w:evenVBand="0" w:oddHBand="0" w:evenHBand="0" w:firstRowFirstColumn="0" w:firstRowLastColumn="0" w:lastRowFirstColumn="0" w:lastRowLastColumn="0"/>
            <w:tcW w:w="4675" w:type="dxa"/>
          </w:tcPr>
          <w:p w:rsidRPr="000B79C2" w:rsidR="00A02582" w:rsidRDefault="00A02582" w14:paraId="24DC9867" w14:textId="77777777">
            <w:pPr>
              <w:keepNext/>
              <w:spacing w:line="240" w:lineRule="auto"/>
              <w:rPr>
                <w:rFonts w:eastAsia="Century Gothic" w:cs="Times New Roman"/>
                <w:u w:val="single"/>
              </w:rPr>
            </w:pPr>
            <w:r w:rsidRPr="000B79C2">
              <w:rPr>
                <w:rFonts w:eastAsia="Century Gothic" w:cs="Times New Roman"/>
                <w:u w:val="single"/>
              </w:rPr>
              <w:t>Tail Average Risk</w:t>
            </w:r>
          </w:p>
        </w:tc>
        <w:tc>
          <w:tcPr>
            <w:tcW w:w="5310" w:type="dxa"/>
          </w:tcPr>
          <w:p w:rsidRPr="000B79C2" w:rsidR="00A02582" w:rsidRDefault="00A02582" w14:paraId="3DCF751E" w14:textId="77777777">
            <w:pPr>
              <w:keepNext/>
              <w:spacing w:line="240" w:lineRule="auto"/>
              <w:cnfStyle w:val="000000000000" w:firstRow="0" w:lastRow="0" w:firstColumn="0" w:lastColumn="0" w:oddVBand="0" w:evenVBand="0" w:oddHBand="0" w:evenHBand="0" w:firstRowFirstColumn="0" w:firstRowLastColumn="0" w:lastRowFirstColumn="0" w:lastRowLastColumn="0"/>
              <w:rPr>
                <w:rFonts w:eastAsia="Century Gothic" w:cs="Times New Roman"/>
                <w:b/>
                <w:u w:val="single"/>
              </w:rPr>
            </w:pPr>
            <w:r w:rsidRPr="000B79C2">
              <w:rPr>
                <w:rFonts w:eastAsia="Century Gothic" w:cs="Times New Roman"/>
                <w:b/>
                <w:u w:val="single"/>
              </w:rPr>
              <w:t>Tail Average Risk</w:t>
            </w:r>
          </w:p>
        </w:tc>
      </w:tr>
      <w:tr w:rsidRPr="000B79C2" w:rsidR="00B34032" w:rsidTr="00E446E9" w14:paraId="5B3619CE"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675" w:type="dxa"/>
          </w:tcPr>
          <w:p w:rsidRPr="000B79C2" w:rsidR="00A02582" w:rsidRDefault="00A02582" w14:paraId="01DDC169" w14:textId="77777777">
            <w:pPr>
              <w:keepNext/>
              <w:spacing w:line="240" w:lineRule="auto"/>
              <w:rPr>
                <w:rFonts w:eastAsia="Century Gothic" w:cs="Times New Roman"/>
              </w:rPr>
            </w:pPr>
            <w:r w:rsidRPr="000B79C2">
              <w:rPr>
                <w:rFonts w:eastAsia="Century Gothic" w:cs="Times New Roman"/>
              </w:rPr>
              <w:t>Modeled benefit Y1-YZ</w:t>
            </w:r>
          </w:p>
        </w:tc>
        <w:tc>
          <w:tcPr>
            <w:tcW w:w="5310" w:type="dxa"/>
          </w:tcPr>
          <w:p w:rsidRPr="000B79C2" w:rsidR="00A02582" w:rsidRDefault="00A02582" w14:paraId="3351910B" w14:textId="77777777">
            <w:pPr>
              <w:keepNext/>
              <w:spacing w:line="240" w:lineRule="auto"/>
              <w:cnfStyle w:val="000000100000" w:firstRow="0" w:lastRow="0" w:firstColumn="0" w:lastColumn="0" w:oddVBand="0" w:evenVBand="0" w:oddHBand="1" w:evenHBand="0" w:firstRowFirstColumn="0" w:firstRowLastColumn="0" w:lastRowFirstColumn="0" w:lastRowLastColumn="0"/>
              <w:rPr>
                <w:rFonts w:eastAsia="Century Gothic" w:cs="Times New Roman"/>
              </w:rPr>
            </w:pPr>
            <w:r w:rsidRPr="000B79C2">
              <w:rPr>
                <w:rFonts w:eastAsia="Century Gothic" w:cs="Times New Roman"/>
              </w:rPr>
              <w:t>Pre-mitigated risk</w:t>
            </w:r>
          </w:p>
        </w:tc>
      </w:tr>
      <w:tr w:rsidRPr="000B79C2" w:rsidR="00A02582" w:rsidTr="00E446E9" w14:paraId="665EB4B5" w14:textId="77777777">
        <w:trPr>
          <w:trHeight w:val="350"/>
        </w:trPr>
        <w:tc>
          <w:tcPr>
            <w:cnfStyle w:val="001000000000" w:firstRow="0" w:lastRow="0" w:firstColumn="1" w:lastColumn="0" w:oddVBand="0" w:evenVBand="0" w:oddHBand="0" w:evenHBand="0" w:firstRowFirstColumn="0" w:firstRowLastColumn="0" w:lastRowFirstColumn="0" w:lastRowLastColumn="0"/>
            <w:tcW w:w="4675" w:type="dxa"/>
          </w:tcPr>
          <w:p w:rsidRPr="000B79C2" w:rsidR="00A02582" w:rsidRDefault="00A02582" w14:paraId="4588D744" w14:textId="77777777">
            <w:pPr>
              <w:keepNext/>
              <w:spacing w:line="240" w:lineRule="auto"/>
              <w:rPr>
                <w:rFonts w:eastAsia="Century Gothic" w:cs="Times New Roman"/>
              </w:rPr>
            </w:pPr>
          </w:p>
        </w:tc>
        <w:tc>
          <w:tcPr>
            <w:tcW w:w="5310" w:type="dxa"/>
          </w:tcPr>
          <w:p w:rsidRPr="000B79C2" w:rsidR="00A02582" w:rsidRDefault="00A02582" w14:paraId="2DB726F8" w14:textId="77777777">
            <w:pPr>
              <w:keepNext/>
              <w:spacing w:line="240" w:lineRule="auto"/>
              <w:cnfStyle w:val="000000000000" w:firstRow="0" w:lastRow="0" w:firstColumn="0" w:lastColumn="0" w:oddVBand="0" w:evenVBand="0" w:oddHBand="0" w:evenHBand="0" w:firstRowFirstColumn="0" w:firstRowLastColumn="0" w:lastRowFirstColumn="0" w:lastRowLastColumn="0"/>
              <w:rPr>
                <w:rFonts w:eastAsia="Century Gothic" w:cs="Times New Roman"/>
              </w:rPr>
            </w:pPr>
            <w:r w:rsidRPr="000B79C2">
              <w:rPr>
                <w:rFonts w:eastAsia="Century Gothic" w:cs="Times New Roman"/>
              </w:rPr>
              <w:t>Risk Reduction (YZ)</w:t>
            </w:r>
          </w:p>
        </w:tc>
      </w:tr>
      <w:tr w:rsidRPr="000B79C2" w:rsidR="00B34032" w:rsidTr="00E446E9" w14:paraId="1FC4DE31"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4675" w:type="dxa"/>
          </w:tcPr>
          <w:p w:rsidRPr="000B79C2" w:rsidR="00A02582" w:rsidRDefault="00A02582" w14:paraId="5A4781EF" w14:textId="77777777">
            <w:pPr>
              <w:keepNext/>
              <w:spacing w:line="240" w:lineRule="auto"/>
              <w:rPr>
                <w:rFonts w:eastAsia="Century Gothic" w:cs="Times New Roman"/>
              </w:rPr>
            </w:pPr>
          </w:p>
        </w:tc>
        <w:tc>
          <w:tcPr>
            <w:tcW w:w="5310" w:type="dxa"/>
          </w:tcPr>
          <w:p w:rsidRPr="000B79C2" w:rsidR="00A02582" w:rsidRDefault="00A02582" w14:paraId="0450832C" w14:textId="77777777">
            <w:pPr>
              <w:keepNext/>
              <w:spacing w:line="240" w:lineRule="auto"/>
              <w:cnfStyle w:val="000000100000" w:firstRow="0" w:lastRow="0" w:firstColumn="0" w:lastColumn="0" w:oddVBand="0" w:evenVBand="0" w:oddHBand="1" w:evenHBand="0" w:firstRowFirstColumn="0" w:firstRowLastColumn="0" w:lastRowFirstColumn="0" w:lastRowLastColumn="0"/>
              <w:rPr>
                <w:rFonts w:eastAsia="Century Gothic" w:cs="Times New Roman"/>
              </w:rPr>
            </w:pPr>
            <w:r w:rsidRPr="000B79C2">
              <w:rPr>
                <w:rFonts w:eastAsia="Century Gothic" w:cs="Times New Roman"/>
              </w:rPr>
              <w:t>Overall residual risk (YZ)</w:t>
            </w:r>
          </w:p>
        </w:tc>
      </w:tr>
      <w:tr w:rsidRPr="000B79C2" w:rsidR="00A02582" w:rsidTr="00E446E9" w14:paraId="3935FC59" w14:textId="77777777">
        <w:trPr>
          <w:trHeight w:val="359"/>
        </w:trPr>
        <w:tc>
          <w:tcPr>
            <w:cnfStyle w:val="001000000000" w:firstRow="0" w:lastRow="0" w:firstColumn="1" w:lastColumn="0" w:oddVBand="0" w:evenVBand="0" w:oddHBand="0" w:evenHBand="0" w:firstRowFirstColumn="0" w:firstRowLastColumn="0" w:lastRowFirstColumn="0" w:lastRowLastColumn="0"/>
            <w:tcW w:w="4675" w:type="dxa"/>
          </w:tcPr>
          <w:p w:rsidRPr="000B79C2" w:rsidR="00A02582" w:rsidRDefault="00A02582" w14:paraId="5E8CC1E9" w14:textId="77777777">
            <w:pPr>
              <w:keepNext/>
              <w:spacing w:line="240" w:lineRule="auto"/>
              <w:rPr>
                <w:rFonts w:eastAsia="Century Gothic" w:cs="Times New Roman"/>
              </w:rPr>
            </w:pPr>
          </w:p>
        </w:tc>
        <w:tc>
          <w:tcPr>
            <w:tcW w:w="5310" w:type="dxa"/>
          </w:tcPr>
          <w:p w:rsidRPr="000B79C2" w:rsidR="00A02582" w:rsidRDefault="00A02582" w14:paraId="58F7E5C1" w14:textId="77777777">
            <w:pPr>
              <w:keepNext/>
              <w:spacing w:line="240" w:lineRule="auto"/>
              <w:cnfStyle w:val="000000000000" w:firstRow="0" w:lastRow="0" w:firstColumn="0" w:lastColumn="0" w:oddVBand="0" w:evenVBand="0" w:oddHBand="0" w:evenHBand="0" w:firstRowFirstColumn="0" w:firstRowLastColumn="0" w:lastRowFirstColumn="0" w:lastRowLastColumn="0"/>
              <w:rPr>
                <w:rFonts w:eastAsia="Century Gothic" w:cs="Times New Roman"/>
              </w:rPr>
            </w:pPr>
            <w:r w:rsidRPr="000B79C2">
              <w:rPr>
                <w:rFonts w:eastAsia="Century Gothic" w:cs="Times New Roman"/>
              </w:rPr>
              <w:t>Risk Tolerance</w:t>
            </w:r>
          </w:p>
        </w:tc>
      </w:tr>
      <w:tr w:rsidRPr="000B79C2" w:rsidR="00B34032" w:rsidTr="00E446E9" w14:paraId="05BC3CF8"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675" w:type="dxa"/>
          </w:tcPr>
          <w:p w:rsidRPr="000B79C2" w:rsidR="00A02582" w:rsidRDefault="00A02582" w14:paraId="671EB700" w14:textId="77777777">
            <w:pPr>
              <w:spacing w:line="240" w:lineRule="auto"/>
              <w:rPr>
                <w:rFonts w:eastAsia="Century Gothic" w:cs="Times New Roman"/>
              </w:rPr>
            </w:pPr>
          </w:p>
        </w:tc>
        <w:tc>
          <w:tcPr>
            <w:tcW w:w="5310" w:type="dxa"/>
          </w:tcPr>
          <w:p w:rsidRPr="000B79C2" w:rsidR="00A02582" w:rsidRDefault="00A02582" w14:paraId="205F5E95" w14:textId="77777777">
            <w:pPr>
              <w:spacing w:line="240" w:lineRule="auto"/>
              <w:cnfStyle w:val="000000100000" w:firstRow="0" w:lastRow="0" w:firstColumn="0" w:lastColumn="0" w:oddVBand="0" w:evenVBand="0" w:oddHBand="1" w:evenHBand="0" w:firstRowFirstColumn="0" w:firstRowLastColumn="0" w:lastRowFirstColumn="0" w:lastRowLastColumn="0"/>
              <w:rPr>
                <w:rFonts w:eastAsia="Century Gothic" w:cs="Times New Roman"/>
              </w:rPr>
            </w:pPr>
            <w:r w:rsidRPr="000B79C2">
              <w:rPr>
                <w:rFonts w:eastAsia="Century Gothic" w:cs="Times New Roman"/>
              </w:rPr>
              <w:t>% of risk tolerance gap closed</w:t>
            </w:r>
          </w:p>
        </w:tc>
      </w:tr>
    </w:tbl>
    <w:p w:rsidR="00A02582" w:rsidP="00A02582" w:rsidRDefault="00A02582" w14:paraId="469F923B" w14:textId="3AC4AC2A"/>
    <w:p w:rsidR="00A02582" w:rsidP="00A02582" w:rsidRDefault="00A02582" w14:paraId="0447A8D6" w14:textId="03FD6B42">
      <w:r>
        <w:t xml:space="preserve">Staff state that Plan Phase tables can add further dimensions such as time (years 1 through year 4), risk event, attributes, mitigation detail, and tranches. The Staff </w:t>
      </w:r>
      <w:r w:rsidR="00CF200A">
        <w:t xml:space="preserve">RMAR </w:t>
      </w:r>
      <w:r>
        <w:t>Proposal recommends that Plan Phase tables with mitigation level of detail be required in RMAR tables (See Section 8.5).</w:t>
      </w:r>
    </w:p>
    <w:p w:rsidR="00A02582" w:rsidP="006809C2" w:rsidRDefault="00A02582" w14:paraId="38D9666D" w14:textId="217DFFCC">
      <w:pPr>
        <w:pStyle w:val="Heading4"/>
      </w:pPr>
      <w:bookmarkStart w:name="_Toc204258043" w:id="67"/>
      <w:r>
        <w:t>Results Phase Tables</w:t>
      </w:r>
      <w:bookmarkEnd w:id="67"/>
    </w:p>
    <w:p w:rsidR="00A02582" w:rsidP="00A02582" w:rsidRDefault="00E240B4" w14:paraId="073B27A3" w14:textId="79CAFB64">
      <w:r>
        <w:t xml:space="preserve">The Results Phase, by virtue of including the Plan Scenario, is both </w:t>
      </w:r>
      <w:r w:rsidR="00AD34B7">
        <w:t>forward- and backward</w:t>
      </w:r>
      <w:r w:rsidR="003E5E0E">
        <w:t>-</w:t>
      </w:r>
      <w:r w:rsidR="00AD34B7">
        <w:t>looking</w:t>
      </w:r>
      <w:r w:rsidR="00E738B0">
        <w:t xml:space="preserve">. </w:t>
      </w:r>
      <w:r w:rsidR="00455894">
        <w:t xml:space="preserve">As such, </w:t>
      </w:r>
      <w:r w:rsidR="00A02582">
        <w:t xml:space="preserve">Results Phase tables may have </w:t>
      </w:r>
      <w:r w:rsidR="00A02582">
        <w:lastRenderedPageBreak/>
        <w:t>multiple views of the time dimension (</w:t>
      </w:r>
      <w:r w:rsidR="00455894">
        <w:t xml:space="preserve">e.g., </w:t>
      </w:r>
      <w:r w:rsidR="00A02582">
        <w:t xml:space="preserve">report period, prior report periods, prior and future periods, etc.). The Staff </w:t>
      </w:r>
      <w:r w:rsidR="00455894">
        <w:t xml:space="preserve">RMAR </w:t>
      </w:r>
      <w:r w:rsidR="00A02582">
        <w:t>Proposal uses the following notation to describe the time dimension for the results phase:</w:t>
      </w:r>
    </w:p>
    <w:p w:rsidR="00A02582" w:rsidP="00086173" w:rsidRDefault="00A02582" w14:paraId="036C48FF" w14:textId="77777777">
      <w:pPr>
        <w:pStyle w:val="ListBullet"/>
        <w:ind w:right="1440"/>
      </w:pPr>
      <w:r w:rsidRPr="00885C05">
        <w:rPr>
          <w:i/>
          <w:iCs/>
        </w:rPr>
        <w:t>Y1</w:t>
      </w:r>
      <w:r>
        <w:t>. Base plan year.</w:t>
      </w:r>
    </w:p>
    <w:p w:rsidR="00A02582" w:rsidP="00086173" w:rsidRDefault="00A02582" w14:paraId="6C391BA0" w14:textId="77777777">
      <w:pPr>
        <w:pStyle w:val="ListBullet"/>
        <w:ind w:right="1440"/>
      </w:pPr>
      <w:r w:rsidRPr="00885C05">
        <w:rPr>
          <w:i/>
          <w:iCs/>
        </w:rPr>
        <w:t>YN</w:t>
      </w:r>
      <w:r>
        <w:t>. Reporting year. For example, Y3 means the RMAR is discussing year 3 outcomes and results.</w:t>
      </w:r>
    </w:p>
    <w:p w:rsidR="00A02582" w:rsidP="00086173" w:rsidRDefault="00A02582" w14:paraId="65E5C3C8" w14:textId="77777777">
      <w:pPr>
        <w:pStyle w:val="ListBullet"/>
        <w:ind w:right="1440"/>
      </w:pPr>
      <w:r w:rsidRPr="00885C05">
        <w:rPr>
          <w:i/>
          <w:iCs/>
        </w:rPr>
        <w:t>YZ</w:t>
      </w:r>
      <w:r>
        <w:t>. Final year of the plan.</w:t>
      </w:r>
    </w:p>
    <w:p w:rsidR="00A02582" w:rsidP="00086173" w:rsidRDefault="00A02582" w14:paraId="3A94B6D5" w14:textId="77777777">
      <w:pPr>
        <w:pStyle w:val="ListBullet"/>
        <w:ind w:right="1440"/>
      </w:pPr>
      <w:r w:rsidRPr="00885C05">
        <w:rPr>
          <w:i/>
          <w:iCs/>
        </w:rPr>
        <w:t>Y1YN</w:t>
      </w:r>
      <w:r>
        <w:t>. The history of outcomes and results. Y1Y3 would include year 1 through year 3.</w:t>
      </w:r>
    </w:p>
    <w:p w:rsidRPr="00E52785" w:rsidR="00A02582" w:rsidP="006809C2" w:rsidRDefault="00A02582" w14:paraId="33670521" w14:textId="3450795F">
      <w:pPr>
        <w:pStyle w:val="ListParagraph"/>
        <w:numPr>
          <w:ilvl w:val="0"/>
          <w:numId w:val="27"/>
        </w:numPr>
        <w:spacing w:before="160" w:line="264" w:lineRule="auto"/>
      </w:pPr>
      <w:r w:rsidRPr="00885C05">
        <w:rPr>
          <w:i/>
          <w:iCs/>
        </w:rPr>
        <w:t>Forecast.</w:t>
      </w:r>
      <w:r>
        <w:t xml:space="preserve"> Includes results for Y1YN and projections after Y1YN through YZ.</w:t>
      </w:r>
    </w:p>
    <w:p w:rsidR="00A02582" w:rsidP="005340D9" w:rsidRDefault="00A02582" w14:paraId="123C8740" w14:textId="77777777">
      <w:pPr>
        <w:pStyle w:val="Heading5"/>
      </w:pPr>
      <w:bookmarkStart w:name="_Toc204258044" w:id="68"/>
      <w:r>
        <w:t>Outcomes Table</w:t>
      </w:r>
      <w:bookmarkEnd w:id="68"/>
    </w:p>
    <w:p w:rsidRPr="00C547B9" w:rsidR="00A02582" w:rsidP="006809C2" w:rsidRDefault="00A02582" w14:paraId="7E2912D0" w14:textId="30B5524F">
      <w:pPr>
        <w:pStyle w:val="Standard"/>
      </w:pPr>
      <w:r>
        <w:t xml:space="preserve">The Staff </w:t>
      </w:r>
      <w:r w:rsidR="00F36F6C">
        <w:t xml:space="preserve">RMAR </w:t>
      </w:r>
      <w:r>
        <w:t>Proposal describes o</w:t>
      </w:r>
      <w:r w:rsidRPr="00C547B9">
        <w:t xml:space="preserve">utcomes </w:t>
      </w:r>
      <w:r>
        <w:t>as</w:t>
      </w:r>
      <w:r w:rsidRPr="00C547B9">
        <w:t xml:space="preserve"> the monetized impact of risk events that have occurred in a </w:t>
      </w:r>
      <w:r w:rsidR="00E104E4">
        <w:t xml:space="preserve">given </w:t>
      </w:r>
      <w:r w:rsidRPr="00C547B9">
        <w:t xml:space="preserve">year. The </w:t>
      </w:r>
      <w:r>
        <w:t xml:space="preserve">Staff </w:t>
      </w:r>
      <w:r w:rsidR="009955D7">
        <w:t xml:space="preserve">RMAR </w:t>
      </w:r>
      <w:r>
        <w:t>Proposal uses t</w:t>
      </w:r>
      <w:r w:rsidRPr="00C547B9">
        <w:t xml:space="preserve">he schema below </w:t>
      </w:r>
      <w:r>
        <w:t xml:space="preserve">to </w:t>
      </w:r>
      <w:r w:rsidRPr="00C547B9">
        <w:t xml:space="preserve">depict how </w:t>
      </w:r>
      <w:r w:rsidR="00381BCE">
        <w:t xml:space="preserve">SPD staff proposes </w:t>
      </w:r>
      <w:r w:rsidRPr="00C547B9">
        <w:t xml:space="preserve">outcomes be reported in </w:t>
      </w:r>
      <w:r>
        <w:t xml:space="preserve">the </w:t>
      </w:r>
      <w:r w:rsidRPr="00C547B9">
        <w:t>RMAR:</w:t>
      </w:r>
    </w:p>
    <w:p w:rsidRPr="00C547B9" w:rsidR="00A02582" w:rsidP="00751D37" w:rsidRDefault="00A02582" w14:paraId="56775981" w14:textId="0657EE32">
      <w:pPr>
        <w:spacing w:before="120" w:line="264" w:lineRule="auto"/>
        <w:rPr>
          <w:rFonts w:eastAsia="Century Gothic" w:cs="Times New Roman"/>
          <w:kern w:val="24"/>
          <w:szCs w:val="26"/>
        </w:rPr>
      </w:pPr>
      <w:r w:rsidRPr="00C547B9">
        <w:rPr>
          <w:rFonts w:eastAsia="Century Gothic" w:cs="Times New Roman"/>
          <w:kern w:val="24"/>
          <w:szCs w:val="26"/>
        </w:rPr>
        <w:t>Risk Outcomes</w:t>
      </w:r>
      <w:r w:rsidR="00751D37">
        <w:rPr>
          <w:rFonts w:eastAsia="Century Gothic" w:cs="Times New Roman"/>
          <w:kern w:val="24"/>
          <w:szCs w:val="26"/>
        </w:rPr>
        <w:t xml:space="preserve"> </w:t>
      </w:r>
      <w:r w:rsidRPr="00C547B9">
        <w:rPr>
          <w:rFonts w:eastAsia="Century Gothic" w:cs="Times New Roman"/>
          <w:kern w:val="24"/>
          <w:szCs w:val="26"/>
        </w:rPr>
        <w:t>Flow:</w:t>
      </w:r>
    </w:p>
    <w:p w:rsidRPr="00C547B9" w:rsidR="00A02582" w:rsidP="00751D37" w:rsidRDefault="00A02582" w14:paraId="3BB19037" w14:textId="77777777">
      <w:pPr>
        <w:pStyle w:val="ListBullet"/>
        <w:ind w:right="1440"/>
      </w:pPr>
      <w:r w:rsidRPr="00C547B9">
        <w:t>Outcomes vs. Plan average modeled risk, Y1YN</w:t>
      </w:r>
    </w:p>
    <w:p w:rsidRPr="00C547B9" w:rsidR="00A02582" w:rsidP="00751D37" w:rsidRDefault="00A02582" w14:paraId="25F66C78" w14:textId="77777777">
      <w:pPr>
        <w:pStyle w:val="ListBullet"/>
        <w:ind w:right="1440"/>
      </w:pPr>
      <w:r w:rsidRPr="00C547B9">
        <w:t>Outcomes vs. Plan tail averaged modeled risk, by year</w:t>
      </w:r>
    </w:p>
    <w:p w:rsidRPr="00C547B9" w:rsidR="00A02582" w:rsidP="00751D37" w:rsidRDefault="00A02582" w14:paraId="79ABECF1" w14:textId="77777777">
      <w:pPr>
        <w:spacing w:line="264" w:lineRule="auto"/>
        <w:ind w:left="720" w:right="1440"/>
        <w:rPr>
          <w:rFonts w:eastAsia="Century Gothic" w:cs="Times New Roman"/>
          <w:kern w:val="24"/>
          <w:szCs w:val="26"/>
        </w:rPr>
      </w:pPr>
      <w:r w:rsidRPr="00C547B9">
        <w:rPr>
          <w:rFonts w:eastAsia="Century Gothic" w:cs="Times New Roman"/>
          <w:kern w:val="24"/>
          <w:szCs w:val="26"/>
        </w:rPr>
        <w:t>Stock:</w:t>
      </w:r>
    </w:p>
    <w:p w:rsidRPr="00C547B9" w:rsidR="00A02582" w:rsidP="00751D37" w:rsidRDefault="00A02582" w14:paraId="53ADBFFA" w14:textId="77777777">
      <w:pPr>
        <w:pStyle w:val="ListBullet"/>
        <w:ind w:right="1440"/>
      </w:pPr>
      <w:r w:rsidRPr="00C547B9">
        <w:t>Average Outcomes vs. Average Risk Tolerance Y1YN</w:t>
      </w:r>
    </w:p>
    <w:p w:rsidRPr="00C547B9" w:rsidR="00A02582" w:rsidP="00751D37" w:rsidRDefault="00A02582" w14:paraId="4BAABF59" w14:textId="77777777">
      <w:pPr>
        <w:pStyle w:val="ListBullet"/>
        <w:ind w:right="1440"/>
      </w:pPr>
      <w:r w:rsidRPr="00C547B9">
        <w:t>Outcomes vs. Tail Risk Tolerance YN</w:t>
      </w:r>
    </w:p>
    <w:p w:rsidRPr="00C547B9" w:rsidR="002D35F6" w:rsidP="006809C2" w:rsidRDefault="00A02582" w14:paraId="63D37DD6" w14:textId="3A9EA675">
      <w:pPr>
        <w:pStyle w:val="Standard"/>
      </w:pPr>
      <w:r>
        <w:t>Staff note that r</w:t>
      </w:r>
      <w:r w:rsidRPr="00C547B9">
        <w:t>isk outcomes can be presented as a flow and compared to the plan for modeled risk. Risk outcomes can also be presented as a stock and compared to risk tolerance.</w:t>
      </w:r>
    </w:p>
    <w:p w:rsidR="00A02582" w:rsidP="005340D9" w:rsidRDefault="00A02582" w14:paraId="0D8CD6CD" w14:textId="77777777">
      <w:pPr>
        <w:pStyle w:val="Heading5"/>
      </w:pPr>
      <w:bookmarkStart w:name="_Toc197676557" w:id="69"/>
      <w:bookmarkStart w:name="_Toc197693662" w:id="70"/>
      <w:bookmarkStart w:name="_Toc197946228" w:id="71"/>
      <w:bookmarkStart w:name="_Toc204258045" w:id="72"/>
      <w:bookmarkEnd w:id="69"/>
      <w:bookmarkEnd w:id="70"/>
      <w:bookmarkEnd w:id="71"/>
      <w:r>
        <w:t>Mitigation Benefits and Costs</w:t>
      </w:r>
      <w:bookmarkEnd w:id="72"/>
    </w:p>
    <w:p w:rsidR="00A02582" w:rsidP="00FF5E6F" w:rsidRDefault="00A02582" w14:paraId="31AAB520" w14:textId="66D2DFBC">
      <w:r>
        <w:t xml:space="preserve">The Staff </w:t>
      </w:r>
      <w:r w:rsidR="00ED7408">
        <w:t xml:space="preserve">RMAR </w:t>
      </w:r>
      <w:r>
        <w:t xml:space="preserve">Proposal </w:t>
      </w:r>
      <w:r w:rsidR="00FF75C9">
        <w:t>defines</w:t>
      </w:r>
      <w:r>
        <w:t xml:space="preserve"> mitigation benefits and costs </w:t>
      </w:r>
      <w:r w:rsidR="00FF75C9">
        <w:t xml:space="preserve">as </w:t>
      </w:r>
      <w:r>
        <w:t xml:space="preserve">the modeled impacts of mitigations as flow tables. </w:t>
      </w:r>
      <w:r w:rsidR="005F6A09">
        <w:t>Similar to Outcome Tables, the Mitigation Benefit and Cost Flow Tables cover YN and Y1YN</w:t>
      </w:r>
      <w:r w:rsidR="00617D5F">
        <w:t xml:space="preserve"> and </w:t>
      </w:r>
      <w:r w:rsidR="005F6A09">
        <w:t xml:space="preserve">the Mitigation </w:t>
      </w:r>
      <w:r w:rsidR="005F6A09">
        <w:lastRenderedPageBreak/>
        <w:t>Benefit and Cost Flow Tables may also include a forecast, if future projections have changed from the plan due to outcomes and other changes since the base year.</w:t>
      </w:r>
      <w:r w:rsidR="00FF5E6F">
        <w:rPr>
          <w:rFonts w:eastAsia="Century Gothic" w:cs="Times New Roman"/>
          <w:kern w:val="24"/>
          <w:szCs w:val="26"/>
        </w:rPr>
        <w:t xml:space="preserve"> </w:t>
      </w:r>
      <w:r>
        <w:rPr>
          <w:rFonts w:eastAsia="Century Gothic" w:cs="Times New Roman"/>
          <w:kern w:val="24"/>
          <w:szCs w:val="26"/>
        </w:rPr>
        <w:t>The Staff Proposal uses t</w:t>
      </w:r>
      <w:r w:rsidRPr="00C547B9">
        <w:rPr>
          <w:rFonts w:eastAsia="Century Gothic" w:cs="Times New Roman"/>
          <w:kern w:val="24"/>
          <w:szCs w:val="26"/>
        </w:rPr>
        <w:t xml:space="preserve">he schema below </w:t>
      </w:r>
      <w:r>
        <w:rPr>
          <w:rFonts w:eastAsia="Century Gothic" w:cs="Times New Roman"/>
          <w:kern w:val="24"/>
          <w:szCs w:val="26"/>
        </w:rPr>
        <w:t xml:space="preserve">to </w:t>
      </w:r>
      <w:r>
        <w:t xml:space="preserve">describe flow tables for mitigation benefits and costs: </w:t>
      </w:r>
    </w:p>
    <w:p w:rsidR="00A02582" w:rsidP="00A02582" w:rsidRDefault="00A02582" w14:paraId="7CF35CDF" w14:textId="77777777">
      <w:pPr>
        <w:ind w:left="360"/>
      </w:pPr>
      <w:r>
        <w:t>Mitigation Benefit and Cost (Flow)</w:t>
      </w:r>
    </w:p>
    <w:p w:rsidR="00A02582" w:rsidP="00751D37" w:rsidRDefault="00A02582" w14:paraId="1F3EC575" w14:textId="77777777">
      <w:pPr>
        <w:pStyle w:val="ListBullet"/>
      </w:pPr>
      <w:r>
        <w:t>Average Risk</w:t>
      </w:r>
    </w:p>
    <w:p w:rsidR="00A02582" w:rsidP="00751D37" w:rsidRDefault="00A02582" w14:paraId="4629E974" w14:textId="77777777">
      <w:pPr>
        <w:pStyle w:val="ListBullet"/>
      </w:pPr>
      <w:r>
        <w:t>Modeled benefit vs. Plan, YN</w:t>
      </w:r>
    </w:p>
    <w:p w:rsidR="00A02582" w:rsidP="00751D37" w:rsidRDefault="00A02582" w14:paraId="50EDD9B6" w14:textId="77777777">
      <w:pPr>
        <w:pStyle w:val="ListBullet"/>
      </w:pPr>
      <w:r>
        <w:t>Modeled benefit vs. Plan, Y1YN</w:t>
      </w:r>
    </w:p>
    <w:p w:rsidR="00A02582" w:rsidP="00751D37" w:rsidRDefault="00A02582" w14:paraId="4FC5FB66" w14:textId="77777777">
      <w:pPr>
        <w:pStyle w:val="ListBullet"/>
      </w:pPr>
      <w:r>
        <w:t>Forecast benefit vs. Plan, Y1YN</w:t>
      </w:r>
    </w:p>
    <w:p w:rsidR="00A02582" w:rsidP="00751D37" w:rsidRDefault="00A02582" w14:paraId="794A618D" w14:textId="77777777">
      <w:pPr>
        <w:pStyle w:val="ListBullet"/>
      </w:pPr>
      <w:r>
        <w:t>BCR based on Forecast</w:t>
      </w:r>
    </w:p>
    <w:p w:rsidR="00A02582" w:rsidP="00751D37" w:rsidRDefault="00A02582" w14:paraId="358D54D6" w14:textId="77777777">
      <w:pPr>
        <w:pStyle w:val="ListBullet"/>
      </w:pPr>
      <w:r>
        <w:t>Tail Average Risk</w:t>
      </w:r>
    </w:p>
    <w:p w:rsidR="00A02582" w:rsidP="00751D37" w:rsidRDefault="00A02582" w14:paraId="09FC5DE7" w14:textId="77777777">
      <w:pPr>
        <w:pStyle w:val="ListBullet"/>
      </w:pPr>
      <w:r>
        <w:t>Modeled benefit vs. Plan, YN</w:t>
      </w:r>
    </w:p>
    <w:p w:rsidR="00A02582" w:rsidP="00751D37" w:rsidRDefault="00A02582" w14:paraId="31AB1753" w14:textId="77777777">
      <w:pPr>
        <w:pStyle w:val="ListBullet"/>
      </w:pPr>
      <w:r>
        <w:t>Modeled benefit vs. Plan, Y1YN</w:t>
      </w:r>
    </w:p>
    <w:p w:rsidR="00A02582" w:rsidP="00751D37" w:rsidRDefault="00A02582" w14:paraId="28BCE1A9" w14:textId="7D89A78D">
      <w:pPr>
        <w:pStyle w:val="ListBullet"/>
      </w:pPr>
      <w:r>
        <w:t>Forecast benefit vs. Plan, Y1YN</w:t>
      </w:r>
    </w:p>
    <w:p w:rsidR="00A02582" w:rsidP="00751D37" w:rsidRDefault="00A02582" w14:paraId="7E55D0E4" w14:textId="77777777">
      <w:pPr>
        <w:pStyle w:val="Heading3"/>
      </w:pPr>
      <w:bookmarkStart w:name="_Toc197676724" w:id="73"/>
      <w:bookmarkStart w:name="_Toc197693829" w:id="74"/>
      <w:bookmarkStart w:name="_Toc197946395" w:id="75"/>
      <w:bookmarkStart w:name="_Toc197677048" w:id="76"/>
      <w:bookmarkStart w:name="_Toc197694153" w:id="77"/>
      <w:bookmarkStart w:name="_Toc197946719" w:id="78"/>
      <w:bookmarkStart w:name="_Toc197677052" w:id="79"/>
      <w:bookmarkStart w:name="_Toc197694157" w:id="80"/>
      <w:bookmarkStart w:name="_Toc197946723" w:id="81"/>
      <w:bookmarkStart w:name="_Toc197677281" w:id="82"/>
      <w:bookmarkStart w:name="_Toc197694386" w:id="83"/>
      <w:bookmarkStart w:name="_Toc197946952" w:id="84"/>
      <w:bookmarkStart w:name="_Toc197677347" w:id="85"/>
      <w:bookmarkStart w:name="_Toc197694452" w:id="86"/>
      <w:bookmarkStart w:name="_Toc197947018" w:id="87"/>
      <w:bookmarkStart w:name="_Toc204258046" w:id="88"/>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t>Version and Change Control within an RMAR</w:t>
      </w:r>
      <w:bookmarkEnd w:id="88"/>
    </w:p>
    <w:p w:rsidR="00A02582" w:rsidP="00A02582" w:rsidRDefault="00A02582" w14:paraId="3D3BAA8C" w14:textId="6484FCDF">
      <w:r>
        <w:t xml:space="preserve">The Staff </w:t>
      </w:r>
      <w:r w:rsidR="00421205">
        <w:t xml:space="preserve">RMAR </w:t>
      </w:r>
      <w:r>
        <w:t xml:space="preserve">Proposal </w:t>
      </w:r>
      <w:r w:rsidR="00BB0A3B">
        <w:t xml:space="preserve">notes that </w:t>
      </w:r>
      <w:r w:rsidR="001C645C">
        <w:t xml:space="preserve">because the </w:t>
      </w:r>
      <w:r>
        <w:t>RMAR compares results to an original plan over a period of four years or longer</w:t>
      </w:r>
      <w:r w:rsidR="001C645C">
        <w:t xml:space="preserve">, </w:t>
      </w:r>
      <w:r>
        <w:t xml:space="preserve">the Result Phase </w:t>
      </w:r>
      <w:r w:rsidR="007507EB">
        <w:t>could differ</w:t>
      </w:r>
      <w:r>
        <w:t xml:space="preserve"> from the Plan Phase. </w:t>
      </w:r>
      <w:r w:rsidR="00844ED1">
        <w:t xml:space="preserve">SPD staff propose two </w:t>
      </w:r>
      <w:r w:rsidR="001C645C">
        <w:t xml:space="preserve">possible </w:t>
      </w:r>
      <w:r w:rsidR="00844ED1">
        <w:t xml:space="preserve">reasons for differences between </w:t>
      </w:r>
      <w:r w:rsidR="001C645C">
        <w:t>the Results Phase and the Plan Phase</w:t>
      </w:r>
      <w:r>
        <w:t>:</w:t>
      </w:r>
    </w:p>
    <w:p w:rsidR="00A02582" w:rsidP="00751D37" w:rsidRDefault="00A02582" w14:paraId="350A901B" w14:textId="77777777">
      <w:pPr>
        <w:pStyle w:val="ListParagraph"/>
        <w:numPr>
          <w:ilvl w:val="0"/>
          <w:numId w:val="31"/>
        </w:numPr>
        <w:spacing w:after="120" w:line="264" w:lineRule="auto"/>
        <w:ind w:right="1440"/>
      </w:pPr>
      <w:r w:rsidRPr="00002469">
        <w:rPr>
          <w:i/>
          <w:iCs/>
        </w:rPr>
        <w:t>Real changes to the risk environment</w:t>
      </w:r>
      <w:r>
        <w:t>. These include changes to pre-mitigated risk, possibly due to new data regarding climate change; changes in mitigation timing or changes in mitigation effectiveness, perhaps due to improved technology; variances in capital and operating expenditures, etc.</w:t>
      </w:r>
    </w:p>
    <w:p w:rsidR="00A02582" w:rsidP="00751D37" w:rsidRDefault="00A02582" w14:paraId="71472E14" w14:textId="77777777">
      <w:pPr>
        <w:pStyle w:val="ListParagraph"/>
        <w:numPr>
          <w:ilvl w:val="0"/>
          <w:numId w:val="31"/>
        </w:numPr>
        <w:spacing w:after="120" w:line="264" w:lineRule="auto"/>
        <w:ind w:right="1440"/>
      </w:pPr>
      <w:r w:rsidRPr="00002469">
        <w:rPr>
          <w:i/>
          <w:iCs/>
        </w:rPr>
        <w:t>Changes due to organization, models and data, or subjective factors such as assumptions or opinions related to risk modeling</w:t>
      </w:r>
      <w:r>
        <w:t xml:space="preserve">. These changes have nothing to do with real changes in risk or real mitigation impact. They are inevitable over the long periods </w:t>
      </w:r>
      <w:r>
        <w:lastRenderedPageBreak/>
        <w:t>covered by RMAR and may be necessary – we should integrate improvements to risk models and data collection, even if it complicates reporting.</w:t>
      </w:r>
    </w:p>
    <w:p w:rsidR="00AE1B86" w:rsidP="00851211" w:rsidRDefault="00A02582" w14:paraId="0D09249F" w14:textId="1151BD4B">
      <w:r>
        <w:t>S</w:t>
      </w:r>
      <w:r w:rsidR="001C645C">
        <w:t>PD s</w:t>
      </w:r>
      <w:r>
        <w:t>taff argue</w:t>
      </w:r>
      <w:r w:rsidR="00485629">
        <w:t>s</w:t>
      </w:r>
      <w:r>
        <w:t xml:space="preserve"> that the purpose of</w:t>
      </w:r>
      <w:r w:rsidR="00485629">
        <w:t xml:space="preserve"> the</w:t>
      </w:r>
      <w:r>
        <w:t xml:space="preserve"> RMAR is to enable evaluation based on the real changes to the risk environment. However, S</w:t>
      </w:r>
      <w:r w:rsidR="00485629">
        <w:t>PD s</w:t>
      </w:r>
      <w:r>
        <w:t xml:space="preserve">taff </w:t>
      </w:r>
      <w:r w:rsidR="0023650C">
        <w:t xml:space="preserve">recommends that </w:t>
      </w:r>
      <w:r w:rsidR="00884845">
        <w:t xml:space="preserve">changes due to </w:t>
      </w:r>
      <w:r w:rsidR="00CB7E28">
        <w:t>organization</w:t>
      </w:r>
      <w:r w:rsidR="00651464">
        <w:t xml:space="preserve"> changes or </w:t>
      </w:r>
      <w:r w:rsidR="00416658">
        <w:t>models</w:t>
      </w:r>
      <w:r w:rsidR="00791082">
        <w:t xml:space="preserve">/data </w:t>
      </w:r>
      <w:r w:rsidR="00C63FF6">
        <w:t xml:space="preserve">be </w:t>
      </w:r>
      <w:r>
        <w:t>capture</w:t>
      </w:r>
      <w:r w:rsidR="00E67F8D">
        <w:t>d</w:t>
      </w:r>
      <w:r>
        <w:t xml:space="preserve"> and adjust</w:t>
      </w:r>
      <w:r w:rsidR="00E67F8D">
        <w:t>ed</w:t>
      </w:r>
      <w:r>
        <w:t xml:space="preserve"> </w:t>
      </w:r>
      <w:r w:rsidR="005D59A1">
        <w:t>so that commensurability is maintained between the</w:t>
      </w:r>
      <w:r w:rsidR="00416B09">
        <w:t xml:space="preserve"> Plan </w:t>
      </w:r>
      <w:r w:rsidR="00E856DB">
        <w:t xml:space="preserve">Phase </w:t>
      </w:r>
      <w:r w:rsidR="00416B09">
        <w:t xml:space="preserve">and Results </w:t>
      </w:r>
      <w:r w:rsidR="00E856DB">
        <w:t>Phase</w:t>
      </w:r>
      <w:r>
        <w:t>.</w:t>
      </w:r>
      <w:r w:rsidR="00E856DB">
        <w:t xml:space="preserve"> The overarching idea proposed by SPD staff to maintain commensurability </w:t>
      </w:r>
      <w:r w:rsidR="002B17AE">
        <w:t xml:space="preserve">across the phases </w:t>
      </w:r>
      <w:r w:rsidR="00E856DB">
        <w:t>is to preserve the structures in place at the time of the Plan Phase (e.g., RRU</w:t>
      </w:r>
      <w:r w:rsidR="00FD3EF6">
        <w:t xml:space="preserve">, hierarchy, </w:t>
      </w:r>
      <w:r w:rsidR="00F978D8">
        <w:t>tranche</w:t>
      </w:r>
      <w:r w:rsidR="00B71361">
        <w:t>, data used as inputs in models</w:t>
      </w:r>
      <w:r w:rsidR="00393CF2">
        <w:t>, modeling assumptions, etc.)</w:t>
      </w:r>
      <w:r w:rsidR="002B17AE">
        <w:t>.</w:t>
      </w:r>
      <w:r w:rsidR="00851211">
        <w:t xml:space="preserve"> </w:t>
      </w:r>
    </w:p>
    <w:p w:rsidR="00851211" w:rsidP="00851211" w:rsidRDefault="00851211" w14:paraId="3F1997D9" w14:textId="5351EEB9">
      <w:r>
        <w:t xml:space="preserve">Relatedly, the Staff RMAR Proposal recognizes it will likely be infeasible to report every possible change from </w:t>
      </w:r>
      <w:r w:rsidR="00A85681">
        <w:t xml:space="preserve">RMAR </w:t>
      </w:r>
      <w:r>
        <w:t xml:space="preserve">version to </w:t>
      </w:r>
      <w:r w:rsidR="00A85681">
        <w:t xml:space="preserve">RMAR </w:t>
      </w:r>
      <w:r>
        <w:t>version and back to the original</w:t>
      </w:r>
      <w:r w:rsidR="00A85681">
        <w:t xml:space="preserve"> as this</w:t>
      </w:r>
      <w:r>
        <w:t xml:space="preserve"> would require a replica RMAR for each combination of version changes. Instead, Staff suggest that the RMAR should include “bridging” tables and narratives that capture the key impacts of the changes, and establish that RMAR trends, variances</w:t>
      </w:r>
      <w:r w:rsidR="00A85681">
        <w:t>,</w:t>
      </w:r>
      <w:r>
        <w:t xml:space="preserve"> and comparisons are </w:t>
      </w:r>
      <w:r w:rsidR="004A6864">
        <w:t>faithfully</w:t>
      </w:r>
      <w:r>
        <w:t xml:space="preserve"> representing the risk environment, not organizational and methodolog</w:t>
      </w:r>
      <w:r w:rsidR="00A85681">
        <w:t>ical</w:t>
      </w:r>
      <w:r>
        <w:t xml:space="preserve"> changes. The processes to enable theses “bridging” tables and narratives include:</w:t>
      </w:r>
    </w:p>
    <w:p w:rsidR="00851211" w:rsidP="00751D37" w:rsidRDefault="00851211" w14:paraId="53E3467C" w14:textId="20265AC9">
      <w:pPr>
        <w:pStyle w:val="ListBullet"/>
        <w:ind w:right="1440"/>
      </w:pPr>
      <w:r w:rsidRPr="0056342E">
        <w:rPr>
          <w:u w:val="single"/>
        </w:rPr>
        <w:t>Recasting</w:t>
      </w:r>
      <w:r>
        <w:t xml:space="preserve">: </w:t>
      </w:r>
      <w:r w:rsidR="00544B95">
        <w:t>M</w:t>
      </w:r>
      <w:r>
        <w:t>odeling the current scenario as if the original state of the organization was still in place</w:t>
      </w:r>
      <w:r w:rsidR="004A6864">
        <w:t xml:space="preserve"> to ensure commensurability. </w:t>
      </w:r>
      <w:r>
        <w:t>Any variances and other changes can be attributed to real changes in the risk environment.</w:t>
      </w:r>
    </w:p>
    <w:p w:rsidR="00851211" w:rsidP="00751D37" w:rsidRDefault="00851211" w14:paraId="5113D70A" w14:textId="36BF0C27">
      <w:pPr>
        <w:pStyle w:val="ListBullet"/>
        <w:ind w:right="1440"/>
      </w:pPr>
      <w:r w:rsidRPr="00957DB1">
        <w:rPr>
          <w:u w:val="single"/>
        </w:rPr>
        <w:t>Backcasting</w:t>
      </w:r>
      <w:r>
        <w:rPr>
          <w:u w:val="single"/>
        </w:rPr>
        <w:t>:</w:t>
      </w:r>
      <w:r>
        <w:t xml:space="preserve"> </w:t>
      </w:r>
      <w:r w:rsidR="00151768">
        <w:t>A</w:t>
      </w:r>
      <w:r>
        <w:t xml:space="preserve">chieves </w:t>
      </w:r>
      <w:r w:rsidR="00BC3D06">
        <w:t>commensurability</w:t>
      </w:r>
      <w:r>
        <w:t xml:space="preserve"> with the original plan by restating the history in terms of current models, data, and knowledge. Staff argue that models and data </w:t>
      </w:r>
      <w:r>
        <w:lastRenderedPageBreak/>
        <w:t>must be backward-compatible with risk modeling history and the original plan for backcasting to be possible.</w:t>
      </w:r>
      <w:r w:rsidR="003D48D7">
        <w:rPr>
          <w:rStyle w:val="FootnoteReference"/>
        </w:rPr>
        <w:footnoteReference w:id="123"/>
      </w:r>
    </w:p>
    <w:p w:rsidR="00851211" w:rsidP="00751D37" w:rsidRDefault="00851211" w14:paraId="012D8C3A" w14:textId="53738C51">
      <w:pPr>
        <w:pStyle w:val="ListBullet"/>
        <w:ind w:right="1440"/>
      </w:pPr>
      <w:r w:rsidRPr="00957DB1">
        <w:rPr>
          <w:u w:val="single"/>
        </w:rPr>
        <w:t>Replanning</w:t>
      </w:r>
      <w:r>
        <w:t xml:space="preserve">: </w:t>
      </w:r>
      <w:r w:rsidR="00151768">
        <w:t>R</w:t>
      </w:r>
      <w:r w:rsidR="007C7A2C">
        <w:t xml:space="preserve">estatement of the </w:t>
      </w:r>
      <w:r w:rsidR="001023F0">
        <w:t>original plan based on current reality</w:t>
      </w:r>
      <w:r w:rsidR="005200A4">
        <w:t xml:space="preserve"> due to</w:t>
      </w:r>
      <w:r>
        <w:t xml:space="preserve"> model changes and unforeseen events </w:t>
      </w:r>
      <w:r w:rsidR="005200A4">
        <w:t>that</w:t>
      </w:r>
      <w:r>
        <w:t xml:space="preserve"> require a restatement of the plan. Staff recommend that there must be strict regulatory approval processes for a Replan</w:t>
      </w:r>
      <w:r w:rsidR="005200A4">
        <w:t xml:space="preserve"> as</w:t>
      </w:r>
      <w:r w:rsidR="007F3B0E">
        <w:t xml:space="preserve"> they should be rarely needed</w:t>
      </w:r>
      <w:r>
        <w:t>.</w:t>
      </w:r>
    </w:p>
    <w:p w:rsidR="00A02582" w:rsidP="003B35E2" w:rsidRDefault="00851211" w14:paraId="52BFA00A" w14:textId="11234996">
      <w:r>
        <w:t xml:space="preserve">The Staff </w:t>
      </w:r>
      <w:r w:rsidR="00A85681">
        <w:t xml:space="preserve">RMAR </w:t>
      </w:r>
      <w:r>
        <w:t xml:space="preserve">Proposal </w:t>
      </w:r>
      <w:r w:rsidR="00F505F5">
        <w:t>recommends</w:t>
      </w:r>
      <w:r>
        <w:t xml:space="preserve"> that preserving the ability to recast and backcast </w:t>
      </w:r>
      <w:r w:rsidR="00F505F5">
        <w:t>be</w:t>
      </w:r>
      <w:r>
        <w:t xml:space="preserve"> mandatory, and that utilities be required to have the processes and controls in place to perform recasts and backcasts. Staff recommends that the Commission develop specific guidelines and approval processes for replanning (See Section 8.1.5)</w:t>
      </w:r>
      <w:r w:rsidR="006E2FC2">
        <w:t>.</w:t>
      </w:r>
      <w:r w:rsidRPr="004A6864" w:rsidR="004A6864">
        <w:rPr>
          <w:rStyle w:val="FootnoteReference"/>
        </w:rPr>
        <w:t xml:space="preserve"> </w:t>
      </w:r>
      <w:r w:rsidR="004A6864">
        <w:rPr>
          <w:rStyle w:val="FootnoteReference"/>
        </w:rPr>
        <w:footnoteReference w:id="124"/>
      </w:r>
    </w:p>
    <w:p w:rsidR="00A02582" w:rsidP="008A7967" w:rsidRDefault="00A02582" w14:paraId="15FE5627" w14:textId="77777777">
      <w:pPr>
        <w:pStyle w:val="Heading3"/>
      </w:pPr>
      <w:bookmarkStart w:name="_Toc197677349" w:id="89"/>
      <w:bookmarkStart w:name="_Toc197694454" w:id="90"/>
      <w:bookmarkStart w:name="_Toc197947020" w:id="91"/>
      <w:bookmarkStart w:name="_Toc204258047" w:id="92"/>
      <w:bookmarkEnd w:id="89"/>
      <w:bookmarkEnd w:id="90"/>
      <w:bookmarkEnd w:id="91"/>
      <w:r>
        <w:t>Validating and Evaluating Mitigation Impact</w:t>
      </w:r>
      <w:bookmarkEnd w:id="92"/>
    </w:p>
    <w:p w:rsidR="00A02582" w:rsidP="00F93DEA" w:rsidRDefault="00A9569B" w14:paraId="3D5852F2" w14:textId="4462D8C9">
      <w:pPr>
        <w:pStyle w:val="Standard"/>
      </w:pPr>
      <w:r>
        <w:t>The Staff RMAR Proposal</w:t>
      </w:r>
      <w:r w:rsidR="00A02582">
        <w:t xml:space="preserve"> present</w:t>
      </w:r>
      <w:r w:rsidR="00E93A38">
        <w:t>s</w:t>
      </w:r>
      <w:r w:rsidR="00A02582">
        <w:t xml:space="preserve"> four </w:t>
      </w:r>
      <w:r w:rsidR="005C7F39">
        <w:t>concepts to</w:t>
      </w:r>
      <w:r w:rsidR="00A02582">
        <w:t xml:space="preserve"> facilitate an evaluation of mitigation impact:</w:t>
      </w:r>
      <w:r w:rsidR="00C66D2A">
        <w:t xml:space="preserve"> </w:t>
      </w:r>
      <w:r w:rsidR="004414B8">
        <w:t xml:space="preserve">standards, criteria, methodologies, and benchmarks. </w:t>
      </w:r>
      <w:r w:rsidR="00166954">
        <w:t xml:space="preserve">Standards are the </w:t>
      </w:r>
      <w:r w:rsidR="00462AD9">
        <w:t>means through which mitigation portfolio</w:t>
      </w:r>
      <w:r w:rsidR="004414B8">
        <w:t xml:space="preserve">s are </w:t>
      </w:r>
      <w:r w:rsidR="003F190E">
        <w:t xml:space="preserve">assessed </w:t>
      </w:r>
      <w:r w:rsidR="004414B8">
        <w:t xml:space="preserve">in meeting </w:t>
      </w:r>
      <w:r w:rsidR="00465AB7">
        <w:t xml:space="preserve">some RDF goal, </w:t>
      </w:r>
      <w:r w:rsidR="004A01EF">
        <w:t>such as minimum BCR thresholds</w:t>
      </w:r>
      <w:r w:rsidR="006F762A">
        <w:t xml:space="preserve"> or risk tolerance</w:t>
      </w:r>
      <w:r w:rsidR="0082275F">
        <w:t xml:space="preserve"> levels for average risk and tail risk.</w:t>
      </w:r>
      <w:r w:rsidR="00060FC8">
        <w:t xml:space="preserve"> Criteria a</w:t>
      </w:r>
      <w:r w:rsidR="00FB69B0">
        <w:t xml:space="preserve">re the means through </w:t>
      </w:r>
      <w:r w:rsidR="00445818">
        <w:t xml:space="preserve">which </w:t>
      </w:r>
      <w:r w:rsidR="00554500">
        <w:t>mitigation portfolios are selected, such as</w:t>
      </w:r>
      <w:r w:rsidR="00733D89">
        <w:t xml:space="preserve"> safety versus reliability trade-offs.</w:t>
      </w:r>
      <w:r w:rsidR="005F34EB">
        <w:t xml:space="preserve"> Methodologies are the </w:t>
      </w:r>
      <w:r w:rsidR="008A3FAA">
        <w:t xml:space="preserve">methods </w:t>
      </w:r>
      <w:r w:rsidR="003A27B9">
        <w:t xml:space="preserve">used to calculate mitigation </w:t>
      </w:r>
      <w:r w:rsidR="008228F2">
        <w:t xml:space="preserve">benefits and costs. </w:t>
      </w:r>
      <w:r w:rsidR="00A33C32">
        <w:t xml:space="preserve">Benchmarks </w:t>
      </w:r>
      <w:r w:rsidR="000F1664">
        <w:t>are</w:t>
      </w:r>
      <w:r w:rsidR="008320BF">
        <w:t xml:space="preserve"> the means through which </w:t>
      </w:r>
      <w:r w:rsidR="00F9387A">
        <w:t>assessment of mitigations</w:t>
      </w:r>
      <w:r w:rsidR="008320BF">
        <w:t xml:space="preserve"> are pegged</w:t>
      </w:r>
      <w:r w:rsidR="00F9387A">
        <w:t xml:space="preserve"> to </w:t>
      </w:r>
      <w:r w:rsidR="008320BF">
        <w:t xml:space="preserve">related </w:t>
      </w:r>
      <w:r w:rsidR="00106D12">
        <w:t>empirical</w:t>
      </w:r>
      <w:r w:rsidR="001D27BB">
        <w:t xml:space="preserve"> </w:t>
      </w:r>
      <w:r w:rsidR="00F204C4">
        <w:t xml:space="preserve">phenomena </w:t>
      </w:r>
      <w:r w:rsidR="001D27BB">
        <w:t>through methods such as reference class forecasting.</w:t>
      </w:r>
      <w:r w:rsidR="00C34853">
        <w:t xml:space="preserve"> </w:t>
      </w:r>
      <w:r w:rsidR="00264877">
        <w:t>SPD staff recommend</w:t>
      </w:r>
      <w:r w:rsidR="00A02582">
        <w:t xml:space="preserve"> that the RMAR present the utility’s case for the chosen mitigation and </w:t>
      </w:r>
      <w:r w:rsidR="004B6C31">
        <w:t>justify</w:t>
      </w:r>
      <w:r w:rsidR="00354C0A">
        <w:t xml:space="preserve"> </w:t>
      </w:r>
      <w:r w:rsidR="00A02582">
        <w:t>why it is optimal compared to the next best alternatives</w:t>
      </w:r>
      <w:r w:rsidR="00BD39A9">
        <w:t xml:space="preserve"> in a way this is rigorous and free of bias.</w:t>
      </w:r>
    </w:p>
    <w:p w:rsidR="00A02582" w:rsidP="005340D9" w:rsidRDefault="00A02582" w14:paraId="0072D16E" w14:textId="77777777">
      <w:pPr>
        <w:pStyle w:val="Heading4"/>
      </w:pPr>
      <w:bookmarkStart w:name="_Toc204258048" w:id="93"/>
      <w:r>
        <w:lastRenderedPageBreak/>
        <w:t>Evaluating Real Mitigation Impact</w:t>
      </w:r>
      <w:bookmarkEnd w:id="93"/>
    </w:p>
    <w:p w:rsidR="00A02582" w:rsidP="006D4642" w:rsidRDefault="00A02582" w14:paraId="4FD90F53" w14:textId="6EA67D89">
      <w:r>
        <w:t xml:space="preserve">The Staff </w:t>
      </w:r>
      <w:r w:rsidR="0020347D">
        <w:t xml:space="preserve">RMAR </w:t>
      </w:r>
      <w:r>
        <w:t xml:space="preserve">Proposal </w:t>
      </w:r>
      <w:r w:rsidR="006D4642">
        <w:t>recommends</w:t>
      </w:r>
      <w:r>
        <w:t xml:space="preserve"> that utilities should discuss their confidence in model results</w:t>
      </w:r>
      <w:r w:rsidR="0020347D">
        <w:t xml:space="preserve"> in the Plan Phase</w:t>
      </w:r>
      <w:r>
        <w:t>. For example, the utility could state how confident they are that the mitigation impact assumptions are accurate, based on internal data or industry norms. S</w:t>
      </w:r>
      <w:r w:rsidR="00BB5F61">
        <w:t>PD s</w:t>
      </w:r>
      <w:r>
        <w:t>taff argue that the utility could</w:t>
      </w:r>
      <w:r w:rsidR="00F47B6E">
        <w:t xml:space="preserve"> </w:t>
      </w:r>
      <w:r>
        <w:t>present confidence intervals for key results such as total risk reduction and BCR.</w:t>
      </w:r>
    </w:p>
    <w:p w:rsidR="00A02582" w:rsidP="00241A1A" w:rsidRDefault="00E27C5B" w14:paraId="552DBCFE" w14:textId="16F1EEF4">
      <w:r>
        <w:t xml:space="preserve">The </w:t>
      </w:r>
      <w:r w:rsidR="00A02582">
        <w:t xml:space="preserve">Staff </w:t>
      </w:r>
      <w:r w:rsidR="00505968">
        <w:t xml:space="preserve">RMAR </w:t>
      </w:r>
      <w:r w:rsidR="00A02582">
        <w:t>Proposal</w:t>
      </w:r>
      <w:r w:rsidR="00434ED9">
        <w:t xml:space="preserve"> recommends that </w:t>
      </w:r>
      <w:r w:rsidR="00241A1A">
        <w:t xml:space="preserve">the </w:t>
      </w:r>
      <w:r w:rsidR="00A02582">
        <w:t>utilities should discuss</w:t>
      </w:r>
      <w:r w:rsidR="00241A1A">
        <w:t xml:space="preserve"> in the Results Phase</w:t>
      </w:r>
      <w:r w:rsidR="00A02582">
        <w:t xml:space="preserve"> the extent </w:t>
      </w:r>
      <w:r w:rsidR="00434ED9">
        <w:t xml:space="preserve">to which </w:t>
      </w:r>
      <w:r w:rsidR="00A02582">
        <w:t xml:space="preserve">observed results </w:t>
      </w:r>
      <w:r w:rsidR="00434ED9">
        <w:t xml:space="preserve">are </w:t>
      </w:r>
      <w:r w:rsidR="00A02582">
        <w:t>due to mitigation effectiveness as opposed to other factors such as chance, or changes in models, data, assumptions, or impacts from other risk drivers.</w:t>
      </w:r>
      <w:r w:rsidR="00A02582">
        <w:rPr>
          <w:rStyle w:val="FootnoteReference"/>
        </w:rPr>
        <w:footnoteReference w:id="125"/>
      </w:r>
    </w:p>
    <w:p w:rsidR="00A02582" w:rsidP="005340D9" w:rsidRDefault="00A02582" w14:paraId="7911BB29" w14:textId="77777777">
      <w:pPr>
        <w:pStyle w:val="Heading4"/>
      </w:pPr>
      <w:bookmarkStart w:name="_Toc204258049" w:id="94"/>
      <w:r>
        <w:t>Sensitivity Analysis</w:t>
      </w:r>
      <w:bookmarkEnd w:id="94"/>
    </w:p>
    <w:p w:rsidR="00A02582" w:rsidP="006809C2" w:rsidRDefault="00A02582" w14:paraId="33B63814" w14:textId="00FB3FAD">
      <w:r>
        <w:t xml:space="preserve">The Staff </w:t>
      </w:r>
      <w:r w:rsidR="003475CE">
        <w:t xml:space="preserve">RMAR </w:t>
      </w:r>
      <w:r>
        <w:t xml:space="preserve">Proposal </w:t>
      </w:r>
      <w:r w:rsidR="003475CE">
        <w:t>argue</w:t>
      </w:r>
      <w:r w:rsidR="008E31AC">
        <w:t>s</w:t>
      </w:r>
      <w:r w:rsidR="003475CE">
        <w:t xml:space="preserve"> </w:t>
      </w:r>
      <w:r>
        <w:t>that because</w:t>
      </w:r>
      <w:r w:rsidR="008E31AC">
        <w:t xml:space="preserve"> the</w:t>
      </w:r>
      <w:r>
        <w:t xml:space="preserve"> RMAR depends heavily on modeled results as well as modeled plans and forecasts, sensitivity analysis should be performed on each model. S</w:t>
      </w:r>
      <w:r w:rsidR="00B02ED1">
        <w:t>PD s</w:t>
      </w:r>
      <w:r>
        <w:t>taff suggest that sensitivity analysis helps evaluators (and the modelers) understand whether mitigation decisions would change if model inputs and assumptions are changed.</w:t>
      </w:r>
      <w:r w:rsidR="00192716">
        <w:t xml:space="preserve"> </w:t>
      </w:r>
      <w:r w:rsidR="008E31AC">
        <w:t>One additional</w:t>
      </w:r>
      <w:r w:rsidR="00192716">
        <w:t xml:space="preserve"> area</w:t>
      </w:r>
      <w:r w:rsidR="008E31AC">
        <w:t xml:space="preserve"> where </w:t>
      </w:r>
      <w:r w:rsidR="00192716">
        <w:t xml:space="preserve">sensitivity analysis </w:t>
      </w:r>
      <w:r w:rsidR="008E31AC">
        <w:t xml:space="preserve">should applied </w:t>
      </w:r>
      <w:r w:rsidR="00192716">
        <w:t xml:space="preserve">in the RMAR </w:t>
      </w:r>
      <w:r w:rsidR="008E31AC">
        <w:t>is</w:t>
      </w:r>
      <w:r w:rsidR="00192716">
        <w:t xml:space="preserve"> </w:t>
      </w:r>
      <w:r w:rsidR="0094034F">
        <w:t>the impact of new model versions on risk model outputs</w:t>
      </w:r>
      <w:r w:rsidR="008E31AC">
        <w:t>.</w:t>
      </w:r>
    </w:p>
    <w:p w:rsidR="00A02582" w:rsidP="005340D9" w:rsidRDefault="00A02582" w14:paraId="6C9D2172" w14:textId="77777777">
      <w:pPr>
        <w:pStyle w:val="Heading3"/>
      </w:pPr>
      <w:bookmarkStart w:name="_Toc197677397" w:id="95"/>
      <w:bookmarkStart w:name="_Toc197694502" w:id="96"/>
      <w:bookmarkStart w:name="_Toc197947068" w:id="97"/>
      <w:bookmarkStart w:name="_Toc197677473" w:id="98"/>
      <w:bookmarkStart w:name="_Toc197694578" w:id="99"/>
      <w:bookmarkStart w:name="_Toc197947144" w:id="100"/>
      <w:bookmarkStart w:name="_Toc204258050" w:id="101"/>
      <w:bookmarkEnd w:id="95"/>
      <w:bookmarkEnd w:id="96"/>
      <w:bookmarkEnd w:id="97"/>
      <w:bookmarkEnd w:id="98"/>
      <w:bookmarkEnd w:id="99"/>
      <w:bookmarkEnd w:id="100"/>
      <w:r>
        <w:t>SPD Staff Recommendations on RMAR</w:t>
      </w:r>
      <w:bookmarkEnd w:id="101"/>
    </w:p>
    <w:p w:rsidR="00A02582" w:rsidP="003D38AB" w:rsidRDefault="00A02582" w14:paraId="6318FAB6" w14:textId="1C53A96A">
      <w:pPr>
        <w:pStyle w:val="Standard"/>
      </w:pPr>
      <w:r>
        <w:t xml:space="preserve">On the topic of RMAR, SPD staff recommends the following. First, </w:t>
      </w:r>
      <w:r w:rsidR="00430F14">
        <w:t>t</w:t>
      </w:r>
      <w:r>
        <w:t>he Commission should require the RMAR</w:t>
      </w:r>
      <w:r w:rsidR="00430F14">
        <w:t xml:space="preserve"> to </w:t>
      </w:r>
      <w:r>
        <w:t xml:space="preserve">be integrated into the RDF and require the utilities to </w:t>
      </w:r>
      <w:r w:rsidR="003D38AB">
        <w:t xml:space="preserve">regularly </w:t>
      </w:r>
      <w:r>
        <w:t xml:space="preserve">file updates to the RMAR in its most recent GRC </w:t>
      </w:r>
      <w:r w:rsidR="00C33105">
        <w:t>p</w:t>
      </w:r>
      <w:r>
        <w:t>roceeding along with notifications to</w:t>
      </w:r>
      <w:r w:rsidR="003D38AB">
        <w:t xml:space="preserve"> the service list of</w:t>
      </w:r>
      <w:r>
        <w:t xml:space="preserve"> its most recent RAMP </w:t>
      </w:r>
      <w:r w:rsidR="003D38AB">
        <w:t>p</w:t>
      </w:r>
      <w:r>
        <w:t xml:space="preserve">roceeding. Definitions and terminology used in the RDF should all apply and </w:t>
      </w:r>
      <w:r>
        <w:lastRenderedPageBreak/>
        <w:t xml:space="preserve">be used consistently by the utilities when they produce the RMAR. Staff </w:t>
      </w:r>
      <w:r w:rsidR="003D38AB">
        <w:t>recommends</w:t>
      </w:r>
      <w:r>
        <w:t xml:space="preserve"> that the Commission authorize SPD to file a</w:t>
      </w:r>
      <w:r w:rsidR="00CF24B3">
        <w:t xml:space="preserve"> </w:t>
      </w:r>
      <w:r w:rsidR="00120039">
        <w:t>Staff</w:t>
      </w:r>
      <w:r>
        <w:t xml:space="preserve"> Resolution that </w:t>
      </w:r>
      <w:r w:rsidR="00211D2D">
        <w:t>accomplishes</w:t>
      </w:r>
      <w:r>
        <w:t xml:space="preserve"> the following</w:t>
      </w:r>
    </w:p>
    <w:p w:rsidR="00A02582" w:rsidP="008A7967" w:rsidRDefault="00A02582" w14:paraId="50571253" w14:textId="2B30948D">
      <w:pPr>
        <w:pStyle w:val="ListBullet"/>
        <w:ind w:right="1440"/>
      </w:pPr>
      <w:r>
        <w:t>Determine</w:t>
      </w:r>
      <w:r w:rsidR="00211D2D">
        <w:t>s</w:t>
      </w:r>
      <w:r>
        <w:t xml:space="preserve"> the timing of the first RMAR submission and cadence of regular updates.</w:t>
      </w:r>
    </w:p>
    <w:p w:rsidR="00A02582" w:rsidP="008A7967" w:rsidRDefault="00A02582" w14:paraId="3766DDCF" w14:textId="4A2DDE99">
      <w:pPr>
        <w:pStyle w:val="ListBullet"/>
        <w:ind w:right="1440"/>
      </w:pPr>
      <w:r>
        <w:t>Provide</w:t>
      </w:r>
      <w:r w:rsidR="00211D2D">
        <w:t>s</w:t>
      </w:r>
      <w:r>
        <w:t xml:space="preserve"> guidance for how the utility should demonstrate its confidence that observed results were due to mitigation effectiveness as opposed to other factors.</w:t>
      </w:r>
    </w:p>
    <w:p w:rsidR="00A02582" w:rsidP="008A7967" w:rsidRDefault="00A02582" w14:paraId="00581802" w14:textId="1D820345">
      <w:pPr>
        <w:pStyle w:val="ListBullet"/>
        <w:ind w:right="1440"/>
      </w:pPr>
      <w:r>
        <w:t>Establish</w:t>
      </w:r>
      <w:r w:rsidR="00211D2D">
        <w:t>es</w:t>
      </w:r>
      <w:r>
        <w:t xml:space="preserve"> detailed change control procedures for maintaining consistency and comparability between prior and future periods, and between plan, outcomes, results, and forecasts. The Resolution will include details about how and when recasts, backcasts</w:t>
      </w:r>
      <w:r w:rsidR="00442CD2">
        <w:t>,</w:t>
      </w:r>
      <w:r>
        <w:t xml:space="preserve"> and replans should occur in the context of RMAR.</w:t>
      </w:r>
    </w:p>
    <w:p w:rsidR="00A02582" w:rsidP="008A7967" w:rsidRDefault="00A02582" w14:paraId="4E9DB4FB" w14:textId="40BE3317">
      <w:pPr>
        <w:pStyle w:val="ListBullet"/>
        <w:ind w:right="1440"/>
      </w:pPr>
      <w:r>
        <w:t>Expand</w:t>
      </w:r>
      <w:r w:rsidR="00211D2D">
        <w:t>s</w:t>
      </w:r>
      <w:r>
        <w:t xml:space="preserve"> upon the list of required elements for an RMAR submission.</w:t>
      </w:r>
      <w:r>
        <w:rPr>
          <w:rStyle w:val="FootnoteReference"/>
        </w:rPr>
        <w:footnoteReference w:id="126"/>
      </w:r>
    </w:p>
    <w:p w:rsidR="00A02582" w:rsidP="008A7967" w:rsidRDefault="00A02582" w14:paraId="1334DA21" w14:textId="131912CB">
      <w:pPr>
        <w:pStyle w:val="ListBullet"/>
        <w:ind w:right="1440"/>
      </w:pPr>
      <w:r>
        <w:t>Allow</w:t>
      </w:r>
      <w:r w:rsidR="00211D2D">
        <w:t>s</w:t>
      </w:r>
      <w:r>
        <w:t xml:space="preserve"> for future limited changes to required elements to be made by SPD without the need for opening a proceeding or issuing a new Resolution.</w:t>
      </w:r>
    </w:p>
    <w:p w:rsidR="00A02582" w:rsidP="00A02582" w:rsidRDefault="00A02582" w14:paraId="6DA0D6CA" w14:textId="2C261201">
      <w:pPr>
        <w:pStyle w:val="Standard"/>
      </w:pPr>
      <w:r>
        <w:t xml:space="preserve">Second, </w:t>
      </w:r>
      <w:r w:rsidR="0025691F">
        <w:t>SPD s</w:t>
      </w:r>
      <w:r>
        <w:t>taff</w:t>
      </w:r>
      <w:r w:rsidR="00121680">
        <w:t xml:space="preserve"> provides a</w:t>
      </w:r>
      <w:r w:rsidR="00B55B0E">
        <w:t xml:space="preserve"> </w:t>
      </w:r>
      <w:r w:rsidR="00624F20">
        <w:t>P</w:t>
      </w:r>
      <w:r w:rsidR="00B55B0E">
        <w:t xml:space="preserve">otential </w:t>
      </w:r>
      <w:r w:rsidR="00624F20">
        <w:t>A</w:t>
      </w:r>
      <w:r w:rsidR="00B55B0E">
        <w:t xml:space="preserve">pproach for </w:t>
      </w:r>
      <w:r w:rsidR="00624F20">
        <w:t>U</w:t>
      </w:r>
      <w:r w:rsidR="00B55B0E">
        <w:t xml:space="preserve">tility </w:t>
      </w:r>
      <w:r w:rsidR="00624F20">
        <w:t>A</w:t>
      </w:r>
      <w:r w:rsidR="00B55B0E">
        <w:t>ccountability</w:t>
      </w:r>
      <w:r w:rsidR="00131E37">
        <w:rPr>
          <w:rStyle w:val="FootnoteReference"/>
        </w:rPr>
        <w:footnoteReference w:id="127"/>
      </w:r>
      <w:r>
        <w:t xml:space="preserve"> </w:t>
      </w:r>
      <w:r w:rsidR="00BE41F3">
        <w:t xml:space="preserve">but </w:t>
      </w:r>
      <w:r w:rsidRPr="00D35894">
        <w:t xml:space="preserve">recommends that the Commission not </w:t>
      </w:r>
      <w:r w:rsidR="004A6BDC">
        <w:t xml:space="preserve">address this approach </w:t>
      </w:r>
      <w:r w:rsidRPr="00D35894">
        <w:t>at this time. SPD recommends that the Commission direct SPD to hold a workshop in preparation for developing a Staff Resolution to further refine the Potential Approach for Utility Accountability or some other approach to holding the utilities accountable.</w:t>
      </w:r>
    </w:p>
    <w:p w:rsidR="00A02582" w:rsidP="00A02582" w:rsidRDefault="00A02582" w14:paraId="4E5CE311" w14:textId="74D3F897">
      <w:pPr>
        <w:pStyle w:val="Standard"/>
      </w:pPr>
      <w:r>
        <w:lastRenderedPageBreak/>
        <w:t>Third, i</w:t>
      </w:r>
      <w:r w:rsidRPr="001D4762">
        <w:t xml:space="preserve">n a future </w:t>
      </w:r>
      <w:r w:rsidR="00900CAF">
        <w:t xml:space="preserve">Staff </w:t>
      </w:r>
      <w:r w:rsidRPr="001D4762">
        <w:t xml:space="preserve">Resolution, </w:t>
      </w:r>
      <w:r>
        <w:t>S</w:t>
      </w:r>
      <w:r w:rsidR="00900CAF">
        <w:t>PD s</w:t>
      </w:r>
      <w:r>
        <w:t xml:space="preserve">taff recommends that the Commission authorize </w:t>
      </w:r>
      <w:r w:rsidRPr="001D4762">
        <w:t xml:space="preserve">SPD </w:t>
      </w:r>
      <w:r>
        <w:t xml:space="preserve">to </w:t>
      </w:r>
      <w:r w:rsidRPr="001D4762">
        <w:t xml:space="preserve">consider identifying and reducing duplication in other reporting processes, including the RSAR and </w:t>
      </w:r>
      <w:r w:rsidR="005E64E2">
        <w:t>SPM</w:t>
      </w:r>
      <w:r w:rsidRPr="00CF0D1A" w:rsidR="00CF0D1A">
        <w:t xml:space="preserve"> Report</w:t>
      </w:r>
      <w:r w:rsidR="005E64E2">
        <w:t>s</w:t>
      </w:r>
      <w:r w:rsidRPr="001D4762">
        <w:t>.</w:t>
      </w:r>
    </w:p>
    <w:p w:rsidR="00A02582" w:rsidP="00A02582" w:rsidRDefault="00A02582" w14:paraId="5C7FDB5D" w14:textId="17EA3291">
      <w:pPr>
        <w:pStyle w:val="Standard"/>
      </w:pPr>
      <w:r>
        <w:t>Fourth, i</w:t>
      </w:r>
      <w:r w:rsidRPr="001568B7">
        <w:t xml:space="preserve">n a future </w:t>
      </w:r>
      <w:r w:rsidR="00900CAF">
        <w:t xml:space="preserve">Staff </w:t>
      </w:r>
      <w:r w:rsidRPr="001568B7">
        <w:t xml:space="preserve">Resolution, </w:t>
      </w:r>
      <w:r>
        <w:t>S</w:t>
      </w:r>
      <w:r w:rsidR="00900CAF">
        <w:t>PD s</w:t>
      </w:r>
      <w:r>
        <w:t xml:space="preserve">taff recommends that the Commission authorize </w:t>
      </w:r>
      <w:r w:rsidRPr="001568B7">
        <w:t xml:space="preserve">SPD </w:t>
      </w:r>
      <w:r>
        <w:t>to</w:t>
      </w:r>
      <w:r w:rsidRPr="001568B7">
        <w:t xml:space="preserve"> establish procedures and objectives for conducting an audit of an RMAR, as well as an audit of the internal process and controls for producing the RMAR and its updates</w:t>
      </w:r>
      <w:r>
        <w:t>.</w:t>
      </w:r>
    </w:p>
    <w:p w:rsidR="00A02582" w:rsidP="00A02582" w:rsidRDefault="00A02582" w14:paraId="300F76F9" w14:textId="4609D7F7">
      <w:pPr>
        <w:pStyle w:val="Standard"/>
      </w:pPr>
      <w:r>
        <w:t>Fifth, S</w:t>
      </w:r>
      <w:r w:rsidR="00290867">
        <w:t>PD s</w:t>
      </w:r>
      <w:r>
        <w:t>taff recommends that the Commission require e</w:t>
      </w:r>
      <w:r w:rsidRPr="000B3E61">
        <w:t xml:space="preserve">ach utility to conduct a backcast of the risk reduction achieved since its first RAMP filing using the RMAR structure. </w:t>
      </w:r>
      <w:r>
        <w:t>Staff recommend that t</w:t>
      </w:r>
      <w:r w:rsidRPr="000B3E61">
        <w:t>he original RAMP backcast must at minimum provide an Average Risk Mitigation Benefit by Attribute Table for every mitigation and control included in a RAMP and GRC application</w:t>
      </w:r>
      <w:r w:rsidR="0065028F">
        <w:t>.</w:t>
      </w:r>
      <w:r w:rsidR="00091A8A">
        <w:rPr>
          <w:rStyle w:val="FootnoteReference"/>
        </w:rPr>
        <w:footnoteReference w:id="128"/>
      </w:r>
    </w:p>
    <w:p w:rsidR="00A02582" w:rsidP="00A02582" w:rsidRDefault="00A02582" w14:paraId="5C53EF6B" w14:textId="43A2D346">
      <w:pPr>
        <w:pStyle w:val="Standard"/>
      </w:pPr>
      <w:r>
        <w:t>Sixth, S</w:t>
      </w:r>
      <w:r w:rsidR="00FE33D2">
        <w:t>PD s</w:t>
      </w:r>
      <w:r>
        <w:t>taff recommends that the Commission r</w:t>
      </w:r>
      <w:r w:rsidRPr="00530151">
        <w:t xml:space="preserve">equire </w:t>
      </w:r>
      <w:r>
        <w:t xml:space="preserve">each utility to include </w:t>
      </w:r>
      <w:r w:rsidRPr="00530151">
        <w:t>a summary of the RMAR Results Phase in RAMP and GRC filing</w:t>
      </w:r>
      <w:r w:rsidR="00DE39BB">
        <w:t>s</w:t>
      </w:r>
      <w:r w:rsidRPr="00530151">
        <w:t>. This requires making the following change to</w:t>
      </w:r>
      <w:r>
        <w:t xml:space="preserve"> Row 9 of</w:t>
      </w:r>
      <w:r w:rsidRPr="00530151">
        <w:t xml:space="preserve"> the RDF</w:t>
      </w:r>
      <w:r>
        <w:t xml:space="preserve"> (language additions in </w:t>
      </w:r>
      <w:r>
        <w:rPr>
          <w:i/>
          <w:iCs/>
        </w:rPr>
        <w:t>italics</w:t>
      </w:r>
      <w:r w:rsidRPr="0091470A">
        <w:t>):</w:t>
      </w:r>
    </w:p>
    <w:tbl>
      <w:tblPr>
        <w:tblW w:w="9226" w:type="dxa"/>
        <w:tblInd w:w="129" w:type="dxa"/>
        <w:tblBorders>
          <w:top w:val="single" w:color="8FAADB" w:sz="4" w:space="0"/>
          <w:left w:val="single" w:color="8FAADB" w:sz="4" w:space="0"/>
          <w:bottom w:val="single" w:color="8FAADB" w:sz="4" w:space="0"/>
          <w:right w:val="single" w:color="8FAADB" w:sz="4" w:space="0"/>
          <w:insideH w:val="single" w:color="8FAADB" w:sz="4" w:space="0"/>
          <w:insideV w:val="single" w:color="8FAADB" w:sz="4" w:space="0"/>
        </w:tblBorders>
        <w:tblLayout w:type="fixed"/>
        <w:tblCellMar>
          <w:left w:w="0" w:type="dxa"/>
          <w:right w:w="0" w:type="dxa"/>
        </w:tblCellMar>
        <w:tblLook w:val="01E0" w:firstRow="1" w:lastRow="1" w:firstColumn="1" w:lastColumn="1" w:noHBand="0" w:noVBand="0"/>
      </w:tblPr>
      <w:tblGrid>
        <w:gridCol w:w="984"/>
        <w:gridCol w:w="1711"/>
        <w:gridCol w:w="6531"/>
      </w:tblGrid>
      <w:tr w:rsidRPr="0091470A" w:rsidR="00A02582" w14:paraId="63D61757" w14:textId="77777777">
        <w:trPr>
          <w:trHeight w:val="944"/>
        </w:trPr>
        <w:tc>
          <w:tcPr>
            <w:tcW w:w="984" w:type="dxa"/>
          </w:tcPr>
          <w:p w:rsidRPr="006809C2" w:rsidR="00A02582" w:rsidP="005E64E2" w:rsidRDefault="00A02582" w14:paraId="1B14C838" w14:textId="77777777">
            <w:pPr>
              <w:pStyle w:val="TableText"/>
              <w:rPr>
                <w:sz w:val="26"/>
                <w:szCs w:val="26"/>
              </w:rPr>
            </w:pPr>
            <w:r w:rsidRPr="005E64E2">
              <w:rPr>
                <w:sz w:val="26"/>
                <w:szCs w:val="26"/>
              </w:rPr>
              <w:t>9.</w:t>
            </w:r>
          </w:p>
        </w:tc>
        <w:tc>
          <w:tcPr>
            <w:tcW w:w="1711" w:type="dxa"/>
          </w:tcPr>
          <w:p w:rsidRPr="006809C2" w:rsidR="00A02582" w:rsidP="005E64E2" w:rsidRDefault="00A02582" w14:paraId="0751D8D9" w14:textId="77777777">
            <w:pPr>
              <w:pStyle w:val="TableText"/>
              <w:rPr>
                <w:sz w:val="26"/>
                <w:szCs w:val="26"/>
              </w:rPr>
            </w:pPr>
            <w:r w:rsidRPr="00217021">
              <w:rPr>
                <w:spacing w:val="-4"/>
                <w:sz w:val="26"/>
                <w:szCs w:val="26"/>
              </w:rPr>
              <w:t xml:space="preserve">Risk </w:t>
            </w:r>
            <w:r w:rsidRPr="006809C2">
              <w:rPr>
                <w:spacing w:val="-2"/>
                <w:sz w:val="26"/>
                <w:szCs w:val="26"/>
              </w:rPr>
              <w:t>Assessment</w:t>
            </w:r>
          </w:p>
        </w:tc>
        <w:tc>
          <w:tcPr>
            <w:tcW w:w="6531" w:type="dxa"/>
          </w:tcPr>
          <w:p w:rsidRPr="006809C2" w:rsidR="00A02582" w:rsidP="005E64E2" w:rsidRDefault="00A02582" w14:paraId="69F8C1C4" w14:textId="39DD83A6">
            <w:pPr>
              <w:pStyle w:val="TableText"/>
              <w:rPr>
                <w:sz w:val="26"/>
                <w:szCs w:val="26"/>
              </w:rPr>
            </w:pPr>
            <w:r w:rsidRPr="006809C2">
              <w:t xml:space="preserve">Using the </w:t>
            </w:r>
            <w:r w:rsidRPr="006809C2">
              <w:rPr>
                <w:spacing w:val="-5"/>
                <w:sz w:val="26"/>
                <w:szCs w:val="26"/>
              </w:rPr>
              <w:t xml:space="preserve">Cost-Benefit Approach </w:t>
            </w:r>
            <w:r w:rsidRPr="006809C2">
              <w:rPr>
                <w:sz w:val="26"/>
                <w:szCs w:val="26"/>
              </w:rPr>
              <w:t>developed in accordance with Step 1A, for each Risk included in the Enterprise Risk Register, the utility will compute a monetized Safety Risk Value using only the Safety Attribute.</w:t>
            </w:r>
            <w:r w:rsidRPr="006809C2">
              <w:rPr>
                <w:spacing w:val="80"/>
                <w:sz w:val="26"/>
                <w:szCs w:val="26"/>
              </w:rPr>
              <w:t xml:space="preserve"> </w:t>
            </w:r>
            <w:r w:rsidRPr="006809C2">
              <w:rPr>
                <w:sz w:val="26"/>
                <w:szCs w:val="26"/>
              </w:rPr>
              <w:t>The utility will sort its ERR Risks in descending order by the monetized Safety Risk Value.</w:t>
            </w:r>
            <w:r w:rsidRPr="006809C2">
              <w:rPr>
                <w:spacing w:val="40"/>
                <w:sz w:val="26"/>
                <w:szCs w:val="26"/>
              </w:rPr>
              <w:t xml:space="preserve"> </w:t>
            </w:r>
            <w:r w:rsidRPr="006809C2">
              <w:rPr>
                <w:sz w:val="26"/>
                <w:szCs w:val="26"/>
              </w:rPr>
              <w:t>For the top 40% of ERR risks with a Safety Risk Value greater than zero dollars, the utility will compute a monetized Risk Value using at least the Safety, Reliability and Financial Attributes to determine the output for Step 2A.</w:t>
            </w:r>
          </w:p>
          <w:p w:rsidRPr="006809C2" w:rsidR="00A02582" w:rsidRDefault="00A02582" w14:paraId="072E5A3E" w14:textId="77777777">
            <w:pPr>
              <w:pStyle w:val="TableParagraph"/>
              <w:spacing w:before="0" w:after="0"/>
              <w:ind w:left="46"/>
              <w:rPr>
                <w:rFonts w:ascii="Book Antiqua" w:hAnsi="Book Antiqua"/>
                <w:b/>
                <w:sz w:val="26"/>
                <w:szCs w:val="26"/>
              </w:rPr>
            </w:pPr>
          </w:p>
          <w:p w:rsidRPr="006809C2" w:rsidR="00A02582" w:rsidP="005E64E2" w:rsidRDefault="00A02582" w14:paraId="1848AE6E" w14:textId="53A9586B">
            <w:pPr>
              <w:pStyle w:val="TableText"/>
              <w:rPr>
                <w:sz w:val="26"/>
                <w:szCs w:val="26"/>
              </w:rPr>
            </w:pPr>
            <w:r w:rsidRPr="006809C2">
              <w:lastRenderedPageBreak/>
              <w:t>The</w:t>
            </w:r>
            <w:r w:rsidRPr="006809C2">
              <w:rPr>
                <w:spacing w:val="-1"/>
                <w:sz w:val="26"/>
                <w:szCs w:val="26"/>
              </w:rPr>
              <w:t xml:space="preserve"> </w:t>
            </w:r>
            <w:r w:rsidRPr="006809C2">
              <w:rPr>
                <w:sz w:val="26"/>
                <w:szCs w:val="26"/>
              </w:rPr>
              <w:t>output</w:t>
            </w:r>
            <w:r w:rsidRPr="006809C2">
              <w:rPr>
                <w:spacing w:val="-1"/>
                <w:sz w:val="26"/>
                <w:szCs w:val="26"/>
              </w:rPr>
              <w:t xml:space="preserve"> </w:t>
            </w:r>
            <w:r w:rsidRPr="006809C2">
              <w:rPr>
                <w:sz w:val="26"/>
                <w:szCs w:val="26"/>
              </w:rPr>
              <w:t>of Step</w:t>
            </w:r>
            <w:r w:rsidRPr="006809C2">
              <w:rPr>
                <w:spacing w:val="-1"/>
                <w:sz w:val="26"/>
                <w:szCs w:val="26"/>
              </w:rPr>
              <w:t xml:space="preserve"> </w:t>
            </w:r>
            <w:r w:rsidRPr="006809C2">
              <w:rPr>
                <w:sz w:val="26"/>
                <w:szCs w:val="26"/>
              </w:rPr>
              <w:t>2A,</w:t>
            </w:r>
            <w:r w:rsidRPr="006809C2">
              <w:rPr>
                <w:spacing w:val="-1"/>
                <w:sz w:val="26"/>
                <w:szCs w:val="26"/>
              </w:rPr>
              <w:t xml:space="preserve"> </w:t>
            </w:r>
            <w:r w:rsidRPr="006809C2">
              <w:rPr>
                <w:sz w:val="26"/>
                <w:szCs w:val="26"/>
              </w:rPr>
              <w:t>along</w:t>
            </w:r>
            <w:r w:rsidRPr="006809C2">
              <w:rPr>
                <w:spacing w:val="-1"/>
                <w:sz w:val="26"/>
                <w:szCs w:val="26"/>
              </w:rPr>
              <w:t xml:space="preserve"> </w:t>
            </w:r>
            <w:r w:rsidRPr="006809C2">
              <w:rPr>
                <w:sz w:val="26"/>
                <w:szCs w:val="26"/>
              </w:rPr>
              <w:t>with</w:t>
            </w:r>
            <w:r w:rsidRPr="006809C2">
              <w:rPr>
                <w:spacing w:val="-1"/>
                <w:sz w:val="26"/>
                <w:szCs w:val="26"/>
              </w:rPr>
              <w:t xml:space="preserve"> </w:t>
            </w:r>
            <w:r w:rsidRPr="006809C2">
              <w:rPr>
                <w:sz w:val="26"/>
                <w:szCs w:val="26"/>
              </w:rPr>
              <w:t>the input from stakeholders described in</w:t>
            </w:r>
            <w:r w:rsidRPr="006809C2">
              <w:rPr>
                <w:spacing w:val="-3"/>
                <w:sz w:val="26"/>
                <w:szCs w:val="26"/>
              </w:rPr>
              <w:t xml:space="preserve"> </w:t>
            </w:r>
            <w:r w:rsidRPr="006809C2">
              <w:rPr>
                <w:sz w:val="26"/>
                <w:szCs w:val="26"/>
              </w:rPr>
              <w:t>Row</w:t>
            </w:r>
            <w:r w:rsidRPr="006809C2">
              <w:rPr>
                <w:spacing w:val="-3"/>
                <w:sz w:val="26"/>
                <w:szCs w:val="26"/>
              </w:rPr>
              <w:t xml:space="preserve"> </w:t>
            </w:r>
            <w:r w:rsidRPr="006809C2">
              <w:rPr>
                <w:sz w:val="26"/>
                <w:szCs w:val="26"/>
              </w:rPr>
              <w:t>12</w:t>
            </w:r>
            <w:r w:rsidRPr="006809C2">
              <w:rPr>
                <w:spacing w:val="-3"/>
                <w:sz w:val="26"/>
                <w:szCs w:val="26"/>
              </w:rPr>
              <w:t xml:space="preserve"> </w:t>
            </w:r>
            <w:r w:rsidRPr="006809C2">
              <w:rPr>
                <w:sz w:val="26"/>
                <w:szCs w:val="26"/>
              </w:rPr>
              <w:t>below,</w:t>
            </w:r>
            <w:r w:rsidRPr="006809C2">
              <w:rPr>
                <w:spacing w:val="-3"/>
                <w:sz w:val="26"/>
                <w:szCs w:val="26"/>
              </w:rPr>
              <w:t xml:space="preserve"> </w:t>
            </w:r>
            <w:r w:rsidRPr="006809C2">
              <w:rPr>
                <w:sz w:val="26"/>
                <w:szCs w:val="26"/>
              </w:rPr>
              <w:t>will</w:t>
            </w:r>
            <w:r w:rsidRPr="006809C2">
              <w:rPr>
                <w:spacing w:val="-3"/>
                <w:sz w:val="26"/>
                <w:szCs w:val="26"/>
              </w:rPr>
              <w:t xml:space="preserve"> </w:t>
            </w:r>
            <w:r w:rsidRPr="006809C2">
              <w:rPr>
                <w:sz w:val="26"/>
                <w:szCs w:val="26"/>
              </w:rPr>
              <w:t>be</w:t>
            </w:r>
            <w:r w:rsidRPr="006809C2">
              <w:rPr>
                <w:spacing w:val="-3"/>
                <w:sz w:val="26"/>
                <w:szCs w:val="26"/>
              </w:rPr>
              <w:t xml:space="preserve"> </w:t>
            </w:r>
            <w:r w:rsidRPr="006809C2">
              <w:rPr>
                <w:sz w:val="26"/>
                <w:szCs w:val="26"/>
              </w:rPr>
              <w:t>used</w:t>
            </w:r>
            <w:r w:rsidRPr="006809C2">
              <w:rPr>
                <w:spacing w:val="-3"/>
                <w:sz w:val="26"/>
                <w:szCs w:val="26"/>
              </w:rPr>
              <w:t xml:space="preserve"> </w:t>
            </w:r>
            <w:r w:rsidRPr="006809C2">
              <w:rPr>
                <w:sz w:val="26"/>
                <w:szCs w:val="26"/>
              </w:rPr>
              <w:t>to</w:t>
            </w:r>
            <w:r w:rsidRPr="006809C2">
              <w:rPr>
                <w:spacing w:val="-1"/>
                <w:sz w:val="26"/>
                <w:szCs w:val="26"/>
              </w:rPr>
              <w:t xml:space="preserve"> </w:t>
            </w:r>
            <w:r w:rsidRPr="006809C2">
              <w:rPr>
                <w:sz w:val="26"/>
                <w:szCs w:val="26"/>
              </w:rPr>
              <w:t>decide</w:t>
            </w:r>
            <w:r w:rsidRPr="006809C2">
              <w:rPr>
                <w:spacing w:val="-3"/>
                <w:sz w:val="26"/>
                <w:szCs w:val="26"/>
              </w:rPr>
              <w:t xml:space="preserve"> </w:t>
            </w:r>
            <w:r w:rsidRPr="006809C2">
              <w:rPr>
                <w:sz w:val="26"/>
                <w:szCs w:val="26"/>
              </w:rPr>
              <w:t>which</w:t>
            </w:r>
            <w:r w:rsidRPr="006809C2">
              <w:rPr>
                <w:spacing w:val="-3"/>
                <w:sz w:val="26"/>
                <w:szCs w:val="26"/>
              </w:rPr>
              <w:t xml:space="preserve"> </w:t>
            </w:r>
            <w:r w:rsidRPr="006809C2">
              <w:rPr>
                <w:sz w:val="26"/>
                <w:szCs w:val="26"/>
              </w:rPr>
              <w:t>risks</w:t>
            </w:r>
            <w:r w:rsidRPr="006809C2">
              <w:rPr>
                <w:spacing w:val="-3"/>
                <w:sz w:val="26"/>
                <w:szCs w:val="26"/>
              </w:rPr>
              <w:t xml:space="preserve"> </w:t>
            </w:r>
            <w:r w:rsidRPr="006809C2">
              <w:rPr>
                <w:sz w:val="26"/>
                <w:szCs w:val="26"/>
              </w:rPr>
              <w:t>will</w:t>
            </w:r>
            <w:r w:rsidRPr="006809C2">
              <w:rPr>
                <w:spacing w:val="-3"/>
                <w:sz w:val="26"/>
                <w:szCs w:val="26"/>
              </w:rPr>
              <w:t xml:space="preserve"> </w:t>
            </w:r>
            <w:r w:rsidRPr="006809C2">
              <w:rPr>
                <w:sz w:val="26"/>
                <w:szCs w:val="26"/>
              </w:rPr>
              <w:t>be</w:t>
            </w:r>
            <w:r w:rsidRPr="006809C2">
              <w:rPr>
                <w:spacing w:val="-3"/>
                <w:sz w:val="26"/>
                <w:szCs w:val="26"/>
              </w:rPr>
              <w:t xml:space="preserve"> </w:t>
            </w:r>
            <w:r w:rsidRPr="006809C2">
              <w:rPr>
                <w:sz w:val="26"/>
                <w:szCs w:val="26"/>
              </w:rPr>
              <w:t>addressed</w:t>
            </w:r>
            <w:r w:rsidRPr="006809C2">
              <w:rPr>
                <w:spacing w:val="-3"/>
                <w:sz w:val="26"/>
                <w:szCs w:val="26"/>
              </w:rPr>
              <w:t xml:space="preserve"> </w:t>
            </w:r>
            <w:r w:rsidRPr="006809C2">
              <w:rPr>
                <w:sz w:val="26"/>
                <w:szCs w:val="26"/>
              </w:rPr>
              <w:t xml:space="preserve">in the RAMP. </w:t>
            </w:r>
            <w:r w:rsidRPr="006809C2">
              <w:rPr>
                <w:i/>
                <w:iCs/>
                <w:sz w:val="26"/>
                <w:szCs w:val="26"/>
              </w:rPr>
              <w:t xml:space="preserve">The output of Step 2A must include a summary of the </w:t>
            </w:r>
            <w:r w:rsidR="00B15995">
              <w:rPr>
                <w:i/>
                <w:iCs/>
                <w:sz w:val="26"/>
                <w:szCs w:val="26"/>
              </w:rPr>
              <w:t>Risk Mitigation Accountability Reporting</w:t>
            </w:r>
            <w:r w:rsidR="00BF0AA9">
              <w:rPr>
                <w:i/>
                <w:iCs/>
                <w:sz w:val="26"/>
                <w:szCs w:val="26"/>
              </w:rPr>
              <w:t xml:space="preserve"> </w:t>
            </w:r>
            <w:r w:rsidRPr="006809C2">
              <w:rPr>
                <w:i/>
                <w:iCs/>
                <w:sz w:val="26"/>
                <w:szCs w:val="26"/>
              </w:rPr>
              <w:t>Phase for each risk the utility intends to address in its RAMP application. This summary must include a copy of the utility’s RMAR Outcomes Flow Table and Outcomes Stock Table. A narrative description must accompany these tables explaining any discrepancies between the modeled risk and the actual outcomes recorded during the previous GRC Cycle.</w:t>
            </w:r>
          </w:p>
          <w:p w:rsidRPr="006809C2" w:rsidR="00A02582" w:rsidRDefault="00A02582" w14:paraId="37586463" w14:textId="77777777">
            <w:pPr>
              <w:pStyle w:val="TableParagraph"/>
              <w:spacing w:before="0" w:after="0"/>
              <w:ind w:left="46"/>
              <w:rPr>
                <w:rFonts w:ascii="Book Antiqua" w:hAnsi="Book Antiqua"/>
                <w:b/>
                <w:sz w:val="26"/>
                <w:szCs w:val="26"/>
              </w:rPr>
            </w:pPr>
          </w:p>
          <w:p w:rsidRPr="006809C2" w:rsidR="00A02582" w:rsidP="001C486F" w:rsidRDefault="00A02582" w14:paraId="55100D2B" w14:textId="77777777">
            <w:pPr>
              <w:pStyle w:val="TableText"/>
              <w:rPr>
                <w:sz w:val="26"/>
                <w:szCs w:val="26"/>
              </w:rPr>
            </w:pPr>
            <w:r w:rsidRPr="006809C2">
              <w:t>The</w:t>
            </w:r>
            <w:r w:rsidRPr="006809C2">
              <w:rPr>
                <w:spacing w:val="-3"/>
                <w:sz w:val="26"/>
                <w:szCs w:val="26"/>
              </w:rPr>
              <w:t xml:space="preserve"> </w:t>
            </w:r>
            <w:r w:rsidRPr="006809C2">
              <w:rPr>
                <w:sz w:val="26"/>
                <w:szCs w:val="26"/>
              </w:rPr>
              <w:t>Risk</w:t>
            </w:r>
            <w:r w:rsidRPr="006809C2">
              <w:rPr>
                <w:spacing w:val="-3"/>
                <w:sz w:val="26"/>
                <w:szCs w:val="26"/>
              </w:rPr>
              <w:t xml:space="preserve"> </w:t>
            </w:r>
            <w:r w:rsidRPr="006809C2">
              <w:rPr>
                <w:sz w:val="26"/>
                <w:szCs w:val="26"/>
              </w:rPr>
              <w:t>Assessment</w:t>
            </w:r>
            <w:r w:rsidRPr="006809C2">
              <w:rPr>
                <w:spacing w:val="-3"/>
                <w:sz w:val="26"/>
                <w:szCs w:val="26"/>
              </w:rPr>
              <w:t xml:space="preserve"> </w:t>
            </w:r>
            <w:r w:rsidRPr="006809C2">
              <w:rPr>
                <w:sz w:val="26"/>
                <w:szCs w:val="26"/>
              </w:rPr>
              <w:t>in</w:t>
            </w:r>
            <w:r w:rsidRPr="006809C2">
              <w:rPr>
                <w:spacing w:val="-3"/>
                <w:sz w:val="26"/>
                <w:szCs w:val="26"/>
              </w:rPr>
              <w:t xml:space="preserve"> </w:t>
            </w:r>
            <w:r w:rsidRPr="006809C2">
              <w:rPr>
                <w:sz w:val="26"/>
                <w:szCs w:val="26"/>
              </w:rPr>
              <w:t>preparation</w:t>
            </w:r>
            <w:r w:rsidRPr="006809C2">
              <w:rPr>
                <w:spacing w:val="-4"/>
                <w:sz w:val="26"/>
                <w:szCs w:val="26"/>
              </w:rPr>
              <w:t xml:space="preserve"> </w:t>
            </w:r>
            <w:r w:rsidRPr="006809C2">
              <w:rPr>
                <w:sz w:val="26"/>
                <w:szCs w:val="26"/>
              </w:rPr>
              <w:t>for</w:t>
            </w:r>
            <w:r w:rsidRPr="006809C2">
              <w:rPr>
                <w:spacing w:val="-4"/>
                <w:sz w:val="26"/>
                <w:szCs w:val="26"/>
              </w:rPr>
              <w:t xml:space="preserve"> </w:t>
            </w:r>
            <w:r w:rsidRPr="006809C2">
              <w:rPr>
                <w:sz w:val="26"/>
                <w:szCs w:val="26"/>
              </w:rPr>
              <w:t>RAMP</w:t>
            </w:r>
            <w:r w:rsidRPr="006809C2">
              <w:rPr>
                <w:spacing w:val="-4"/>
                <w:sz w:val="26"/>
                <w:szCs w:val="26"/>
              </w:rPr>
              <w:t xml:space="preserve"> </w:t>
            </w:r>
            <w:r w:rsidRPr="006809C2">
              <w:rPr>
                <w:sz w:val="26"/>
                <w:szCs w:val="26"/>
              </w:rPr>
              <w:t>will</w:t>
            </w:r>
            <w:r w:rsidRPr="006809C2">
              <w:rPr>
                <w:spacing w:val="-4"/>
                <w:sz w:val="26"/>
                <w:szCs w:val="26"/>
              </w:rPr>
              <w:t xml:space="preserve"> </w:t>
            </w:r>
            <w:r w:rsidRPr="006809C2">
              <w:rPr>
                <w:sz w:val="26"/>
                <w:szCs w:val="26"/>
              </w:rPr>
              <w:t>follow</w:t>
            </w:r>
            <w:r w:rsidRPr="006809C2">
              <w:rPr>
                <w:spacing w:val="-4"/>
                <w:sz w:val="26"/>
                <w:szCs w:val="26"/>
              </w:rPr>
              <w:t xml:space="preserve"> </w:t>
            </w:r>
            <w:r w:rsidRPr="006809C2">
              <w:rPr>
                <w:sz w:val="26"/>
                <w:szCs w:val="26"/>
              </w:rPr>
              <w:t>the</w:t>
            </w:r>
            <w:r w:rsidRPr="006809C2">
              <w:rPr>
                <w:spacing w:val="-4"/>
                <w:sz w:val="26"/>
                <w:szCs w:val="26"/>
              </w:rPr>
              <w:t xml:space="preserve"> </w:t>
            </w:r>
            <w:r w:rsidRPr="006809C2">
              <w:rPr>
                <w:sz w:val="26"/>
                <w:szCs w:val="26"/>
              </w:rPr>
              <w:t>steps</w:t>
            </w:r>
            <w:r w:rsidRPr="006809C2">
              <w:rPr>
                <w:spacing w:val="-3"/>
                <w:sz w:val="26"/>
                <w:szCs w:val="26"/>
              </w:rPr>
              <w:t xml:space="preserve"> </w:t>
            </w:r>
            <w:r w:rsidRPr="006809C2">
              <w:rPr>
                <w:sz w:val="26"/>
                <w:szCs w:val="26"/>
              </w:rPr>
              <w:t>in Rows 10 and 11.</w:t>
            </w:r>
          </w:p>
        </w:tc>
      </w:tr>
    </w:tbl>
    <w:p w:rsidRPr="00EB6D5A" w:rsidR="00A02582" w:rsidP="00A02582" w:rsidRDefault="00A02582" w14:paraId="274A53F3" w14:textId="1AA15CEE">
      <w:pPr>
        <w:pStyle w:val="Standard"/>
      </w:pPr>
    </w:p>
    <w:p w:rsidR="00A02582" w:rsidP="005340D9" w:rsidRDefault="00A02582" w14:paraId="698367F8" w14:textId="77777777">
      <w:pPr>
        <w:pStyle w:val="Heading2"/>
      </w:pPr>
      <w:bookmarkStart w:name="_Toc204258051" w:id="102"/>
      <w:r>
        <w:t>Party Comments</w:t>
      </w:r>
      <w:bookmarkEnd w:id="102"/>
    </w:p>
    <w:p w:rsidR="00194947" w:rsidP="00A02582" w:rsidRDefault="00D52BC9" w14:paraId="4B5D9D0A" w14:textId="2D18B812">
      <w:pPr>
        <w:pStyle w:val="Standard"/>
      </w:pPr>
      <w:r>
        <w:t xml:space="preserve">Parties are split on the Staff RMAR Proposal, with </w:t>
      </w:r>
      <w:r w:rsidR="00E84AE7">
        <w:t xml:space="preserve">TURN, EPUC/IS, and Cal Advocates generally </w:t>
      </w:r>
      <w:r w:rsidR="00B75F5F">
        <w:t>in support</w:t>
      </w:r>
      <w:r w:rsidR="00194947">
        <w:t xml:space="preserve"> and PG&amp;E, the Sempra Companies, and SCE generally opposed</w:t>
      </w:r>
      <w:r w:rsidR="00B75F5F">
        <w:t>.</w:t>
      </w:r>
      <w:r w:rsidR="00E84AE7">
        <w:t xml:space="preserve"> </w:t>
      </w:r>
      <w:r w:rsidR="00194947">
        <w:t xml:space="preserve">The intervenor parties </w:t>
      </w:r>
      <w:r w:rsidR="003334CD">
        <w:t>suggest refinements to the Staff RMAR Proposal while the utilities</w:t>
      </w:r>
      <w:r w:rsidR="00CB6E40">
        <w:t xml:space="preserve">, while being aligned with the goals of the Staff </w:t>
      </w:r>
      <w:r w:rsidR="006F1A34">
        <w:t>RMAR Proposal,</w:t>
      </w:r>
      <w:r w:rsidR="003334CD">
        <w:t xml:space="preserve"> </w:t>
      </w:r>
      <w:r w:rsidR="006F1A34">
        <w:t>argue</w:t>
      </w:r>
      <w:r w:rsidR="0047719B">
        <w:t xml:space="preserve"> that the </w:t>
      </w:r>
      <w:r w:rsidR="00BA48DF">
        <w:t xml:space="preserve">Staff </w:t>
      </w:r>
      <w:r w:rsidR="00FD0610">
        <w:t>RMAR</w:t>
      </w:r>
      <w:r w:rsidR="00BA48DF">
        <w:t xml:space="preserve"> Proposal</w:t>
      </w:r>
      <w:r w:rsidR="00FD0610">
        <w:t xml:space="preserve"> is </w:t>
      </w:r>
      <w:r w:rsidR="00A65EBB">
        <w:t>too complex</w:t>
      </w:r>
      <w:r w:rsidR="00B91C53">
        <w:t>, cannot achieve its objectives,</w:t>
      </w:r>
      <w:r w:rsidR="00A65EBB">
        <w:t xml:space="preserve"> or has not </w:t>
      </w:r>
      <w:r w:rsidR="006F1A34">
        <w:t>given adequate consideration to</w:t>
      </w:r>
      <w:r w:rsidR="009A6EB4">
        <w:t xml:space="preserve"> the consequences of implementing the RMAR as proposed by SPD staff.</w:t>
      </w:r>
      <w:r w:rsidR="006F1A34">
        <w:t xml:space="preserve"> </w:t>
      </w:r>
    </w:p>
    <w:p w:rsidR="00A02582" w:rsidP="00A02582" w:rsidRDefault="00A02582" w14:paraId="71387500" w14:textId="20FFF4D8">
      <w:pPr>
        <w:pStyle w:val="Standard"/>
      </w:pPr>
      <w:r>
        <w:t>TURN note</w:t>
      </w:r>
      <w:r w:rsidR="00121914">
        <w:t>s</w:t>
      </w:r>
      <w:r>
        <w:t xml:space="preserve"> that RAMP </w:t>
      </w:r>
      <w:r w:rsidRPr="00853AD8">
        <w:t>estimates of Plan Phase values are not particularly relevant for RMAR purposes.</w:t>
      </w:r>
      <w:r>
        <w:rPr>
          <w:rStyle w:val="FootnoteReference"/>
        </w:rPr>
        <w:footnoteReference w:id="129"/>
      </w:r>
      <w:r>
        <w:t xml:space="preserve"> SCE agree</w:t>
      </w:r>
      <w:r w:rsidR="00121914">
        <w:t>s</w:t>
      </w:r>
      <w:r>
        <w:t xml:space="preserve"> with TURN and suggest</w:t>
      </w:r>
      <w:r w:rsidR="00121914">
        <w:t>s</w:t>
      </w:r>
      <w:r>
        <w:t xml:space="preserve"> that </w:t>
      </w:r>
      <w:r w:rsidRPr="00525E07">
        <w:t>the values adopted in the GRC decision should serve as the Plan Phase</w:t>
      </w:r>
      <w:r>
        <w:t>.</w:t>
      </w:r>
      <w:r>
        <w:rPr>
          <w:rStyle w:val="FootnoteReference"/>
        </w:rPr>
        <w:footnoteReference w:id="130"/>
      </w:r>
      <w:r>
        <w:t xml:space="preserve"> SCE suggests that the GRC forecasts be compared to actual deployed scope</w:t>
      </w:r>
      <w:r w:rsidR="005B7FB0">
        <w:t xml:space="preserve"> in the RMAR</w:t>
      </w:r>
      <w:r>
        <w:t xml:space="preserve">, which can be </w:t>
      </w:r>
      <w:r w:rsidRPr="008536AB">
        <w:t xml:space="preserve">accomplished using </w:t>
      </w:r>
      <w:r>
        <w:t>the utilities’</w:t>
      </w:r>
      <w:r w:rsidRPr="008536AB">
        <w:t xml:space="preserve"> risk models at the </w:t>
      </w:r>
      <w:r w:rsidRPr="008536AB">
        <w:lastRenderedPageBreak/>
        <w:t>control/mitigation level for initial reporting.</w:t>
      </w:r>
      <w:r>
        <w:rPr>
          <w:rStyle w:val="FootnoteReference"/>
        </w:rPr>
        <w:footnoteReference w:id="131"/>
      </w:r>
      <w:r>
        <w:t xml:space="preserve"> EPUC/IS argue</w:t>
      </w:r>
      <w:r w:rsidR="0088749F">
        <w:t>s</w:t>
      </w:r>
      <w:r>
        <w:t xml:space="preserve"> that t</w:t>
      </w:r>
      <w:r w:rsidRPr="00592727">
        <w:t>he only way to continuously improve efficiency and effectiveness between each successive GRC cycle is to compare actual versus forecasted progres</w:t>
      </w:r>
      <w:r w:rsidR="0088749F">
        <w:t>s</w:t>
      </w:r>
      <w:r w:rsidR="003B5D8D">
        <w:t>.</w:t>
      </w:r>
      <w:r>
        <w:rPr>
          <w:rStyle w:val="FootnoteReference"/>
        </w:rPr>
        <w:footnoteReference w:id="132"/>
      </w:r>
      <w:r>
        <w:t xml:space="preserve"> </w:t>
      </w:r>
      <w:r w:rsidR="0038684F">
        <w:t>However, t</w:t>
      </w:r>
      <w:r w:rsidR="00A04F67">
        <w:t>he Sempra Companies</w:t>
      </w:r>
      <w:r>
        <w:t xml:space="preserve"> emphasize that </w:t>
      </w:r>
      <w:r w:rsidRPr="000D4B38">
        <w:t>“</w:t>
      </w:r>
      <w:r>
        <w:t>a</w:t>
      </w:r>
      <w:r w:rsidRPr="000D4B38">
        <w:t>ctual” risk reduction cannot ever be known with certainty</w:t>
      </w:r>
      <w:r w:rsidR="00053671">
        <w:t xml:space="preserve"> and that </w:t>
      </w:r>
      <w:r w:rsidRPr="000D4B38">
        <w:t>comparing forecast and actual risk reduction is an exercise in comparing estimates.</w:t>
      </w:r>
      <w:r>
        <w:rPr>
          <w:rStyle w:val="FootnoteReference"/>
        </w:rPr>
        <w:footnoteReference w:id="133"/>
      </w:r>
    </w:p>
    <w:p w:rsidR="008174BE" w:rsidP="00FB7D74" w:rsidRDefault="00A04F67" w14:paraId="7EAACD5B" w14:textId="55612FF2">
      <w:pPr>
        <w:pStyle w:val="Standard"/>
      </w:pPr>
      <w:r>
        <w:t>The Sempra Companies</w:t>
      </w:r>
      <w:r w:rsidRPr="00903899" w:rsidR="00A02582">
        <w:t xml:space="preserve"> agree</w:t>
      </w:r>
      <w:r w:rsidR="00A02582">
        <w:t xml:space="preserve"> with the Staff </w:t>
      </w:r>
      <w:r w:rsidR="005E5892">
        <w:t xml:space="preserve">RMAR </w:t>
      </w:r>
      <w:r w:rsidR="00A02582">
        <w:t>Proposal</w:t>
      </w:r>
      <w:r w:rsidRPr="00903899" w:rsidR="00A02582">
        <w:t xml:space="preserve"> that the comparison between forecasts and outcomes could be insightful, but </w:t>
      </w:r>
      <w:r w:rsidR="00FB7D74">
        <w:t xml:space="preserve">notes </w:t>
      </w:r>
      <w:r w:rsidRPr="00903899" w:rsidR="00A02582">
        <w:t>two challenges</w:t>
      </w:r>
      <w:r w:rsidR="00FB7D74">
        <w:t xml:space="preserve">. First, </w:t>
      </w:r>
      <w:r w:rsidRPr="00903899" w:rsidR="00A02582">
        <w:t>many RAMP risks occur infrequently, which is difficult for flow tables which should report on annual risk reduction</w:t>
      </w:r>
      <w:r w:rsidR="00FB7D74">
        <w:t>. Second,</w:t>
      </w:r>
      <w:r w:rsidRPr="00903899" w:rsidR="00A02582">
        <w:t xml:space="preserve"> the time required to effectively administer these analyses </w:t>
      </w:r>
      <w:r w:rsidR="00FE28F4">
        <w:t>may</w:t>
      </w:r>
      <w:r w:rsidR="00CA07EE">
        <w:t xml:space="preserve"> be longer</w:t>
      </w:r>
      <w:r w:rsidRPr="00903899" w:rsidR="00A02582">
        <w:t xml:space="preserve"> than the allotted timeframe of the RMAR.</w:t>
      </w:r>
      <w:r w:rsidRPr="00903899" w:rsidR="00A02582">
        <w:rPr>
          <w:rStyle w:val="FootnoteReference"/>
        </w:rPr>
        <w:footnoteReference w:id="134"/>
      </w:r>
      <w:r w:rsidR="00A02582">
        <w:t xml:space="preserve"> SCE argue</w:t>
      </w:r>
      <w:r w:rsidR="00601DF9">
        <w:t>s</w:t>
      </w:r>
      <w:r w:rsidR="00A02582">
        <w:t xml:space="preserve"> that for some risks</w:t>
      </w:r>
      <w:r w:rsidR="00CA07EE">
        <w:t>,</w:t>
      </w:r>
      <w:r w:rsidR="00A02582">
        <w:t xml:space="preserve"> like Hydro Dam Failure</w:t>
      </w:r>
      <w:r w:rsidR="00CA07EE">
        <w:t>,</w:t>
      </w:r>
      <w:r w:rsidR="00A02582">
        <w:t xml:space="preserve"> the risk event is so infrequent that the Outcome Tables would be filled with zeros or N/As. SCE also </w:t>
      </w:r>
      <w:r w:rsidR="00CA07EE">
        <w:t xml:space="preserve">notes </w:t>
      </w:r>
      <w:r w:rsidR="00A02582">
        <w:t>that the “outcomes” of a Cybersecurity risk event would be confidential. SCE note</w:t>
      </w:r>
      <w:r w:rsidR="00CA07EE">
        <w:t>s</w:t>
      </w:r>
      <w:r w:rsidR="00A02582">
        <w:t xml:space="preserve"> </w:t>
      </w:r>
      <w:r w:rsidR="00A02DA7">
        <w:t>that some</w:t>
      </w:r>
      <w:r w:rsidR="00A02582">
        <w:t xml:space="preserve"> outcome metrics </w:t>
      </w:r>
      <w:r w:rsidR="00A02DA7">
        <w:t xml:space="preserve">are </w:t>
      </w:r>
      <w:r w:rsidR="00EC3DAA">
        <w:t xml:space="preserve">currently </w:t>
      </w:r>
      <w:r w:rsidR="00A02582">
        <w:t xml:space="preserve">provided in the </w:t>
      </w:r>
      <w:r w:rsidR="00C5765A">
        <w:t>SPM</w:t>
      </w:r>
      <w:r w:rsidR="00DD6413">
        <w:t xml:space="preserve"> Reports</w:t>
      </w:r>
      <w:r w:rsidR="00EC3DAA">
        <w:t>, albeit in a different</w:t>
      </w:r>
      <w:r w:rsidR="001B5493">
        <w:t xml:space="preserve"> format</w:t>
      </w:r>
      <w:r w:rsidR="00A02582">
        <w:t>.</w:t>
      </w:r>
      <w:r w:rsidR="00A02582">
        <w:rPr>
          <w:rStyle w:val="FootnoteReference"/>
        </w:rPr>
        <w:footnoteReference w:id="135"/>
      </w:r>
      <w:r w:rsidR="00A02582">
        <w:t xml:space="preserve"> </w:t>
      </w:r>
    </w:p>
    <w:p w:rsidR="00A02582" w:rsidP="00FB7D74" w:rsidRDefault="00A02582" w14:paraId="1DED6E06" w14:textId="741FAFDE">
      <w:pPr>
        <w:pStyle w:val="Standard"/>
      </w:pPr>
      <w:r>
        <w:t xml:space="preserve">TURN argues that </w:t>
      </w:r>
      <w:r w:rsidRPr="00663AB1">
        <w:t>Outcomes can be compared with the estimated post-mitigation risk values in the GRC adopted plan</w:t>
      </w:r>
      <w:r>
        <w:t xml:space="preserve"> and that the Commission should require the utility to provide </w:t>
      </w:r>
      <w:r w:rsidRPr="008D190E">
        <w:t>the</w:t>
      </w:r>
      <w:r w:rsidR="001760D4">
        <w:t xml:space="preserve"> </w:t>
      </w:r>
      <w:r w:rsidRPr="008D190E">
        <w:t xml:space="preserve">reasons why the Outcomes differ from the </w:t>
      </w:r>
      <w:r>
        <w:t>GRC forecasts.</w:t>
      </w:r>
      <w:r>
        <w:rPr>
          <w:rStyle w:val="FootnoteReference"/>
        </w:rPr>
        <w:footnoteReference w:id="136"/>
      </w:r>
      <w:r>
        <w:t xml:space="preserve"> TURN also states that exploring the Outcomes in </w:t>
      </w:r>
      <w:r w:rsidR="00660F03">
        <w:t>the</w:t>
      </w:r>
      <w:r>
        <w:t xml:space="preserve"> RMAR could </w:t>
      </w:r>
      <w:r>
        <w:lastRenderedPageBreak/>
        <w:t xml:space="preserve">encourage a utility to </w:t>
      </w:r>
      <w:r w:rsidRPr="00BF1B7C">
        <w:t xml:space="preserve">conclude that it needs to change its assessment of the effectiveness of a mitigation or of the </w:t>
      </w:r>
      <w:r>
        <w:t xml:space="preserve">modelled </w:t>
      </w:r>
      <w:r w:rsidRPr="00BF1B7C">
        <w:t>likelihood of the risk event.</w:t>
      </w:r>
      <w:r>
        <w:rPr>
          <w:rStyle w:val="FootnoteReference"/>
        </w:rPr>
        <w:footnoteReference w:id="137"/>
      </w:r>
      <w:r>
        <w:t xml:space="preserve"> TURN’s approach recognizes </w:t>
      </w:r>
      <w:r w:rsidR="0001508E">
        <w:t>t</w:t>
      </w:r>
      <w:r w:rsidR="00A04F67">
        <w:t>he Sempra Companies</w:t>
      </w:r>
      <w:r>
        <w:t xml:space="preserve">’ comment that an Outcome is not the same as knowing actual risk reduction, but TURN expects the utilities to take the </w:t>
      </w:r>
      <w:r w:rsidRPr="00AB1DC6">
        <w:t xml:space="preserve">opportunity to explain what was learned from the Outcomes and why Outcomes may or may not be consistent with the Plan Phase </w:t>
      </w:r>
      <w:r>
        <w:t>forecasts.</w:t>
      </w:r>
      <w:r>
        <w:rPr>
          <w:rStyle w:val="FootnoteReference"/>
        </w:rPr>
        <w:footnoteReference w:id="138"/>
      </w:r>
    </w:p>
    <w:p w:rsidR="00A02582" w:rsidP="00222BB8" w:rsidRDefault="00A02582" w14:paraId="51175E90" w14:textId="41614E65">
      <w:pPr>
        <w:pStyle w:val="Standard"/>
      </w:pPr>
      <w:r>
        <w:t xml:space="preserve">Cal Advocates supports including each of the tables listed in Section 10.1 as it will help the Commission </w:t>
      </w:r>
      <w:r w:rsidRPr="00ED3939">
        <w:t>to explain any discrepancies between the projected risk mitigation and the actual risk mitigation</w:t>
      </w:r>
      <w:r>
        <w:t xml:space="preserve"> </w:t>
      </w:r>
      <w:r w:rsidR="003356B4">
        <w:t>as described in</w:t>
      </w:r>
      <w:r>
        <w:t xml:space="preserve"> D.14-12-025.</w:t>
      </w:r>
      <w:r>
        <w:rPr>
          <w:rStyle w:val="FootnoteReference"/>
        </w:rPr>
        <w:footnoteReference w:id="139"/>
      </w:r>
      <w:r>
        <w:t xml:space="preserve"> TURN notes that none of the </w:t>
      </w:r>
      <w:r w:rsidR="007874CF">
        <w:t>p</w:t>
      </w:r>
      <w:r>
        <w:t xml:space="preserve">arties objected to the tables </w:t>
      </w:r>
      <w:r w:rsidR="0052456A">
        <w:t>proposed in the Staff RMAR Proposal</w:t>
      </w:r>
      <w:r>
        <w:t>.</w:t>
      </w:r>
      <w:r>
        <w:rPr>
          <w:rStyle w:val="FootnoteReference"/>
        </w:rPr>
        <w:footnoteReference w:id="140"/>
      </w:r>
      <w:r>
        <w:t xml:space="preserve"> TURN recommends that in the Plan Phase Table</w:t>
      </w:r>
      <w:r w:rsidRPr="00C31FB5">
        <w:t xml:space="preserve"> the line item for “Net Mitigation Benefit” </w:t>
      </w:r>
      <w:r w:rsidR="00CE30BE">
        <w:t xml:space="preserve">in the Plan Phase table </w:t>
      </w:r>
      <w:r w:rsidRPr="00C31FB5">
        <w:t xml:space="preserve">be deleted, as this is a value that utilities are </w:t>
      </w:r>
      <w:r w:rsidR="00A067FA">
        <w:t xml:space="preserve">not </w:t>
      </w:r>
      <w:r w:rsidRPr="00C31FB5">
        <w:t>currently required</w:t>
      </w:r>
      <w:r w:rsidR="00A067FA">
        <w:t xml:space="preserve"> by the RDF</w:t>
      </w:r>
      <w:r w:rsidRPr="00C31FB5">
        <w:t xml:space="preserve"> to report.</w:t>
      </w:r>
      <w:r>
        <w:rPr>
          <w:rStyle w:val="FootnoteReference"/>
        </w:rPr>
        <w:footnoteReference w:id="141"/>
      </w:r>
      <w:r>
        <w:t xml:space="preserve"> TURN recommends adding Outcome Tables that </w:t>
      </w:r>
      <w:r w:rsidRPr="00041758">
        <w:t>compar</w:t>
      </w:r>
      <w:r>
        <w:t>e</w:t>
      </w:r>
      <w:r w:rsidRPr="00041758">
        <w:t xml:space="preserve"> Outcomes</w:t>
      </w:r>
      <w:r>
        <w:t xml:space="preserve"> </w:t>
      </w:r>
      <w:r w:rsidRPr="00041758">
        <w:t>with the utility’s Plan values for post-mitigation risk reduction</w:t>
      </w:r>
      <w:r>
        <w:t>,</w:t>
      </w:r>
      <w:r w:rsidRPr="00041758">
        <w:t xml:space="preserve"> a</w:t>
      </w:r>
      <w:r w:rsidR="00A067FA">
        <w:t>s well as</w:t>
      </w:r>
      <w:r w:rsidRPr="00041758">
        <w:t xml:space="preserve"> </w:t>
      </w:r>
      <w:r>
        <w:t xml:space="preserve">compare </w:t>
      </w:r>
      <w:r w:rsidRPr="00041758">
        <w:t>the utility’s Plan values for the key Accounts (line items) with the utility’s revisions to those values based on actual results.</w:t>
      </w:r>
      <w:r>
        <w:rPr>
          <w:rStyle w:val="FootnoteReference"/>
        </w:rPr>
        <w:footnoteReference w:id="142"/>
      </w:r>
    </w:p>
    <w:p w:rsidR="00A02582" w:rsidP="00A02582" w:rsidRDefault="00A02582" w14:paraId="0893979A" w14:textId="2A39CE54">
      <w:pPr>
        <w:pStyle w:val="Standard"/>
      </w:pPr>
      <w:r>
        <w:t>Both Cal Advocates and EPUC/IS agree with the multidimensionality of RMAR tables and Cal Advocates in particular support</w:t>
      </w:r>
      <w:r w:rsidR="00A067FA">
        <w:t>s</w:t>
      </w:r>
      <w:r>
        <w:t xml:space="preserve"> the dimensions listed in </w:t>
      </w:r>
      <w:r>
        <w:lastRenderedPageBreak/>
        <w:t xml:space="preserve">the Staff </w:t>
      </w:r>
      <w:r w:rsidR="00A067FA">
        <w:t xml:space="preserve">RMAR </w:t>
      </w:r>
      <w:r>
        <w:t>Proposal.</w:t>
      </w:r>
      <w:r>
        <w:rPr>
          <w:rStyle w:val="FootnoteReference"/>
        </w:rPr>
        <w:footnoteReference w:id="143"/>
      </w:r>
      <w:r>
        <w:t xml:space="preserve"> TURN also agree</w:t>
      </w:r>
      <w:r w:rsidR="00A067FA">
        <w:t>s</w:t>
      </w:r>
      <w:r>
        <w:t xml:space="preserve"> with those dimensions, </w:t>
      </w:r>
      <w:r w:rsidR="00A067FA">
        <w:t>but</w:t>
      </w:r>
      <w:r>
        <w:t xml:space="preserve"> recommend that tail average risk and risk tolerance not be included in the RMAR.</w:t>
      </w:r>
      <w:r>
        <w:rPr>
          <w:rStyle w:val="FootnoteReference"/>
        </w:rPr>
        <w:footnoteReference w:id="144"/>
      </w:r>
      <w:r>
        <w:t xml:space="preserve"> EPUC/IS suggest</w:t>
      </w:r>
      <w:r w:rsidR="00491346">
        <w:t>s</w:t>
      </w:r>
      <w:r>
        <w:t xml:space="preserve"> removing tail average and risk tolerance from RMAR </w:t>
      </w:r>
      <w:r w:rsidR="00491346">
        <w:t>t</w:t>
      </w:r>
      <w:r>
        <w:t>ables.</w:t>
      </w:r>
      <w:r>
        <w:rPr>
          <w:rStyle w:val="FootnoteReference"/>
        </w:rPr>
        <w:footnoteReference w:id="145"/>
      </w:r>
      <w:r>
        <w:t xml:space="preserve"> TURN states that the RMAR should not have to wait for the resolution of the risk tolerance topic before being implemented.</w:t>
      </w:r>
      <w:r>
        <w:rPr>
          <w:rStyle w:val="FootnoteReference"/>
        </w:rPr>
        <w:footnoteReference w:id="146"/>
      </w:r>
      <w:r>
        <w:t xml:space="preserve"> EPUC/IS recommends the Commission require the utilities demonstrate </w:t>
      </w:r>
      <w:r w:rsidRPr="00815869">
        <w:t>the impact of risk mitigations down to the tranche and RRU levels</w:t>
      </w:r>
      <w:r>
        <w:t>.</w:t>
      </w:r>
      <w:r>
        <w:rPr>
          <w:rStyle w:val="FootnoteReference"/>
        </w:rPr>
        <w:footnoteReference w:id="147"/>
      </w:r>
      <w:r>
        <w:t xml:space="preserve"> </w:t>
      </w:r>
    </w:p>
    <w:p w:rsidR="00A02582" w:rsidP="00A02582" w:rsidRDefault="00A02582" w14:paraId="212BA7E5" w14:textId="3BB60EAA">
      <w:pPr>
        <w:pStyle w:val="Standard"/>
        <w:rPr>
          <w:rFonts w:eastAsia="Garamond" w:cs="Garamond"/>
          <w:color w:val="000000" w:themeColor="text1"/>
        </w:rPr>
      </w:pPr>
      <w:r>
        <w:t xml:space="preserve">SCE notes that </w:t>
      </w:r>
      <w:r w:rsidRPr="00230A37">
        <w:t>the table names in Section 10.1 of the Staff RMAR Proposal may appear to work conceptually,</w:t>
      </w:r>
      <w:r>
        <w:t xml:space="preserve"> but</w:t>
      </w:r>
      <w:r w:rsidRPr="00230A37">
        <w:t xml:space="preserve"> the actual format, terminology and content for the tables are confusing.</w:t>
      </w:r>
      <w:r>
        <w:rPr>
          <w:rStyle w:val="FootnoteReference"/>
        </w:rPr>
        <w:footnoteReference w:id="148"/>
      </w:r>
      <w:r>
        <w:t xml:space="preserve"> TURN state</w:t>
      </w:r>
      <w:r w:rsidR="00D27812">
        <w:t>s</w:t>
      </w:r>
      <w:r>
        <w:t xml:space="preserve"> that t</w:t>
      </w:r>
      <w:r w:rsidRPr="00451CF8">
        <w:t xml:space="preserve">erms that are used in </w:t>
      </w:r>
      <w:r w:rsidR="00D27812">
        <w:t xml:space="preserve">the </w:t>
      </w:r>
      <w:r w:rsidRPr="00451CF8">
        <w:t>proposed Results Phase tables, such as “outcomes”, “risk outcomes”, “forecasts” and “actuals” would benefit from clear definitions</w:t>
      </w:r>
      <w:r w:rsidR="00D27812">
        <w:t xml:space="preserve"> and </w:t>
      </w:r>
      <w:r>
        <w:t>that</w:t>
      </w:r>
      <w:r w:rsidR="00D27812">
        <w:t>,</w:t>
      </w:r>
      <w:r>
        <w:t xml:space="preserve"> in the context of RMAR</w:t>
      </w:r>
      <w:r w:rsidR="00D27812">
        <w:t>,</w:t>
      </w:r>
      <w:r>
        <w:t xml:space="preserve"> the term “outcome” should be understood </w:t>
      </w:r>
      <w:r w:rsidRPr="001D22B6">
        <w:t xml:space="preserve">as </w:t>
      </w:r>
      <w:r w:rsidRPr="001D22B6">
        <w:rPr>
          <w:rFonts w:eastAsia="Garamond" w:cs="Garamond"/>
          <w:color w:val="000000" w:themeColor="text1"/>
        </w:rPr>
        <w:t>the monetized impact of risk events that have occurred in a year.</w:t>
      </w:r>
      <w:r w:rsidRPr="001D22B6">
        <w:rPr>
          <w:rStyle w:val="FootnoteReference"/>
        </w:rPr>
        <w:footnoteReference w:id="149"/>
      </w:r>
      <w:r w:rsidRPr="001D22B6">
        <w:rPr>
          <w:rFonts w:eastAsia="Garamond" w:cs="Garamond"/>
          <w:color w:val="000000" w:themeColor="text1"/>
        </w:rPr>
        <w:t xml:space="preserve"> PG&amp;E agrees with TURN </w:t>
      </w:r>
      <w:r w:rsidR="0087310A">
        <w:rPr>
          <w:rFonts w:eastAsia="Garamond" w:cs="Garamond"/>
          <w:color w:val="000000" w:themeColor="text1"/>
        </w:rPr>
        <w:t xml:space="preserve">and SCE </w:t>
      </w:r>
      <w:r w:rsidRPr="001D22B6">
        <w:rPr>
          <w:rFonts w:eastAsia="Garamond" w:cs="Garamond"/>
          <w:color w:val="000000" w:themeColor="text1"/>
        </w:rPr>
        <w:t>that</w:t>
      </w:r>
      <w:r>
        <w:rPr>
          <w:rFonts w:eastAsia="Garamond" w:cs="Garamond"/>
          <w:color w:val="000000" w:themeColor="text1"/>
        </w:rPr>
        <w:t xml:space="preserve"> greater clarity is needed in many of the terms and recommended that revisions be made to a Lexicon.</w:t>
      </w:r>
      <w:r>
        <w:rPr>
          <w:rStyle w:val="FootnoteReference"/>
          <w:rFonts w:eastAsia="Garamond" w:cs="Garamond"/>
          <w:color w:val="000000" w:themeColor="text1"/>
        </w:rPr>
        <w:footnoteReference w:id="150"/>
      </w:r>
    </w:p>
    <w:p w:rsidR="00A02582" w:rsidP="00A02582" w:rsidRDefault="00A02582" w14:paraId="22D4B178" w14:textId="4888BD99">
      <w:pPr>
        <w:pStyle w:val="Standard"/>
        <w:rPr>
          <w:rFonts w:eastAsia="Garamond" w:cs="Garamond"/>
          <w:color w:val="000000" w:themeColor="text1"/>
        </w:rPr>
      </w:pPr>
      <w:r w:rsidRPr="00AC2BA0">
        <w:rPr>
          <w:rFonts w:eastAsia="Garamond" w:cs="Garamond"/>
          <w:color w:val="000000" w:themeColor="text1"/>
        </w:rPr>
        <w:t>TURN recommends changing the sentence in SPD’s proposed modifications of Row 9 that reads</w:t>
      </w:r>
      <w:r>
        <w:rPr>
          <w:rFonts w:eastAsia="Garamond" w:cs="Garamond"/>
          <w:color w:val="000000" w:themeColor="text1"/>
        </w:rPr>
        <w:t xml:space="preserve"> </w:t>
      </w:r>
      <w:r w:rsidRPr="00AC2BA0">
        <w:rPr>
          <w:rFonts w:eastAsia="Garamond" w:cs="Garamond"/>
          <w:color w:val="000000" w:themeColor="text1"/>
        </w:rPr>
        <w:t xml:space="preserve">“This summary must include a copy of the </w:t>
      </w:r>
      <w:r w:rsidRPr="00AC2BA0">
        <w:rPr>
          <w:rFonts w:eastAsia="Garamond" w:cs="Garamond"/>
          <w:color w:val="000000" w:themeColor="text1"/>
        </w:rPr>
        <w:lastRenderedPageBreak/>
        <w:t xml:space="preserve">utility’s RMAR Outcomes Flow Table and Outcomes Stock Table” to: “This summary must include tables showing </w:t>
      </w:r>
      <w:r w:rsidRPr="00AC2BA0">
        <w:rPr>
          <w:rFonts w:eastAsia="Garamond" w:cs="Garamond"/>
          <w:i/>
          <w:iCs/>
          <w:color w:val="000000" w:themeColor="text1"/>
        </w:rPr>
        <w:t>for each risk: (1) the RMAR table showing the Outcomes compared to the Plan Phase post-mitigation risk; and (2) the RMAR table comparing Plan Phase values for risk reduction and residual risk to the utility’s revisions to those values based on actual results.</w:t>
      </w:r>
      <w:r w:rsidRPr="00AC2BA0">
        <w:rPr>
          <w:rFonts w:eastAsia="Garamond" w:cs="Garamond"/>
          <w:color w:val="000000" w:themeColor="text1"/>
        </w:rPr>
        <w:t>”</w:t>
      </w:r>
      <w:r>
        <w:rPr>
          <w:rStyle w:val="FootnoteReference"/>
          <w:rFonts w:eastAsia="Garamond" w:cs="Garamond"/>
          <w:color w:val="000000" w:themeColor="text1"/>
        </w:rPr>
        <w:footnoteReference w:id="151"/>
      </w:r>
    </w:p>
    <w:p w:rsidR="00A02582" w:rsidP="00A02582" w:rsidRDefault="008D59DE" w14:paraId="54A901B0" w14:textId="054441C4">
      <w:pPr>
        <w:pStyle w:val="Standard"/>
      </w:pPr>
      <w:r>
        <w:rPr>
          <w:rFonts w:eastAsia="Garamond" w:cs="Garamond"/>
          <w:color w:val="000000" w:themeColor="text1"/>
        </w:rPr>
        <w:t>Parties generally agree</w:t>
      </w:r>
      <w:r w:rsidR="00A02582">
        <w:rPr>
          <w:rFonts w:eastAsia="Garamond" w:cs="Garamond"/>
          <w:color w:val="000000" w:themeColor="text1"/>
        </w:rPr>
        <w:t xml:space="preserve"> that progress on work units should be included in an RMAR submission. SCE notes that this information is already submitted by the utilities in the RMAR and if the Commission adopts such a requirement for RMAR, </w:t>
      </w:r>
      <w:r w:rsidRPr="00B50285" w:rsidR="00A02582">
        <w:rPr>
          <w:rFonts w:eastAsia="Garamond" w:cs="Garamond"/>
          <w:color w:val="000000" w:themeColor="text1"/>
        </w:rPr>
        <w:t xml:space="preserve">it should only be applicable if the </w:t>
      </w:r>
      <w:r w:rsidR="00624DD7">
        <w:rPr>
          <w:rFonts w:eastAsia="Garamond" w:cs="Garamond"/>
          <w:color w:val="000000" w:themeColor="text1"/>
        </w:rPr>
        <w:t>utility’</w:t>
      </w:r>
      <w:r w:rsidRPr="00B50285" w:rsidR="00624DD7">
        <w:rPr>
          <w:rFonts w:eastAsia="Garamond" w:cs="Garamond"/>
          <w:color w:val="000000" w:themeColor="text1"/>
        </w:rPr>
        <w:t>s</w:t>
      </w:r>
      <w:r w:rsidRPr="00B50285" w:rsidR="00C61A5F">
        <w:rPr>
          <w:rFonts w:eastAsia="Garamond" w:cs="Garamond"/>
          <w:color w:val="000000" w:themeColor="text1"/>
        </w:rPr>
        <w:t xml:space="preserve"> </w:t>
      </w:r>
      <w:r w:rsidRPr="00B50285" w:rsidR="00A02582">
        <w:rPr>
          <w:rFonts w:eastAsia="Garamond" w:cs="Garamond"/>
          <w:color w:val="000000" w:themeColor="text1"/>
        </w:rPr>
        <w:t>forecast is in work units.</w:t>
      </w:r>
      <w:r w:rsidR="00A02582">
        <w:rPr>
          <w:rStyle w:val="FootnoteReference"/>
          <w:rFonts w:eastAsia="Garamond" w:cs="Garamond"/>
          <w:color w:val="000000" w:themeColor="text1"/>
        </w:rPr>
        <w:footnoteReference w:id="152"/>
      </w:r>
      <w:r w:rsidR="00A02582">
        <w:rPr>
          <w:rFonts w:eastAsia="Garamond" w:cs="Garamond"/>
          <w:color w:val="000000" w:themeColor="text1"/>
        </w:rPr>
        <w:t xml:space="preserve"> TURN </w:t>
      </w:r>
      <w:r w:rsidR="0087310A">
        <w:rPr>
          <w:rFonts w:eastAsia="Garamond" w:cs="Garamond"/>
          <w:color w:val="000000" w:themeColor="text1"/>
        </w:rPr>
        <w:t>argues</w:t>
      </w:r>
      <w:r w:rsidR="00A02582">
        <w:rPr>
          <w:rFonts w:eastAsia="Garamond" w:cs="Garamond"/>
          <w:color w:val="000000" w:themeColor="text1"/>
        </w:rPr>
        <w:t xml:space="preserve"> </w:t>
      </w:r>
      <w:r w:rsidR="00411105">
        <w:rPr>
          <w:rFonts w:eastAsia="Garamond" w:cs="Garamond"/>
          <w:color w:val="000000" w:themeColor="text1"/>
        </w:rPr>
        <w:t xml:space="preserve">that the inclusion of </w:t>
      </w:r>
      <w:r w:rsidR="00140A5B">
        <w:rPr>
          <w:rFonts w:eastAsia="Garamond" w:cs="Garamond"/>
          <w:color w:val="000000" w:themeColor="text1"/>
        </w:rPr>
        <w:t>work units</w:t>
      </w:r>
      <w:r w:rsidR="00A02582">
        <w:rPr>
          <w:rFonts w:eastAsia="Garamond" w:cs="Garamond"/>
          <w:color w:val="000000" w:themeColor="text1"/>
        </w:rPr>
        <w:t xml:space="preserve"> in the RSAR is </w:t>
      </w:r>
      <w:r w:rsidRPr="00402DFF" w:rsidR="00A02582">
        <w:rPr>
          <w:rFonts w:eastAsia="Garamond" w:cs="Garamond"/>
          <w:color w:val="000000" w:themeColor="text1"/>
        </w:rPr>
        <w:t>not a reason to exclude it</w:t>
      </w:r>
      <w:r w:rsidR="00A02582">
        <w:rPr>
          <w:rFonts w:eastAsia="Garamond" w:cs="Garamond"/>
          <w:color w:val="000000" w:themeColor="text1"/>
        </w:rPr>
        <w:t xml:space="preserve"> from </w:t>
      </w:r>
      <w:r w:rsidR="009C71BE">
        <w:rPr>
          <w:rFonts w:eastAsia="Garamond" w:cs="Garamond"/>
          <w:color w:val="000000" w:themeColor="text1"/>
        </w:rPr>
        <w:t xml:space="preserve">the </w:t>
      </w:r>
      <w:r w:rsidR="00A02582">
        <w:rPr>
          <w:rFonts w:eastAsia="Garamond" w:cs="Garamond"/>
          <w:color w:val="000000" w:themeColor="text1"/>
        </w:rPr>
        <w:t>RMAR</w:t>
      </w:r>
      <w:r w:rsidR="0087310A">
        <w:rPr>
          <w:rFonts w:eastAsia="Garamond" w:cs="Garamond"/>
          <w:color w:val="000000" w:themeColor="text1"/>
        </w:rPr>
        <w:t>,</w:t>
      </w:r>
      <w:r w:rsidR="00A02582">
        <w:rPr>
          <w:rFonts w:eastAsia="Garamond" w:cs="Garamond"/>
          <w:color w:val="000000" w:themeColor="text1"/>
        </w:rPr>
        <w:t xml:space="preserve"> as </w:t>
      </w:r>
      <w:r w:rsidRPr="00DB53FE" w:rsidR="00A02582">
        <w:rPr>
          <w:rFonts w:eastAsia="Garamond" w:cs="Garamond"/>
          <w:color w:val="000000" w:themeColor="text1"/>
        </w:rPr>
        <w:t>stakeholders should not have to cross-reference the RSAR to understand the results provided in the RMAR.</w:t>
      </w:r>
      <w:r w:rsidR="00A02582">
        <w:rPr>
          <w:rStyle w:val="FootnoteReference"/>
          <w:rFonts w:eastAsia="Garamond" w:cs="Garamond"/>
          <w:color w:val="000000" w:themeColor="text1"/>
        </w:rPr>
        <w:footnoteReference w:id="153"/>
      </w:r>
    </w:p>
    <w:p w:rsidR="005E7BCC" w:rsidP="00F8677C" w:rsidRDefault="00A02582" w14:paraId="795B4935" w14:textId="5E1F55F3">
      <w:pPr>
        <w:pStyle w:val="Standard"/>
      </w:pPr>
      <w:r>
        <w:t xml:space="preserve">TURN and Cal Advocates support the requirement for utilities to explain how changes to </w:t>
      </w:r>
      <w:r w:rsidR="008D59DE">
        <w:t>utility</w:t>
      </w:r>
      <w:r>
        <w:t xml:space="preserve"> risk models will impact their RMAR submissions.</w:t>
      </w:r>
      <w:r>
        <w:rPr>
          <w:rStyle w:val="FootnoteReference"/>
        </w:rPr>
        <w:footnoteReference w:id="154"/>
      </w:r>
      <w:r>
        <w:t xml:space="preserve"> SCE state</w:t>
      </w:r>
      <w:r w:rsidR="00613EA7">
        <w:t>s</w:t>
      </w:r>
      <w:r>
        <w:t xml:space="preserve"> that this content should be included but suggest</w:t>
      </w:r>
      <w:r w:rsidR="00613EA7">
        <w:t>s</w:t>
      </w:r>
      <w:r>
        <w:t xml:space="preserve"> there </w:t>
      </w:r>
      <w:r w:rsidR="00613EA7">
        <w:t>should</w:t>
      </w:r>
      <w:r>
        <w:t xml:space="preserve"> be a relevancy threshold and triggers for determining when a utility should undertake recasting, backcasting</w:t>
      </w:r>
      <w:r w:rsidR="008D59DE">
        <w:t>,</w:t>
      </w:r>
      <w:r>
        <w:t xml:space="preserve"> or replanning.</w:t>
      </w:r>
      <w:r>
        <w:rPr>
          <w:rStyle w:val="FootnoteReference"/>
        </w:rPr>
        <w:footnoteReference w:id="155"/>
      </w:r>
      <w:r>
        <w:t xml:space="preserve"> Cal Advocates present</w:t>
      </w:r>
      <w:r w:rsidR="00613EA7">
        <w:t>s</w:t>
      </w:r>
      <w:r>
        <w:t xml:space="preserve"> the following table for establishing triggers:</w:t>
      </w:r>
      <w:r>
        <w:rPr>
          <w:rStyle w:val="FootnoteReference"/>
        </w:rPr>
        <w:footnoteReference w:id="156"/>
      </w:r>
    </w:p>
    <w:p w:rsidR="005E7BCC" w:rsidP="00A02582" w:rsidRDefault="005E7BCC" w14:paraId="30E03B02" w14:textId="77777777">
      <w:pPr>
        <w:pStyle w:val="Standard"/>
      </w:pPr>
    </w:p>
    <w:tbl>
      <w:tblPr>
        <w:tblStyle w:val="TableGrid"/>
        <w:tblW w:w="0" w:type="auto"/>
        <w:tblLook w:val="04A0" w:firstRow="1" w:lastRow="0" w:firstColumn="1" w:lastColumn="0" w:noHBand="0" w:noVBand="1"/>
      </w:tblPr>
      <w:tblGrid>
        <w:gridCol w:w="4675"/>
        <w:gridCol w:w="4675"/>
      </w:tblGrid>
      <w:tr w:rsidR="00A02582" w14:paraId="68147011" w14:textId="77777777">
        <w:tc>
          <w:tcPr>
            <w:tcW w:w="4675" w:type="dxa"/>
          </w:tcPr>
          <w:p w:rsidR="00A02582" w:rsidP="00F8677C" w:rsidRDefault="00A02582" w14:paraId="4AAAC6CE" w14:textId="77777777">
            <w:pPr>
              <w:pStyle w:val="TableText"/>
            </w:pPr>
            <w:r>
              <w:t>Commission-required Action</w:t>
            </w:r>
          </w:p>
        </w:tc>
        <w:tc>
          <w:tcPr>
            <w:tcW w:w="4675" w:type="dxa"/>
          </w:tcPr>
          <w:p w:rsidR="00A02582" w:rsidP="00F8677C" w:rsidRDefault="00A02582" w14:paraId="1499B72A" w14:textId="77777777">
            <w:pPr>
              <w:pStyle w:val="TableText"/>
            </w:pPr>
            <w:r>
              <w:t>Scenario</w:t>
            </w:r>
          </w:p>
        </w:tc>
      </w:tr>
      <w:tr w:rsidR="00A02582" w14:paraId="5A2E121D" w14:textId="77777777">
        <w:tc>
          <w:tcPr>
            <w:tcW w:w="4675" w:type="dxa"/>
          </w:tcPr>
          <w:p w:rsidR="00A02582" w:rsidP="00F8677C" w:rsidRDefault="00A02582" w14:paraId="731C23A6" w14:textId="77777777">
            <w:pPr>
              <w:pStyle w:val="TableText"/>
            </w:pPr>
            <w:r>
              <w:lastRenderedPageBreak/>
              <w:t>Recast</w:t>
            </w:r>
          </w:p>
        </w:tc>
        <w:tc>
          <w:tcPr>
            <w:tcW w:w="4675" w:type="dxa"/>
          </w:tcPr>
          <w:p w:rsidR="00A02582" w:rsidP="00F8677C" w:rsidRDefault="00A02582" w14:paraId="19909197" w14:textId="77777777">
            <w:pPr>
              <w:pStyle w:val="TableText"/>
            </w:pPr>
            <w:r>
              <w:t>Change in risk model that results in a change in the reported risk reduction of a given mitigation.</w:t>
            </w:r>
          </w:p>
        </w:tc>
      </w:tr>
      <w:tr w:rsidR="00A02582" w14:paraId="01F2D7AF" w14:textId="77777777">
        <w:tc>
          <w:tcPr>
            <w:tcW w:w="4675" w:type="dxa"/>
          </w:tcPr>
          <w:p w:rsidR="00A02582" w:rsidP="00F8677C" w:rsidRDefault="00A02582" w14:paraId="3479CE95" w14:textId="77777777">
            <w:pPr>
              <w:pStyle w:val="TableText"/>
            </w:pPr>
            <w:r>
              <w:t>Backcast</w:t>
            </w:r>
          </w:p>
        </w:tc>
        <w:tc>
          <w:tcPr>
            <w:tcW w:w="4675" w:type="dxa"/>
          </w:tcPr>
          <w:p w:rsidR="00A02582" w:rsidP="00F8677C" w:rsidRDefault="00A02582" w14:paraId="3FF7011F" w14:textId="77777777">
            <w:pPr>
              <w:pStyle w:val="TableText"/>
            </w:pPr>
            <w:r>
              <w:t>Change in risk model that results in a change in the reported risk reduction of a given mitigation.</w:t>
            </w:r>
          </w:p>
        </w:tc>
      </w:tr>
      <w:tr w:rsidR="00A02582" w14:paraId="7AB77325" w14:textId="77777777">
        <w:tc>
          <w:tcPr>
            <w:tcW w:w="4675" w:type="dxa"/>
          </w:tcPr>
          <w:p w:rsidR="00A02582" w:rsidP="00F8677C" w:rsidRDefault="00A02582" w14:paraId="5C490ABF" w14:textId="77777777">
            <w:pPr>
              <w:pStyle w:val="TableText"/>
            </w:pPr>
            <w:r>
              <w:t>Replan</w:t>
            </w:r>
          </w:p>
        </w:tc>
        <w:tc>
          <w:tcPr>
            <w:tcW w:w="4675" w:type="dxa"/>
          </w:tcPr>
          <w:p w:rsidR="00A02582" w:rsidP="00F8677C" w:rsidRDefault="00A02582" w14:paraId="792E27BD" w14:textId="77777777">
            <w:pPr>
              <w:pStyle w:val="TableText"/>
            </w:pPr>
            <w:r>
              <w:t>Repeated consequential risk model changes or unforeseen event such as a new mitigation coming to light.</w:t>
            </w:r>
          </w:p>
        </w:tc>
      </w:tr>
    </w:tbl>
    <w:p w:rsidR="00A02582" w:rsidP="00A02582" w:rsidRDefault="00A02582" w14:paraId="6AC94B73" w14:textId="63331B6D">
      <w:pPr>
        <w:pStyle w:val="Standard"/>
      </w:pPr>
      <w:r>
        <w:t>SCE argues that Cal Advocates</w:t>
      </w:r>
      <w:r w:rsidR="00613EA7">
        <w:t>’ triggers</w:t>
      </w:r>
      <w:r>
        <w:t xml:space="preserve"> are too generic and high-level </w:t>
      </w:r>
      <w:r w:rsidR="00613EA7">
        <w:t>and</w:t>
      </w:r>
      <w:r w:rsidR="00D95BDD">
        <w:t xml:space="preserve"> may</w:t>
      </w:r>
      <w:r>
        <w:t xml:space="preserve"> require the utility to complete these analyses on a near daily basis. </w:t>
      </w:r>
      <w:r>
        <w:rPr>
          <w:rStyle w:val="FootnoteReference"/>
        </w:rPr>
        <w:footnoteReference w:id="157"/>
      </w:r>
      <w:r>
        <w:t xml:space="preserve"> </w:t>
      </w:r>
      <w:r w:rsidR="00A04F67">
        <w:t>The Sempra Companies</w:t>
      </w:r>
      <w:r>
        <w:t xml:space="preserve"> also describe Cal Advocates </w:t>
      </w:r>
      <w:r w:rsidR="009672BD">
        <w:t xml:space="preserve">scenarios </w:t>
      </w:r>
      <w:r>
        <w:t>a</w:t>
      </w:r>
      <w:r w:rsidR="003E448D">
        <w:t xml:space="preserve">s </w:t>
      </w:r>
      <w:r>
        <w:t>under specified</w:t>
      </w:r>
      <w:r w:rsidR="003E448D">
        <w:t xml:space="preserve"> </w:t>
      </w:r>
      <w:r>
        <w:t xml:space="preserve">and </w:t>
      </w:r>
      <w:r w:rsidR="006E33CF">
        <w:t>recommends</w:t>
      </w:r>
      <w:r>
        <w:t xml:space="preserve"> </w:t>
      </w:r>
      <w:r w:rsidR="006E33CF">
        <w:t>additional</w:t>
      </w:r>
      <w:r>
        <w:t xml:space="preserve"> discussion on this topic.</w:t>
      </w:r>
      <w:r>
        <w:rPr>
          <w:rStyle w:val="FootnoteReference"/>
        </w:rPr>
        <w:footnoteReference w:id="158"/>
      </w:r>
    </w:p>
    <w:p w:rsidR="00A02582" w:rsidP="003E448D" w:rsidRDefault="00A02582" w14:paraId="4760621A" w14:textId="7D7FE6F2">
      <w:pPr>
        <w:pStyle w:val="Standard"/>
      </w:pPr>
      <w:r>
        <w:t xml:space="preserve"> PG&amp;E is </w:t>
      </w:r>
      <w:r w:rsidRPr="00FA5D98">
        <w:t xml:space="preserve">opposed to any backcasting requirement for the RMAR, RRUs, RAMP, GRC and/or other risk-related filings and reports. </w:t>
      </w:r>
      <w:r>
        <w:t>Instead</w:t>
      </w:r>
      <w:r w:rsidR="006540AF">
        <w:t>,</w:t>
      </w:r>
      <w:r>
        <w:t xml:space="preserve"> </w:t>
      </w:r>
      <w:r w:rsidR="006E33CF">
        <w:t>PG&amp;E</w:t>
      </w:r>
      <w:r>
        <w:t xml:space="preserve"> present</w:t>
      </w:r>
      <w:r w:rsidR="006E33CF">
        <w:t>s</w:t>
      </w:r>
      <w:r>
        <w:t xml:space="preserve"> an approach where they plot two curves of risk, </w:t>
      </w:r>
      <w:r w:rsidR="006E33CF">
        <w:t xml:space="preserve">one from the old model and one from the </w:t>
      </w:r>
      <w:r w:rsidR="00087F11">
        <w:t>updated</w:t>
      </w:r>
      <w:r w:rsidR="003F6AAD">
        <w:t xml:space="preserve"> model, using the same inputs</w:t>
      </w:r>
      <w:r>
        <w:t xml:space="preserve">. PG&amp;E claims that </w:t>
      </w:r>
      <w:r w:rsidR="00626CD1">
        <w:t xml:space="preserve">the </w:t>
      </w:r>
      <w:r>
        <w:t xml:space="preserve">difference between the curves </w:t>
      </w:r>
      <w:r w:rsidR="003F6AAD">
        <w:t>reflect variability from</w:t>
      </w:r>
      <w:r>
        <w:t xml:space="preserve"> model uncertainty.</w:t>
      </w:r>
      <w:r>
        <w:rPr>
          <w:rStyle w:val="FootnoteReference"/>
        </w:rPr>
        <w:footnoteReference w:id="159"/>
      </w:r>
      <w:r>
        <w:t xml:space="preserve"> TURN argues that PG&amp;E’s approach </w:t>
      </w:r>
      <w:r w:rsidRPr="001E1F74">
        <w:t>make</w:t>
      </w:r>
      <w:r>
        <w:t>s</w:t>
      </w:r>
      <w:r w:rsidRPr="001E1F74">
        <w:t xml:space="preserve"> the case for backcasting</w:t>
      </w:r>
      <w:r>
        <w:t xml:space="preserve"> because </w:t>
      </w:r>
      <w:r w:rsidR="00E67179">
        <w:t xml:space="preserve">it </w:t>
      </w:r>
      <w:r w:rsidR="00626CD1">
        <w:t xml:space="preserve">is </w:t>
      </w:r>
      <w:r w:rsidRPr="00A976B0">
        <w:t>disjointed from past estimates and provides no context for why the current year estimate has changed from the original estimate.</w:t>
      </w:r>
      <w:r>
        <w:rPr>
          <w:rStyle w:val="FootnoteReference"/>
        </w:rPr>
        <w:footnoteReference w:id="160"/>
      </w:r>
      <w:r>
        <w:t xml:space="preserve"> Cal Advocates similarly notes that PG&amp;E’s approach </w:t>
      </w:r>
      <w:r w:rsidRPr="00CF288C">
        <w:t>only captures forward-looking changes to the risk buydown curve</w:t>
      </w:r>
      <w:r>
        <w:t xml:space="preserve"> and </w:t>
      </w:r>
      <w:r w:rsidRPr="00CF288C">
        <w:t>does not capture how up-to-date risk data and analysis change</w:t>
      </w:r>
      <w:r w:rsidR="00741059">
        <w:t>s</w:t>
      </w:r>
      <w:r w:rsidRPr="00CF288C">
        <w:t xml:space="preserve"> PG&amp;E’s risk profile and risk buydown curve</w:t>
      </w:r>
      <w:r>
        <w:t>.</w:t>
      </w:r>
      <w:r>
        <w:rPr>
          <w:rStyle w:val="FootnoteReference"/>
        </w:rPr>
        <w:footnoteReference w:id="161"/>
      </w:r>
    </w:p>
    <w:p w:rsidR="00A02582" w:rsidP="002117B4" w:rsidRDefault="00A02582" w14:paraId="57A06BDE" w14:textId="6014ACA9">
      <w:pPr>
        <w:pStyle w:val="Standard"/>
      </w:pPr>
      <w:r>
        <w:lastRenderedPageBreak/>
        <w:t>TURN, EPUC/IS</w:t>
      </w:r>
      <w:r w:rsidR="00741059">
        <w:t>,</w:t>
      </w:r>
      <w:r>
        <w:t xml:space="preserve"> and Cal Advocates all support the </w:t>
      </w:r>
      <w:r w:rsidR="00741059">
        <w:t xml:space="preserve">use of </w:t>
      </w:r>
      <w:r>
        <w:t xml:space="preserve">causal </w:t>
      </w:r>
      <w:r w:rsidR="007E69E8">
        <w:t>narratives</w:t>
      </w:r>
      <w:r w:rsidR="00741059">
        <w:t xml:space="preserve"> in the RMAR</w:t>
      </w:r>
      <w:r w:rsidR="007E69E8">
        <w:t xml:space="preserve"> </w:t>
      </w:r>
      <w:r>
        <w:t>to demonstrate the relationship between</w:t>
      </w:r>
      <w:r w:rsidR="00741059">
        <w:t xml:space="preserve"> mitigation</w:t>
      </w:r>
      <w:r>
        <w:t xml:space="preserve"> </w:t>
      </w:r>
      <w:r w:rsidRPr="002D0F23">
        <w:t>implementation and the stated risk reduction</w:t>
      </w:r>
      <w:r>
        <w:t xml:space="preserve"> and a demonstration of how a utility can </w:t>
      </w:r>
      <w:r w:rsidR="00741059">
        <w:t>attribute</w:t>
      </w:r>
      <w:r>
        <w:t xml:space="preserve"> risk reduction to the </w:t>
      </w:r>
      <w:r w:rsidR="00741059">
        <w:t xml:space="preserve">mitigation </w:t>
      </w:r>
      <w:r>
        <w:t>implementatio</w:t>
      </w:r>
      <w:r w:rsidR="00741059">
        <w:t>n</w:t>
      </w:r>
      <w:r>
        <w:t>.</w:t>
      </w:r>
      <w:r>
        <w:rPr>
          <w:rStyle w:val="FootnoteReference"/>
        </w:rPr>
        <w:footnoteReference w:id="162"/>
      </w:r>
      <w:r>
        <w:t xml:space="preserve"> TURN states </w:t>
      </w:r>
      <w:r w:rsidR="00741059">
        <w:t xml:space="preserve">that </w:t>
      </w:r>
      <w:r>
        <w:t xml:space="preserve">utilities can provide their best explanation of the causes of variances between Plan Phase forecasts and Results Phase outcomes </w:t>
      </w:r>
      <w:r w:rsidR="00741059">
        <w:t>in the narrative sections of the RMAR</w:t>
      </w:r>
      <w:r>
        <w:t>.</w:t>
      </w:r>
      <w:r>
        <w:rPr>
          <w:rStyle w:val="FootnoteReference"/>
        </w:rPr>
        <w:footnoteReference w:id="163"/>
      </w:r>
      <w:r>
        <w:t xml:space="preserve"> Similarly</w:t>
      </w:r>
      <w:r w:rsidR="009D2ADA">
        <w:t>,</w:t>
      </w:r>
      <w:r>
        <w:t xml:space="preserve"> TURN states that the utilities can provide narrative explanations regarding whether </w:t>
      </w:r>
      <w:r w:rsidRPr="00033316">
        <w:t xml:space="preserve">achieved risk reduction </w:t>
      </w:r>
      <w:r>
        <w:t>should be</w:t>
      </w:r>
      <w:r w:rsidRPr="00033316">
        <w:t xml:space="preserve"> attributable </w:t>
      </w:r>
      <w:r>
        <w:t>to mitigations or causes other than mitigations.</w:t>
      </w:r>
      <w:r>
        <w:rPr>
          <w:rStyle w:val="FootnoteReference"/>
        </w:rPr>
        <w:footnoteReference w:id="164"/>
      </w:r>
      <w:r>
        <w:t xml:space="preserve"> All three utilities are cautious </w:t>
      </w:r>
      <w:r w:rsidR="00140A5B">
        <w:t>about</w:t>
      </w:r>
      <w:r>
        <w:t xml:space="preserve"> provid</w:t>
      </w:r>
      <w:r w:rsidR="00140A5B">
        <w:t>ing</w:t>
      </w:r>
      <w:r>
        <w:t xml:space="preserve"> causal </w:t>
      </w:r>
      <w:r w:rsidR="00140A5B">
        <w:t>narratives</w:t>
      </w:r>
      <w:r>
        <w:t>.</w:t>
      </w:r>
      <w:r>
        <w:rPr>
          <w:rStyle w:val="FootnoteReference"/>
        </w:rPr>
        <w:footnoteReference w:id="165"/>
      </w:r>
      <w:r>
        <w:t xml:space="preserve"> TURN does not expect </w:t>
      </w:r>
      <w:r w:rsidRPr="009446F6">
        <w:t>causation and attribution estimates to be precisely accurate</w:t>
      </w:r>
      <w:r>
        <w:t xml:space="preserve">, but </w:t>
      </w:r>
      <w:r w:rsidR="00F74219">
        <w:t xml:space="preserve">argues </w:t>
      </w:r>
      <w:r w:rsidRPr="009446F6">
        <w:t>the utilities should have good reason for deploying each mitigation</w:t>
      </w:r>
      <w:r>
        <w:t>.</w:t>
      </w:r>
      <w:r>
        <w:rPr>
          <w:rStyle w:val="FootnoteReference"/>
        </w:rPr>
        <w:footnoteReference w:id="166"/>
      </w:r>
      <w:r>
        <w:t xml:space="preserve"> EPUC/IS contends that i</w:t>
      </w:r>
      <w:r w:rsidRPr="00E82872">
        <w:t xml:space="preserve">t is the </w:t>
      </w:r>
      <w:r>
        <w:t>utilities responsibility</w:t>
      </w:r>
      <w:r w:rsidRPr="00E82872">
        <w:t xml:space="preserve"> to demonstrate the </w:t>
      </w:r>
      <w:r>
        <w:t xml:space="preserve">causal relationship </w:t>
      </w:r>
      <w:r w:rsidRPr="00E82872">
        <w:t>of their risk mitigation efforts</w:t>
      </w:r>
      <w:r>
        <w:t xml:space="preserve">, which should also take </w:t>
      </w:r>
      <w:r w:rsidRPr="00E82872">
        <w:t>into account the interrelationships between various risk mitigations.</w:t>
      </w:r>
      <w:r>
        <w:rPr>
          <w:rStyle w:val="FootnoteReference"/>
        </w:rPr>
        <w:footnoteReference w:id="167"/>
      </w:r>
      <w:r w:rsidRPr="00E82872">
        <w:t xml:space="preserve"> </w:t>
      </w:r>
      <w:r>
        <w:t>EPUC/IS argues that e</w:t>
      </w:r>
      <w:r w:rsidRPr="0040749E">
        <w:t>ven if a utility’s confidence in the accuracy of its inference is low, it should be required to declare that lack of confidence, and put forth steps</w:t>
      </w:r>
      <w:r>
        <w:t xml:space="preserve"> to</w:t>
      </w:r>
      <w:r w:rsidRPr="0040749E">
        <w:t xml:space="preserve"> </w:t>
      </w:r>
      <w:r>
        <w:t xml:space="preserve">improve the utility’s ability </w:t>
      </w:r>
      <w:r w:rsidRPr="0040749E">
        <w:t xml:space="preserve">to infer </w:t>
      </w:r>
      <w:r>
        <w:t xml:space="preserve">the attribution of </w:t>
      </w:r>
      <w:r w:rsidRPr="0040749E">
        <w:t>risk reduction</w:t>
      </w:r>
      <w:r>
        <w:t xml:space="preserve"> to a mitigation.</w:t>
      </w:r>
      <w:r>
        <w:rPr>
          <w:rStyle w:val="FootnoteReference"/>
        </w:rPr>
        <w:footnoteReference w:id="168"/>
      </w:r>
    </w:p>
    <w:p w:rsidR="00A02582" w:rsidP="00A02582" w:rsidRDefault="00A02582" w14:paraId="4056F71E" w14:textId="3687FB22">
      <w:pPr>
        <w:pStyle w:val="Standard"/>
      </w:pPr>
      <w:r>
        <w:lastRenderedPageBreak/>
        <w:t>Most parties agre</w:t>
      </w:r>
      <w:r w:rsidR="002117B4">
        <w:t>e</w:t>
      </w:r>
      <w:r>
        <w:t xml:space="preserve"> that the RMAR should not be filed as an advice </w:t>
      </w:r>
      <w:r w:rsidR="003F6DD1">
        <w:t>letter but</w:t>
      </w:r>
      <w:r>
        <w:t xml:space="preserve"> rather filed directly to </w:t>
      </w:r>
      <w:r w:rsidR="002117B4">
        <w:t>the</w:t>
      </w:r>
      <w:r w:rsidR="002A4BF6">
        <w:t xml:space="preserve"> </w:t>
      </w:r>
      <w:r>
        <w:t>docket. TURN suggest</w:t>
      </w:r>
      <w:r w:rsidR="009917FE">
        <w:t>s</w:t>
      </w:r>
      <w:r>
        <w:t xml:space="preserve"> that </w:t>
      </w:r>
      <w:r w:rsidRPr="0054492F">
        <w:t>S</w:t>
      </w:r>
      <w:r w:rsidR="009917FE">
        <w:t>PD s</w:t>
      </w:r>
      <w:r w:rsidRPr="0054492F">
        <w:t>taff can issue deficiency letters as necessary as they conduct their review of the submitted RMAR.</w:t>
      </w:r>
      <w:r>
        <w:rPr>
          <w:rStyle w:val="FootnoteReference"/>
        </w:rPr>
        <w:footnoteReference w:id="169"/>
      </w:r>
      <w:r>
        <w:t xml:space="preserve"> SCE, </w:t>
      </w:r>
      <w:r w:rsidR="005A5F03">
        <w:t>t</w:t>
      </w:r>
      <w:r w:rsidR="00A04F67">
        <w:t>he Sempra Companies</w:t>
      </w:r>
      <w:r>
        <w:t>, TURN and Cal Advocates all agre</w:t>
      </w:r>
      <w:r w:rsidR="009917FE">
        <w:t>e</w:t>
      </w:r>
      <w:r>
        <w:t xml:space="preserve"> that the RMAR should follow the same submission guidelines as required by the RSAR.</w:t>
      </w:r>
      <w:r>
        <w:rPr>
          <w:rStyle w:val="FootnoteReference"/>
        </w:rPr>
        <w:footnoteReference w:id="170"/>
      </w:r>
      <w:r>
        <w:t xml:space="preserve"> TURN suggest</w:t>
      </w:r>
      <w:r w:rsidR="009917FE">
        <w:t>s</w:t>
      </w:r>
      <w:r>
        <w:t xml:space="preserve"> that the RMAR </w:t>
      </w:r>
      <w:r w:rsidRPr="0022434D">
        <w:t>should also be posted on a CPUC webpage for RMAR reports, similar to the current RSAR page.</w:t>
      </w:r>
      <w:r>
        <w:rPr>
          <w:rStyle w:val="FootnoteReference"/>
        </w:rPr>
        <w:footnoteReference w:id="171"/>
      </w:r>
      <w:r>
        <w:t xml:space="preserve"> </w:t>
      </w:r>
      <w:r w:rsidRPr="0005411D">
        <w:t xml:space="preserve">PG&amp;E </w:t>
      </w:r>
      <w:r>
        <w:t xml:space="preserve">suggests </w:t>
      </w:r>
      <w:r w:rsidRPr="0005411D">
        <w:t xml:space="preserve">that the RMAR be submitted in the utility’s currently open GRC proceeding in the year following the last year of the applicable historic period covered by the report. </w:t>
      </w:r>
      <w:r>
        <w:t>PG&amp;E recommends that i</w:t>
      </w:r>
      <w:r w:rsidRPr="0005411D">
        <w:t xml:space="preserve">ssues arising from </w:t>
      </w:r>
      <w:r w:rsidR="009917FE">
        <w:t xml:space="preserve">SPD </w:t>
      </w:r>
      <w:r w:rsidRPr="0005411D">
        <w:t>staff and intervenor</w:t>
      </w:r>
      <w:r w:rsidR="009917FE">
        <w:t xml:space="preserve"> evaluation </w:t>
      </w:r>
      <w:r w:rsidRPr="0005411D">
        <w:t xml:space="preserve">can be addressed in the utility’s </w:t>
      </w:r>
      <w:r>
        <w:t>subsequent</w:t>
      </w:r>
      <w:r w:rsidRPr="0005411D">
        <w:t xml:space="preserve"> RAMP</w:t>
      </w:r>
      <w:r>
        <w:t xml:space="preserve"> and </w:t>
      </w:r>
      <w:r w:rsidRPr="0005411D">
        <w:t>GRC</w:t>
      </w:r>
      <w:r>
        <w:t xml:space="preserve"> </w:t>
      </w:r>
      <w:r w:rsidR="009917FE">
        <w:t>a</w:t>
      </w:r>
      <w:r>
        <w:t>pplications</w:t>
      </w:r>
      <w:r w:rsidRPr="0005411D">
        <w:t>.</w:t>
      </w:r>
      <w:r>
        <w:rPr>
          <w:rStyle w:val="FootnoteReference"/>
        </w:rPr>
        <w:footnoteReference w:id="172"/>
      </w:r>
    </w:p>
    <w:p w:rsidR="00A02582" w:rsidP="00A02582" w:rsidRDefault="00A02582" w14:paraId="50982132" w14:textId="431C6792">
      <w:pPr>
        <w:pStyle w:val="Standard"/>
      </w:pPr>
      <w:r>
        <w:t>The utilities recommend allowing them to pilot an RMAR before allowing any kind of enforcement to take place. SCE argues that through a test-run of the RMAR utilities could better understand the new resources needed.</w:t>
      </w:r>
      <w:r>
        <w:rPr>
          <w:rStyle w:val="FootnoteReference"/>
        </w:rPr>
        <w:footnoteReference w:id="173"/>
      </w:r>
      <w:r>
        <w:t xml:space="preserve"> PG&amp;E recommends a simple pilot </w:t>
      </w:r>
      <w:r w:rsidR="000573E0">
        <w:t xml:space="preserve">that </w:t>
      </w:r>
      <w:r>
        <w:t xml:space="preserve">should include the following </w:t>
      </w:r>
      <w:r w:rsidR="000573E0">
        <w:t>features</w:t>
      </w:r>
      <w:r>
        <w:t>:</w:t>
      </w:r>
    </w:p>
    <w:p w:rsidRPr="00FA2831" w:rsidR="00A02582" w:rsidP="008A7967" w:rsidRDefault="00A02582" w14:paraId="773E5B38" w14:textId="77777777">
      <w:pPr>
        <w:pStyle w:val="ListBullet"/>
        <w:ind w:right="1440"/>
      </w:pPr>
      <w:r w:rsidRPr="00FA2831">
        <w:t>Pilots should be for a selected subset of risks.</w:t>
      </w:r>
    </w:p>
    <w:p w:rsidRPr="00FA2831" w:rsidR="00A02582" w:rsidP="008A7967" w:rsidRDefault="00A02582" w14:paraId="2E3E6E4D" w14:textId="77777777">
      <w:pPr>
        <w:pStyle w:val="ListBullet"/>
        <w:ind w:right="1440"/>
      </w:pPr>
      <w:r w:rsidRPr="00FA2831">
        <w:t>The reports would calculate risk reduction from actual mitigations performed in the selected historic period.</w:t>
      </w:r>
    </w:p>
    <w:p w:rsidRPr="00FA2831" w:rsidR="00A02582" w:rsidP="008A7967" w:rsidRDefault="00A02582" w14:paraId="2C1A5CA9" w14:textId="77777777">
      <w:pPr>
        <w:pStyle w:val="ListBullet"/>
        <w:ind w:right="1440"/>
      </w:pPr>
      <w:r w:rsidRPr="00FA2831">
        <w:lastRenderedPageBreak/>
        <w:t>Mitigations would be at the program level (i.e., not RRUs or tranches) to match the funding/programs adopted in the GRC.</w:t>
      </w:r>
    </w:p>
    <w:p w:rsidRPr="00FA2831" w:rsidR="00A02582" w:rsidP="008A7967" w:rsidRDefault="00A02582" w14:paraId="0A618D53" w14:textId="77777777">
      <w:pPr>
        <w:pStyle w:val="ListBullet"/>
        <w:ind w:right="1440"/>
      </w:pPr>
      <w:r w:rsidRPr="00FA2831">
        <w:t>The actual risk reductions would be compared to forecast risk reduction from mitigations adopted/funded in the GRC.</w:t>
      </w:r>
    </w:p>
    <w:p w:rsidRPr="00FA2831" w:rsidR="00A02582" w:rsidP="008A7967" w:rsidRDefault="00A02582" w14:paraId="5B775908" w14:textId="77777777">
      <w:pPr>
        <w:pStyle w:val="ListBullet"/>
        <w:ind w:right="1440"/>
      </w:pPr>
      <w:r w:rsidRPr="00FA2831">
        <w:t xml:space="preserve">For the pilot </w:t>
      </w:r>
      <w:r>
        <w:t>a utility</w:t>
      </w:r>
      <w:r w:rsidRPr="00FA2831">
        <w:t xml:space="preserve"> would use the same risk modelling used to forecast the risk reduction when the mitigations were proposed.</w:t>
      </w:r>
    </w:p>
    <w:p w:rsidR="00A02582" w:rsidP="008A7967" w:rsidRDefault="00A02582" w14:paraId="0C9F645F" w14:textId="4D0E1D6F">
      <w:pPr>
        <w:pStyle w:val="ListBullet"/>
        <w:ind w:right="1440"/>
      </w:pPr>
      <w:r w:rsidRPr="00FA2831">
        <w:t>The RMAR can be refined and expanded if desir</w:t>
      </w:r>
      <w:r w:rsidR="00846762">
        <w:t>ed</w:t>
      </w:r>
      <w:r w:rsidRPr="00FA2831">
        <w:t xml:space="preserve"> after feedback on the pilot reports by the </w:t>
      </w:r>
      <w:r w:rsidR="00655B37">
        <w:t>utilitie</w:t>
      </w:r>
      <w:r w:rsidRPr="00FA2831">
        <w:t>s.</w:t>
      </w:r>
      <w:r>
        <w:rPr>
          <w:rStyle w:val="FootnoteReference"/>
        </w:rPr>
        <w:footnoteReference w:id="174"/>
      </w:r>
    </w:p>
    <w:p w:rsidR="00A02582" w:rsidP="006809C2" w:rsidRDefault="00A04F67" w14:paraId="1183536E" w14:textId="26079DF1">
      <w:pPr>
        <w:pStyle w:val="Standard"/>
      </w:pPr>
      <w:r>
        <w:t>The Sempra Companies</w:t>
      </w:r>
      <w:r w:rsidR="00A02582">
        <w:t xml:space="preserve"> provide </w:t>
      </w:r>
      <w:r w:rsidR="00190E42">
        <w:t xml:space="preserve">their </w:t>
      </w:r>
      <w:r w:rsidR="00A02582">
        <w:t xml:space="preserve">own </w:t>
      </w:r>
      <w:r w:rsidR="00846762">
        <w:t xml:space="preserve">pilot </w:t>
      </w:r>
      <w:r w:rsidR="00A02582">
        <w:t xml:space="preserve">approach </w:t>
      </w:r>
      <w:r w:rsidRPr="00F5135D" w:rsidR="00A02582">
        <w:t>with</w:t>
      </w:r>
      <w:r w:rsidR="00A02582">
        <w:t xml:space="preserve"> a</w:t>
      </w:r>
      <w:r w:rsidRPr="00F5135D" w:rsidR="00A02582">
        <w:t xml:space="preserve"> focus on reporting period-to-period change in risk estimates</w:t>
      </w:r>
      <w:r w:rsidR="00A02582">
        <w:t xml:space="preserve"> and exclud</w:t>
      </w:r>
      <w:r w:rsidR="00846762">
        <w:t>ing</w:t>
      </w:r>
      <w:r w:rsidR="00A02582">
        <w:t xml:space="preserve"> costs</w:t>
      </w:r>
      <w:r w:rsidRPr="00F5135D" w:rsidR="00A02582">
        <w:t>, with a requirement to also normalize for non-mitigation effects on the risk estimation</w:t>
      </w:r>
      <w:r w:rsidR="00A02582">
        <w:t>.</w:t>
      </w:r>
      <w:r w:rsidRPr="00D42D04" w:rsidR="00A02582">
        <w:t xml:space="preserve"> </w:t>
      </w:r>
      <w:r w:rsidR="00A02582">
        <w:t>The pilot would explore a set of measures that describe risk as a probability distribution including expected value, scaled expected value, standard deviation, percentiles</w:t>
      </w:r>
      <w:r w:rsidR="004B2C6C">
        <w:t>,</w:t>
      </w:r>
      <w:r w:rsidR="00A02582">
        <w:t xml:space="preserve"> and tail risk</w:t>
      </w:r>
      <w:r w:rsidRPr="00F5135D" w:rsidR="00A02582">
        <w:t>.</w:t>
      </w:r>
      <w:r w:rsidR="00A02582">
        <w:t xml:space="preserve"> </w:t>
      </w:r>
      <w:r>
        <w:t>The Sempra Companies</w:t>
      </w:r>
      <w:r w:rsidR="00A02582">
        <w:t xml:space="preserve"> would expect the pilot to require the </w:t>
      </w:r>
      <w:r w:rsidRPr="00EB7CA2" w:rsidR="00A02582">
        <w:t xml:space="preserve">reporting of </w:t>
      </w:r>
      <w:r w:rsidR="00A02582">
        <w:t>updates to risk models or external changes</w:t>
      </w:r>
      <w:r w:rsidRPr="00EB7CA2" w:rsidR="00A02582">
        <w:t xml:space="preserve"> that can affect the change in risk estimation in order to “normalize” the period-to-period change in the risk distribution.</w:t>
      </w:r>
      <w:r w:rsidR="00A02582">
        <w:t xml:space="preserve"> </w:t>
      </w:r>
      <w:r w:rsidR="00A02582">
        <w:rPr>
          <w:rStyle w:val="FootnoteReference"/>
        </w:rPr>
        <w:footnoteReference w:id="175"/>
      </w:r>
      <w:r w:rsidR="00A02582">
        <w:t xml:space="preserve"> TURN argues that </w:t>
      </w:r>
      <w:r w:rsidR="00FF4C9D">
        <w:t>t</w:t>
      </w:r>
      <w:r>
        <w:t>he Sempra Companies</w:t>
      </w:r>
      <w:r w:rsidR="00A02582">
        <w:t>’ approach is limited to a few general concepts and concerns that it would like to see addressed in an RMAR but does not provide recommendations for tables or specific information that should be reported in the pilot.</w:t>
      </w:r>
      <w:r w:rsidR="00A02582">
        <w:rPr>
          <w:rStyle w:val="FootnoteReference"/>
        </w:rPr>
        <w:footnoteReference w:id="176"/>
      </w:r>
      <w:r w:rsidR="00A02582">
        <w:t xml:space="preserve"> Cal Advocates disagrees with all of the utilities requests to pilot the RMAR </w:t>
      </w:r>
      <w:r w:rsidR="00A66C9D">
        <w:t xml:space="preserve">because </w:t>
      </w:r>
      <w:r w:rsidR="00B41F1F">
        <w:t>this may</w:t>
      </w:r>
      <w:r w:rsidR="00A02582">
        <w:t xml:space="preserve"> provide the Commission with </w:t>
      </w:r>
      <w:r w:rsidRPr="006566EA" w:rsidR="00A02582">
        <w:t xml:space="preserve">an incomplete experience from which to learn </w:t>
      </w:r>
      <w:r w:rsidRPr="006566EA" w:rsidR="00A02582">
        <w:lastRenderedPageBreak/>
        <w:t>about costs, data, reporting, and resources necessary to comply with RMAR requirements.</w:t>
      </w:r>
      <w:r w:rsidR="00A02582">
        <w:rPr>
          <w:rStyle w:val="FootnoteReference"/>
        </w:rPr>
        <w:footnoteReference w:id="177"/>
      </w:r>
      <w:r w:rsidR="00A02582">
        <w:t xml:space="preserve"> Cal Advocates does not see an advantage to piloting the RMAR</w:t>
      </w:r>
      <w:r w:rsidR="004E6CC6">
        <w:t xml:space="preserve"> because of the required transition period between </w:t>
      </w:r>
      <w:r w:rsidR="00280E19">
        <w:t xml:space="preserve">the pilot and the </w:t>
      </w:r>
      <w:r w:rsidR="00915891">
        <w:t>actual RMAR</w:t>
      </w:r>
      <w:r w:rsidR="00A84405">
        <w:t xml:space="preserve"> and the </w:t>
      </w:r>
      <w:r w:rsidR="000B7B88">
        <w:t xml:space="preserve">reduced imperative </w:t>
      </w:r>
      <w:r w:rsidR="00DA7C65">
        <w:t>of a pilot relative to the actual RMAR to provide accurate data</w:t>
      </w:r>
      <w:r w:rsidR="00386B97">
        <w:t>.</w:t>
      </w:r>
      <w:r w:rsidR="00A02582">
        <w:rPr>
          <w:rStyle w:val="FootnoteReference"/>
        </w:rPr>
        <w:footnoteReference w:id="178"/>
      </w:r>
    </w:p>
    <w:p w:rsidR="00A02582" w:rsidP="00A02582" w:rsidRDefault="00394FCC" w14:paraId="6D7EDC8D" w14:textId="2BADBF64">
      <w:pPr>
        <w:pStyle w:val="Standard"/>
      </w:pPr>
      <w:r>
        <w:t>P</w:t>
      </w:r>
      <w:r w:rsidRPr="00D12D7F" w:rsidR="00A02582">
        <w:t xml:space="preserve">arties </w:t>
      </w:r>
      <w:r>
        <w:t xml:space="preserve">generally </w:t>
      </w:r>
      <w:r w:rsidRPr="00D12D7F" w:rsidR="00A02582">
        <w:t xml:space="preserve">agree that </w:t>
      </w:r>
      <w:r w:rsidR="00A02582">
        <w:t>SPD</w:t>
      </w:r>
      <w:r w:rsidR="00386B97">
        <w:t xml:space="preserve"> staff</w:t>
      </w:r>
      <w:r w:rsidR="00A02582">
        <w:t xml:space="preserve"> should hold another workshop to discuss </w:t>
      </w:r>
      <w:r w:rsidRPr="00960188" w:rsidR="00A02582">
        <w:t>the enforcement</w:t>
      </w:r>
      <w:r w:rsidR="00A02582">
        <w:t xml:space="preserve"> </w:t>
      </w:r>
      <w:r w:rsidRPr="00781C58" w:rsidR="00A02582">
        <w:t>framework, the timing of when RMAR reports should begin, approaches to determining attribution</w:t>
      </w:r>
      <w:r w:rsidR="00230982">
        <w:t>,</w:t>
      </w:r>
      <w:r w:rsidR="00A02582">
        <w:t xml:space="preserve"> and any other RMAR related topics the Commission deems necessary to refine within a </w:t>
      </w:r>
      <w:r w:rsidR="00266F99">
        <w:t>S</w:t>
      </w:r>
      <w:r w:rsidR="00A02582">
        <w:t xml:space="preserve">taff Resolution. EPUC/IS recommends that to streamline the process the </w:t>
      </w:r>
      <w:r>
        <w:t>s</w:t>
      </w:r>
      <w:r w:rsidRPr="008C3D7B" w:rsidR="00A02582">
        <w:t xml:space="preserve">taff </w:t>
      </w:r>
      <w:r w:rsidR="00A02582">
        <w:t>R</w:t>
      </w:r>
      <w:r w:rsidRPr="008C3D7B" w:rsidR="00A02582">
        <w:t xml:space="preserve">esolution should be based on the Staff </w:t>
      </w:r>
      <w:r>
        <w:t xml:space="preserve">RMAR </w:t>
      </w:r>
      <w:r w:rsidRPr="008C3D7B" w:rsidR="00A02582">
        <w:t xml:space="preserve">Proposal, comments received during Workshop </w:t>
      </w:r>
      <w:r w:rsidR="009D65FE">
        <w:t>#</w:t>
      </w:r>
      <w:r w:rsidRPr="008C3D7B" w:rsidR="00A02582">
        <w:t xml:space="preserve">3, and Opening and Reply Comments filed on the Staff Proposal and Workshop </w:t>
      </w:r>
      <w:r w:rsidR="009D65FE">
        <w:t>#</w:t>
      </w:r>
      <w:r w:rsidRPr="008C3D7B" w:rsidR="00A02582">
        <w:t>3 questions.</w:t>
      </w:r>
      <w:r w:rsidR="00A02582">
        <w:rPr>
          <w:rStyle w:val="FootnoteReference"/>
        </w:rPr>
        <w:footnoteReference w:id="179"/>
      </w:r>
      <w:r w:rsidRPr="0064204B" w:rsidR="00A02582">
        <w:t xml:space="preserve"> </w:t>
      </w:r>
      <w:r w:rsidR="00A02582">
        <w:t>TURN recommends the following schedule for a follow-on Resolution:</w:t>
      </w:r>
    </w:p>
    <w:tbl>
      <w:tblPr>
        <w:tblStyle w:val="TableGrid"/>
        <w:tblW w:w="0" w:type="auto"/>
        <w:tblInd w:w="-5" w:type="dxa"/>
        <w:tblLook w:val="04A0" w:firstRow="1" w:lastRow="0" w:firstColumn="1" w:lastColumn="0" w:noHBand="0" w:noVBand="1"/>
      </w:tblPr>
      <w:tblGrid>
        <w:gridCol w:w="4315"/>
        <w:gridCol w:w="4775"/>
      </w:tblGrid>
      <w:tr w:rsidRPr="00CA391B" w:rsidR="00DF32D0" w:rsidTr="2E201762" w14:paraId="38241A3B" w14:textId="77777777">
        <w:tc>
          <w:tcPr>
            <w:tcW w:w="4315" w:type="dxa"/>
          </w:tcPr>
          <w:p w:rsidRPr="00CA391B" w:rsidR="00A02582" w:rsidP="008B77F4" w:rsidRDefault="00A02582" w14:paraId="36E00961" w14:textId="77777777">
            <w:pPr>
              <w:pStyle w:val="TableText"/>
              <w:jc w:val="center"/>
              <w:rPr>
                <w:rFonts w:eastAsia="Garamond" w:cs="Garamond"/>
                <w:b/>
                <w:color w:val="000000"/>
              </w:rPr>
            </w:pPr>
            <w:r w:rsidRPr="00217021">
              <w:rPr>
                <w:b/>
              </w:rPr>
              <w:t>Event</w:t>
            </w:r>
          </w:p>
        </w:tc>
        <w:tc>
          <w:tcPr>
            <w:tcW w:w="4775" w:type="dxa"/>
          </w:tcPr>
          <w:p w:rsidRPr="00CA391B" w:rsidR="00A02582" w:rsidP="008B77F4" w:rsidRDefault="00A02582" w14:paraId="4BD4A754" w14:textId="77777777">
            <w:pPr>
              <w:pStyle w:val="TableText"/>
              <w:jc w:val="center"/>
              <w:rPr>
                <w:rFonts w:eastAsia="Garamond" w:cs="Garamond"/>
                <w:b/>
                <w:color w:val="000000"/>
              </w:rPr>
            </w:pPr>
            <w:r w:rsidRPr="00217021">
              <w:rPr>
                <w:b/>
              </w:rPr>
              <w:t>Timing (days from Initial Event)</w:t>
            </w:r>
            <w:r>
              <w:rPr>
                <w:rStyle w:val="FootnoteReference"/>
                <w:b/>
                <w:bCs/>
              </w:rPr>
              <w:footnoteReference w:id="180"/>
            </w:r>
          </w:p>
        </w:tc>
      </w:tr>
      <w:tr w:rsidRPr="00CA391B" w:rsidR="00DF32D0" w:rsidTr="2E201762" w14:paraId="42C92956" w14:textId="77777777">
        <w:tc>
          <w:tcPr>
            <w:tcW w:w="4315" w:type="dxa"/>
          </w:tcPr>
          <w:p w:rsidRPr="00CA391B" w:rsidR="00A02582" w:rsidP="008B77F4" w:rsidRDefault="00A02582" w14:paraId="5C0F25AB" w14:textId="77777777">
            <w:pPr>
              <w:pStyle w:val="TableText"/>
              <w:rPr>
                <w:rFonts w:eastAsia="Garamond" w:cs="Garamond"/>
                <w:color w:val="000000"/>
              </w:rPr>
            </w:pPr>
            <w:r w:rsidRPr="00CA391B">
              <w:t xml:space="preserve">Issuance of Ph. 4 Decision re RMAR </w:t>
            </w:r>
          </w:p>
        </w:tc>
        <w:tc>
          <w:tcPr>
            <w:tcW w:w="4775" w:type="dxa"/>
          </w:tcPr>
          <w:p w:rsidRPr="00CA391B" w:rsidR="00A02582" w:rsidP="008B77F4" w:rsidRDefault="00A02582" w14:paraId="4C2501F6" w14:textId="77777777">
            <w:pPr>
              <w:pStyle w:val="TableText"/>
              <w:rPr>
                <w:rFonts w:eastAsia="Garamond" w:cs="Garamond"/>
                <w:color w:val="000000"/>
              </w:rPr>
            </w:pPr>
            <w:r w:rsidRPr="00CA391B">
              <w:t>0 days</w:t>
            </w:r>
          </w:p>
        </w:tc>
      </w:tr>
      <w:tr w:rsidRPr="00CA391B" w:rsidR="00DF32D0" w:rsidTr="2E201762" w14:paraId="01A361D2" w14:textId="77777777">
        <w:tc>
          <w:tcPr>
            <w:tcW w:w="4315" w:type="dxa"/>
          </w:tcPr>
          <w:p w:rsidRPr="00CA391B" w:rsidR="00A02582" w:rsidP="008B77F4" w:rsidRDefault="00A02582" w14:paraId="3A43A275" w14:textId="77777777">
            <w:pPr>
              <w:pStyle w:val="TableText"/>
              <w:rPr>
                <w:rFonts w:eastAsia="Garamond" w:cs="Garamond"/>
                <w:color w:val="000000"/>
              </w:rPr>
            </w:pPr>
            <w:r w:rsidRPr="00CA391B">
              <w:t xml:space="preserve">SPD-Led Workshop </w:t>
            </w:r>
          </w:p>
        </w:tc>
        <w:tc>
          <w:tcPr>
            <w:tcW w:w="4775" w:type="dxa"/>
          </w:tcPr>
          <w:p w:rsidRPr="00CA391B" w:rsidR="00A02582" w:rsidP="008B77F4" w:rsidRDefault="00A02582" w14:paraId="4FBC30A7" w14:textId="77777777">
            <w:pPr>
              <w:pStyle w:val="TableText"/>
              <w:rPr>
                <w:rFonts w:eastAsia="Garamond" w:cs="Garamond"/>
                <w:color w:val="000000"/>
              </w:rPr>
            </w:pPr>
            <w:r w:rsidRPr="00CA391B">
              <w:t>+ 30 days</w:t>
            </w:r>
          </w:p>
        </w:tc>
      </w:tr>
      <w:tr w:rsidRPr="00CA391B" w:rsidR="00DF32D0" w:rsidTr="2E201762" w14:paraId="6245C884" w14:textId="77777777">
        <w:tc>
          <w:tcPr>
            <w:tcW w:w="4315" w:type="dxa"/>
          </w:tcPr>
          <w:p w:rsidRPr="00CA391B" w:rsidR="00A02582" w:rsidP="008B77F4" w:rsidRDefault="00A02582" w14:paraId="73EC5F05" w14:textId="77777777">
            <w:pPr>
              <w:pStyle w:val="TableText"/>
              <w:rPr>
                <w:rFonts w:eastAsia="Garamond" w:cs="Garamond"/>
                <w:color w:val="000000"/>
              </w:rPr>
            </w:pPr>
            <w:r w:rsidRPr="00CA391B">
              <w:t xml:space="preserve">Post-Workshop Opening Comments </w:t>
            </w:r>
          </w:p>
        </w:tc>
        <w:tc>
          <w:tcPr>
            <w:tcW w:w="4775" w:type="dxa"/>
          </w:tcPr>
          <w:p w:rsidRPr="00CA391B" w:rsidR="00A02582" w:rsidP="008B77F4" w:rsidRDefault="00A02582" w14:paraId="4E0649B0" w14:textId="77777777">
            <w:pPr>
              <w:pStyle w:val="TableText"/>
              <w:rPr>
                <w:rFonts w:eastAsia="Garamond" w:cs="Garamond"/>
                <w:color w:val="000000"/>
              </w:rPr>
            </w:pPr>
            <w:r w:rsidRPr="00CA391B">
              <w:t>+ 55 days</w:t>
            </w:r>
          </w:p>
        </w:tc>
      </w:tr>
      <w:tr w:rsidRPr="00CA391B" w:rsidR="00DF32D0" w:rsidTr="2E201762" w14:paraId="7D5B27D8" w14:textId="77777777">
        <w:tc>
          <w:tcPr>
            <w:tcW w:w="4315" w:type="dxa"/>
          </w:tcPr>
          <w:p w:rsidRPr="00CA391B" w:rsidR="00A02582" w:rsidP="008B77F4" w:rsidRDefault="00A02582" w14:paraId="2A2A5927" w14:textId="77777777">
            <w:pPr>
              <w:pStyle w:val="TableText"/>
              <w:rPr>
                <w:rFonts w:eastAsia="Garamond" w:cs="Garamond"/>
                <w:color w:val="000000"/>
              </w:rPr>
            </w:pPr>
            <w:r w:rsidRPr="00CA391B">
              <w:t xml:space="preserve">Post-Workshop Reply Comments </w:t>
            </w:r>
          </w:p>
        </w:tc>
        <w:tc>
          <w:tcPr>
            <w:tcW w:w="4775" w:type="dxa"/>
          </w:tcPr>
          <w:p w:rsidRPr="00CA391B" w:rsidR="00A02582" w:rsidP="008B77F4" w:rsidRDefault="00A02582" w14:paraId="35AB07E8" w14:textId="77777777">
            <w:pPr>
              <w:pStyle w:val="TableText"/>
              <w:rPr>
                <w:rFonts w:eastAsia="Garamond" w:cs="Garamond"/>
                <w:color w:val="000000"/>
              </w:rPr>
            </w:pPr>
            <w:r w:rsidRPr="00CA391B">
              <w:t>+ 65 days</w:t>
            </w:r>
          </w:p>
        </w:tc>
      </w:tr>
      <w:tr w:rsidRPr="00CA391B" w:rsidR="00DF32D0" w:rsidTr="2E201762" w14:paraId="2193CDA2" w14:textId="77777777">
        <w:tc>
          <w:tcPr>
            <w:tcW w:w="4315" w:type="dxa"/>
          </w:tcPr>
          <w:p w:rsidRPr="00CA391B" w:rsidR="00A02582" w:rsidP="008B77F4" w:rsidRDefault="00A02582" w14:paraId="2D147E22" w14:textId="77777777">
            <w:pPr>
              <w:pStyle w:val="TableText"/>
              <w:rPr>
                <w:rFonts w:eastAsia="Garamond" w:cs="Garamond"/>
                <w:color w:val="000000"/>
              </w:rPr>
            </w:pPr>
            <w:r w:rsidRPr="00CA391B">
              <w:t xml:space="preserve">Draft Resolution Issued </w:t>
            </w:r>
          </w:p>
        </w:tc>
        <w:tc>
          <w:tcPr>
            <w:tcW w:w="4775" w:type="dxa"/>
          </w:tcPr>
          <w:p w:rsidRPr="00CA391B" w:rsidR="00A02582" w:rsidP="008B77F4" w:rsidRDefault="00A02582" w14:paraId="0637B127" w14:textId="77777777">
            <w:pPr>
              <w:pStyle w:val="TableText"/>
              <w:rPr>
                <w:rFonts w:eastAsia="Garamond" w:cs="Garamond"/>
                <w:color w:val="000000"/>
              </w:rPr>
            </w:pPr>
            <w:r w:rsidRPr="00CA391B">
              <w:t>+ 95 days</w:t>
            </w:r>
          </w:p>
        </w:tc>
      </w:tr>
      <w:tr w:rsidRPr="00CA391B" w:rsidR="00DF32D0" w:rsidTr="2E201762" w14:paraId="667E5104" w14:textId="77777777">
        <w:tc>
          <w:tcPr>
            <w:tcW w:w="4315" w:type="dxa"/>
          </w:tcPr>
          <w:p w:rsidRPr="00CA391B" w:rsidR="00A02582" w:rsidP="008B77F4" w:rsidRDefault="00A02582" w14:paraId="3E4476A0" w14:textId="77777777">
            <w:pPr>
              <w:pStyle w:val="TableText"/>
              <w:rPr>
                <w:rFonts w:eastAsia="Garamond" w:cs="Garamond"/>
                <w:color w:val="000000"/>
              </w:rPr>
            </w:pPr>
            <w:r w:rsidRPr="00CA391B">
              <w:t xml:space="preserve">Final Resolution Issued </w:t>
            </w:r>
          </w:p>
        </w:tc>
        <w:tc>
          <w:tcPr>
            <w:tcW w:w="4775" w:type="dxa"/>
          </w:tcPr>
          <w:p w:rsidRPr="00CA391B" w:rsidR="00A02582" w:rsidP="008B77F4" w:rsidRDefault="00A02582" w14:paraId="6387A97F" w14:textId="77777777">
            <w:pPr>
              <w:pStyle w:val="TableText"/>
              <w:rPr>
                <w:rFonts w:eastAsia="Garamond" w:cs="Garamond"/>
                <w:color w:val="000000"/>
              </w:rPr>
            </w:pPr>
            <w:r w:rsidRPr="00CA391B">
              <w:t>+ 125 days</w:t>
            </w:r>
          </w:p>
        </w:tc>
      </w:tr>
    </w:tbl>
    <w:p w:rsidR="00A02582" w:rsidP="008A7967" w:rsidRDefault="00A02582" w14:paraId="16F6E52A" w14:textId="1BAF96B5">
      <w:pPr>
        <w:pStyle w:val="Standard"/>
        <w:keepNext/>
      </w:pPr>
      <w:r w:rsidRPr="001A660F">
        <w:lastRenderedPageBreak/>
        <w:t xml:space="preserve">Cal </w:t>
      </w:r>
      <w:r>
        <w:t xml:space="preserve">Advocates suggests that the </w:t>
      </w:r>
      <w:r w:rsidR="00266F99">
        <w:t>S</w:t>
      </w:r>
      <w:r>
        <w:t xml:space="preserve">taff Resolution should be issued within 90 days </w:t>
      </w:r>
      <w:r w:rsidR="00394FCC">
        <w:t xml:space="preserve">of </w:t>
      </w:r>
      <w:r>
        <w:t>the Phase 4 Decision</w:t>
      </w:r>
      <w:r w:rsidR="00D43734">
        <w:t>’s</w:t>
      </w:r>
      <w:r>
        <w:t xml:space="preserve"> adopt</w:t>
      </w:r>
      <w:r w:rsidR="00D43734">
        <w:t>ion</w:t>
      </w:r>
      <w:r>
        <w:t xml:space="preserve"> and recommends the following schedule for a </w:t>
      </w:r>
      <w:r w:rsidR="00266F99">
        <w:t>S</w:t>
      </w:r>
      <w:r w:rsidR="00D43734">
        <w:t xml:space="preserve">taff </w:t>
      </w:r>
      <w:r>
        <w:t>Resolution:</w:t>
      </w:r>
    </w:p>
    <w:tbl>
      <w:tblPr>
        <w:tblStyle w:val="TableGrid"/>
        <w:tblW w:w="0" w:type="auto"/>
        <w:tblInd w:w="-5" w:type="dxa"/>
        <w:tblLook w:val="04A0" w:firstRow="1" w:lastRow="0" w:firstColumn="1" w:lastColumn="0" w:noHBand="0" w:noVBand="1"/>
      </w:tblPr>
      <w:tblGrid>
        <w:gridCol w:w="4315"/>
        <w:gridCol w:w="4775"/>
      </w:tblGrid>
      <w:tr w:rsidRPr="00CA391B" w:rsidR="00DF32D0" w:rsidTr="2E201762" w14:paraId="606B923E" w14:textId="77777777">
        <w:tc>
          <w:tcPr>
            <w:tcW w:w="4315" w:type="dxa"/>
          </w:tcPr>
          <w:p w:rsidRPr="00CA391B" w:rsidR="00A02582" w:rsidP="008B77F4" w:rsidRDefault="00A02582" w14:paraId="18C24684" w14:textId="77777777">
            <w:pPr>
              <w:pStyle w:val="TableText"/>
              <w:jc w:val="center"/>
              <w:rPr>
                <w:rFonts w:eastAsia="Garamond" w:cs="Garamond"/>
                <w:b/>
                <w:color w:val="000000"/>
              </w:rPr>
            </w:pPr>
            <w:r w:rsidRPr="00217021">
              <w:rPr>
                <w:b/>
              </w:rPr>
              <w:t>Step</w:t>
            </w:r>
          </w:p>
        </w:tc>
        <w:tc>
          <w:tcPr>
            <w:tcW w:w="4775" w:type="dxa"/>
          </w:tcPr>
          <w:p w:rsidRPr="00CA391B" w:rsidR="00A02582" w:rsidP="008B77F4" w:rsidRDefault="00A02582" w14:paraId="7017E9A7" w14:textId="77777777">
            <w:pPr>
              <w:pStyle w:val="TableText"/>
              <w:jc w:val="center"/>
              <w:rPr>
                <w:rFonts w:eastAsia="Garamond" w:cs="Garamond"/>
                <w:b/>
                <w:color w:val="000000"/>
              </w:rPr>
            </w:pPr>
            <w:r w:rsidRPr="00217021">
              <w:rPr>
                <w:b/>
              </w:rPr>
              <w:t>Timeframe</w:t>
            </w:r>
            <w:r>
              <w:rPr>
                <w:rStyle w:val="FootnoteReference"/>
                <w:b/>
                <w:bCs/>
              </w:rPr>
              <w:footnoteReference w:id="181"/>
            </w:r>
          </w:p>
        </w:tc>
      </w:tr>
      <w:tr w:rsidRPr="00CA391B" w:rsidR="00DF32D0" w:rsidTr="2E201762" w14:paraId="79AE137F" w14:textId="77777777">
        <w:tc>
          <w:tcPr>
            <w:tcW w:w="4315" w:type="dxa"/>
          </w:tcPr>
          <w:p w:rsidRPr="00CA391B" w:rsidR="00A02582" w:rsidP="008B77F4" w:rsidRDefault="00A02582" w14:paraId="19D647FE" w14:textId="77777777">
            <w:pPr>
              <w:pStyle w:val="TableText"/>
              <w:rPr>
                <w:rFonts w:eastAsia="Garamond" w:cs="Garamond"/>
                <w:color w:val="000000"/>
              </w:rPr>
            </w:pPr>
            <w:r>
              <w:t>Commission-held workshop on timing, approaches to attribution, and other RMAR aspects</w:t>
            </w:r>
          </w:p>
        </w:tc>
        <w:tc>
          <w:tcPr>
            <w:tcW w:w="4775" w:type="dxa"/>
          </w:tcPr>
          <w:p w:rsidRPr="00CA391B" w:rsidR="00A02582" w:rsidP="008B77F4" w:rsidRDefault="00A02582" w14:paraId="4C948B3A" w14:textId="77777777">
            <w:pPr>
              <w:pStyle w:val="TableText"/>
              <w:rPr>
                <w:rFonts w:eastAsia="Garamond" w:cs="Garamond"/>
                <w:color w:val="000000"/>
              </w:rPr>
            </w:pPr>
            <w:r>
              <w:t xml:space="preserve">Within 30 days of the Final </w:t>
            </w:r>
            <w:r>
              <w:rPr>
                <w:rFonts w:eastAsia="Garamond" w:cs="Garamond"/>
                <w:color w:val="000000"/>
              </w:rPr>
              <w:t>Decision vote</w:t>
            </w:r>
          </w:p>
        </w:tc>
      </w:tr>
      <w:tr w:rsidRPr="00CA391B" w:rsidR="00DF32D0" w:rsidTr="2E201762" w14:paraId="6B8A4ED8" w14:textId="77777777">
        <w:tc>
          <w:tcPr>
            <w:tcW w:w="4315" w:type="dxa"/>
          </w:tcPr>
          <w:p w:rsidRPr="00CA391B" w:rsidR="00A02582" w:rsidP="008B77F4" w:rsidRDefault="00A02582" w14:paraId="262EF0C4" w14:textId="77777777">
            <w:pPr>
              <w:pStyle w:val="TableText"/>
              <w:rPr>
                <w:rFonts w:eastAsia="Garamond" w:cs="Garamond"/>
                <w:color w:val="000000"/>
              </w:rPr>
            </w:pPr>
            <w:r w:rsidRPr="00CA391B">
              <w:t xml:space="preserve">Opening Comments </w:t>
            </w:r>
          </w:p>
        </w:tc>
        <w:tc>
          <w:tcPr>
            <w:tcW w:w="4775" w:type="dxa"/>
          </w:tcPr>
          <w:p w:rsidRPr="00CA391B" w:rsidR="00A02582" w:rsidP="008B77F4" w:rsidRDefault="00A02582" w14:paraId="71D74BF8" w14:textId="77777777">
            <w:pPr>
              <w:pStyle w:val="TableText"/>
              <w:rPr>
                <w:rFonts w:eastAsia="Garamond" w:cs="Garamond"/>
                <w:color w:val="000000"/>
              </w:rPr>
            </w:pPr>
            <w:r>
              <w:t xml:space="preserve">14 days after </w:t>
            </w:r>
            <w:r>
              <w:rPr>
                <w:rFonts w:eastAsia="Garamond" w:cs="Garamond"/>
                <w:color w:val="000000"/>
              </w:rPr>
              <w:t>workshop</w:t>
            </w:r>
          </w:p>
        </w:tc>
      </w:tr>
      <w:tr w:rsidRPr="00CA391B" w:rsidR="00DF32D0" w:rsidTr="2E201762" w14:paraId="3C1DC629" w14:textId="77777777">
        <w:tc>
          <w:tcPr>
            <w:tcW w:w="4315" w:type="dxa"/>
          </w:tcPr>
          <w:p w:rsidRPr="00CA391B" w:rsidR="00A02582" w:rsidP="008B77F4" w:rsidRDefault="00A02582" w14:paraId="33FFA816" w14:textId="77777777">
            <w:pPr>
              <w:pStyle w:val="TableText"/>
              <w:rPr>
                <w:rFonts w:eastAsia="Garamond" w:cs="Garamond"/>
                <w:color w:val="000000"/>
              </w:rPr>
            </w:pPr>
            <w:r w:rsidRPr="00CA391B">
              <w:t xml:space="preserve">Reply Comments </w:t>
            </w:r>
          </w:p>
        </w:tc>
        <w:tc>
          <w:tcPr>
            <w:tcW w:w="4775" w:type="dxa"/>
          </w:tcPr>
          <w:p w:rsidRPr="00CA391B" w:rsidR="00A02582" w:rsidP="008B77F4" w:rsidRDefault="00A02582" w14:paraId="71E011F5" w14:textId="77777777">
            <w:pPr>
              <w:pStyle w:val="TableText"/>
              <w:rPr>
                <w:rFonts w:eastAsia="Garamond" w:cs="Garamond"/>
                <w:color w:val="000000"/>
              </w:rPr>
            </w:pPr>
            <w:r>
              <w:t>14 days after opening comments due</w:t>
            </w:r>
          </w:p>
        </w:tc>
      </w:tr>
      <w:tr w:rsidRPr="00CA391B" w:rsidR="00DF32D0" w:rsidTr="2E201762" w14:paraId="22BE4B1C" w14:textId="77777777">
        <w:tc>
          <w:tcPr>
            <w:tcW w:w="4315" w:type="dxa"/>
          </w:tcPr>
          <w:p w:rsidRPr="00CA391B" w:rsidR="00A02582" w:rsidP="008B77F4" w:rsidRDefault="00A02582" w14:paraId="5D47EAEF" w14:textId="77777777">
            <w:pPr>
              <w:pStyle w:val="TableText"/>
              <w:rPr>
                <w:rFonts w:eastAsia="Garamond" w:cs="Garamond"/>
                <w:color w:val="000000"/>
              </w:rPr>
            </w:pPr>
            <w:r w:rsidRPr="00CA391B">
              <w:t xml:space="preserve">Draft Resolution Issued </w:t>
            </w:r>
            <w:r>
              <w:rPr>
                <w:rFonts w:eastAsia="Garamond" w:cs="Garamond"/>
                <w:color w:val="000000"/>
              </w:rPr>
              <w:t>for public comment</w:t>
            </w:r>
          </w:p>
        </w:tc>
        <w:tc>
          <w:tcPr>
            <w:tcW w:w="4775" w:type="dxa"/>
          </w:tcPr>
          <w:p w:rsidRPr="00CA391B" w:rsidR="00A02582" w:rsidP="008B77F4" w:rsidRDefault="00A02582" w14:paraId="2B0CBD13" w14:textId="77777777">
            <w:pPr>
              <w:pStyle w:val="TableText"/>
              <w:rPr>
                <w:rFonts w:eastAsia="Garamond" w:cs="Garamond"/>
                <w:color w:val="000000"/>
              </w:rPr>
            </w:pPr>
            <w:r>
              <w:t xml:space="preserve">30 </w:t>
            </w:r>
            <w:r>
              <w:rPr>
                <w:rFonts w:eastAsia="Garamond" w:cs="Garamond"/>
                <w:color w:val="000000"/>
              </w:rPr>
              <w:t>days after reply comments</w:t>
            </w:r>
          </w:p>
        </w:tc>
      </w:tr>
      <w:tr w:rsidRPr="00CA391B" w:rsidR="00DF32D0" w:rsidTr="2E201762" w14:paraId="64FDE95F" w14:textId="77777777">
        <w:tc>
          <w:tcPr>
            <w:tcW w:w="4315" w:type="dxa"/>
          </w:tcPr>
          <w:p w:rsidRPr="00CA391B" w:rsidR="00A02582" w:rsidP="008B77F4" w:rsidRDefault="00A02582" w14:paraId="79543667" w14:textId="77777777">
            <w:pPr>
              <w:pStyle w:val="TableText"/>
              <w:rPr>
                <w:rFonts w:eastAsia="Garamond" w:cs="Garamond"/>
                <w:color w:val="000000"/>
              </w:rPr>
            </w:pPr>
            <w:r w:rsidRPr="00CA391B">
              <w:t xml:space="preserve">Final Resolution </w:t>
            </w:r>
            <w:r>
              <w:rPr>
                <w:rFonts w:eastAsia="Garamond" w:cs="Garamond"/>
                <w:color w:val="000000"/>
              </w:rPr>
              <w:t>voted out</w:t>
            </w:r>
          </w:p>
        </w:tc>
        <w:tc>
          <w:tcPr>
            <w:tcW w:w="4775" w:type="dxa"/>
          </w:tcPr>
          <w:p w:rsidRPr="00CA391B" w:rsidR="00A02582" w:rsidP="008B77F4" w:rsidRDefault="00A02582" w14:paraId="2EB80754" w14:textId="77777777">
            <w:pPr>
              <w:pStyle w:val="TableText"/>
              <w:rPr>
                <w:rFonts w:eastAsia="Garamond" w:cs="Garamond"/>
                <w:color w:val="000000"/>
              </w:rPr>
            </w:pPr>
            <w:r>
              <w:t>30 days after Draft Resolution issued.</w:t>
            </w:r>
          </w:p>
        </w:tc>
      </w:tr>
    </w:tbl>
    <w:p w:rsidRPr="00D12D7F" w:rsidR="00A02582" w:rsidP="00A02582" w:rsidRDefault="00A02582" w14:paraId="7BEEC2C4" w14:textId="220C64E3">
      <w:pPr>
        <w:pStyle w:val="Standard"/>
      </w:pPr>
      <w:r>
        <w:t xml:space="preserve">SCE disagrees with TURN and Cal </w:t>
      </w:r>
      <w:r w:rsidR="00CD1BF9">
        <w:t>Advocates’</w:t>
      </w:r>
      <w:r>
        <w:t xml:space="preserve"> assumption that a single workshop will suffice to resolve all of the RMAR</w:t>
      </w:r>
      <w:r w:rsidR="00D43734">
        <w:t>-</w:t>
      </w:r>
      <w:r>
        <w:t>related issues.</w:t>
      </w:r>
      <w:r>
        <w:rPr>
          <w:rStyle w:val="FootnoteReference"/>
        </w:rPr>
        <w:footnoteReference w:id="182"/>
      </w:r>
    </w:p>
    <w:p w:rsidR="00A02582" w:rsidP="005340D9" w:rsidRDefault="00A02582" w14:paraId="11B2D091" w14:textId="77777777">
      <w:pPr>
        <w:pStyle w:val="Heading2"/>
      </w:pPr>
      <w:bookmarkStart w:name="_Toc204258052" w:id="104"/>
      <w:r>
        <w:t>Discussion</w:t>
      </w:r>
      <w:bookmarkEnd w:id="104"/>
    </w:p>
    <w:p w:rsidR="00A02582" w:rsidP="00FC589A" w:rsidRDefault="00A02582" w14:paraId="13F80BCB" w14:textId="45EE7625">
      <w:pPr>
        <w:pStyle w:val="Standard"/>
      </w:pPr>
      <w:r>
        <w:t xml:space="preserve">The Commission </w:t>
      </w:r>
      <w:r w:rsidR="00186D3D">
        <w:t xml:space="preserve">adopts SPD staff’s </w:t>
      </w:r>
      <w:r w:rsidR="000A4370">
        <w:t xml:space="preserve">recommendations with the </w:t>
      </w:r>
      <w:r w:rsidR="009158BF">
        <w:t>refinements</w:t>
      </w:r>
      <w:r w:rsidR="000A4370">
        <w:t xml:space="preserve"> provided in this discussion section.</w:t>
      </w:r>
      <w:r>
        <w:t xml:space="preserve"> </w:t>
      </w:r>
      <w:r w:rsidR="000A4370">
        <w:t>W</w:t>
      </w:r>
      <w:r>
        <w:t xml:space="preserve">e agree with </w:t>
      </w:r>
      <w:r w:rsidR="00B51C2F">
        <w:t>SCE</w:t>
      </w:r>
      <w:r w:rsidR="00867511">
        <w:t>, TURN, PG&amp;E, and Cal Advocates</w:t>
      </w:r>
      <w:r w:rsidR="00B51C2F">
        <w:t xml:space="preserve"> </w:t>
      </w:r>
      <w:r>
        <w:t>that i</w:t>
      </w:r>
      <w:r w:rsidRPr="005801FF">
        <w:t xml:space="preserve">n the context of the </w:t>
      </w:r>
      <w:r>
        <w:t>RMAR</w:t>
      </w:r>
      <w:r w:rsidRPr="005801FF">
        <w:t xml:space="preserve">, the Commission adopted GRC </w:t>
      </w:r>
      <w:r w:rsidR="002E55E4">
        <w:t>d</w:t>
      </w:r>
      <w:r w:rsidRPr="005801FF">
        <w:t>ecision ideally would serve as the Plan Phase to avoid having two versions of mitigation forecasts.</w:t>
      </w:r>
      <w:r>
        <w:t xml:space="preserve"> </w:t>
      </w:r>
      <w:r w:rsidR="003756C3">
        <w:t>T</w:t>
      </w:r>
      <w:r>
        <w:t xml:space="preserve">he RMAR </w:t>
      </w:r>
      <w:r w:rsidR="00933C20">
        <w:t>t</w:t>
      </w:r>
      <w:r>
        <w:t>ables will be reported at the mitigation program</w:t>
      </w:r>
      <w:r w:rsidR="000B636F">
        <w:t xml:space="preserve"> </w:t>
      </w:r>
      <w:r>
        <w:t>level</w:t>
      </w:r>
      <w:r w:rsidR="00F36453">
        <w:t xml:space="preserve"> and </w:t>
      </w:r>
      <w:r w:rsidR="00A035C3">
        <w:t xml:space="preserve">we </w:t>
      </w:r>
      <w:r w:rsidR="00F36453">
        <w:t>note that</w:t>
      </w:r>
      <w:r>
        <w:t xml:space="preserve"> intervenors and </w:t>
      </w:r>
      <w:r w:rsidR="00AF7998">
        <w:t>SPD s</w:t>
      </w:r>
      <w:r>
        <w:t xml:space="preserve">taff </w:t>
      </w:r>
      <w:r w:rsidR="000139C9">
        <w:t>can seek</w:t>
      </w:r>
      <w:r>
        <w:t xml:space="preserve"> </w:t>
      </w:r>
      <w:r w:rsidR="00AF7998">
        <w:t xml:space="preserve">RRU-level </w:t>
      </w:r>
      <w:r>
        <w:t>data underlying an RMAR through a data request</w:t>
      </w:r>
      <w:r w:rsidR="000139C9">
        <w:t xml:space="preserve"> during </w:t>
      </w:r>
      <w:r>
        <w:t xml:space="preserve">their evaluation of an RMAR. </w:t>
      </w:r>
      <w:r w:rsidR="00317E60">
        <w:t xml:space="preserve">In accordance with General Order 66-D, </w:t>
      </w:r>
      <w:r>
        <w:t xml:space="preserve">utilities </w:t>
      </w:r>
      <w:r w:rsidR="00317E60">
        <w:t xml:space="preserve">may seek confidential treatment </w:t>
      </w:r>
      <w:r w:rsidR="00276ED4">
        <w:t>of</w:t>
      </w:r>
      <w:r w:rsidR="00515817">
        <w:t xml:space="preserve"> </w:t>
      </w:r>
      <w:r w:rsidR="000D4EC7">
        <w:t xml:space="preserve">some RMAR </w:t>
      </w:r>
      <w:r w:rsidR="00C26ACD">
        <w:t>Outcomes</w:t>
      </w:r>
      <w:r w:rsidR="00C649A3">
        <w:t xml:space="preserve"> data</w:t>
      </w:r>
      <w:r>
        <w:t xml:space="preserve">. </w:t>
      </w:r>
    </w:p>
    <w:p w:rsidR="00A02582" w:rsidP="00A02582" w:rsidRDefault="0082722B" w14:paraId="2DE9184E" w14:textId="119EEB67">
      <w:pPr>
        <w:pStyle w:val="Standard"/>
      </w:pPr>
      <w:r>
        <w:t>The</w:t>
      </w:r>
      <w:r w:rsidR="00C82024">
        <w:t xml:space="preserve"> Commission </w:t>
      </w:r>
      <w:r w:rsidR="00780946">
        <w:t xml:space="preserve">adopts </w:t>
      </w:r>
      <w:r w:rsidR="00C82024">
        <w:t xml:space="preserve">the </w:t>
      </w:r>
      <w:r w:rsidR="00F23D1D">
        <w:t>RMAR</w:t>
      </w:r>
      <w:r w:rsidRPr="00A6478E" w:rsidR="00C82024">
        <w:t xml:space="preserve"> Guidelines</w:t>
      </w:r>
      <w:r w:rsidR="008A35CB">
        <w:t xml:space="preserve"> </w:t>
      </w:r>
      <w:r w:rsidR="000E35F0">
        <w:t xml:space="preserve">attached </w:t>
      </w:r>
      <w:r w:rsidR="00C82024">
        <w:t xml:space="preserve">to this </w:t>
      </w:r>
      <w:r w:rsidR="008A35CB">
        <w:t>d</w:t>
      </w:r>
      <w:r w:rsidR="00C82024">
        <w:t>ecision</w:t>
      </w:r>
      <w:r w:rsidR="008A35CB">
        <w:t xml:space="preserve"> as Appendix C</w:t>
      </w:r>
      <w:r w:rsidR="00C82024">
        <w:t>.</w:t>
      </w:r>
      <w:r w:rsidR="008A35CB">
        <w:t xml:space="preserve"> </w:t>
      </w:r>
      <w:r w:rsidR="009862AF">
        <w:t xml:space="preserve">Appendix C provides definitions for the key terms in the Staff </w:t>
      </w:r>
      <w:r w:rsidR="009862AF">
        <w:lastRenderedPageBreak/>
        <w:t xml:space="preserve">RMAR Proposal, explanations of RMAR line-items, the required tables and table elements, and the required narrative sections. </w:t>
      </w:r>
    </w:p>
    <w:p w:rsidRPr="00DD1EA6" w:rsidR="00A02582" w:rsidP="006546D6" w:rsidRDefault="006546D6" w14:paraId="62562C98" w14:textId="3FFF32F8">
      <w:pPr>
        <w:pStyle w:val="Standard"/>
      </w:pPr>
      <w:r>
        <w:t xml:space="preserve">Based on party comments, </w:t>
      </w:r>
      <w:r w:rsidR="00A02582">
        <w:t xml:space="preserve">Appendix C refines some of the terminology found in the Staff </w:t>
      </w:r>
      <w:r>
        <w:t xml:space="preserve">RMAR </w:t>
      </w:r>
      <w:r w:rsidR="00A02582">
        <w:t xml:space="preserve">Proposal. For instance, the high-level term Results Phase </w:t>
      </w:r>
      <w:r w:rsidR="00845B44">
        <w:t>i</w:t>
      </w:r>
      <w:r w:rsidR="00A02582">
        <w:t>s confusing because it also include</w:t>
      </w:r>
      <w:r w:rsidR="00845B44">
        <w:t>s</w:t>
      </w:r>
      <w:r w:rsidR="00A02582">
        <w:t xml:space="preserve"> the presentation of Results, which are a data point. For that reason, we </w:t>
      </w:r>
      <w:r w:rsidR="00200336">
        <w:t xml:space="preserve">change the </w:t>
      </w:r>
      <w:r w:rsidR="00A02582">
        <w:t xml:space="preserve">Results Phase to the Reporting Phase. The Staff </w:t>
      </w:r>
      <w:r w:rsidR="00200336">
        <w:t xml:space="preserve">RMAR </w:t>
      </w:r>
      <w:r w:rsidR="00A02582">
        <w:t xml:space="preserve">Proposal often refers to Projections in the Plan Phase, but </w:t>
      </w:r>
      <w:r w:rsidR="007F2233">
        <w:t>it is more common for</w:t>
      </w:r>
      <w:r w:rsidR="00A02582">
        <w:t xml:space="preserve"> Commission </w:t>
      </w:r>
      <w:r w:rsidR="00200336">
        <w:t>d</w:t>
      </w:r>
      <w:r w:rsidR="00A02582">
        <w:t>ecisions</w:t>
      </w:r>
      <w:r w:rsidR="007F2233">
        <w:t xml:space="preserve"> to adopt</w:t>
      </w:r>
      <w:r w:rsidR="00A02582">
        <w:t xml:space="preserve"> “forecasts” in a GRC </w:t>
      </w:r>
      <w:r w:rsidR="000F4C99">
        <w:t>d</w:t>
      </w:r>
      <w:r w:rsidR="00A02582">
        <w:t xml:space="preserve">ecision, not “projections”. Since an adopted GRC </w:t>
      </w:r>
      <w:r w:rsidR="000A09A9">
        <w:t>d</w:t>
      </w:r>
      <w:r w:rsidR="00A02582">
        <w:t>ecision would serve as the basis for the Plan Phase, in Appendix C we refer to Forecasts in the Plan Phase</w:t>
      </w:r>
      <w:r w:rsidR="00155D36">
        <w:t xml:space="preserve"> in lieu of Projections</w:t>
      </w:r>
      <w:r w:rsidR="00A02582">
        <w:t xml:space="preserve">. Additionally, the term Outcome has a distinct usage within the RDF, which as TURN correctly identified, is not exactly equivalent to the way “outcome” is used in the </w:t>
      </w:r>
      <w:r w:rsidR="00491424">
        <w:t>Staff RMAR</w:t>
      </w:r>
      <w:r w:rsidR="00A02582">
        <w:t xml:space="preserve"> Proposal. Therefore, in Appendix C, we use the term Monetized Outcomes. To restate, utilities </w:t>
      </w:r>
      <w:r w:rsidR="00321B24">
        <w:t>shall</w:t>
      </w:r>
      <w:r w:rsidR="00A02582">
        <w:t xml:space="preserve"> present Forecasts in the Plan Phase Tables and present Outcomes, Results, and Projections in the Reporting Phase Tables. The Reporting Phase Tables are t</w:t>
      </w:r>
      <w:r w:rsidRPr="00DD1EA6" w:rsidR="00A02582">
        <w:t xml:space="preserve">he section of RMAR that compares Monetized Outcomes, Results and Projections to the Forecasts from the Plan Phase. </w:t>
      </w:r>
      <w:r w:rsidR="00A02582">
        <w:t xml:space="preserve">Finally, in Appendix C we also clearly make a distinction between the source of values for line-items in the Plan Phase and the Reporting Phase. All values listed in a Plan Phase Table </w:t>
      </w:r>
      <w:r w:rsidR="00893C65">
        <w:t>are</w:t>
      </w:r>
      <w:r w:rsidR="00A02582">
        <w:t xml:space="preserve"> a modelled forecast. Values listed in a Reporting Phase Table </w:t>
      </w:r>
      <w:r w:rsidR="00893C65">
        <w:t xml:space="preserve">may </w:t>
      </w:r>
      <w:r w:rsidR="00A02582">
        <w:t>be a modeled result, a modeled projection, an actual result</w:t>
      </w:r>
      <w:r w:rsidR="00893C65">
        <w:t>,</w:t>
      </w:r>
      <w:r w:rsidR="00A02582">
        <w:t xml:space="preserve"> or an actual outcome.</w:t>
      </w:r>
      <w:r w:rsidR="00A02582">
        <w:rPr>
          <w:rStyle w:val="FootnoteReference"/>
        </w:rPr>
        <w:footnoteReference w:id="183"/>
      </w:r>
    </w:p>
    <w:p w:rsidR="00A02582" w:rsidP="00A02582" w:rsidRDefault="00A02582" w14:paraId="1EF9AF45" w14:textId="3C99C22A">
      <w:pPr>
        <w:pStyle w:val="Standard"/>
      </w:pPr>
      <w:r w:rsidRPr="00EA6DCA">
        <w:lastRenderedPageBreak/>
        <w:t>Some</w:t>
      </w:r>
      <w:r>
        <w:t xml:space="preserve"> RMAR</w:t>
      </w:r>
      <w:r w:rsidRPr="00EA6DCA">
        <w:t xml:space="preserve"> definitions need to be clarified in the context of the RDF. </w:t>
      </w:r>
      <w:r w:rsidRPr="00D76093">
        <w:t xml:space="preserve">In addition to the </w:t>
      </w:r>
      <w:r>
        <w:t>definitions</w:t>
      </w:r>
      <w:r w:rsidRPr="00D76093">
        <w:t xml:space="preserve"> listed </w:t>
      </w:r>
      <w:r>
        <w:t>in Appendix C</w:t>
      </w:r>
      <w:r w:rsidRPr="00D76093">
        <w:t xml:space="preserve">, </w:t>
      </w:r>
      <w:r>
        <w:t xml:space="preserve">we add </w:t>
      </w:r>
      <w:r w:rsidRPr="00D76093">
        <w:t xml:space="preserve">the following definitions to the RDF </w:t>
      </w:r>
      <w:r>
        <w:t>in Appendix A</w:t>
      </w:r>
      <w:r w:rsidR="00C25999">
        <w:t xml:space="preserve"> (additions in </w:t>
      </w:r>
      <w:r w:rsidR="00C25999">
        <w:rPr>
          <w:i/>
          <w:iCs/>
        </w:rPr>
        <w:t>italics</w:t>
      </w:r>
      <w:r w:rsidR="00C25999">
        <w:t>)</w:t>
      </w:r>
      <w:r w:rsidRPr="00D76093">
        <w:t>:</w:t>
      </w:r>
    </w:p>
    <w:p w:rsidRPr="00F01968" w:rsidR="00A02582" w:rsidP="00F327EB" w:rsidRDefault="00A02582" w14:paraId="6BC59AB1" w14:textId="7035090E">
      <w:pPr>
        <w:pStyle w:val="ListBullet"/>
        <w:ind w:right="1440"/>
        <w:rPr>
          <w:i/>
        </w:rPr>
      </w:pPr>
      <w:r w:rsidRPr="00F01968">
        <w:rPr>
          <w:i/>
        </w:rPr>
        <w:t xml:space="preserve">Hierarchy: </w:t>
      </w:r>
      <w:r w:rsidRPr="00F01968" w:rsidR="71C5C851">
        <w:rPr>
          <w:i/>
        </w:rPr>
        <w:t>A</w:t>
      </w:r>
      <w:r w:rsidRPr="00F01968">
        <w:rPr>
          <w:i/>
        </w:rPr>
        <w:t xml:space="preserve"> utility’s organizational hierarchy, such as an Electric Distribution Division or a Gas Distribution Division as well as other ways of categorizing high risk assets and systems (</w:t>
      </w:r>
      <w:r w:rsidRPr="00F01968" w:rsidR="005978E5">
        <w:rPr>
          <w:i/>
        </w:rPr>
        <w:t>e.g.,</w:t>
      </w:r>
      <w:r w:rsidRPr="00F01968">
        <w:rPr>
          <w:i/>
        </w:rPr>
        <w:t xml:space="preserve"> H</w:t>
      </w:r>
      <w:r w:rsidRPr="00F01968" w:rsidR="005978E5">
        <w:rPr>
          <w:i/>
        </w:rPr>
        <w:t>igh-</w:t>
      </w:r>
      <w:r w:rsidRPr="00F01968">
        <w:rPr>
          <w:i/>
        </w:rPr>
        <w:t>F</w:t>
      </w:r>
      <w:r w:rsidRPr="00F01968" w:rsidR="005978E5">
        <w:rPr>
          <w:i/>
        </w:rPr>
        <w:t xml:space="preserve">ire </w:t>
      </w:r>
      <w:r w:rsidRPr="00F01968">
        <w:rPr>
          <w:i/>
        </w:rPr>
        <w:t>T</w:t>
      </w:r>
      <w:r w:rsidRPr="00F01968" w:rsidR="005978E5">
        <w:rPr>
          <w:i/>
        </w:rPr>
        <w:t xml:space="preserve">hreat </w:t>
      </w:r>
      <w:r w:rsidRPr="00F01968">
        <w:rPr>
          <w:i/>
        </w:rPr>
        <w:t>D</w:t>
      </w:r>
      <w:r w:rsidRPr="00F01968" w:rsidR="005978E5">
        <w:rPr>
          <w:i/>
        </w:rPr>
        <w:t>istrict</w:t>
      </w:r>
      <w:r w:rsidRPr="00F01968">
        <w:rPr>
          <w:i/>
        </w:rPr>
        <w:t>s, circuits, regions, etc.)</w:t>
      </w:r>
    </w:p>
    <w:p w:rsidRPr="00F01968" w:rsidR="00A02582" w:rsidP="00F327EB" w:rsidRDefault="00A02582" w14:paraId="16CC7416" w14:textId="67C676B9">
      <w:pPr>
        <w:pStyle w:val="ListBullet"/>
        <w:ind w:right="1440"/>
        <w:rPr>
          <w:i/>
        </w:rPr>
      </w:pPr>
      <w:r w:rsidRPr="00F01968">
        <w:rPr>
          <w:i/>
        </w:rPr>
        <w:t xml:space="preserve">Version: </w:t>
      </w:r>
      <w:r w:rsidRPr="00F01968" w:rsidR="0DE19CA4">
        <w:rPr>
          <w:i/>
        </w:rPr>
        <w:t>T</w:t>
      </w:r>
      <w:r w:rsidRPr="00F01968">
        <w:rPr>
          <w:i/>
        </w:rPr>
        <w:t>he risk model or methodology used to generate calculations for a given mitigation at a specific point in time.</w:t>
      </w:r>
    </w:p>
    <w:p w:rsidRPr="00F01968" w:rsidR="00A02582" w:rsidP="00F327EB" w:rsidRDefault="00A02582" w14:paraId="3C8E262A" w14:textId="635B9573">
      <w:pPr>
        <w:pStyle w:val="ListBullet"/>
        <w:ind w:right="1440"/>
        <w:rPr>
          <w:i/>
        </w:rPr>
      </w:pPr>
      <w:r w:rsidRPr="00F01968">
        <w:rPr>
          <w:i/>
        </w:rPr>
        <w:t xml:space="preserve">Work Unit: </w:t>
      </w:r>
      <w:r w:rsidRPr="00F01968" w:rsidR="0A6563B7">
        <w:rPr>
          <w:i/>
        </w:rPr>
        <w:t>A</w:t>
      </w:r>
      <w:r w:rsidRPr="00F01968" w:rsidR="00EB27D2">
        <w:rPr>
          <w:i/>
        </w:rPr>
        <w:t xml:space="preserve"> </w:t>
      </w:r>
      <w:r w:rsidRPr="00F01968">
        <w:rPr>
          <w:i/>
        </w:rPr>
        <w:t>metric used to quantify the scope of a program and to understand utility risk spending</w:t>
      </w:r>
      <w:r w:rsidRPr="00F01968" w:rsidR="003F2A50">
        <w:rPr>
          <w:i/>
        </w:rPr>
        <w:t xml:space="preserve"> (e.g., </w:t>
      </w:r>
      <w:r w:rsidRPr="00F01968">
        <w:rPr>
          <w:i/>
        </w:rPr>
        <w:t>circuit miles</w:t>
      </w:r>
      <w:r w:rsidRPr="00F01968" w:rsidR="003F2A50">
        <w:rPr>
          <w:i/>
        </w:rPr>
        <w:t>)</w:t>
      </w:r>
      <w:r w:rsidRPr="00F01968">
        <w:rPr>
          <w:i/>
        </w:rPr>
        <w:t>.</w:t>
      </w:r>
    </w:p>
    <w:p w:rsidR="00A02582" w:rsidP="00A02582" w:rsidRDefault="00A02582" w14:paraId="345AFF9C" w14:textId="6D899F7B">
      <w:pPr>
        <w:pStyle w:val="Standard"/>
      </w:pPr>
      <w:r>
        <w:t>As TURN note</w:t>
      </w:r>
      <w:r w:rsidR="00A83928">
        <w:t>s</w:t>
      </w:r>
      <w:r>
        <w:t xml:space="preserve">, parties generally accepted the </w:t>
      </w:r>
      <w:r w:rsidR="00A83928">
        <w:t>t</w:t>
      </w:r>
      <w:r>
        <w:t xml:space="preserve">ables listed in Section 10.1 of the </w:t>
      </w:r>
      <w:r w:rsidR="003A3D13">
        <w:t xml:space="preserve">Staff RMAR </w:t>
      </w:r>
      <w:r>
        <w:t>Proposal. We agree with TURN that</w:t>
      </w:r>
      <w:r w:rsidR="00C36C91">
        <w:t xml:space="preserve"> the</w:t>
      </w:r>
      <w:r>
        <w:t xml:space="preserve"> term Net Mitigation Benefit should be removed from Plan Phase Tables and the </w:t>
      </w:r>
      <w:r w:rsidR="0037079B">
        <w:t xml:space="preserve">Net Mitigation Benefits </w:t>
      </w:r>
      <w:r>
        <w:t xml:space="preserve">line-item is no longer present in Appendix C. We agree with TURN and EPUC/IS that reference to risk tolerance should not be included in the RMAR Tables until the Commission provides greater guidance with regard to how the utilities will apply risk tolerance thresholds to their RAMP and GRC </w:t>
      </w:r>
      <w:r w:rsidR="00327B15">
        <w:t>applications</w:t>
      </w:r>
      <w:r>
        <w:t xml:space="preserve">. We are not </w:t>
      </w:r>
      <w:r w:rsidR="003A3D13">
        <w:t>persuaded</w:t>
      </w:r>
      <w:r>
        <w:t xml:space="preserve"> that tail risk should be removed from the RMAR Tables. The RDF still grants the utilities the flexibility to present tail risk in RAMP and GRC </w:t>
      </w:r>
      <w:r w:rsidR="00327B15">
        <w:t>a</w:t>
      </w:r>
      <w:r>
        <w:t>pplication</w:t>
      </w:r>
      <w:r w:rsidR="00327B15">
        <w:t>s</w:t>
      </w:r>
      <w:r>
        <w:t xml:space="preserve">. Since modelled forecasts of tail risk may be part of the decision-making in a GRC </w:t>
      </w:r>
      <w:r w:rsidR="00327B15">
        <w:t>d</w:t>
      </w:r>
      <w:r>
        <w:t>ecision, th</w:t>
      </w:r>
      <w:r w:rsidR="003A3D13">
        <w:t>is</w:t>
      </w:r>
      <w:r>
        <w:t xml:space="preserve"> information should also be presented in an RMAR, both in Plan Phase and Reporting Phase Tables, and should receive scrutiny from </w:t>
      </w:r>
      <w:r w:rsidR="003A3D13">
        <w:t>SPD s</w:t>
      </w:r>
      <w:r>
        <w:t xml:space="preserve">taff and </w:t>
      </w:r>
      <w:r w:rsidR="003A3D13">
        <w:t>i</w:t>
      </w:r>
      <w:r>
        <w:t>ntervenors.</w:t>
      </w:r>
    </w:p>
    <w:p w:rsidR="00A02582" w:rsidP="00A02582" w:rsidRDefault="00826D80" w14:paraId="220CE229" w14:textId="62E32443">
      <w:pPr>
        <w:pStyle w:val="Standard"/>
      </w:pPr>
      <w:r>
        <w:t>We clarify that t</w:t>
      </w:r>
      <w:r w:rsidR="006D497C">
        <w:t xml:space="preserve">he </w:t>
      </w:r>
      <w:r w:rsidR="00A02582">
        <w:t>Reporting Phase require</w:t>
      </w:r>
      <w:r w:rsidR="006D497C">
        <w:t>s</w:t>
      </w:r>
      <w:r w:rsidR="00A02582">
        <w:t xml:space="preserve"> utilit</w:t>
      </w:r>
      <w:r w:rsidR="006D497C">
        <w:t>ies</w:t>
      </w:r>
      <w:r w:rsidR="00A02582">
        <w:t xml:space="preserve"> to present mitigation benefits based on modeled results (i.e.</w:t>
      </w:r>
      <w:r w:rsidR="005A40D6">
        <w:t>,</w:t>
      </w:r>
      <w:r w:rsidR="00A02582">
        <w:t xml:space="preserve"> based on </w:t>
      </w:r>
      <w:r w:rsidRPr="00F36ED1" w:rsidR="00A02582">
        <w:t>units of work actually performed</w:t>
      </w:r>
      <w:r w:rsidR="00A02582">
        <w:t>) and mitigation costs based on actual results (i.e.</w:t>
      </w:r>
      <w:r w:rsidR="005A40D6">
        <w:t>,</w:t>
      </w:r>
      <w:r w:rsidR="00A02582">
        <w:t xml:space="preserve"> based on dollars spent). </w:t>
      </w:r>
      <w:r>
        <w:t>W</w:t>
      </w:r>
      <w:r w:rsidR="00A02582">
        <w:t>e agree with TURN that the Reporting</w:t>
      </w:r>
      <w:r w:rsidRPr="00C43253" w:rsidR="00A02582">
        <w:t xml:space="preserve"> Phase </w:t>
      </w:r>
      <w:r w:rsidR="00A02582">
        <w:t>BCRs</w:t>
      </w:r>
      <w:r w:rsidRPr="00C43253" w:rsidR="00A02582">
        <w:t xml:space="preserve"> should be based on </w:t>
      </w:r>
      <w:r w:rsidRPr="00C43253" w:rsidR="00A02582">
        <w:lastRenderedPageBreak/>
        <w:t xml:space="preserve">the utility’s revised estimates of </w:t>
      </w:r>
      <w:r w:rsidR="00A02582">
        <w:t>mitigation benefits</w:t>
      </w:r>
      <w:r w:rsidRPr="00C43253" w:rsidR="00A02582">
        <w:t xml:space="preserve">, divided by the </w:t>
      </w:r>
      <w:r w:rsidR="00A02582">
        <w:t xml:space="preserve">revised mitigation costs. </w:t>
      </w:r>
    </w:p>
    <w:p w:rsidR="007E0E29" w:rsidP="00A02582" w:rsidRDefault="00A02582" w14:paraId="09A857F9" w14:textId="08FB0715">
      <w:pPr>
        <w:pStyle w:val="Standard"/>
      </w:pPr>
      <w:r>
        <w:t>We find TURN’s recommendation for Monetized Outcome Tables vague</w:t>
      </w:r>
      <w:r w:rsidR="00774B88">
        <w:t>;</w:t>
      </w:r>
      <w:r w:rsidR="003A1796">
        <w:t xml:space="preserve"> </w:t>
      </w:r>
      <w:r w:rsidR="00774B88">
        <w:t>w</w:t>
      </w:r>
      <w:r>
        <w:t>ithout an example table it is difficult to discern what kind of table TURN envisions. Similarly, we find TURN’s recommended language change to Row 9 difficult to follow</w:t>
      </w:r>
      <w:r w:rsidR="00774B88">
        <w:t>,</w:t>
      </w:r>
      <w:r>
        <w:t xml:space="preserve"> as it is not clear what two tables TURN is referring to. </w:t>
      </w:r>
      <w:r w:rsidR="00774B88">
        <w:t xml:space="preserve">As such, </w:t>
      </w:r>
      <w:r>
        <w:t xml:space="preserve">we do not adopt TURN’s </w:t>
      </w:r>
      <w:r w:rsidR="000A0281">
        <w:t xml:space="preserve">proposed </w:t>
      </w:r>
      <w:r>
        <w:t xml:space="preserve">language change in this </w:t>
      </w:r>
      <w:r w:rsidR="007F4279">
        <w:t>d</w:t>
      </w:r>
      <w:r>
        <w:t>ecision</w:t>
      </w:r>
      <w:r w:rsidR="00BC1FD5">
        <w:t xml:space="preserve"> and instead adopt the </w:t>
      </w:r>
      <w:r w:rsidR="009D0497">
        <w:t>changes to Row 9 recommended by SPD staff</w:t>
      </w:r>
      <w:r w:rsidR="001D7184">
        <w:t xml:space="preserve"> (</w:t>
      </w:r>
      <w:r w:rsidR="00D67F85">
        <w:t xml:space="preserve">additions in </w:t>
      </w:r>
      <w:r w:rsidR="00D67F85">
        <w:rPr>
          <w:i/>
          <w:iCs/>
        </w:rPr>
        <w:t>italics</w:t>
      </w:r>
      <w:r w:rsidR="00D67F85">
        <w:t xml:space="preserve"> and deletions in </w:t>
      </w:r>
      <w:r w:rsidR="00D67F85">
        <w:rPr>
          <w:strike/>
        </w:rPr>
        <w:t>strikethrough</w:t>
      </w:r>
      <w:r w:rsidR="003021DA">
        <w:t>; includes</w:t>
      </w:r>
      <w:r w:rsidR="00D67F85">
        <w:t xml:space="preserve"> the additions made in </w:t>
      </w:r>
      <w:r w:rsidR="00E33CA4">
        <w:t xml:space="preserve">Section </w:t>
      </w:r>
      <w:r w:rsidR="007E0E29">
        <w:t>5.2):</w:t>
      </w:r>
    </w:p>
    <w:tbl>
      <w:tblPr>
        <w:tblW w:w="0" w:type="dxa"/>
        <w:tblInd w:w="12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95"/>
        <w:gridCol w:w="1655"/>
        <w:gridCol w:w="6574"/>
      </w:tblGrid>
      <w:tr w:rsidRPr="00AF4F35" w:rsidR="00AF4F35" w:rsidTr="00AF4F35" w14:paraId="628914C3" w14:textId="77777777">
        <w:trPr>
          <w:trHeight w:val="5370"/>
        </w:trPr>
        <w:tc>
          <w:tcPr>
            <w:tcW w:w="975" w:type="dxa"/>
            <w:tcBorders>
              <w:top w:val="single" w:color="8FAADB" w:sz="6" w:space="0"/>
              <w:left w:val="single" w:color="8FAADB" w:sz="6" w:space="0"/>
              <w:bottom w:val="single" w:color="8FAADB" w:sz="6" w:space="0"/>
              <w:right w:val="single" w:color="8FAADB" w:sz="6" w:space="0"/>
            </w:tcBorders>
            <w:hideMark/>
          </w:tcPr>
          <w:p w:rsidRPr="00AF4F35" w:rsidR="00AF4F35" w:rsidP="009155C5" w:rsidRDefault="00AF4F35" w14:paraId="7724F33F" w14:textId="0502712E">
            <w:pPr>
              <w:pStyle w:val="Standard"/>
              <w:spacing w:line="240" w:lineRule="auto"/>
            </w:pPr>
            <w:r w:rsidRPr="00AF4F35">
              <w:t>9. </w:t>
            </w:r>
          </w:p>
        </w:tc>
        <w:tc>
          <w:tcPr>
            <w:tcW w:w="1710" w:type="dxa"/>
            <w:tcBorders>
              <w:top w:val="single" w:color="8FAADB" w:sz="6" w:space="0"/>
              <w:left w:val="single" w:color="8FAADB" w:sz="6" w:space="0"/>
              <w:bottom w:val="single" w:color="8FAADB" w:sz="6" w:space="0"/>
              <w:right w:val="single" w:color="8FAADB" w:sz="6" w:space="0"/>
            </w:tcBorders>
            <w:hideMark/>
          </w:tcPr>
          <w:p w:rsidRPr="00AF4F35" w:rsidR="00AF4F35" w:rsidP="009155C5" w:rsidRDefault="00AF4F35" w14:paraId="5F94C25A" w14:textId="77777777">
            <w:pPr>
              <w:pStyle w:val="Standard"/>
              <w:spacing w:line="240" w:lineRule="auto"/>
            </w:pPr>
            <w:r w:rsidRPr="00AF4F35">
              <w:t>Risk Assessment </w:t>
            </w:r>
          </w:p>
        </w:tc>
        <w:tc>
          <w:tcPr>
            <w:tcW w:w="7830" w:type="dxa"/>
            <w:tcBorders>
              <w:top w:val="single" w:color="8FAADB" w:sz="6" w:space="0"/>
              <w:left w:val="single" w:color="8FAADB" w:sz="6" w:space="0"/>
              <w:bottom w:val="single" w:color="8FAADB" w:sz="6" w:space="0"/>
              <w:right w:val="single" w:color="8FAADB" w:sz="6" w:space="0"/>
            </w:tcBorders>
            <w:hideMark/>
          </w:tcPr>
          <w:p w:rsidRPr="00AF4F35" w:rsidR="00AF4F35" w:rsidP="009155C5" w:rsidRDefault="00AF4F35" w14:paraId="68F0EA4F" w14:textId="6630286A">
            <w:pPr>
              <w:pStyle w:val="Standard"/>
              <w:spacing w:line="240" w:lineRule="auto"/>
            </w:pPr>
            <w:r w:rsidRPr="00AF4F35">
              <w:t>Using the Cost-Benefit Approach developed in accordance with Step 1A, for each Risk included in the Enterprise Risk Register</w:t>
            </w:r>
            <w:r w:rsidR="005E5491">
              <w:t xml:space="preserve"> (ERR)</w:t>
            </w:r>
            <w:r w:rsidRPr="00AF4F35">
              <w:t>, the utility will compute a monetized Safety Risk Value using only the Safety Attribute. The utility will sort its ERR Risks in descending order by the monetized Safety Risk Value. For the top 40% of ERR risks with a Safety Risk Value greater than zero dollars, the utility will compute a monetized Risk Value using at least the Safety, Reliability and Financial Attributes to determine the output for Step 2A. </w:t>
            </w:r>
          </w:p>
          <w:p w:rsidRPr="00AF4F35" w:rsidR="00AF4F35" w:rsidP="009155C5" w:rsidRDefault="00AF4F35" w14:paraId="7D59BCF3" w14:textId="77777777">
            <w:pPr>
              <w:pStyle w:val="Standard"/>
              <w:spacing w:line="240" w:lineRule="auto"/>
            </w:pPr>
            <w:r w:rsidRPr="00AF4F35">
              <w:t> </w:t>
            </w:r>
          </w:p>
          <w:p w:rsidRPr="009155C5" w:rsidR="00AF4F35" w:rsidP="009155C5" w:rsidRDefault="00AF4F35" w14:paraId="76B2B7D3" w14:textId="77777777">
            <w:pPr>
              <w:pStyle w:val="Standard"/>
              <w:spacing w:line="240" w:lineRule="auto"/>
              <w:rPr>
                <w:i/>
                <w:iCs/>
              </w:rPr>
            </w:pPr>
            <w:r w:rsidRPr="00AF4F35">
              <w:t>The output of Step 2A, along with the input from stakeholders described in Row 12 below, will be used to decide which risks will be addressed in the RAMP.</w:t>
            </w:r>
            <w:r w:rsidRPr="00AF4F35">
              <w:rPr>
                <w:i/>
                <w:iCs/>
              </w:rPr>
              <w:t xml:space="preserve"> </w:t>
            </w:r>
            <w:r w:rsidRPr="00A02EA6">
              <w:rPr>
                <w:i/>
                <w:iCs/>
              </w:rPr>
              <w:t>The output of Step 2A must include a calculation of Overall Residual Risk for a given risk presented in the RAMP filing, along with a diagram and supporting workpapers demonstrating the change of Overall Residual Risk since the utility’s first RAMP filing. Diagrams and supporting workpapers must also include a disaggregation of the Overall Residual Risk values based on the Consequence Attributes, both in natural units and dollar values, as well as display the Likelihood of those Consequence Attributes.</w:t>
            </w:r>
            <w:r w:rsidRPr="000D7A29">
              <w:rPr>
                <w:i/>
                <w:iCs/>
              </w:rPr>
              <w:t> </w:t>
            </w:r>
          </w:p>
          <w:p w:rsidRPr="009155C5" w:rsidR="00AF4F35" w:rsidP="009155C5" w:rsidRDefault="00AF4F35" w14:paraId="41431C1A" w14:textId="77777777">
            <w:pPr>
              <w:pStyle w:val="Standard"/>
              <w:spacing w:line="240" w:lineRule="auto"/>
              <w:rPr>
                <w:i/>
                <w:iCs/>
              </w:rPr>
            </w:pPr>
            <w:r w:rsidRPr="009155C5">
              <w:rPr>
                <w:i/>
                <w:iCs/>
              </w:rPr>
              <w:t> </w:t>
            </w:r>
          </w:p>
          <w:p w:rsidRPr="00AF4F35" w:rsidR="00AF4F35" w:rsidP="009155C5" w:rsidRDefault="00AF4F35" w14:paraId="4699F46D" w14:textId="77777777">
            <w:pPr>
              <w:pStyle w:val="Standard"/>
              <w:spacing w:line="240" w:lineRule="auto"/>
            </w:pPr>
            <w:r w:rsidRPr="009155C5">
              <w:rPr>
                <w:i/>
                <w:iCs/>
              </w:rPr>
              <w:lastRenderedPageBreak/>
              <w:t>The output of Step 2A must include a summary of the Risk Mitigation Accountability Report Reporting Phase for each risk the utility intends to address in its RAMP application. This summary must include a copy of the utility’s Monetized Outcomes Flow Table by Attribute for each Risk Event and Monetized Outcomes Stock Table by Attribute for each Risk Event. A narrative description must accompany these tables explaining any discrepancies between the modeled risk and the monetized outcomes recorded during the previous GRC Cycle.</w:t>
            </w:r>
            <w:r w:rsidRPr="00AF4F35">
              <w:t> </w:t>
            </w:r>
          </w:p>
          <w:p w:rsidRPr="00AF4F35" w:rsidR="00AF4F35" w:rsidP="009155C5" w:rsidRDefault="00AF4F35" w14:paraId="1B42D16B" w14:textId="1171AE3B">
            <w:pPr>
              <w:pStyle w:val="Standard"/>
              <w:spacing w:line="240" w:lineRule="auto"/>
            </w:pPr>
          </w:p>
          <w:p w:rsidRPr="00AF4F35" w:rsidR="00AF4F35" w:rsidP="009155C5" w:rsidRDefault="00AF4F35" w14:paraId="6D68A4D9" w14:textId="77777777">
            <w:pPr>
              <w:pStyle w:val="Standard"/>
              <w:spacing w:line="240" w:lineRule="auto"/>
            </w:pPr>
            <w:r w:rsidRPr="00AF4F35">
              <w:t>The Risk Assessment in preparation for RAMP will follow the steps in Rows 10 and 11. </w:t>
            </w:r>
          </w:p>
        </w:tc>
      </w:tr>
    </w:tbl>
    <w:p w:rsidR="007E0E29" w:rsidP="00A02582" w:rsidRDefault="007E0E29" w14:paraId="7733914A" w14:textId="77777777">
      <w:pPr>
        <w:pStyle w:val="Standard"/>
      </w:pPr>
    </w:p>
    <w:p w:rsidR="00A02582" w:rsidP="00A02582" w:rsidRDefault="00A02582" w14:paraId="634CF43E" w14:textId="24449205">
      <w:pPr>
        <w:pStyle w:val="Standard"/>
      </w:pPr>
      <w:r>
        <w:t xml:space="preserve">SCE and </w:t>
      </w:r>
      <w:r w:rsidR="007F4279">
        <w:t>t</w:t>
      </w:r>
      <w:r w:rsidR="00A04F67">
        <w:t>he Sempra Companies</w:t>
      </w:r>
      <w:r>
        <w:t xml:space="preserve"> </w:t>
      </w:r>
      <w:r w:rsidR="00774B88">
        <w:t>argue</w:t>
      </w:r>
      <w:r>
        <w:t xml:space="preserve"> that the fact </w:t>
      </w:r>
      <w:r w:rsidR="00774B88">
        <w:t xml:space="preserve">that </w:t>
      </w:r>
      <w:r>
        <w:t xml:space="preserve">some risks occur infrequently will </w:t>
      </w:r>
      <w:r w:rsidR="000B1599">
        <w:t>prov</w:t>
      </w:r>
      <w:r w:rsidR="002844F0">
        <w:t>i</w:t>
      </w:r>
      <w:r w:rsidR="000B1599">
        <w:t>de</w:t>
      </w:r>
      <w:r>
        <w:t xml:space="preserve"> challenge</w:t>
      </w:r>
      <w:r w:rsidR="000B1599">
        <w:t>s</w:t>
      </w:r>
      <w:r>
        <w:t xml:space="preserve"> </w:t>
      </w:r>
      <w:r w:rsidR="000B1599">
        <w:t xml:space="preserve">in </w:t>
      </w:r>
      <w:r>
        <w:t xml:space="preserve">completing the Monetized Outcome Tables. </w:t>
      </w:r>
      <w:r w:rsidR="00A42897">
        <w:t>W</w:t>
      </w:r>
      <w:r>
        <w:t xml:space="preserve">e agree with TURN that the RMAR </w:t>
      </w:r>
      <w:r w:rsidRPr="000A0196">
        <w:t>provide</w:t>
      </w:r>
      <w:r>
        <w:t>s</w:t>
      </w:r>
      <w:r w:rsidRPr="000A0196">
        <w:t xml:space="preserve"> the utilit</w:t>
      </w:r>
      <w:r w:rsidR="00A42897">
        <w:t>ies</w:t>
      </w:r>
      <w:r>
        <w:t xml:space="preserve"> </w:t>
      </w:r>
      <w:r w:rsidRPr="000A0196">
        <w:t xml:space="preserve">an opportunity to explain what was learned from the </w:t>
      </w:r>
      <w:r>
        <w:t xml:space="preserve">Monetized </w:t>
      </w:r>
      <w:r w:rsidRPr="000A0196">
        <w:t xml:space="preserve">Outcomes and why </w:t>
      </w:r>
      <w:r>
        <w:t xml:space="preserve">Monetized </w:t>
      </w:r>
      <w:r w:rsidRPr="000A0196">
        <w:t xml:space="preserve">Outcomes may or may not be consistent with the </w:t>
      </w:r>
      <w:r>
        <w:t>modeled forecasts</w:t>
      </w:r>
      <w:r w:rsidRPr="000A0196">
        <w:t xml:space="preserve"> </w:t>
      </w:r>
      <w:r>
        <w:t xml:space="preserve">of post-mitigated risk in the </w:t>
      </w:r>
      <w:r w:rsidRPr="000A0196">
        <w:t>Plan Phase.</w:t>
      </w:r>
    </w:p>
    <w:p w:rsidR="00A02582" w:rsidP="00A02582" w:rsidRDefault="00A02582" w14:paraId="1A42D4F4" w14:textId="1CB0070C">
      <w:pPr>
        <w:pStyle w:val="Standard"/>
      </w:pPr>
      <w:r>
        <w:t xml:space="preserve">We agree with the parties that submission of the RMAR should follow the RSAR guidelines. </w:t>
      </w:r>
      <w:r w:rsidR="0097574E">
        <w:t>That is,</w:t>
      </w:r>
      <w:r>
        <w:t xml:space="preserve"> the utility shall file and serve the RMAR in: </w:t>
      </w:r>
      <w:r w:rsidRPr="00675D98">
        <w:t>(1) the applicable GRC proceeding(s) in which funding for the risk mitigation activities and spending was authorized; and (2) the current or most recent RAMP and GRC proceedings.</w:t>
      </w:r>
      <w:r>
        <w:t xml:space="preserve"> Additionally, we agree with TURN that the Commission should post the RMAR and any </w:t>
      </w:r>
      <w:r w:rsidR="0097574E">
        <w:t>s</w:t>
      </w:r>
      <w:r>
        <w:t>taff evaluation on a Commission webpage.</w:t>
      </w:r>
    </w:p>
    <w:p w:rsidR="00A02582" w:rsidP="00A02582" w:rsidRDefault="00A02582" w14:paraId="10F053BC" w14:textId="554BC0D9">
      <w:pPr>
        <w:pStyle w:val="Standard"/>
      </w:pPr>
      <w:r>
        <w:t xml:space="preserve">We agree with the Staff </w:t>
      </w:r>
      <w:r w:rsidR="00831CE5">
        <w:t xml:space="preserve">RMAR </w:t>
      </w:r>
      <w:r>
        <w:t xml:space="preserve">Proposal recommendation to defer discussion of the Potential Enforcement Framework and support the </w:t>
      </w:r>
      <w:r>
        <w:lastRenderedPageBreak/>
        <w:t xml:space="preserve">development of a workshop and Staff Resolution to address the topic of accountability in full. We also agree with the Staff </w:t>
      </w:r>
      <w:r w:rsidR="00915C7F">
        <w:t xml:space="preserve">RMAR </w:t>
      </w:r>
      <w:r>
        <w:t>Proposal that a future Staff Resolution should also address the timing of the first RMAR filing. Thus, at this time, we agree with TURN and Cal Advocates that it is not necessary to have the utilities pilot the RMAR.</w:t>
      </w:r>
    </w:p>
    <w:p w:rsidR="00A02582" w:rsidP="00A02582" w:rsidRDefault="00A02582" w14:paraId="6EC90486" w14:textId="12C0153F">
      <w:pPr>
        <w:pStyle w:val="Standard"/>
      </w:pPr>
      <w:r>
        <w:t xml:space="preserve">We agree with the Staff </w:t>
      </w:r>
      <w:r w:rsidR="00915C7F">
        <w:t xml:space="preserve">RMAR </w:t>
      </w:r>
      <w:r>
        <w:t xml:space="preserve">Proposal that there is a need to provide greater guidance </w:t>
      </w:r>
      <w:r w:rsidR="003977EF">
        <w:t>regarding</w:t>
      </w:r>
      <w:r>
        <w:t xml:space="preserve"> recasting, backcasting and replanning through a Staff Resolution. SCE is correct that part of this guidance should include triggers for determining when the utility should undertake a recast, backcast or replan. The Commission agrees that there is a need for the utilities to conduct an original RAMP backcast using the RMAR structure and filed with its first RMAR submission. Precisely which RMAR tables in Appendix C the utility should fill out when completing the original RAMP backcast can be discussed in a workshop </w:t>
      </w:r>
      <w:r w:rsidR="00A24527">
        <w:t>to develop</w:t>
      </w:r>
      <w:r>
        <w:t xml:space="preserve"> a Staff Resolution.</w:t>
      </w:r>
    </w:p>
    <w:p w:rsidR="00A02582" w:rsidP="008F69E2" w:rsidRDefault="00A02582" w14:paraId="30BF6F7C" w14:textId="4231251B">
      <w:pPr>
        <w:pStyle w:val="Standard"/>
      </w:pPr>
      <w:r>
        <w:t xml:space="preserve">The Commission </w:t>
      </w:r>
      <w:r w:rsidR="007E7357">
        <w:t xml:space="preserve">is </w:t>
      </w:r>
      <w:r w:rsidR="008F69E2">
        <w:t>persuaded of the</w:t>
      </w:r>
      <w:r>
        <w:t xml:space="preserve"> need for the utilities to present causal </w:t>
      </w:r>
      <w:r w:rsidR="00F676D3">
        <w:t xml:space="preserve">narratives </w:t>
      </w:r>
      <w:r>
        <w:t xml:space="preserve">of risk reduction and demonstrate how they can </w:t>
      </w:r>
      <w:r w:rsidR="00380015">
        <w:t>attribute</w:t>
      </w:r>
      <w:r>
        <w:t xml:space="preserve"> risk reduction to a given mitigation. We agree with TURN that inferring attribution can be presented in narrative sections of the RMAR and we have included such a requirement in Appendix C.</w:t>
      </w:r>
    </w:p>
    <w:p w:rsidR="00A02582" w:rsidP="00A02582" w:rsidRDefault="005F1A3D" w14:paraId="3B24A39E" w14:textId="1526EBA2">
      <w:pPr>
        <w:pStyle w:val="Standard"/>
      </w:pPr>
      <w:r>
        <w:t xml:space="preserve">Several </w:t>
      </w:r>
      <w:r w:rsidR="00F7701E">
        <w:t>issues related to the</w:t>
      </w:r>
      <w:r>
        <w:t xml:space="preserve"> RMAR </w:t>
      </w:r>
      <w:r w:rsidR="004B0636">
        <w:t>are in need of resolution</w:t>
      </w:r>
      <w:r w:rsidR="001416C9">
        <w:t>, including:</w:t>
      </w:r>
    </w:p>
    <w:p w:rsidR="00A02582" w:rsidP="00F327EB" w:rsidRDefault="00A02582" w14:paraId="07A5A763" w14:textId="112A6445">
      <w:pPr>
        <w:pStyle w:val="ListBullet"/>
        <w:ind w:right="1440"/>
      </w:pPr>
      <w:r>
        <w:t>Determin</w:t>
      </w:r>
      <w:r w:rsidR="001416C9">
        <w:t>ing</w:t>
      </w:r>
      <w:r>
        <w:t xml:space="preserve"> the timing of the first RMAR submission and cadence of regular updates.</w:t>
      </w:r>
    </w:p>
    <w:p w:rsidR="00A02582" w:rsidP="00F327EB" w:rsidRDefault="00A02582" w14:paraId="79134346" w14:textId="22556A4F">
      <w:pPr>
        <w:pStyle w:val="ListBullet"/>
        <w:ind w:right="1440"/>
      </w:pPr>
      <w:r>
        <w:t>Determin</w:t>
      </w:r>
      <w:r w:rsidR="001416C9">
        <w:t>ing</w:t>
      </w:r>
      <w:r>
        <w:t xml:space="preserve"> a final Approach for Utility Accountability that explores the Potential Enforcement Framework, the applicability of PUC 451.8 or some other approach.</w:t>
      </w:r>
    </w:p>
    <w:p w:rsidR="00A02582" w:rsidP="00F327EB" w:rsidRDefault="00190F87" w14:paraId="7308CB1D" w14:textId="449F563E">
      <w:pPr>
        <w:pStyle w:val="ListBullet"/>
        <w:ind w:right="1440"/>
      </w:pPr>
      <w:r>
        <w:t>Determining</w:t>
      </w:r>
      <w:r w:rsidR="00A02582">
        <w:t xml:space="preserve"> how the utility should demonstrate its confidence that observed results were due to mitigation effectiveness as opposed to other factors.</w:t>
      </w:r>
    </w:p>
    <w:p w:rsidR="00A02582" w:rsidP="00F327EB" w:rsidRDefault="00A02582" w14:paraId="33650CF3" w14:textId="7BE68FF8">
      <w:pPr>
        <w:pStyle w:val="ListBullet"/>
        <w:ind w:right="1440"/>
      </w:pPr>
      <w:r>
        <w:lastRenderedPageBreak/>
        <w:t>Establish</w:t>
      </w:r>
      <w:r w:rsidR="001416C9">
        <w:t>ing</w:t>
      </w:r>
      <w:r>
        <w:t xml:space="preserve"> detailed change control procedures for maintaining consistency and comparability between prior and future periods, and between plan, outcomes, results, and forecasts. The Resolution will include details about how and when recasts, backcasts and replans should occur in the context of RMAR.</w:t>
      </w:r>
    </w:p>
    <w:p w:rsidR="00A02582" w:rsidP="00F327EB" w:rsidRDefault="00A02582" w14:paraId="46AE9208" w14:textId="1FFA3F0D">
      <w:pPr>
        <w:pStyle w:val="ListBullet"/>
        <w:ind w:right="1440"/>
      </w:pPr>
      <w:r>
        <w:t>Determin</w:t>
      </w:r>
      <w:r w:rsidR="001416C9">
        <w:t>ing</w:t>
      </w:r>
      <w:r>
        <w:t xml:space="preserve"> which RMAR Tables in Appendix C should be fil</w:t>
      </w:r>
      <w:r w:rsidR="00E3476B">
        <w:t>l</w:t>
      </w:r>
      <w:r>
        <w:t>ed out when the utility completes its original RAMP backcast.</w:t>
      </w:r>
    </w:p>
    <w:p w:rsidR="00A02582" w:rsidP="00F327EB" w:rsidRDefault="00A02582" w14:paraId="322508E2" w14:textId="4564FE4B">
      <w:pPr>
        <w:pStyle w:val="ListBullet"/>
        <w:ind w:right="1440"/>
      </w:pPr>
      <w:r>
        <w:t>Expand</w:t>
      </w:r>
      <w:r w:rsidR="001416C9">
        <w:t>ing</w:t>
      </w:r>
      <w:r>
        <w:t xml:space="preserve"> upon the list of required elements for an RMAR submission found in Appendix C of this Decision.</w:t>
      </w:r>
    </w:p>
    <w:p w:rsidR="00A02582" w:rsidP="00F327EB" w:rsidRDefault="00A02582" w14:paraId="51D2A6FC" w14:textId="055D59A6">
      <w:pPr>
        <w:pStyle w:val="ListBullet"/>
        <w:ind w:right="1440"/>
      </w:pPr>
      <w:r>
        <w:t>Allow</w:t>
      </w:r>
      <w:r w:rsidR="001416C9">
        <w:t>ing</w:t>
      </w:r>
      <w:r>
        <w:t xml:space="preserve"> for future limited changes to the required elements in Appendix C to be made by SPD without the need for opening a proceeding or issuing a new Resolution.</w:t>
      </w:r>
    </w:p>
    <w:p w:rsidR="00A02582" w:rsidP="00F327EB" w:rsidRDefault="001416C9" w14:paraId="195CE612" w14:textId="67E2DA3E">
      <w:pPr>
        <w:pStyle w:val="Standard"/>
      </w:pPr>
      <w:r>
        <w:t xml:space="preserve">As such, SPD staff should hold a workshop </w:t>
      </w:r>
      <w:r w:rsidR="009255F3">
        <w:t xml:space="preserve">(or workshops) </w:t>
      </w:r>
      <w:r w:rsidR="008E04B2">
        <w:t>on these issues before</w:t>
      </w:r>
      <w:r>
        <w:t xml:space="preserve"> issuing a </w:t>
      </w:r>
      <w:r w:rsidR="009255F3">
        <w:t xml:space="preserve">Staff </w:t>
      </w:r>
      <w:r>
        <w:t xml:space="preserve">Resolution for comment. </w:t>
      </w:r>
      <w:r w:rsidR="00A02582">
        <w:t xml:space="preserve">We agree with EPUC/IS that the remaining topics to be addressed in a </w:t>
      </w:r>
      <w:r w:rsidR="009255F3">
        <w:t>S</w:t>
      </w:r>
      <w:r w:rsidR="008E04B2">
        <w:t xml:space="preserve">taff </w:t>
      </w:r>
      <w:r w:rsidR="00A02582">
        <w:t>R</w:t>
      </w:r>
      <w:r w:rsidRPr="008C3D7B" w:rsidR="00A02582">
        <w:t xml:space="preserve">esolution should be based on the Staff </w:t>
      </w:r>
      <w:r w:rsidR="004318EE">
        <w:t xml:space="preserve">RMAR </w:t>
      </w:r>
      <w:r w:rsidRPr="008C3D7B" w:rsidR="00A02582">
        <w:t xml:space="preserve">Proposal, comments received during Workshop </w:t>
      </w:r>
      <w:r w:rsidR="00D07026">
        <w:t>#</w:t>
      </w:r>
      <w:r w:rsidRPr="008C3D7B" w:rsidR="00A02582">
        <w:t xml:space="preserve">3, and Opening and Reply Comments filed on the Staff </w:t>
      </w:r>
      <w:r w:rsidR="004318EE">
        <w:t xml:space="preserve">RMAR </w:t>
      </w:r>
      <w:r w:rsidRPr="008C3D7B" w:rsidR="00A02582">
        <w:t xml:space="preserve">Proposal and Workshop </w:t>
      </w:r>
      <w:r w:rsidR="00D07026">
        <w:t>#</w:t>
      </w:r>
      <w:r w:rsidRPr="008C3D7B" w:rsidR="00A02582">
        <w:t>3 questions.</w:t>
      </w:r>
      <w:r w:rsidR="00A02582">
        <w:t xml:space="preserve"> We recommend that Staff host the workshop within </w:t>
      </w:r>
      <w:r w:rsidR="006134C7">
        <w:t>120</w:t>
      </w:r>
      <w:r w:rsidR="00A02582">
        <w:t xml:space="preserve"> days after the issuance of the Phase 4 Decision.</w:t>
      </w:r>
    </w:p>
    <w:p w:rsidR="00E85063" w:rsidP="0051658D" w:rsidRDefault="0051658D" w14:paraId="610401AF" w14:textId="219317B8">
      <w:pPr>
        <w:pStyle w:val="Heading1"/>
      </w:pPr>
      <w:bookmarkStart w:name="_Toc199847099" w:id="105"/>
      <w:bookmarkStart w:name="_Toc197677479" w:id="106"/>
      <w:bookmarkStart w:name="_Toc197694584" w:id="107"/>
      <w:bookmarkStart w:name="_Toc197947150" w:id="108"/>
      <w:bookmarkStart w:name="_Toc197677480" w:id="109"/>
      <w:bookmarkStart w:name="_Toc197694585" w:id="110"/>
      <w:bookmarkStart w:name="_Toc197947151" w:id="111"/>
      <w:bookmarkStart w:name="_Toc204258053" w:id="112"/>
      <w:bookmarkEnd w:id="37"/>
      <w:bookmarkEnd w:id="105"/>
      <w:bookmarkEnd w:id="106"/>
      <w:bookmarkEnd w:id="107"/>
      <w:bookmarkEnd w:id="108"/>
      <w:bookmarkEnd w:id="109"/>
      <w:bookmarkEnd w:id="110"/>
      <w:bookmarkEnd w:id="111"/>
      <w:r>
        <w:t>Key Term Refinements</w:t>
      </w:r>
      <w:bookmarkEnd w:id="112"/>
    </w:p>
    <w:p w:rsidR="00055783" w:rsidP="00AA16B4" w:rsidRDefault="00F81D7C" w14:paraId="2B90D0A0" w14:textId="5D6F6FF9">
      <w:pPr>
        <w:pStyle w:val="Standard"/>
      </w:pPr>
      <w:r>
        <w:t xml:space="preserve">To ameliorate possible confusion, </w:t>
      </w:r>
      <w:r w:rsidR="00307E1B">
        <w:t xml:space="preserve">we provide </w:t>
      </w:r>
      <w:r w:rsidR="008023FC">
        <w:t>t</w:t>
      </w:r>
      <w:r w:rsidR="00B45B3C">
        <w:t>hree</w:t>
      </w:r>
      <w:r w:rsidR="008023FC">
        <w:t xml:space="preserve"> key term refinements</w:t>
      </w:r>
      <w:r w:rsidR="007848B7">
        <w:t xml:space="preserve"> in the RDF</w:t>
      </w:r>
      <w:r w:rsidR="00055783">
        <w:t xml:space="preserve"> that do not change the substance of the terms</w:t>
      </w:r>
      <w:r w:rsidR="008023FC">
        <w:t xml:space="preserve">. First, </w:t>
      </w:r>
      <w:r w:rsidR="00845787">
        <w:t xml:space="preserve">what has </w:t>
      </w:r>
      <w:r w:rsidR="00F42E62">
        <w:t>previously</w:t>
      </w:r>
      <w:r w:rsidR="00845787">
        <w:t xml:space="preserve"> been called the Cost-Benefit</w:t>
      </w:r>
      <w:r w:rsidR="00F414A8">
        <w:t xml:space="preserve"> </w:t>
      </w:r>
      <w:r w:rsidR="00845787">
        <w:t xml:space="preserve">Ratio (CBR) is </w:t>
      </w:r>
      <w:r w:rsidR="0085334D">
        <w:t>calculated by dividing the benefit by the cost. As such, it is more appropriately called the Benefit-Cost Ratio (BCR), as used throughout this decision.</w:t>
      </w:r>
      <w:r w:rsidR="00B93363">
        <w:t xml:space="preserve"> A</w:t>
      </w:r>
      <w:r w:rsidR="00561001">
        <w:t xml:space="preserve">ll mentions to CBR in the RDF have been replaced </w:t>
      </w:r>
      <w:r w:rsidR="004445A8">
        <w:t>with BCR</w:t>
      </w:r>
      <w:r w:rsidR="00B45B3C">
        <w:t xml:space="preserve">. </w:t>
      </w:r>
      <w:r w:rsidR="00212DF1">
        <w:t xml:space="preserve">Cost Benefit </w:t>
      </w:r>
      <w:r w:rsidR="00660B77">
        <w:t>Approach</w:t>
      </w:r>
      <w:r w:rsidR="00212DF1">
        <w:t xml:space="preserve"> and Benefit Cost </w:t>
      </w:r>
      <w:r w:rsidR="00660B77">
        <w:t>Approach</w:t>
      </w:r>
      <w:r w:rsidR="00212DF1">
        <w:t xml:space="preserve"> can be used interchangeably, as they do not describe a specific relationship</w:t>
      </w:r>
      <w:r w:rsidR="00DE525F">
        <w:t xml:space="preserve"> between </w:t>
      </w:r>
      <w:r w:rsidR="00DE525F">
        <w:lastRenderedPageBreak/>
        <w:t>two values</w:t>
      </w:r>
      <w:r w:rsidR="00B07E25">
        <w:t xml:space="preserve"> like a BCR,</w:t>
      </w:r>
      <w:r w:rsidR="00DE525F">
        <w:t xml:space="preserve"> but </w:t>
      </w:r>
      <w:r w:rsidR="002A1839">
        <w:t xml:space="preserve">instead a form of analysis. As such, we make no changes to </w:t>
      </w:r>
      <w:r w:rsidR="000E31EB">
        <w:t xml:space="preserve">references to Cost Benefit </w:t>
      </w:r>
      <w:r w:rsidR="007765E4">
        <w:t>Approach</w:t>
      </w:r>
      <w:r w:rsidR="000E31EB">
        <w:t xml:space="preserve">. </w:t>
      </w:r>
    </w:p>
    <w:p w:rsidR="00EC27DE" w:rsidP="006809C2" w:rsidRDefault="00B45B3C" w14:paraId="288F2EAE" w14:textId="262CD4D3">
      <w:pPr>
        <w:pStyle w:val="Standard"/>
      </w:pPr>
      <w:r>
        <w:t xml:space="preserve">Second, the </w:t>
      </w:r>
      <w:r w:rsidR="00697499">
        <w:t>CPUC</w:t>
      </w:r>
      <w:r w:rsidR="006C772A">
        <w:t>-</w:t>
      </w:r>
      <w:r w:rsidR="00697499">
        <w:t xml:space="preserve">jurisdictional forecast </w:t>
      </w:r>
      <w:r w:rsidR="006C772A">
        <w:t xml:space="preserve">program </w:t>
      </w:r>
      <w:r w:rsidR="00697499">
        <w:t xml:space="preserve">cost </w:t>
      </w:r>
      <w:r>
        <w:t xml:space="preserve">thresholds </w:t>
      </w:r>
      <w:r w:rsidR="0008464B">
        <w:t>that determine w</w:t>
      </w:r>
      <w:r w:rsidR="00AB1736">
        <w:t xml:space="preserve">hether a </w:t>
      </w:r>
      <w:r w:rsidR="007D7314">
        <w:t>Step 3 Supplemental Analysis in the GRC</w:t>
      </w:r>
      <w:r w:rsidR="00861BB1">
        <w:t xml:space="preserve"> is required for a program </w:t>
      </w:r>
      <w:r w:rsidR="00C0555C">
        <w:t xml:space="preserve">included in the GRC application, as </w:t>
      </w:r>
      <w:r w:rsidR="00EE2670">
        <w:t xml:space="preserve">described in Row 28 of the RDF, </w:t>
      </w:r>
      <w:r w:rsidR="00180903">
        <w:t xml:space="preserve">should be based </w:t>
      </w:r>
      <w:r w:rsidR="00CD5388">
        <w:t xml:space="preserve">on a </w:t>
      </w:r>
      <w:r w:rsidR="002E3017">
        <w:t>four-year</w:t>
      </w:r>
      <w:r w:rsidR="00057DC6">
        <w:t xml:space="preserve"> </w:t>
      </w:r>
      <w:r w:rsidR="00984FDF">
        <w:t>GRC cycle instead of a three</w:t>
      </w:r>
      <w:r w:rsidR="002E3017">
        <w:t>-</w:t>
      </w:r>
      <w:r w:rsidR="00984FDF">
        <w:t xml:space="preserve">year GRC cycle. </w:t>
      </w:r>
      <w:r w:rsidR="001945D1">
        <w:t>For PG&amp;E, SCE, and SoCalGas</w:t>
      </w:r>
      <w:r w:rsidR="008871B3">
        <w:t xml:space="preserve">, </w:t>
      </w:r>
      <w:r w:rsidR="00AB3B9B">
        <w:t xml:space="preserve">the threshold </w:t>
      </w:r>
      <w:r w:rsidR="00A1011D">
        <w:t xml:space="preserve">for capital programs </w:t>
      </w:r>
      <w:r w:rsidR="00AB3B9B">
        <w:t>changes from a cumulative $75</w:t>
      </w:r>
      <w:r w:rsidR="00A36998">
        <w:t xml:space="preserve"> million over three years to </w:t>
      </w:r>
      <w:r w:rsidR="00E672AE">
        <w:t>a cumulative $100 million over four years</w:t>
      </w:r>
      <w:r w:rsidR="00A1011D">
        <w:t xml:space="preserve"> while the threshold for expense programs changes from a cumulative $</w:t>
      </w:r>
      <w:r w:rsidR="00D91E49">
        <w:t xml:space="preserve">15 million </w:t>
      </w:r>
      <w:r w:rsidR="0025201B">
        <w:t xml:space="preserve">in the test year </w:t>
      </w:r>
      <w:r w:rsidR="00711809">
        <w:t>to a cumulative $20 million</w:t>
      </w:r>
      <w:r w:rsidR="00C57D84">
        <w:t xml:space="preserve"> in the test year</w:t>
      </w:r>
      <w:r w:rsidR="006116FC">
        <w:t>.</w:t>
      </w:r>
      <w:r w:rsidR="006C357B">
        <w:t xml:space="preserve"> For SDG&amp;E, the threshold for capital programs changes from a cumulative $</w:t>
      </w:r>
      <w:r w:rsidR="00B2137C">
        <w:t>37.5</w:t>
      </w:r>
      <w:r w:rsidR="006C357B">
        <w:t xml:space="preserve"> million over three years to a cumulative $</w:t>
      </w:r>
      <w:r w:rsidR="00820FA4">
        <w:t>50</w:t>
      </w:r>
      <w:r w:rsidR="006C357B">
        <w:t xml:space="preserve"> million over four years while the threshold for expense programs changes from a cumulative $</w:t>
      </w:r>
      <w:r w:rsidR="00820FA4">
        <w:t>7.5</w:t>
      </w:r>
      <w:r w:rsidR="006C357B">
        <w:t xml:space="preserve"> million </w:t>
      </w:r>
      <w:r w:rsidR="00D239BA">
        <w:t xml:space="preserve">in the test year </w:t>
      </w:r>
      <w:r w:rsidR="006C357B">
        <w:t>to a cumulative $</w:t>
      </w:r>
      <w:r w:rsidR="00820FA4">
        <w:t>1</w:t>
      </w:r>
      <w:r w:rsidR="006C357B">
        <w:t xml:space="preserve">0 million </w:t>
      </w:r>
      <w:r w:rsidR="00237EA0">
        <w:t>in the test year</w:t>
      </w:r>
      <w:r w:rsidR="006C357B">
        <w:t>.</w:t>
      </w:r>
      <w:r w:rsidR="002E3017">
        <w:t xml:space="preserve"> These changes are reflected in </w:t>
      </w:r>
      <w:r w:rsidR="00EC27DE">
        <w:t xml:space="preserve">Row 28 of </w:t>
      </w:r>
      <w:r w:rsidR="002E3017">
        <w:t>the RDF</w:t>
      </w:r>
      <w:r w:rsidR="09704697">
        <w:t>,</w:t>
      </w:r>
      <w:r w:rsidR="002E3017">
        <w:t xml:space="preserve"> Appendix A</w:t>
      </w:r>
      <w:r w:rsidR="00EC27DE">
        <w:t>.</w:t>
      </w:r>
    </w:p>
    <w:p w:rsidRPr="00AA16B4" w:rsidR="00D3043D" w:rsidP="006809C2" w:rsidRDefault="00EC27DE" w14:paraId="343B94A5" w14:textId="6AD13E89">
      <w:pPr>
        <w:pStyle w:val="Standard"/>
      </w:pPr>
      <w:r>
        <w:tab/>
        <w:t xml:space="preserve">Finally, </w:t>
      </w:r>
      <w:r w:rsidR="005E0439">
        <w:t xml:space="preserve">the definition of Risk in the RDF lexicon includes </w:t>
      </w:r>
      <w:r w:rsidR="00646FF4">
        <w:t xml:space="preserve">the word “often” that may be mistakenly interpreted to mean </w:t>
      </w:r>
      <w:r w:rsidR="00EA6794">
        <w:t xml:space="preserve">that Risk </w:t>
      </w:r>
      <w:r w:rsidR="00C5362A">
        <w:t xml:space="preserve">as described in the RDF is but one of </w:t>
      </w:r>
      <w:r w:rsidR="005450BC">
        <w:t>many</w:t>
      </w:r>
      <w:r w:rsidR="00C5362A">
        <w:t xml:space="preserve"> possible definitions. </w:t>
      </w:r>
      <w:r w:rsidR="003A4568">
        <w:t>W</w:t>
      </w:r>
      <w:r w:rsidR="001D05CE">
        <w:t>e remove “often” from the definition of Risk</w:t>
      </w:r>
      <w:r w:rsidR="003A4568">
        <w:t xml:space="preserve"> to clarify that</w:t>
      </w:r>
      <w:r w:rsidR="00654D6A">
        <w:t xml:space="preserve"> Risk </w:t>
      </w:r>
      <w:r w:rsidR="00194C9B">
        <w:t xml:space="preserve">is </w:t>
      </w:r>
      <w:r w:rsidR="00097E5B">
        <w:t>defined as the produc</w:t>
      </w:r>
      <w:r w:rsidR="00A81ABF">
        <w:t>t</w:t>
      </w:r>
      <w:r w:rsidR="00097E5B">
        <w:t xml:space="preserve"> of the </w:t>
      </w:r>
      <w:r w:rsidR="009C3FC5">
        <w:t>LoRE</w:t>
      </w:r>
      <w:r w:rsidR="00097E5B">
        <w:t xml:space="preserve"> and the </w:t>
      </w:r>
      <w:r w:rsidR="009C3FC5">
        <w:t>CoRE</w:t>
      </w:r>
      <w:r w:rsidR="001D05CE">
        <w:t>.</w:t>
      </w:r>
      <w:r w:rsidR="00C8681A">
        <w:t xml:space="preserve"> This is reflected in the </w:t>
      </w:r>
      <w:r w:rsidR="00FF0F6E">
        <w:t>Definitions section of the RDF</w:t>
      </w:r>
      <w:r w:rsidR="2E2D07A3">
        <w:t>,</w:t>
      </w:r>
      <w:r w:rsidR="00FF0F6E">
        <w:t xml:space="preserve"> </w:t>
      </w:r>
      <w:r w:rsidR="009158C0">
        <w:t xml:space="preserve">Appendix A. </w:t>
      </w:r>
      <w:r w:rsidR="001D05CE">
        <w:t xml:space="preserve"> </w:t>
      </w:r>
    </w:p>
    <w:p w:rsidR="00803365" w:rsidP="00803365" w:rsidRDefault="00803365" w14:paraId="35A82249" w14:textId="6ECF4BB2">
      <w:pPr>
        <w:pStyle w:val="Heading1"/>
      </w:pPr>
      <w:bookmarkStart w:name="_Toc197677482" w:id="113"/>
      <w:bookmarkStart w:name="_Toc197694587" w:id="114"/>
      <w:bookmarkStart w:name="_Toc197947153" w:id="115"/>
      <w:bookmarkStart w:name="_Toc204258054" w:id="116"/>
      <w:bookmarkEnd w:id="113"/>
      <w:bookmarkEnd w:id="114"/>
      <w:bookmarkEnd w:id="115"/>
      <w:r>
        <w:t>RAMP Dat</w:t>
      </w:r>
      <w:r w:rsidR="002B155D">
        <w:t>a</w:t>
      </w:r>
      <w:r>
        <w:t xml:space="preserve"> Templates</w:t>
      </w:r>
      <w:bookmarkEnd w:id="116"/>
    </w:p>
    <w:p w:rsidR="00AC396D" w:rsidP="00AC396D" w:rsidRDefault="00AC396D" w14:paraId="74F858F7" w14:textId="098556A8">
      <w:r w:rsidRPr="00EC0565">
        <w:t>RAMP</w:t>
      </w:r>
      <w:r>
        <w:t xml:space="preserve"> and GRC</w:t>
      </w:r>
      <w:r w:rsidRPr="00EC0565">
        <w:t xml:space="preserve"> filings are complex and cover hundreds of program areas and related risk mitigations, risk scores, and other information.</w:t>
      </w:r>
      <w:r>
        <w:t xml:space="preserve"> Within the </w:t>
      </w:r>
      <w:r w:rsidR="00F53ABD">
        <w:t>present proceeding</w:t>
      </w:r>
      <w:r>
        <w:t xml:space="preserve">, </w:t>
      </w:r>
      <w:r w:rsidR="00AD08EC">
        <w:t>Cal Advocates</w:t>
      </w:r>
      <w:r>
        <w:t xml:space="preserve"> has recommended that the Commission prioritize consideration of data templates to support RAMP and GRC applications to ensure transparent utility reporting of:</w:t>
      </w:r>
    </w:p>
    <w:p w:rsidR="00AC396D" w:rsidP="00F327EB" w:rsidRDefault="00AC396D" w14:paraId="7679E0F5" w14:textId="77777777">
      <w:pPr>
        <w:pStyle w:val="ListBullet"/>
        <w:ind w:right="1440"/>
      </w:pPr>
      <w:r>
        <w:lastRenderedPageBreak/>
        <w:t>Appropriate units used for a specific mitigation, such as circuit miles, pipeline miles, asset units, staffing levels, inspection levels;</w:t>
      </w:r>
    </w:p>
    <w:p w:rsidR="00AC396D" w:rsidP="00F327EB" w:rsidRDefault="00AC396D" w14:paraId="3CB80021" w14:textId="77777777">
      <w:pPr>
        <w:pStyle w:val="ListBullet"/>
        <w:ind w:right="1440"/>
      </w:pPr>
      <w:r>
        <w:t>The cost-efficiency for the specific levels of risk mitigation programs;</w:t>
      </w:r>
    </w:p>
    <w:p w:rsidR="00AC396D" w:rsidP="00F327EB" w:rsidRDefault="00AC396D" w14:paraId="79E9C5D4" w14:textId="77777777">
      <w:pPr>
        <w:pStyle w:val="ListBullet"/>
        <w:ind w:right="1440"/>
      </w:pPr>
      <w:r>
        <w:t>Past and proposed effectiveness of risk mitigation programs, considering safety performance metrics, safety and operational metrics, or other specific mitigation effectiveness measures; and</w:t>
      </w:r>
    </w:p>
    <w:p w:rsidR="00AC396D" w:rsidP="00F327EB" w:rsidRDefault="00AC396D" w14:paraId="18576009" w14:textId="77777777">
      <w:pPr>
        <w:pStyle w:val="ListBullet"/>
        <w:ind w:right="1440"/>
      </w:pPr>
      <w:r>
        <w:t>Past, current, and projected progress on all risk mitigation programs.</w:t>
      </w:r>
      <w:r>
        <w:rPr>
          <w:rStyle w:val="FootnoteReference"/>
        </w:rPr>
        <w:footnoteReference w:id="184"/>
      </w:r>
    </w:p>
    <w:p w:rsidR="00AC396D" w:rsidP="00AC396D" w:rsidRDefault="00AC396D" w14:paraId="6B0C0339" w14:textId="39BE0CC9">
      <w:r>
        <w:t>During Phase 3 Workshop #5 of the RDF Proceeding, Cal Advocates submitted a data template for party comment.</w:t>
      </w:r>
      <w:r>
        <w:rPr>
          <w:rStyle w:val="FootnoteReference"/>
        </w:rPr>
        <w:footnoteReference w:id="185"/>
      </w:r>
      <w:r>
        <w:t xml:space="preserve"> </w:t>
      </w:r>
      <w:r w:rsidRPr="000B2174">
        <w:t>The Commission determined in D</w:t>
      </w:r>
      <w:r>
        <w:t>.</w:t>
      </w:r>
      <w:r w:rsidRPr="000B2174">
        <w:t>24-05-064 that the process, timing, and lexicon for the Risk Mitigation templates need further development.</w:t>
      </w:r>
      <w:r w:rsidRPr="00BE2105" w:rsidR="00BE2105">
        <w:rPr>
          <w:rStyle w:val="FootnoteReference"/>
        </w:rPr>
        <w:t xml:space="preserve"> </w:t>
      </w:r>
      <w:r w:rsidR="00BE2105">
        <w:rPr>
          <w:rStyle w:val="FootnoteReference"/>
        </w:rPr>
        <w:footnoteReference w:id="186"/>
      </w:r>
      <w:r w:rsidRPr="000B2174">
        <w:t xml:space="preserve"> In that decision, the Commission also authorized continuation of the TWG</w:t>
      </w:r>
      <w:r>
        <w:t>,</w:t>
      </w:r>
      <w:r w:rsidRPr="000B2174">
        <w:t xml:space="preserve"> established in D.21-11-009</w:t>
      </w:r>
      <w:r>
        <w:t>,</w:t>
      </w:r>
      <w:r w:rsidRPr="000B2174">
        <w:t xml:space="preserve"> to prepare and propose recommendations for refining the </w:t>
      </w:r>
      <w:r>
        <w:t>RAMP and GRC</w:t>
      </w:r>
      <w:r w:rsidRPr="000B2174">
        <w:t xml:space="preserve"> templates.</w:t>
      </w:r>
      <w:r>
        <w:rPr>
          <w:rStyle w:val="FootnoteReference"/>
        </w:rPr>
        <w:footnoteReference w:id="187"/>
      </w:r>
      <w:r>
        <w:t xml:space="preserve"> In the Phase 4 Scoping Memo, the Commission established that the TWG would support Track 2 to answer the following questions:</w:t>
      </w:r>
    </w:p>
    <w:p w:rsidR="00AC396D" w:rsidP="00F327EB" w:rsidRDefault="00AC396D" w14:paraId="46E48643" w14:textId="77777777">
      <w:pPr>
        <w:pStyle w:val="ListParagraph"/>
        <w:numPr>
          <w:ilvl w:val="0"/>
          <w:numId w:val="21"/>
        </w:numPr>
        <w:spacing w:line="264" w:lineRule="auto"/>
        <w:ind w:right="1440"/>
      </w:pPr>
      <w:r w:rsidRPr="000A48A8">
        <w:t>Should the Commission adopt required templates for data presentation for use in the RAMPs as proposed by Cal</w:t>
      </w:r>
      <w:r>
        <w:t xml:space="preserve"> </w:t>
      </w:r>
      <w:r w:rsidRPr="000A48A8">
        <w:t xml:space="preserve">Advocates? If so, what should be the information requirements and format of the templates? </w:t>
      </w:r>
    </w:p>
    <w:p w:rsidRPr="000A48A8" w:rsidR="00AC396D" w:rsidP="00F327EB" w:rsidRDefault="00AC396D" w14:paraId="47FF8930" w14:textId="77777777">
      <w:pPr>
        <w:pStyle w:val="ListParagraph"/>
        <w:numPr>
          <w:ilvl w:val="0"/>
          <w:numId w:val="21"/>
        </w:numPr>
        <w:spacing w:line="264" w:lineRule="auto"/>
        <w:ind w:right="1440"/>
      </w:pPr>
      <w:r w:rsidRPr="00A64C78">
        <w:t xml:space="preserve">What structured method, if any, for collecting and consolidating the more granular project-level data necessary </w:t>
      </w:r>
      <w:r w:rsidRPr="00A64C78">
        <w:lastRenderedPageBreak/>
        <w:t xml:space="preserve">to support the utilities’ proposed risk mitigation projects and show how the utilities determine specific targets and forecasts </w:t>
      </w:r>
      <w:r>
        <w:t xml:space="preserve">should </w:t>
      </w:r>
      <w:r w:rsidRPr="00A64C78">
        <w:t xml:space="preserve">be integrated into the RDF </w:t>
      </w:r>
      <w:r>
        <w:t>and</w:t>
      </w:r>
      <w:r w:rsidRPr="00A64C78">
        <w:t xml:space="preserve"> adopted for use by the utilities?</w:t>
      </w:r>
      <w:r>
        <w:rPr>
          <w:rStyle w:val="FootnoteReference"/>
        </w:rPr>
        <w:footnoteReference w:id="188"/>
      </w:r>
    </w:p>
    <w:p w:rsidR="00AC396D" w:rsidP="00AC396D" w:rsidRDefault="00AC396D" w14:paraId="313ECFE7" w14:textId="0A9D2A01">
      <w:r w:rsidRPr="00E05A7E">
        <w:t xml:space="preserve">The Phase 4 </w:t>
      </w:r>
      <w:r>
        <w:t>TWG</w:t>
      </w:r>
      <w:r w:rsidRPr="00E05A7E">
        <w:t xml:space="preserve"> addressing RAMP and GRC Data Templates was convened by </w:t>
      </w:r>
      <w:r>
        <w:t>SPD Staff</w:t>
      </w:r>
      <w:r w:rsidRPr="00E05A7E">
        <w:t xml:space="preserve"> on January 24, January 27, January 28, January 29, January 30, 2025.</w:t>
      </w:r>
      <w:r>
        <w:t xml:space="preserve"> During the TWG, SPD, Cal Advocates, </w:t>
      </w:r>
      <w:r w:rsidRPr="00625ACB">
        <w:t xml:space="preserve">PG&amp;E, </w:t>
      </w:r>
      <w:r w:rsidR="00BE4E54">
        <w:t>SCE</w:t>
      </w:r>
      <w:r w:rsidRPr="00625ACB">
        <w:t>, SoCalGas</w:t>
      </w:r>
      <w:r w:rsidR="00A30858">
        <w:t>,</w:t>
      </w:r>
      <w:r w:rsidRPr="00625ACB">
        <w:t xml:space="preserve"> and </w:t>
      </w:r>
      <w:r w:rsidR="00A30858">
        <w:t>the</w:t>
      </w:r>
      <w:r w:rsidRPr="00625ACB">
        <w:t xml:space="preserve"> Sempra </w:t>
      </w:r>
      <w:r w:rsidR="00A30858">
        <w:t>C</w:t>
      </w:r>
      <w:r w:rsidRPr="00625ACB">
        <w:t xml:space="preserve">ompanies </w:t>
      </w:r>
      <w:r>
        <w:t xml:space="preserve">each presented a </w:t>
      </w:r>
      <w:r w:rsidRPr="00001A64">
        <w:t>Data Template Guideline and Data Template.</w:t>
      </w:r>
      <w:r>
        <w:t xml:space="preserve"> Pursuant to Administrative Law Judge’s Ruling on TWG Material,</w:t>
      </w:r>
      <w:r w:rsidRPr="00625ACB">
        <w:t xml:space="preserve"> </w:t>
      </w:r>
      <w:r>
        <w:t xml:space="preserve">Cal Advocates, PG&amp;E, SCE, and the Sempra </w:t>
      </w:r>
      <w:r w:rsidR="0098628C">
        <w:t>C</w:t>
      </w:r>
      <w:r>
        <w:t>ompanies</w:t>
      </w:r>
      <w:r w:rsidRPr="00625ACB">
        <w:t xml:space="preserve"> </w:t>
      </w:r>
      <w:r>
        <w:t>each filed</w:t>
      </w:r>
      <w:r w:rsidRPr="00DB7CA1">
        <w:t xml:space="preserve"> </w:t>
      </w:r>
      <w:r>
        <w:t xml:space="preserve">its </w:t>
      </w:r>
      <w:r w:rsidRPr="00001A64">
        <w:t>Data Template Guideline and Data Template</w:t>
      </w:r>
      <w:r>
        <w:t xml:space="preserve"> on </w:t>
      </w:r>
      <w:r w:rsidRPr="00625ACB">
        <w:t>February 18, 2025</w:t>
      </w:r>
      <w:r>
        <w:t xml:space="preserve">, and PG&amp;E, SCE, and the Sempra </w:t>
      </w:r>
      <w:r w:rsidR="0098628C">
        <w:t>C</w:t>
      </w:r>
      <w:r>
        <w:t xml:space="preserve">ompanies </w:t>
      </w:r>
      <w:r w:rsidRPr="00625ACB">
        <w:t>jointly file</w:t>
      </w:r>
      <w:r>
        <w:t>d</w:t>
      </w:r>
      <w:r w:rsidRPr="00625ACB">
        <w:t xml:space="preserve"> a summary report of the </w:t>
      </w:r>
      <w:r>
        <w:t xml:space="preserve">TWG on </w:t>
      </w:r>
      <w:r w:rsidRPr="00625ACB">
        <w:t>February 18, 2025.</w:t>
      </w:r>
      <w:r>
        <w:rPr>
          <w:rStyle w:val="FootnoteReference"/>
        </w:rPr>
        <w:footnoteReference w:id="189"/>
      </w:r>
      <w:r>
        <w:t xml:space="preserve"> Parties’ </w:t>
      </w:r>
      <w:r w:rsidRPr="00001A64">
        <w:t>Data Template Guideline and Data Template</w:t>
      </w:r>
      <w:r>
        <w:t xml:space="preserve"> and the TWG are summarized below. </w:t>
      </w:r>
    </w:p>
    <w:p w:rsidR="00AC396D" w:rsidP="005340D9" w:rsidRDefault="00AC396D" w14:paraId="51BAA61C" w14:textId="77777777">
      <w:pPr>
        <w:pStyle w:val="Heading2"/>
      </w:pPr>
      <w:bookmarkStart w:name="_Toc204258055" w:id="117"/>
      <w:r>
        <w:t>Review of Party Data Templates</w:t>
      </w:r>
      <w:bookmarkEnd w:id="117"/>
    </w:p>
    <w:p w:rsidRPr="003A328D" w:rsidR="00AC396D" w:rsidP="005340D9" w:rsidRDefault="00AC396D" w14:paraId="00836E2C" w14:textId="77777777">
      <w:pPr>
        <w:pStyle w:val="Heading3"/>
      </w:pPr>
      <w:bookmarkStart w:name="_Toc204258056" w:id="118"/>
      <w:r>
        <w:t>SPD Data Template</w:t>
      </w:r>
      <w:bookmarkEnd w:id="118"/>
    </w:p>
    <w:p w:rsidR="00AC396D" w:rsidP="00AC396D" w:rsidRDefault="00AC396D" w14:paraId="4D2633F9" w14:textId="77777777">
      <w:pPr>
        <w:pStyle w:val="Standard"/>
      </w:pPr>
      <w:r>
        <w:t>SPD’s Data Template consists of seven tables:</w:t>
      </w:r>
    </w:p>
    <w:p w:rsidR="00AC396D" w:rsidP="00F327EB" w:rsidRDefault="00AC396D" w14:paraId="4DA4B4D1" w14:textId="77777777">
      <w:pPr>
        <w:pStyle w:val="ListBullet"/>
        <w:ind w:right="1440"/>
      </w:pPr>
      <w:r w:rsidRPr="008D7982">
        <w:t>Table 1: Data Set (General)</w:t>
      </w:r>
    </w:p>
    <w:p w:rsidR="00AC396D" w:rsidP="00F327EB" w:rsidRDefault="00AC396D" w14:paraId="42B9A7AB" w14:textId="77777777">
      <w:pPr>
        <w:pStyle w:val="ListBullet"/>
        <w:ind w:right="1440"/>
      </w:pPr>
      <w:r w:rsidRPr="0057297E">
        <w:t>Table 2: Cost Breakdown (General)</w:t>
      </w:r>
    </w:p>
    <w:p w:rsidR="00AC396D" w:rsidP="00F327EB" w:rsidRDefault="00AC396D" w14:paraId="67621A9E" w14:textId="77777777">
      <w:pPr>
        <w:pStyle w:val="ListBullet"/>
        <w:ind w:right="1440"/>
      </w:pPr>
      <w:r w:rsidRPr="00AF2AE0">
        <w:t>Table 3: Risk Model Change Tracker (Electric Grid Infrastructure Specific)</w:t>
      </w:r>
    </w:p>
    <w:p w:rsidR="00AC396D" w:rsidP="00F327EB" w:rsidRDefault="00AC396D" w14:paraId="39A414E3" w14:textId="133B8253">
      <w:pPr>
        <w:pStyle w:val="ListBullet"/>
        <w:ind w:right="1440"/>
      </w:pPr>
      <w:r w:rsidRPr="00821EFD">
        <w:t>Table 4: H</w:t>
      </w:r>
      <w:r w:rsidR="00A564BD">
        <w:t xml:space="preserve">igh </w:t>
      </w:r>
      <w:r w:rsidRPr="00821EFD">
        <w:t>F</w:t>
      </w:r>
      <w:r w:rsidR="00A564BD">
        <w:t xml:space="preserve">ire </w:t>
      </w:r>
      <w:r w:rsidRPr="00821EFD">
        <w:t>T</w:t>
      </w:r>
      <w:r w:rsidR="00A564BD">
        <w:t xml:space="preserve">hreat </w:t>
      </w:r>
      <w:r w:rsidRPr="00821EFD">
        <w:t>D</w:t>
      </w:r>
      <w:r w:rsidR="00A564BD">
        <w:t>istrict</w:t>
      </w:r>
      <w:r w:rsidRPr="00821EFD">
        <w:t xml:space="preserve"> and Associated Asset (Electric Grid Infrastructure Specific)</w:t>
      </w:r>
    </w:p>
    <w:p w:rsidR="00AC396D" w:rsidP="00F327EB" w:rsidRDefault="00AC396D" w14:paraId="66C21B1C" w14:textId="43F98B5C">
      <w:pPr>
        <w:pStyle w:val="ListBullet"/>
        <w:ind w:right="1440"/>
      </w:pPr>
      <w:r w:rsidRPr="006969FF">
        <w:t>Table 5: H</w:t>
      </w:r>
      <w:r w:rsidR="000A3775">
        <w:t>igh Consequence Area</w:t>
      </w:r>
      <w:r w:rsidRPr="006969FF">
        <w:t>/M</w:t>
      </w:r>
      <w:r w:rsidR="000A3775">
        <w:t xml:space="preserve">oderate </w:t>
      </w:r>
      <w:r w:rsidRPr="006969FF">
        <w:t>C</w:t>
      </w:r>
      <w:r w:rsidR="000A3775">
        <w:t xml:space="preserve">onsequence </w:t>
      </w:r>
      <w:r w:rsidRPr="006969FF">
        <w:t>A</w:t>
      </w:r>
      <w:r w:rsidR="000A3775">
        <w:t>rea</w:t>
      </w:r>
      <w:r w:rsidRPr="006969FF">
        <w:t xml:space="preserve"> and Associated Assets (Gas Infrastructure Specific)</w:t>
      </w:r>
    </w:p>
    <w:p w:rsidR="00AC396D" w:rsidP="00F327EB" w:rsidRDefault="00AC396D" w14:paraId="3F96E86C" w14:textId="77777777">
      <w:pPr>
        <w:pStyle w:val="ListBullet"/>
        <w:ind w:right="1440"/>
      </w:pPr>
      <w:r w:rsidRPr="00E737E6">
        <w:lastRenderedPageBreak/>
        <w:t>Table 6: Financial Inputs (General)</w:t>
      </w:r>
    </w:p>
    <w:p w:rsidR="00AC396D" w:rsidP="00F327EB" w:rsidRDefault="00AC396D" w14:paraId="1B5F5C9D" w14:textId="77777777">
      <w:pPr>
        <w:pStyle w:val="ListBullet"/>
        <w:ind w:right="1440"/>
      </w:pPr>
      <w:r w:rsidRPr="004B6E56">
        <w:t>Table 7: Interruption Cost Estimate (ICE) Calculator Inputs</w:t>
      </w:r>
    </w:p>
    <w:p w:rsidR="00AC396D" w:rsidP="00AC396D" w:rsidRDefault="00AC396D" w14:paraId="3470C3A9" w14:textId="0F00357C">
      <w:pPr>
        <w:pStyle w:val="Standard"/>
      </w:pPr>
      <w:r>
        <w:t>Table 1</w:t>
      </w:r>
      <w:r w:rsidRPr="005F44DA">
        <w:t xml:space="preserve"> </w:t>
      </w:r>
      <w:r>
        <w:t>collects</w:t>
      </w:r>
      <w:r w:rsidRPr="005F44DA">
        <w:t xml:space="preserve"> key elements and characteristics of a RRU, including</w:t>
      </w:r>
      <w:r>
        <w:t>, but not limited to,</w:t>
      </w:r>
      <w:r w:rsidRPr="005F44DA">
        <w:t xml:space="preserve"> unique identifiers, mitigation plans, and associated risks.</w:t>
      </w:r>
      <w:r>
        <w:rPr>
          <w:rStyle w:val="FootnoteReference"/>
        </w:rPr>
        <w:footnoteReference w:id="190"/>
      </w:r>
      <w:r>
        <w:t xml:space="preserve"> T</w:t>
      </w:r>
      <w:r w:rsidRPr="005F44DA">
        <w:t xml:space="preserve">able </w:t>
      </w:r>
      <w:r>
        <w:t xml:space="preserve">2 </w:t>
      </w:r>
      <w:r w:rsidRPr="005F44DA">
        <w:t xml:space="preserve">breaks down the costs associated with </w:t>
      </w:r>
      <w:r>
        <w:t xml:space="preserve">the </w:t>
      </w:r>
      <w:r w:rsidRPr="005F44DA">
        <w:t xml:space="preserve">mitigation </w:t>
      </w:r>
      <w:r>
        <w:t>of the RRU</w:t>
      </w:r>
      <w:r w:rsidRPr="005F44DA">
        <w:t>.</w:t>
      </w:r>
      <w:r>
        <w:t xml:space="preserve"> Tables 3 and 4 are specific to the electric grid infrastructure. T</w:t>
      </w:r>
      <w:r w:rsidRPr="005F44DA">
        <w:t xml:space="preserve">able </w:t>
      </w:r>
      <w:r>
        <w:t xml:space="preserve">3 </w:t>
      </w:r>
      <w:r w:rsidRPr="005F44DA">
        <w:t xml:space="preserve">tracks changes </w:t>
      </w:r>
      <w:r>
        <w:t>and updates to the risk modeling and how that affects the risk associated with the assets and systems mitigated by the</w:t>
      </w:r>
      <w:r w:rsidRPr="005F44DA">
        <w:t xml:space="preserve"> </w:t>
      </w:r>
      <w:r>
        <w:t xml:space="preserve">RRUs. </w:t>
      </w:r>
      <w:r w:rsidRPr="005F44DA">
        <w:t>T</w:t>
      </w:r>
      <w:r>
        <w:t>able 4 documents</w:t>
      </w:r>
      <w:r w:rsidRPr="005F44DA">
        <w:t xml:space="preserve"> low-risk </w:t>
      </w:r>
      <w:r>
        <w:t>associated assets</w:t>
      </w:r>
      <w:r w:rsidRPr="005F44DA">
        <w:t xml:space="preserve"> mitigated alongside primary </w:t>
      </w:r>
      <w:r>
        <w:t xml:space="preserve">electric grid infrastructure </w:t>
      </w:r>
      <w:r w:rsidRPr="005F44DA">
        <w:t>due to operational constraints or interconnected systems</w:t>
      </w:r>
      <w:r>
        <w:t>,</w:t>
      </w:r>
      <w:r>
        <w:rPr>
          <w:rStyle w:val="FootnoteReference"/>
        </w:rPr>
        <w:footnoteReference w:id="191"/>
      </w:r>
      <w:r>
        <w:t xml:space="preserve"> and collects information on how mitigating the low-risk electric grid infrastructure associated assets affects the risk reduction, costs, and BCR of the proposed RRU. Similarly, T</w:t>
      </w:r>
      <w:r w:rsidRPr="005F44DA">
        <w:t xml:space="preserve">able </w:t>
      </w:r>
      <w:r>
        <w:t xml:space="preserve">5, though specific to the gas infrastructure, </w:t>
      </w:r>
      <w:r w:rsidRPr="005F44DA">
        <w:t xml:space="preserve">documents </w:t>
      </w:r>
      <w:r>
        <w:t>low-risk gas infrastructure associated assets</w:t>
      </w:r>
      <w:r w:rsidRPr="005F44DA">
        <w:t xml:space="preserve"> </w:t>
      </w:r>
      <w:r>
        <w:t>mitigated alongside primary gas infrastructure due to operational constraints or interconnected systems,</w:t>
      </w:r>
      <w:r>
        <w:rPr>
          <w:rStyle w:val="FootnoteReference"/>
        </w:rPr>
        <w:footnoteReference w:id="192"/>
      </w:r>
      <w:r>
        <w:t xml:space="preserve"> and collects information on how mitigating the low-risk gas infrastructure associated assets affects the risk reduction, costs, and BCR of the proposed RRU. Table 6</w:t>
      </w:r>
      <w:r w:rsidRPr="005F44DA">
        <w:t xml:space="preserve"> </w:t>
      </w:r>
      <w:r>
        <w:t>collects</w:t>
      </w:r>
      <w:r w:rsidRPr="005F44DA">
        <w:t xml:space="preserve"> financial </w:t>
      </w:r>
      <w:r w:rsidRPr="005F44DA">
        <w:lastRenderedPageBreak/>
        <w:t xml:space="preserve">parameters and metrics required to calculate and evaluate risk mitigations, including discount rates, customer-minute interruptions (CMI), the value of statistical life (VSL), and </w:t>
      </w:r>
      <w:r>
        <w:t xml:space="preserve">the optional </w:t>
      </w:r>
      <w:r w:rsidRPr="005F44DA">
        <w:t>present value revenue requirements (PVRR).</w:t>
      </w:r>
      <w:r>
        <w:t xml:space="preserve"> Lastly, </w:t>
      </w:r>
      <w:r w:rsidRPr="005F44DA">
        <w:t>Table</w:t>
      </w:r>
      <w:r>
        <w:t xml:space="preserve"> 7 collects inputs that can be integrated into the ICE Calculator to estimate</w:t>
      </w:r>
      <w:r w:rsidRPr="005F44DA">
        <w:t xml:space="preserve"> the cost per customer-minute interruption, </w:t>
      </w:r>
      <w:r>
        <w:t xml:space="preserve">by </w:t>
      </w:r>
      <w:r w:rsidRPr="005F44DA">
        <w:t>categorizing outages by time of day, season, and customer type.</w:t>
      </w:r>
    </w:p>
    <w:p w:rsidR="00AC396D" w:rsidP="00AC396D" w:rsidRDefault="00AC396D" w14:paraId="650EEEF4" w14:textId="77777777">
      <w:pPr>
        <w:pStyle w:val="Standard"/>
      </w:pPr>
      <w:r>
        <w:t>Additionally, in SPD Staff’s Data Template Guideline, Staff recommends that the Commission:</w:t>
      </w:r>
    </w:p>
    <w:p w:rsidR="00AC396D" w:rsidP="00F327EB" w:rsidRDefault="00AC396D" w14:paraId="08F1E833" w14:textId="6927EEC8">
      <w:pPr>
        <w:pStyle w:val="FoF"/>
        <w:numPr>
          <w:ilvl w:val="0"/>
          <w:numId w:val="64"/>
        </w:numPr>
        <w:spacing w:after="120" w:line="240" w:lineRule="auto"/>
        <w:ind w:right="1440"/>
      </w:pPr>
      <w:r>
        <w:t>Allow SPD to be able to make updates and changes to the data template without the need for a Commission Decision or Staff Resolution. Utilities could also file Advice Letters to request updates and changes to the data template that staff could dispose of without a Staff Resolution.</w:t>
      </w:r>
    </w:p>
    <w:p w:rsidR="00AC396D" w:rsidP="00F327EB" w:rsidRDefault="00AC396D" w14:paraId="4365B309" w14:textId="6E4E2B16">
      <w:pPr>
        <w:pStyle w:val="Standard"/>
        <w:numPr>
          <w:ilvl w:val="0"/>
          <w:numId w:val="64"/>
        </w:numPr>
        <w:spacing w:after="120" w:line="240" w:lineRule="auto"/>
        <w:ind w:right="1440"/>
      </w:pPr>
      <w:r>
        <w:t>Allow SPD to establish and organize a Data Template Working Group. This Working Group would allow parties to discuss any refinements that Staff need to make to the Data Templates.</w:t>
      </w:r>
    </w:p>
    <w:p w:rsidR="00AC396D" w:rsidP="00F327EB" w:rsidRDefault="00AC396D" w14:paraId="2F923730" w14:textId="54B3BED7">
      <w:pPr>
        <w:pStyle w:val="Standard"/>
        <w:numPr>
          <w:ilvl w:val="0"/>
          <w:numId w:val="64"/>
        </w:numPr>
        <w:spacing w:after="120" w:line="240" w:lineRule="auto"/>
        <w:ind w:right="1440"/>
      </w:pPr>
      <w:r>
        <w:t>These data templates are meant to be submitted with the utility’s RAMP Application. As stated in the Phase 4 Workshop #1 Staff Proposal, when the utility files its GRC, it should file an update of the data template if any changes are made between filings.</w:t>
      </w:r>
    </w:p>
    <w:p w:rsidR="00AC396D" w:rsidP="00F327EB" w:rsidRDefault="00AC396D" w14:paraId="175BFAE4" w14:textId="5A2F054F">
      <w:pPr>
        <w:pStyle w:val="Standard"/>
        <w:numPr>
          <w:ilvl w:val="0"/>
          <w:numId w:val="64"/>
        </w:numPr>
        <w:spacing w:after="120" w:line="240" w:lineRule="auto"/>
        <w:ind w:right="1440"/>
      </w:pPr>
      <w:r>
        <w:t>In the middle of a RAMP or GRC Proceeding, if a utility intends to update the data template before the Proceeding closes, they must provide a justification for any changes made to the values found in the original data template submitted with the utility’s Application.</w:t>
      </w:r>
    </w:p>
    <w:p w:rsidR="00AC396D" w:rsidP="00F327EB" w:rsidRDefault="00AC396D" w14:paraId="3EB4B71F" w14:textId="3EC0E204">
      <w:pPr>
        <w:pStyle w:val="Standard"/>
        <w:numPr>
          <w:ilvl w:val="0"/>
          <w:numId w:val="64"/>
        </w:numPr>
        <w:spacing w:after="120" w:line="240" w:lineRule="auto"/>
        <w:ind w:right="1440"/>
      </w:pPr>
      <w:r>
        <w:t xml:space="preserve">Require </w:t>
      </w:r>
      <w:r w:rsidR="1FD7D1B2">
        <w:t>SCE</w:t>
      </w:r>
      <w:r>
        <w:t xml:space="preserve"> to submit these data templates with its 2026 RAMP Application.</w:t>
      </w:r>
    </w:p>
    <w:p w:rsidR="00AC396D" w:rsidP="00F327EB" w:rsidRDefault="00AC396D" w14:paraId="35E2063D" w14:textId="36E7DD86">
      <w:pPr>
        <w:pStyle w:val="Standard"/>
        <w:numPr>
          <w:ilvl w:val="0"/>
          <w:numId w:val="64"/>
        </w:numPr>
        <w:spacing w:after="120" w:line="240" w:lineRule="auto"/>
        <w:ind w:right="1440"/>
      </w:pPr>
      <w:r>
        <w:lastRenderedPageBreak/>
        <w:t>Require the Sempra Companies to submit these data templates with its 2028 GRC Application.</w:t>
      </w:r>
      <w:r>
        <w:rPr>
          <w:rStyle w:val="FootnoteReference"/>
        </w:rPr>
        <w:footnoteReference w:id="193"/>
      </w:r>
    </w:p>
    <w:p w:rsidR="00AC396D" w:rsidP="005340D9" w:rsidRDefault="00AC396D" w14:paraId="3B16342B" w14:textId="77777777">
      <w:pPr>
        <w:pStyle w:val="Heading3"/>
      </w:pPr>
      <w:bookmarkStart w:name="_Toc204258057" w:id="119"/>
      <w:r>
        <w:t>Cal Advocates Data Template</w:t>
      </w:r>
      <w:bookmarkEnd w:id="119"/>
    </w:p>
    <w:p w:rsidR="00AC396D" w:rsidP="00AC396D" w:rsidRDefault="00AC396D" w14:paraId="5DDC1F93" w14:textId="77777777">
      <w:pPr>
        <w:pStyle w:val="Standard"/>
      </w:pPr>
      <w:r>
        <w:t>Cal Advocates’ Data Template consists of four separate templates:</w:t>
      </w:r>
    </w:p>
    <w:p w:rsidR="00AC396D" w:rsidP="00F327EB" w:rsidRDefault="00AC396D" w14:paraId="60B42EF4" w14:textId="77777777">
      <w:pPr>
        <w:pStyle w:val="ListBullet"/>
      </w:pPr>
      <w:r w:rsidRPr="00837F74">
        <w:t>Risk Mitigation Program template</w:t>
      </w:r>
    </w:p>
    <w:p w:rsidR="00AC396D" w:rsidP="00F327EB" w:rsidRDefault="00AC396D" w14:paraId="7B7A3DB3" w14:textId="77777777">
      <w:pPr>
        <w:pStyle w:val="ListBullet"/>
      </w:pPr>
      <w:r w:rsidRPr="00BC4C8A">
        <w:t>Risk Mitigation Project/RRU template</w:t>
      </w:r>
    </w:p>
    <w:p w:rsidR="00AC396D" w:rsidP="00F327EB" w:rsidRDefault="00AC396D" w14:paraId="1B9DEDEC" w14:textId="77777777">
      <w:pPr>
        <w:pStyle w:val="ListBullet"/>
      </w:pPr>
      <w:r w:rsidRPr="0059331D">
        <w:t>Geospatial Data Schema – RRU Planned</w:t>
      </w:r>
      <w:r>
        <w:t xml:space="preserve"> template</w:t>
      </w:r>
    </w:p>
    <w:p w:rsidR="00AC396D" w:rsidP="00F327EB" w:rsidRDefault="00AC396D" w14:paraId="14BD2DCF" w14:textId="77777777">
      <w:pPr>
        <w:pStyle w:val="ListBullet"/>
        <w:ind w:right="1440"/>
      </w:pPr>
      <w:r w:rsidRPr="00CE2984">
        <w:t>Geospatial Data Schema – RRU Actual</w:t>
      </w:r>
      <w:r>
        <w:t xml:space="preserve"> template</w:t>
      </w:r>
    </w:p>
    <w:p w:rsidR="00AC396D" w:rsidP="00AC396D" w:rsidRDefault="00AC396D" w14:paraId="38932515" w14:textId="77777777">
      <w:pPr>
        <w:pStyle w:val="Standard"/>
      </w:pPr>
      <w:r>
        <w:t xml:space="preserve">The </w:t>
      </w:r>
      <w:r w:rsidRPr="00211CFF">
        <w:t>Risk Mitigation</w:t>
      </w:r>
      <w:r>
        <w:t xml:space="preserve"> Program template collects program level data such as mitigation program effectiveness, actual and forecast program costs, among others. </w:t>
      </w:r>
      <w:r w:rsidRPr="00EA6DBA">
        <w:t xml:space="preserve">The </w:t>
      </w:r>
      <w:r>
        <w:t>Risk Mitigation P</w:t>
      </w:r>
      <w:r w:rsidRPr="00EA6DBA">
        <w:t>roject/RRU template</w:t>
      </w:r>
      <w:r>
        <w:t xml:space="preserve"> collects project or RRU level data which</w:t>
      </w:r>
      <w:r w:rsidRPr="00EA6DBA">
        <w:t xml:space="preserve"> typically include</w:t>
      </w:r>
      <w:r>
        <w:t>s</w:t>
      </w:r>
      <w:r w:rsidRPr="00EA6DBA">
        <w:t xml:space="preserve"> elements such as the status of projects and measures </w:t>
      </w:r>
      <w:r>
        <w:t>(</w:t>
      </w:r>
      <w:r w:rsidRPr="00EA6DBA">
        <w:t>e.g</w:t>
      </w:r>
      <w:r>
        <w:t>.,</w:t>
      </w:r>
      <w:r w:rsidRPr="00EA6DBA">
        <w:t xml:space="preserve"> unit cost, budget, and assessment</w:t>
      </w:r>
      <w:r>
        <w:t>)</w:t>
      </w:r>
      <w:r w:rsidRPr="0045325D">
        <w:t>.</w:t>
      </w:r>
      <w:r>
        <w:t xml:space="preserve"> </w:t>
      </w:r>
      <w:r w:rsidRPr="00971F35">
        <w:t>The Geospatial Data Schema templates collect and consolidate geospatial data so that risks and mitigation projects/RRUs can then be graphically mapped to produce graphical displays of the circuit segments in the utilities’ service territories that experience the greatest risk and where proposed mitigation projects/RRUs will be implemented. While the RRU Planned template collects geospatial data on projects/RRUs that the utilities intend to work on, the RRU Actual template collects geospatial data on projects/RRUs that the utilities actually worked on.</w:t>
      </w:r>
      <w:r>
        <w:rPr>
          <w:rStyle w:val="FootnoteReference"/>
        </w:rPr>
        <w:footnoteReference w:id="194"/>
      </w:r>
    </w:p>
    <w:p w:rsidR="00AC396D" w:rsidP="00F327EB" w:rsidRDefault="00AC396D" w14:paraId="00026A07" w14:textId="77777777">
      <w:pPr>
        <w:pStyle w:val="Heading3"/>
      </w:pPr>
      <w:bookmarkStart w:name="_Toc204258058" w:id="120"/>
      <w:r>
        <w:t>PG&amp;E Data Template</w:t>
      </w:r>
      <w:bookmarkEnd w:id="120"/>
    </w:p>
    <w:p w:rsidR="00AC396D" w:rsidP="00AC396D" w:rsidRDefault="00AC396D" w14:paraId="77AA4862" w14:textId="77777777">
      <w:pPr>
        <w:pStyle w:val="Standard"/>
      </w:pPr>
      <w:r>
        <w:t xml:space="preserve">PG&amp;E’s Data Template consists of two tables: Risk Results and RRU Supplemental. The Risk Results table emerged from the Transparency Proposal </w:t>
      </w:r>
      <w:r>
        <w:lastRenderedPageBreak/>
        <w:t>piloted by PG&amp;E in its 2024 RAMP.</w:t>
      </w:r>
      <w:r>
        <w:rPr>
          <w:rStyle w:val="FootnoteReference"/>
        </w:rPr>
        <w:footnoteReference w:id="195"/>
      </w:r>
      <w:r>
        <w:t xml:space="preserve"> The RRU Supplemental table is derived from the Risk Results table. PG&amp;E proposes to include RRU information in the Transparency Proposal by adding risk-related result types (e.g., “Risk Before,” “Risk After”).</w:t>
      </w:r>
    </w:p>
    <w:p w:rsidR="00AC396D" w:rsidP="005340D9" w:rsidRDefault="00AC396D" w14:paraId="5AA7E07F" w14:textId="77777777">
      <w:pPr>
        <w:pStyle w:val="Heading3"/>
      </w:pPr>
      <w:bookmarkStart w:name="_Toc204258059" w:id="121"/>
      <w:r>
        <w:t>SCE Data Template</w:t>
      </w:r>
      <w:bookmarkEnd w:id="121"/>
    </w:p>
    <w:p w:rsidR="00AC396D" w:rsidP="00F327EB" w:rsidRDefault="00AC396D" w14:paraId="755C4A5D" w14:textId="77777777">
      <w:pPr>
        <w:pStyle w:val="Standard"/>
        <w:ind w:left="720"/>
      </w:pPr>
      <w:r>
        <w:t>SCE’s Data Template consists of five tables:</w:t>
      </w:r>
    </w:p>
    <w:p w:rsidR="00AC396D" w:rsidP="00F327EB" w:rsidRDefault="00AC396D" w14:paraId="709DD701" w14:textId="77777777">
      <w:pPr>
        <w:pStyle w:val="ListBullet"/>
      </w:pPr>
      <w:r>
        <w:t>Mitigation Effectiveness (ME) Values</w:t>
      </w:r>
    </w:p>
    <w:p w:rsidR="00AC396D" w:rsidP="00F327EB" w:rsidRDefault="00AC396D" w14:paraId="724E4010" w14:textId="77777777">
      <w:pPr>
        <w:pStyle w:val="ListBullet"/>
      </w:pPr>
      <w:r>
        <w:t>Costs</w:t>
      </w:r>
    </w:p>
    <w:p w:rsidR="00AC396D" w:rsidP="00F327EB" w:rsidRDefault="00AC396D" w14:paraId="3EFCAC02" w14:textId="77777777">
      <w:pPr>
        <w:pStyle w:val="ListBullet"/>
      </w:pPr>
      <w:r>
        <w:t>Work Units</w:t>
      </w:r>
    </w:p>
    <w:p w:rsidR="00AC396D" w:rsidP="00F327EB" w:rsidRDefault="00AC396D" w14:paraId="7E5FAEDA" w14:textId="77777777">
      <w:pPr>
        <w:pStyle w:val="ListBullet"/>
      </w:pPr>
      <w:r>
        <w:t>Baseline Input</w:t>
      </w:r>
    </w:p>
    <w:p w:rsidR="00AC396D" w:rsidP="00F327EB" w:rsidRDefault="00AC396D" w14:paraId="37C3D124" w14:textId="77777777">
      <w:pPr>
        <w:pStyle w:val="ListBullet"/>
      </w:pPr>
      <w:r>
        <w:t>Summary</w:t>
      </w:r>
    </w:p>
    <w:p w:rsidR="00AC396D" w:rsidP="00AC396D" w:rsidRDefault="00AC396D" w14:paraId="6E3B13F0" w14:textId="77777777">
      <w:pPr>
        <w:pStyle w:val="Standard"/>
      </w:pPr>
      <w:r>
        <w:t>The ME Values table p</w:t>
      </w:r>
      <w:r w:rsidRPr="007660D5">
        <w:t>rovides mitigation effectiveness values at driver/sub-driver level</w:t>
      </w:r>
      <w:r>
        <w:t xml:space="preserve">; </w:t>
      </w:r>
      <w:r w:rsidRPr="007660D5">
        <w:t>rationale/data sources used to develop the mitigation effectiveness values</w:t>
      </w:r>
      <w:r>
        <w:t xml:space="preserve">; and useful life and its rationale. The Costs and Work Units tables provide unit costs, foundational costs, and work units by year and tranche. The Baseline Input table provides </w:t>
      </w:r>
      <w:r w:rsidRPr="004A6FE6">
        <w:t>baseline risk driver frequency</w:t>
      </w:r>
      <w:r>
        <w:t>,</w:t>
      </w:r>
      <w:r w:rsidRPr="004A6FE6">
        <w:t xml:space="preserve"> consequence information</w:t>
      </w:r>
      <w:r>
        <w:t>,</w:t>
      </w:r>
      <w:r w:rsidRPr="004A6FE6">
        <w:t xml:space="preserve"> and the data sources used by year </w:t>
      </w:r>
      <w:r>
        <w:t xml:space="preserve">and </w:t>
      </w:r>
      <w:r w:rsidRPr="004A6FE6">
        <w:t>tranche</w:t>
      </w:r>
      <w:r>
        <w:t xml:space="preserve">. The Summary table provides risk-related data (e.g., pre- and post-mitigated risk), BCR values, and other information by control/mitigation and tranche. </w:t>
      </w:r>
    </w:p>
    <w:p w:rsidR="00AC396D" w:rsidP="005340D9" w:rsidRDefault="00AC396D" w14:paraId="6B78D16D" w14:textId="77777777">
      <w:pPr>
        <w:pStyle w:val="Heading3"/>
      </w:pPr>
      <w:bookmarkStart w:name="_Toc204258060" w:id="122"/>
      <w:r>
        <w:t>Sempra Companies Data Template</w:t>
      </w:r>
      <w:bookmarkEnd w:id="122"/>
    </w:p>
    <w:p w:rsidR="00AC396D" w:rsidP="00AC396D" w:rsidRDefault="00AC396D" w14:paraId="15072A87" w14:textId="4A6127C1">
      <w:pPr>
        <w:pStyle w:val="Standard"/>
      </w:pPr>
      <w:r>
        <w:t xml:space="preserve">The Sempra </w:t>
      </w:r>
      <w:r w:rsidR="004A6E99">
        <w:t>C</w:t>
      </w:r>
      <w:r>
        <w:t>ompanies’ Data Template proposes to include the following tables, but the companies did not provide a table for all of the proposed tables. Tables missing from the template are indicated by an asterisk (*):</w:t>
      </w:r>
    </w:p>
    <w:p w:rsidR="00AC396D" w:rsidP="00F327EB" w:rsidRDefault="00AC396D" w14:paraId="4EF72E1F" w14:textId="77777777">
      <w:pPr>
        <w:pStyle w:val="ListBullet"/>
      </w:pPr>
      <w:r>
        <w:t>1. Master Inputs/Model Parameters</w:t>
      </w:r>
    </w:p>
    <w:p w:rsidR="00AC396D" w:rsidP="00F327EB" w:rsidRDefault="00AC396D" w14:paraId="7BB13420" w14:textId="77777777">
      <w:pPr>
        <w:pStyle w:val="ListBullet"/>
      </w:pPr>
      <w:r>
        <w:lastRenderedPageBreak/>
        <w:t>2. Risk Summary</w:t>
      </w:r>
    </w:p>
    <w:p w:rsidR="00AC396D" w:rsidP="00F327EB" w:rsidRDefault="00AC396D" w14:paraId="582999CC" w14:textId="77777777">
      <w:pPr>
        <w:pStyle w:val="ListBullet"/>
      </w:pPr>
      <w:r>
        <w:t>2a. Pre-Mitigated Risk (Risk Level)*</w:t>
      </w:r>
    </w:p>
    <w:p w:rsidR="00AC396D" w:rsidP="00F327EB" w:rsidRDefault="00AC396D" w14:paraId="4EFE0FC9" w14:textId="77777777">
      <w:pPr>
        <w:pStyle w:val="ListBullet"/>
      </w:pPr>
      <w:r>
        <w:t>2a.1. Expected Value</w:t>
      </w:r>
    </w:p>
    <w:p w:rsidR="00AC396D" w:rsidP="00F327EB" w:rsidRDefault="00AC396D" w14:paraId="03B06259" w14:textId="77777777">
      <w:pPr>
        <w:pStyle w:val="ListBullet"/>
      </w:pPr>
      <w:r>
        <w:t>2a.2. Tail Risk</w:t>
      </w:r>
    </w:p>
    <w:p w:rsidR="00AC396D" w:rsidP="00F327EB" w:rsidRDefault="00AC396D" w14:paraId="20B99905" w14:textId="77777777">
      <w:pPr>
        <w:pStyle w:val="ListBullet"/>
      </w:pPr>
      <w:r>
        <w:t>2b. Pre-Mitigated Risk (Tranche Level)</w:t>
      </w:r>
    </w:p>
    <w:p w:rsidR="00AC396D" w:rsidP="00F327EB" w:rsidRDefault="00AC396D" w14:paraId="0B30207F" w14:textId="77777777">
      <w:pPr>
        <w:pStyle w:val="ListBullet"/>
      </w:pPr>
      <w:r>
        <w:t>3. Mitigation Summary</w:t>
      </w:r>
    </w:p>
    <w:p w:rsidR="00AC396D" w:rsidP="00F327EB" w:rsidRDefault="00AC396D" w14:paraId="505B6D25" w14:textId="77777777">
      <w:pPr>
        <w:pStyle w:val="ListBullet"/>
      </w:pPr>
      <w:r>
        <w:t>3a. Cost (Mitigation Level)</w:t>
      </w:r>
    </w:p>
    <w:p w:rsidR="00AC396D" w:rsidP="00F327EB" w:rsidRDefault="00AC396D" w14:paraId="5E770971" w14:textId="77777777">
      <w:pPr>
        <w:pStyle w:val="ListBullet"/>
      </w:pPr>
      <w:r>
        <w:t>3b. Cost (Tranche Level)*</w:t>
      </w:r>
    </w:p>
    <w:p w:rsidR="00AC396D" w:rsidP="00F327EB" w:rsidRDefault="00AC396D" w14:paraId="17B22E90" w14:textId="77777777">
      <w:pPr>
        <w:pStyle w:val="ListBullet"/>
      </w:pPr>
      <w:r>
        <w:t>3c. Benefits (Mitigation Level)*</w:t>
      </w:r>
    </w:p>
    <w:p w:rsidR="00AC396D" w:rsidP="00F327EB" w:rsidRDefault="00AC396D" w14:paraId="29B0FD1E" w14:textId="77777777">
      <w:pPr>
        <w:pStyle w:val="ListBullet"/>
      </w:pPr>
      <w:r>
        <w:t>3c.1. Expected Value</w:t>
      </w:r>
    </w:p>
    <w:p w:rsidR="00AC396D" w:rsidP="00F327EB" w:rsidRDefault="00AC396D" w14:paraId="05EB2139" w14:textId="77777777">
      <w:pPr>
        <w:pStyle w:val="ListBullet"/>
      </w:pPr>
      <w:r>
        <w:t>3c.2. Tail Risk</w:t>
      </w:r>
    </w:p>
    <w:p w:rsidR="00AC396D" w:rsidP="00F327EB" w:rsidRDefault="00AC396D" w14:paraId="28663976" w14:textId="77777777">
      <w:pPr>
        <w:pStyle w:val="ListBullet"/>
      </w:pPr>
      <w:r>
        <w:t>3d. Benefits (Tranche Level)*</w:t>
      </w:r>
    </w:p>
    <w:p w:rsidR="00AC396D" w:rsidP="00F327EB" w:rsidRDefault="00AC396D" w14:paraId="74B72EB8" w14:textId="77777777">
      <w:pPr>
        <w:pStyle w:val="ListBullet"/>
      </w:pPr>
      <w:r>
        <w:t>4a. Mitigation Level BCR (Lifetime)*</w:t>
      </w:r>
    </w:p>
    <w:p w:rsidR="00AC396D" w:rsidP="00F327EB" w:rsidRDefault="00AC396D" w14:paraId="3288344B" w14:textId="77777777">
      <w:pPr>
        <w:pStyle w:val="ListBullet"/>
      </w:pPr>
      <w:r>
        <w:t>4b. Mitigation Level BCR (TY and PTY)*</w:t>
      </w:r>
    </w:p>
    <w:p w:rsidR="00AC396D" w:rsidP="00F327EB" w:rsidRDefault="00AC396D" w14:paraId="2E4AE701" w14:textId="77777777">
      <w:pPr>
        <w:pStyle w:val="ListBullet"/>
      </w:pPr>
      <w:r>
        <w:t>4b.1. TY 2028</w:t>
      </w:r>
    </w:p>
    <w:p w:rsidR="00AC396D" w:rsidP="00F327EB" w:rsidRDefault="00AC396D" w14:paraId="0A8CEF54" w14:textId="77777777">
      <w:pPr>
        <w:pStyle w:val="ListBullet"/>
      </w:pPr>
      <w:r>
        <w:t>4b.2. TY 2029</w:t>
      </w:r>
    </w:p>
    <w:p w:rsidR="00AC396D" w:rsidP="00F327EB" w:rsidRDefault="00AC396D" w14:paraId="5BC61473" w14:textId="77777777">
      <w:pPr>
        <w:pStyle w:val="ListBullet"/>
      </w:pPr>
      <w:r>
        <w:t>4b.3. TY 2030</w:t>
      </w:r>
    </w:p>
    <w:p w:rsidR="00AC396D" w:rsidP="00F327EB" w:rsidRDefault="00AC396D" w14:paraId="590B5CB0" w14:textId="77777777">
      <w:pPr>
        <w:pStyle w:val="ListBullet"/>
      </w:pPr>
      <w:r>
        <w:t>4b.4. TY 2031</w:t>
      </w:r>
    </w:p>
    <w:p w:rsidR="00AC396D" w:rsidP="00F327EB" w:rsidRDefault="00AC396D" w14:paraId="23EFAEC5" w14:textId="77777777">
      <w:pPr>
        <w:pStyle w:val="ListBullet"/>
      </w:pPr>
      <w:r>
        <w:t>4c. Tranche Level BCR (Lifetime)*</w:t>
      </w:r>
    </w:p>
    <w:p w:rsidRPr="00552C98" w:rsidR="00AC396D" w:rsidP="00AC396D" w:rsidRDefault="00AC396D" w14:paraId="3D108572" w14:textId="77777777">
      <w:pPr>
        <w:pStyle w:val="Standard"/>
      </w:pPr>
      <w:r>
        <w:t xml:space="preserve">Table 1 collects input values (e.g., discount rates, VSL, CMI) for calculations across the template. Table 2 </w:t>
      </w:r>
      <w:r w:rsidRPr="003807C0">
        <w:t>enumerate</w:t>
      </w:r>
      <w:r>
        <w:t>s</w:t>
      </w:r>
      <w:r w:rsidRPr="003807C0">
        <w:t xml:space="preserve"> risk characteristics, pre-mitigated risk scores, mitigations, and tranches</w:t>
      </w:r>
      <w:r>
        <w:t>. Tables 2a.1 and 2a.2 provide e</w:t>
      </w:r>
      <w:r w:rsidRPr="00E31987">
        <w:t xml:space="preserve">xpected value </w:t>
      </w:r>
      <w:r>
        <w:t xml:space="preserve">and tail risk </w:t>
      </w:r>
      <w:r w:rsidRPr="00E31987">
        <w:t>calculations for safety, reliability, and financial attributes by risk level</w:t>
      </w:r>
      <w:r>
        <w:t xml:space="preserve">. Table 2b provides </w:t>
      </w:r>
      <w:r w:rsidRPr="00F07038">
        <w:t>pre-mitigated risk</w:t>
      </w:r>
      <w:r>
        <w:t xml:space="preserve"> at the tranche level. Table 3 quantifies </w:t>
      </w:r>
      <w:r w:rsidRPr="00E6565B">
        <w:t>BCR calculations by expected value, tail risk, and discount rates</w:t>
      </w:r>
      <w:r>
        <w:t xml:space="preserve">. Table 3a summarizes </w:t>
      </w:r>
      <w:r w:rsidRPr="000348F6">
        <w:t>mitigation capital and operating costs for each year by mitigation level</w:t>
      </w:r>
      <w:r>
        <w:t xml:space="preserve">. Tables 3c.1 and 3c.2 summarize mitigation benefits at </w:t>
      </w:r>
      <w:r>
        <w:lastRenderedPageBreak/>
        <w:t>expected value and tail risk for safety, reliability, and financial attributes by mitigation level. Tables 4b.1, 4b.2, 4b.3, and 4b.4 provide m</w:t>
      </w:r>
      <w:r w:rsidRPr="00BC4323">
        <w:t xml:space="preserve">itigation costs and benefits for </w:t>
      </w:r>
      <w:r>
        <w:t>Test Year (TY) 2028 and attrition years 2029-2031</w:t>
      </w:r>
      <w:r w:rsidRPr="00BC4323">
        <w:t xml:space="preserve"> utilizing various discount rates</w:t>
      </w:r>
      <w:r>
        <w:t>.</w:t>
      </w:r>
    </w:p>
    <w:p w:rsidR="00AC396D" w:rsidP="002E2962" w:rsidRDefault="00AC396D" w14:paraId="1296BACF" w14:textId="77777777">
      <w:pPr>
        <w:pStyle w:val="Heading2"/>
      </w:pPr>
      <w:bookmarkStart w:name="_Toc197677492" w:id="123"/>
      <w:bookmarkStart w:name="_Toc197694597" w:id="124"/>
      <w:bookmarkStart w:name="_Toc197947163" w:id="125"/>
      <w:bookmarkStart w:name="_Toc197677494" w:id="126"/>
      <w:bookmarkStart w:name="_Toc197694599" w:id="127"/>
      <w:bookmarkStart w:name="_Toc197947165" w:id="128"/>
      <w:bookmarkStart w:name="_Toc197677498" w:id="129"/>
      <w:bookmarkStart w:name="_Toc197694603" w:id="130"/>
      <w:bookmarkStart w:name="_Toc197947169" w:id="131"/>
      <w:bookmarkStart w:name="_Toc197677499" w:id="132"/>
      <w:bookmarkStart w:name="_Toc197694604" w:id="133"/>
      <w:bookmarkStart w:name="_Toc197947170" w:id="134"/>
      <w:bookmarkStart w:name="_Toc197677500" w:id="135"/>
      <w:bookmarkStart w:name="_Toc197694605" w:id="136"/>
      <w:bookmarkStart w:name="_Toc197947171" w:id="137"/>
      <w:bookmarkStart w:name="_Toc204258061" w:id="138"/>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2E2962">
        <w:t>Party</w:t>
      </w:r>
      <w:r>
        <w:t xml:space="preserve"> Comments</w:t>
      </w:r>
      <w:bookmarkEnd w:id="138"/>
    </w:p>
    <w:p w:rsidR="009A7D9C" w:rsidP="001F1508" w:rsidRDefault="00AC396D" w14:paraId="27FA94BE" w14:textId="00ECC540">
      <w:pPr>
        <w:pStyle w:val="Standard"/>
      </w:pPr>
      <w:r>
        <w:t xml:space="preserve">PG&amp;E, SCE, and the Sempra </w:t>
      </w:r>
      <w:r w:rsidR="00A04F67">
        <w:t>C</w:t>
      </w:r>
      <w:r>
        <w:t>ompanies oppose</w:t>
      </w:r>
      <w:r w:rsidRPr="00CB149A">
        <w:t xml:space="preserve"> </w:t>
      </w:r>
      <w:r>
        <w:t>SPD</w:t>
      </w:r>
      <w:r w:rsidRPr="00CB149A">
        <w:t xml:space="preserve"> </w:t>
      </w:r>
      <w:r w:rsidR="00C14C75">
        <w:t>s</w:t>
      </w:r>
      <w:r w:rsidRPr="00CB149A">
        <w:t xml:space="preserve">taff’s recommendation to </w:t>
      </w:r>
      <w:r>
        <w:t>allow S</w:t>
      </w:r>
      <w:r w:rsidR="00C751CE">
        <w:t>PD s</w:t>
      </w:r>
      <w:r>
        <w:t>taff</w:t>
      </w:r>
      <w:r w:rsidRPr="002B21FE">
        <w:t xml:space="preserve"> to make updates and changes to the data template without the need for a Commission </w:t>
      </w:r>
      <w:r w:rsidR="00C751CE">
        <w:t>d</w:t>
      </w:r>
      <w:r w:rsidRPr="002B21FE">
        <w:t xml:space="preserve">ecision or </w:t>
      </w:r>
      <w:r w:rsidR="00C751CE">
        <w:t>s</w:t>
      </w:r>
      <w:r w:rsidRPr="002B21FE">
        <w:t xml:space="preserve">taff </w:t>
      </w:r>
      <w:r w:rsidR="00C751CE">
        <w:t>r</w:t>
      </w:r>
      <w:r w:rsidRPr="002B21FE">
        <w:t xml:space="preserve">esolution. </w:t>
      </w:r>
      <w:r>
        <w:t xml:space="preserve">PG&amp;E and SCE are concerned that such an approach could allow </w:t>
      </w:r>
      <w:r w:rsidRPr="00CB149A">
        <w:t>new RDF requirements</w:t>
      </w:r>
      <w:r>
        <w:t xml:space="preserve"> to be instituted via the Data Template </w:t>
      </w:r>
      <w:r w:rsidRPr="00CB149A">
        <w:t>without proper deliberation and consideration by the Commission</w:t>
      </w:r>
      <w:r>
        <w:t>.</w:t>
      </w:r>
      <w:r>
        <w:rPr>
          <w:rStyle w:val="FootnoteReference"/>
        </w:rPr>
        <w:footnoteReference w:id="196"/>
      </w:r>
      <w:r>
        <w:t xml:space="preserve"> The Sempra </w:t>
      </w:r>
      <w:r w:rsidR="00A04F67">
        <w:t>C</w:t>
      </w:r>
      <w:r>
        <w:t>ompanies note that a</w:t>
      </w:r>
      <w:r w:rsidRPr="00292EA1">
        <w:t xml:space="preserve">llowing </w:t>
      </w:r>
      <w:r>
        <w:t>S</w:t>
      </w:r>
      <w:r w:rsidR="00C751CE">
        <w:t>PD s</w:t>
      </w:r>
      <w:r>
        <w:t>taff to revise</w:t>
      </w:r>
      <w:r w:rsidRPr="00292EA1">
        <w:t xml:space="preserve"> the </w:t>
      </w:r>
      <w:r>
        <w:t>Data Template</w:t>
      </w:r>
      <w:r w:rsidRPr="00292EA1">
        <w:t xml:space="preserve"> on </w:t>
      </w:r>
      <w:r>
        <w:t>its</w:t>
      </w:r>
      <w:r w:rsidRPr="00292EA1">
        <w:t xml:space="preserve"> own accord is </w:t>
      </w:r>
      <w:r>
        <w:t>“</w:t>
      </w:r>
      <w:r w:rsidRPr="00292EA1">
        <w:t>inconsistent with due process</w:t>
      </w:r>
      <w:r>
        <w:t>.”</w:t>
      </w:r>
      <w:r>
        <w:rPr>
          <w:rStyle w:val="FootnoteReference"/>
        </w:rPr>
        <w:footnoteReference w:id="197"/>
      </w:r>
      <w:r>
        <w:t xml:space="preserve"> Cal Advocates and TURN support SPD </w:t>
      </w:r>
      <w:r w:rsidR="00C751CE">
        <w:t>s</w:t>
      </w:r>
      <w:r>
        <w:t xml:space="preserve">taff’s recommendation, with caveats. Cal Advocates </w:t>
      </w:r>
      <w:r w:rsidR="00B54FF4">
        <w:t>argues</w:t>
      </w:r>
      <w:r>
        <w:t xml:space="preserve"> that participation</w:t>
      </w:r>
      <w:r w:rsidRPr="00CF7A53">
        <w:t xml:space="preserve"> by parties should be required before the </w:t>
      </w:r>
      <w:r>
        <w:t>Data Template is revised</w:t>
      </w:r>
      <w:r w:rsidRPr="00CF7A53">
        <w:t>.</w:t>
      </w:r>
      <w:r>
        <w:rPr>
          <w:rStyle w:val="FootnoteReference"/>
        </w:rPr>
        <w:footnoteReference w:id="198"/>
      </w:r>
      <w:r w:rsidR="009A7D9C">
        <w:t xml:space="preserve"> </w:t>
      </w:r>
    </w:p>
    <w:p w:rsidR="00AC396D" w:rsidP="001F1508" w:rsidRDefault="00AC396D" w14:paraId="2BC2F5F7" w14:textId="02D3E4B0">
      <w:pPr>
        <w:pStyle w:val="Standard"/>
      </w:pPr>
      <w:r w:rsidRPr="001A2BB6">
        <w:t>TURN supports a process that allows both utility and non-utility parties to have an equal</w:t>
      </w:r>
      <w:r w:rsidRPr="00B26416">
        <w:t xml:space="preserve"> </w:t>
      </w:r>
      <w:r w:rsidRPr="001A2BB6">
        <w:t xml:space="preserve">opportunity to propose non-ministerial, material changes to the data templates. </w:t>
      </w:r>
      <w:r w:rsidR="009A7D9C">
        <w:t>T</w:t>
      </w:r>
      <w:r w:rsidR="0042398A">
        <w:t>URN asserts that t</w:t>
      </w:r>
      <w:r w:rsidRPr="001A2BB6">
        <w:t>he</w:t>
      </w:r>
      <w:r w:rsidRPr="00B26416">
        <w:t xml:space="preserve"> </w:t>
      </w:r>
      <w:r w:rsidRPr="001A2BB6">
        <w:t>process should encourage participation by intervenors by allowing substantial contributions to be</w:t>
      </w:r>
      <w:r>
        <w:t xml:space="preserve"> </w:t>
      </w:r>
      <w:r w:rsidRPr="00B26416">
        <w:t>eligible for intervenor compensation.</w:t>
      </w:r>
      <w:r w:rsidR="009A7D9C">
        <w:t xml:space="preserve"> </w:t>
      </w:r>
      <w:r w:rsidRPr="00824072">
        <w:t>T</w:t>
      </w:r>
      <w:r w:rsidR="002818A4">
        <w:t>URN asserts that t</w:t>
      </w:r>
      <w:r w:rsidRPr="00824072">
        <w:t>he advice letter process</w:t>
      </w:r>
      <w:r w:rsidRPr="00636026">
        <w:t xml:space="preserve"> </w:t>
      </w:r>
      <w:r w:rsidRPr="00824072">
        <w:t>should not be the only avenue for proposing changes, as advice letters may only be submitted by</w:t>
      </w:r>
      <w:r w:rsidRPr="00636026">
        <w:t xml:space="preserve"> utilities. </w:t>
      </w:r>
      <w:r w:rsidR="0082319C">
        <w:t>TURN asserts that a</w:t>
      </w:r>
      <w:r w:rsidRPr="00636026">
        <w:t xml:space="preserve">ll parties should be able to recommend changes in a </w:t>
      </w:r>
      <w:r w:rsidRPr="00636026">
        <w:lastRenderedPageBreak/>
        <w:t xml:space="preserve">process prescribed by SPD, in which parties present a recommended change and its rationale in a document served on all parties to this proceeding (or any successor proceeding), and then parties have a period </w:t>
      </w:r>
      <w:r w:rsidR="000E2653">
        <w:t xml:space="preserve">of </w:t>
      </w:r>
      <w:r w:rsidRPr="00636026">
        <w:t>at least 14 days</w:t>
      </w:r>
      <w:r w:rsidR="000E2653">
        <w:t xml:space="preserve"> </w:t>
      </w:r>
      <w:r w:rsidRPr="00636026">
        <w:t xml:space="preserve">to respond. </w:t>
      </w:r>
      <w:r w:rsidR="004565D8">
        <w:t xml:space="preserve">TURN </w:t>
      </w:r>
      <w:r w:rsidR="00A25362">
        <w:t>suggests that a</w:t>
      </w:r>
      <w:r w:rsidRPr="00636026">
        <w:t>ny non-ministerial, material changes proposed by a party that SPD supports should be presented for comment in a Draft Resolution prepared by SPD,</w:t>
      </w:r>
      <w:r>
        <w:t xml:space="preserve"> </w:t>
      </w:r>
      <w:r w:rsidRPr="00636026">
        <w:t>subject to comment before Commission adoption</w:t>
      </w:r>
      <w:r w:rsidR="00384303">
        <w:t xml:space="preserve">. </w:t>
      </w:r>
      <w:r w:rsidR="001E215B">
        <w:t>TURN suggests a</w:t>
      </w:r>
      <w:r w:rsidRPr="0072005D">
        <w:t>ny non-ministerial, material changes that SPD seeks on its own should be allowed to skip the prior comment process and go directly to a Draft Resolution for public</w:t>
      </w:r>
      <w:r>
        <w:t xml:space="preserve"> </w:t>
      </w:r>
      <w:r w:rsidRPr="0072005D">
        <w:t xml:space="preserve">comment. </w:t>
      </w:r>
      <w:r w:rsidR="00BE12F4">
        <w:t xml:space="preserve">TURN asserts that </w:t>
      </w:r>
      <w:r w:rsidRPr="0072005D">
        <w:t>SPD should retain discretion to supplement these processes with workshops or informal meetings as it deems appropriate, provided they are open to any interested persons</w:t>
      </w:r>
      <w:r>
        <w:t xml:space="preserve"> </w:t>
      </w:r>
      <w:r w:rsidRPr="0072005D">
        <w:t>and noticed through a communication to the service list for this (or any successor) proceeding.</w:t>
      </w:r>
      <w:r w:rsidR="009A7D9C">
        <w:t xml:space="preserve"> </w:t>
      </w:r>
      <w:r w:rsidR="00D04910">
        <w:t>TURN argues that a</w:t>
      </w:r>
      <w:r w:rsidRPr="000E2D54">
        <w:t xml:space="preserve"> </w:t>
      </w:r>
      <w:r w:rsidR="00D04910">
        <w:t>R</w:t>
      </w:r>
      <w:r w:rsidRPr="000E2D54">
        <w:t>esolution process protects due process principles by allowing a meaningful opportunity to comment on any proposed changes</w:t>
      </w:r>
      <w:r w:rsidR="00A62837">
        <w:t xml:space="preserve"> and </w:t>
      </w:r>
      <w:r w:rsidRPr="000E2D54">
        <w:t>ensures compliance with the</w:t>
      </w:r>
      <w:r>
        <w:t xml:space="preserve"> </w:t>
      </w:r>
      <w:r w:rsidRPr="000E2D54">
        <w:t>delegation doctrine by requiring Commission approval of non-ministerial modifications.</w:t>
      </w:r>
      <w:r>
        <w:rPr>
          <w:rStyle w:val="FootnoteReference"/>
        </w:rPr>
        <w:footnoteReference w:id="199"/>
      </w:r>
      <w:r w:rsidR="009A7D9C">
        <w:t xml:space="preserve"> </w:t>
      </w:r>
      <w:r>
        <w:t>PG&amp;E</w:t>
      </w:r>
      <w:r w:rsidR="001D0AB3">
        <w:t xml:space="preserve"> </w:t>
      </w:r>
      <w:r w:rsidR="00981DDE">
        <w:t>notes</w:t>
      </w:r>
      <w:r>
        <w:t xml:space="preserve"> that TURN’s position is similar to its own, and recommends that a ministerial, non-material</w:t>
      </w:r>
      <w:r w:rsidR="00A76C29">
        <w:t xml:space="preserve"> </w:t>
      </w:r>
      <w:r w:rsidR="00E2735B">
        <w:t xml:space="preserve">change </w:t>
      </w:r>
      <w:r w:rsidR="00A76C29">
        <w:t>be defined as a</w:t>
      </w:r>
      <w:r>
        <w:t xml:space="preserve"> </w:t>
      </w:r>
      <w:r w:rsidR="00E2735B">
        <w:t xml:space="preserve">change </w:t>
      </w:r>
      <w:r>
        <w:t>solely focus on improving the presentation, accessibility</w:t>
      </w:r>
      <w:r w:rsidR="00AA7B2A">
        <w:t>,</w:t>
      </w:r>
      <w:r>
        <w:t xml:space="preserve"> and comprehension of forecast-based information required by an </w:t>
      </w:r>
      <w:r w:rsidR="00D719A9">
        <w:t xml:space="preserve">utility </w:t>
      </w:r>
      <w:r>
        <w:t xml:space="preserve">in support of its RAMP and/or GRC application. </w:t>
      </w:r>
      <w:r w:rsidR="00107D38">
        <w:t>PG&amp;E recommends that u</w:t>
      </w:r>
      <w:r>
        <w:t xml:space="preserve">pdates to address past performance and accountability reporting </w:t>
      </w:r>
      <w:r w:rsidR="00107D38">
        <w:t xml:space="preserve">be </w:t>
      </w:r>
      <w:r>
        <w:t>out of scope of the Data Template Working Group and should not be considered ministerial or non-material.</w:t>
      </w:r>
      <w:r w:rsidR="00450902">
        <w:t xml:space="preserve"> Additionally, </w:t>
      </w:r>
      <w:r w:rsidR="001811AF">
        <w:t>PG&amp;E</w:t>
      </w:r>
      <w:r w:rsidR="008E2A44">
        <w:t xml:space="preserve"> argues that a </w:t>
      </w:r>
      <w:r w:rsidR="008E2A44">
        <w:lastRenderedPageBreak/>
        <w:t>ministerial, non-material change</w:t>
      </w:r>
      <w:r w:rsidR="006A5B9E">
        <w:t xml:space="preserve"> does not institute or result in any new RDF requirements</w:t>
      </w:r>
      <w:r>
        <w:t>.</w:t>
      </w:r>
      <w:r>
        <w:rPr>
          <w:rStyle w:val="FootnoteReference"/>
        </w:rPr>
        <w:footnoteReference w:id="200"/>
      </w:r>
    </w:p>
    <w:p w:rsidRPr="006A5B9E" w:rsidR="00AC396D" w:rsidP="006809C2" w:rsidRDefault="004B385E" w14:paraId="7162E130" w14:textId="7309F57E">
      <w:pPr>
        <w:pStyle w:val="Standard"/>
      </w:pPr>
      <w:r>
        <w:t>No parties oppose</w:t>
      </w:r>
      <w:r w:rsidRPr="006A5B9E" w:rsidR="00AC396D">
        <w:t xml:space="preserve"> SPD </w:t>
      </w:r>
      <w:r w:rsidR="00516298">
        <w:t>s</w:t>
      </w:r>
      <w:r w:rsidRPr="006A5B9E" w:rsidR="00AC396D">
        <w:t>taff’s recommendation that S</w:t>
      </w:r>
      <w:r w:rsidR="006A5B9E">
        <w:t>PD s</w:t>
      </w:r>
      <w:r w:rsidRPr="006A5B9E" w:rsidR="00AC396D">
        <w:t xml:space="preserve">taff be allowed to establish and organize a Data Templates Working Group where parties can propose and discuss refinements to the adopted data template. PG&amp;E recommends that SPD </w:t>
      </w:r>
      <w:r w:rsidR="00516298">
        <w:t xml:space="preserve">staff </w:t>
      </w:r>
      <w:r w:rsidRPr="006A5B9E" w:rsidR="00AC396D">
        <w:t>summarize the working group deliberations</w:t>
      </w:r>
      <w:r w:rsidR="00B43F33">
        <w:t>,</w:t>
      </w:r>
      <w:r w:rsidRPr="006A5B9E" w:rsidR="00AC396D">
        <w:t xml:space="preserve"> </w:t>
      </w:r>
      <w:r w:rsidR="0056558C">
        <w:t>SPD staff</w:t>
      </w:r>
      <w:r w:rsidRPr="006A5B9E" w:rsidR="00AC396D">
        <w:t xml:space="preserve"> recommend changes to the template</w:t>
      </w:r>
      <w:r w:rsidR="0056558C">
        <w:t xml:space="preserve">, </w:t>
      </w:r>
      <w:r w:rsidR="0004535A">
        <w:t>p</w:t>
      </w:r>
      <w:r w:rsidRPr="006A5B9E" w:rsidR="00AC396D">
        <w:t xml:space="preserve">arties be </w:t>
      </w:r>
      <w:r w:rsidR="00153752">
        <w:t xml:space="preserve">provided the </w:t>
      </w:r>
      <w:r w:rsidR="00516298">
        <w:t xml:space="preserve">opportunity to </w:t>
      </w:r>
      <w:r w:rsidR="00153752">
        <w:t>submit</w:t>
      </w:r>
      <w:r w:rsidRPr="006A5B9E" w:rsidR="00AC396D">
        <w:t xml:space="preserve"> comment</w:t>
      </w:r>
      <w:r w:rsidR="00153752">
        <w:t>s</w:t>
      </w:r>
      <w:r w:rsidRPr="006A5B9E" w:rsidR="00AC396D">
        <w:t xml:space="preserve"> and reply comment</w:t>
      </w:r>
      <w:r w:rsidR="00153752">
        <w:t>s</w:t>
      </w:r>
      <w:r w:rsidRPr="006A5B9E" w:rsidR="00AC396D">
        <w:t xml:space="preserve"> </w:t>
      </w:r>
      <w:r w:rsidR="00516298">
        <w:t xml:space="preserve">on </w:t>
      </w:r>
      <w:r w:rsidRPr="006A5B9E" w:rsidR="00AC396D">
        <w:t>SPD’s recommendation,</w:t>
      </w:r>
      <w:r w:rsidR="0056558C">
        <w:t xml:space="preserve"> and </w:t>
      </w:r>
      <w:r w:rsidRPr="006A5B9E" w:rsidR="00AC396D">
        <w:t>the</w:t>
      </w:r>
      <w:r w:rsidR="0040279F">
        <w:t xml:space="preserve"> </w:t>
      </w:r>
      <w:r w:rsidRPr="006A5B9E" w:rsidR="00AC396D">
        <w:t>record be submitted for Commission resolution.</w:t>
      </w:r>
      <w:r w:rsidRPr="00516298" w:rsidR="00AC396D">
        <w:rPr>
          <w:rStyle w:val="FootnoteReference"/>
        </w:rPr>
        <w:footnoteReference w:id="201"/>
      </w:r>
    </w:p>
    <w:p w:rsidR="00AC396D" w:rsidP="003F6DD1" w:rsidRDefault="00AC396D" w14:paraId="7965F42E" w14:textId="7BA705EC">
      <w:pPr>
        <w:pStyle w:val="Standard"/>
      </w:pPr>
      <w:r>
        <w:t xml:space="preserve">PG&amp;E, SCE, and the Sempra </w:t>
      </w:r>
      <w:r w:rsidR="00A04F67">
        <w:t>C</w:t>
      </w:r>
      <w:r>
        <w:t xml:space="preserve">ompanies </w:t>
      </w:r>
      <w:r w:rsidR="0018342A">
        <w:t xml:space="preserve">generally </w:t>
      </w:r>
      <w:r>
        <w:t xml:space="preserve">oppose </w:t>
      </w:r>
      <w:r w:rsidR="0040279F">
        <w:t xml:space="preserve">adoption of </w:t>
      </w:r>
      <w:r w:rsidR="002379B4">
        <w:t>Cal Advocates</w:t>
      </w:r>
      <w:r w:rsidR="00826CF9">
        <w:t xml:space="preserve">’ </w:t>
      </w:r>
      <w:r w:rsidR="00615360">
        <w:t xml:space="preserve">RAMP </w:t>
      </w:r>
      <w:r>
        <w:t xml:space="preserve">Data Template and </w:t>
      </w:r>
      <w:r w:rsidR="00167BC9">
        <w:t xml:space="preserve">Cal Advocates’ recommendation that </w:t>
      </w:r>
      <w:r w:rsidR="007F5BF1">
        <w:t>utilities submit annu</w:t>
      </w:r>
      <w:r w:rsidR="008D2CFC">
        <w:t>al updates o</w:t>
      </w:r>
      <w:r w:rsidR="001F4EF4">
        <w:t>f the RAMP Data Template.</w:t>
      </w:r>
      <w:r w:rsidR="000F443F">
        <w:t xml:space="preserve"> </w:t>
      </w:r>
      <w:r>
        <w:t>PG&amp;E</w:t>
      </w:r>
      <w:r w:rsidR="00615360">
        <w:t xml:space="preserve"> and </w:t>
      </w:r>
      <w:r>
        <w:t>SCE</w:t>
      </w:r>
      <w:r w:rsidR="00615360">
        <w:t xml:space="preserve"> </w:t>
      </w:r>
      <w:r>
        <w:t xml:space="preserve">argue that the accountability data required in </w:t>
      </w:r>
      <w:r w:rsidR="00F85962">
        <w:t xml:space="preserve">Cal Advocates’ </w:t>
      </w:r>
      <w:r w:rsidR="00615360">
        <w:t>RAMP</w:t>
      </w:r>
      <w:r>
        <w:t xml:space="preserve"> Data Template overlaps with data requirements in the annual RSAR and the proposed annual RMAR, </w:t>
      </w:r>
      <w:r w:rsidR="008676FA">
        <w:t xml:space="preserve">thereby </w:t>
      </w:r>
      <w:r w:rsidR="005F2BCE">
        <w:t xml:space="preserve">unfairly </w:t>
      </w:r>
      <w:r w:rsidR="008676FA">
        <w:t xml:space="preserve">injecting </w:t>
      </w:r>
      <w:r w:rsidR="000F359B">
        <w:t>accountability reporting into the data templates</w:t>
      </w:r>
      <w:r>
        <w:t>.</w:t>
      </w:r>
      <w:r w:rsidRPr="000F359B" w:rsidR="000F359B">
        <w:rPr>
          <w:rStyle w:val="FootnoteReference"/>
        </w:rPr>
        <w:t xml:space="preserve"> </w:t>
      </w:r>
      <w:r w:rsidR="000F359B">
        <w:rPr>
          <w:rStyle w:val="FootnoteReference"/>
        </w:rPr>
        <w:footnoteReference w:id="202"/>
      </w:r>
      <w:r>
        <w:t xml:space="preserve"> PG&amp;E</w:t>
      </w:r>
      <w:r w:rsidR="0018342A">
        <w:t xml:space="preserve"> </w:t>
      </w:r>
      <w:r>
        <w:t xml:space="preserve">and </w:t>
      </w:r>
      <w:r w:rsidR="0018342A">
        <w:t>SCE</w:t>
      </w:r>
      <w:r>
        <w:t xml:space="preserve"> </w:t>
      </w:r>
      <w:r w:rsidR="0040279F">
        <w:t>are</w:t>
      </w:r>
      <w:r>
        <w:t xml:space="preserve"> concern</w:t>
      </w:r>
      <w:r w:rsidR="0040279F">
        <w:t>ed</w:t>
      </w:r>
      <w:r>
        <w:t xml:space="preserve"> that RMAR requirements have yet to be finalized and adopted by the Commission</w:t>
      </w:r>
      <w:r w:rsidR="00762F34">
        <w:t xml:space="preserve"> and, a</w:t>
      </w:r>
      <w:r w:rsidR="005D502E">
        <w:t>s such,</w:t>
      </w:r>
      <w:r>
        <w:t xml:space="preserve"> adopting </w:t>
      </w:r>
      <w:r w:rsidR="00F85962">
        <w:t xml:space="preserve">Cal Advocates’ </w:t>
      </w:r>
      <w:r w:rsidR="00615360">
        <w:t>RAMP</w:t>
      </w:r>
      <w:r>
        <w:t xml:space="preserve"> Data Template would </w:t>
      </w:r>
      <w:r w:rsidRPr="0015380C">
        <w:t>pre-ordain an RMAR approach when there are still major elements that need to be explored.</w:t>
      </w:r>
      <w:r w:rsidR="00994EF4">
        <w:rPr>
          <w:rStyle w:val="FootnoteReference"/>
        </w:rPr>
        <w:footnoteReference w:id="203"/>
      </w:r>
      <w:r>
        <w:t xml:space="preserve"> PG&amp;E, SCE, and the Sempra </w:t>
      </w:r>
      <w:r w:rsidR="00F9424F">
        <w:t>C</w:t>
      </w:r>
      <w:r>
        <w:t xml:space="preserve">ompanies argue that because RAMP and GRC filings occur every four </w:t>
      </w:r>
      <w:r>
        <w:lastRenderedPageBreak/>
        <w:t xml:space="preserve">years, requiring annual updates to the Data Template would </w:t>
      </w:r>
      <w:r w:rsidRPr="00B00EA3">
        <w:t>alter the requirements for RAMP and GRC applications without due consideration</w:t>
      </w:r>
      <w:r>
        <w:t>.</w:t>
      </w:r>
      <w:r w:rsidR="00A942C7">
        <w:rPr>
          <w:rStyle w:val="FootnoteReference"/>
        </w:rPr>
        <w:footnoteReference w:id="204"/>
      </w:r>
      <w:r w:rsidRPr="00B00EA3">
        <w:t xml:space="preserve"> </w:t>
      </w:r>
      <w:r>
        <w:t>TURN supports Cal Advocates’ recommendation for utilities to submit annual updates of the Data Template. TURN argues</w:t>
      </w:r>
      <w:r w:rsidR="005D502E">
        <w:t xml:space="preserve"> that t</w:t>
      </w:r>
      <w:r w:rsidRPr="002671C6">
        <w:t>he templates will supplement and complement the information currently required in annual RSAR and the expected annual RMAR by providing more granular information</w:t>
      </w:r>
      <w:r w:rsidR="00DF5E31">
        <w:t>.</w:t>
      </w:r>
      <w:r>
        <w:rPr>
          <w:rStyle w:val="FootnoteReference"/>
        </w:rPr>
        <w:footnoteReference w:id="205"/>
      </w:r>
    </w:p>
    <w:p w:rsidR="00AC396D" w:rsidP="003F6DD1" w:rsidRDefault="00AC396D" w14:paraId="575591C1" w14:textId="7B4CFDEC">
      <w:pPr>
        <w:pStyle w:val="Standard"/>
      </w:pPr>
      <w:r>
        <w:t xml:space="preserve">Cal Advocates recommends that </w:t>
      </w:r>
      <w:r w:rsidRPr="00E90088">
        <w:t>RRU geospatial location data and progress data</w:t>
      </w:r>
      <w:r>
        <w:t xml:space="preserve"> be included in the Data Template. Cal Advocates argues that this data</w:t>
      </w:r>
      <w:r w:rsidRPr="00E90088">
        <w:t xml:space="preserve"> enable</w:t>
      </w:r>
      <w:r>
        <w:t xml:space="preserve">s </w:t>
      </w:r>
      <w:r w:rsidRPr="00E90088">
        <w:t>mapping of risks and progress to visually identify how mitigation projects prioritize and address the utility’s highest risks.</w:t>
      </w:r>
      <w:r>
        <w:rPr>
          <w:rStyle w:val="FootnoteReference"/>
        </w:rPr>
        <w:footnoteReference w:id="206"/>
      </w:r>
      <w:r w:rsidRPr="00E90088">
        <w:t xml:space="preserve"> </w:t>
      </w:r>
      <w:r>
        <w:t xml:space="preserve">PG&amp;E and SCE question </w:t>
      </w:r>
      <w:r w:rsidRPr="00415E01">
        <w:t>how mapping helps rank and prioritize mitigations</w:t>
      </w:r>
      <w:r>
        <w:t xml:space="preserve"> and whether requiring geospatial information for all risks is useful</w:t>
      </w:r>
      <w:r w:rsidR="009518F0">
        <w:t xml:space="preserve"> or appropriate</w:t>
      </w:r>
      <w:r w:rsidR="00495C47">
        <w:t>, though</w:t>
      </w:r>
      <w:r w:rsidRPr="00415E01">
        <w:t xml:space="preserve"> PG&amp;E is not opposed to providing</w:t>
      </w:r>
      <w:r w:rsidR="003A5E96">
        <w:t xml:space="preserve"> relevant</w:t>
      </w:r>
      <w:r w:rsidRPr="00415E01">
        <w:t xml:space="preserve"> geospatial information</w:t>
      </w:r>
      <w:r>
        <w:t>.</w:t>
      </w:r>
      <w:r>
        <w:rPr>
          <w:rStyle w:val="FootnoteReference"/>
        </w:rPr>
        <w:footnoteReference w:id="207"/>
      </w:r>
      <w:r>
        <w:t xml:space="preserve"> Cal Advocates clarifies that m</w:t>
      </w:r>
      <w:r w:rsidRPr="00B04121">
        <w:t>apping enables the Commission and parties to obtain a better understanding of where the work is being done relative to the remaining risk</w:t>
      </w:r>
      <w:r>
        <w:t>, and emphasizes that its proposal does not require geospatial data for all risks</w:t>
      </w:r>
      <w:r w:rsidR="00495C47">
        <w:t xml:space="preserve">, only </w:t>
      </w:r>
      <w:r w:rsidRPr="00B04121">
        <w:t xml:space="preserve">risk mitigation </w:t>
      </w:r>
      <w:r>
        <w:t>projects where geospatial data is applicable.</w:t>
      </w:r>
      <w:r>
        <w:rPr>
          <w:rStyle w:val="FootnoteReference"/>
        </w:rPr>
        <w:footnoteReference w:id="208"/>
      </w:r>
    </w:p>
    <w:p w:rsidR="00AC396D" w:rsidP="003F6DD1" w:rsidRDefault="00AC396D" w14:paraId="08C57B7F" w14:textId="0A5BA043">
      <w:pPr>
        <w:pStyle w:val="Standard"/>
      </w:pPr>
      <w:r>
        <w:t xml:space="preserve">PG&amp;E, SCE, and the Sempra </w:t>
      </w:r>
      <w:r w:rsidR="00A04F67">
        <w:t>C</w:t>
      </w:r>
      <w:r>
        <w:t xml:space="preserve">ompanies take issue with the Proposed and Alternative Mitigation </w:t>
      </w:r>
      <w:r w:rsidR="00495C47">
        <w:t>f</w:t>
      </w:r>
      <w:r>
        <w:t>ield in SPD Staff’s Data Template. S</w:t>
      </w:r>
      <w:r w:rsidR="00495C47">
        <w:t>DP s</w:t>
      </w:r>
      <w:r>
        <w:t xml:space="preserve">taff’s proposal </w:t>
      </w:r>
      <w:r>
        <w:lastRenderedPageBreak/>
        <w:t xml:space="preserve">explains that this field </w:t>
      </w:r>
      <w:r w:rsidRPr="00517266">
        <w:t>enables comparing risk analyses of several mitigation options for the same RRU.</w:t>
      </w:r>
      <w:r>
        <w:t xml:space="preserve"> PG&amp;E states that even though this requirement </w:t>
      </w:r>
      <w:r w:rsidRPr="008E2ABA">
        <w:t xml:space="preserve">exists for proposed </w:t>
      </w:r>
      <w:r w:rsidR="004628F8">
        <w:t>u</w:t>
      </w:r>
      <w:r w:rsidRPr="008E2ABA">
        <w:t>ndergrounding projects in a</w:t>
      </w:r>
      <w:r w:rsidR="00B2495F">
        <w:t xml:space="preserve"> utility’s</w:t>
      </w:r>
      <w:r>
        <w:t xml:space="preserve"> </w:t>
      </w:r>
      <w:r w:rsidRPr="008E2ABA">
        <w:t xml:space="preserve">Expedited Undergrounding Plan (EUP), </w:t>
      </w:r>
      <w:r>
        <w:t xml:space="preserve">the RDF currently requires alternative analysis only for mitigation programs, not RRUs. </w:t>
      </w:r>
      <w:r w:rsidR="004628F8">
        <w:t>PG&amp;E argues that by</w:t>
      </w:r>
      <w:r>
        <w:t xml:space="preserve"> including this field in the Data Template, S</w:t>
      </w:r>
      <w:r w:rsidR="004628F8">
        <w:t>PD s</w:t>
      </w:r>
      <w:r>
        <w:t>taff has introduced a new requirement</w:t>
      </w:r>
      <w:r w:rsidR="00DE4553">
        <w:t xml:space="preserve"> and that </w:t>
      </w:r>
      <w:r w:rsidR="0030085D">
        <w:t>this and other related fields</w:t>
      </w:r>
      <w:r w:rsidR="00CA5705">
        <w:t xml:space="preserve"> be removed</w:t>
      </w:r>
      <w:r>
        <w:t>.</w:t>
      </w:r>
      <w:r>
        <w:rPr>
          <w:rStyle w:val="FootnoteReference"/>
        </w:rPr>
        <w:footnoteReference w:id="209"/>
      </w:r>
      <w:r w:rsidRPr="008E2ABA">
        <w:t xml:space="preserve"> </w:t>
      </w:r>
      <w:r>
        <w:t xml:space="preserve">SCE and </w:t>
      </w:r>
      <w:r w:rsidR="006765A8">
        <w:t xml:space="preserve">the </w:t>
      </w:r>
      <w:r>
        <w:t>Sempra</w:t>
      </w:r>
      <w:r w:rsidR="006765A8">
        <w:t xml:space="preserve"> Companies</w:t>
      </w:r>
      <w:r>
        <w:t xml:space="preserve"> contend that </w:t>
      </w:r>
      <w:r w:rsidRPr="008C1023">
        <w:t>D</w:t>
      </w:r>
      <w:r>
        <w:t>.</w:t>
      </w:r>
      <w:r w:rsidRPr="008C1023">
        <w:t>14-12-025</w:t>
      </w:r>
      <w:r>
        <w:t xml:space="preserve"> direct</w:t>
      </w:r>
      <w:r w:rsidR="00EC457F">
        <w:t>s</w:t>
      </w:r>
      <w:r>
        <w:t xml:space="preserve"> utilities to include two alternative mitigation plans</w:t>
      </w:r>
      <w:r w:rsidR="00CA5705">
        <w:t xml:space="preserve"> in their RAMP application</w:t>
      </w:r>
      <w:r>
        <w:t xml:space="preserve">, not </w:t>
      </w:r>
      <w:r w:rsidRPr="008C1023">
        <w:t>two alternatives for each proposed RRU</w:t>
      </w:r>
      <w:r>
        <w:t>.</w:t>
      </w:r>
      <w:r>
        <w:rPr>
          <w:rStyle w:val="FootnoteReference"/>
        </w:rPr>
        <w:footnoteReference w:id="210"/>
      </w:r>
      <w:r>
        <w:t xml:space="preserve"> SCE urges the Commission not to adopt this </w:t>
      </w:r>
      <w:r w:rsidR="001213EA">
        <w:t xml:space="preserve">sweeping </w:t>
      </w:r>
      <w:r w:rsidRPr="00E11F5F">
        <w:t xml:space="preserve">new </w:t>
      </w:r>
      <w:r w:rsidR="001213EA">
        <w:t xml:space="preserve">requirement </w:t>
      </w:r>
      <w:r>
        <w:t>without due consideration.</w:t>
      </w:r>
      <w:r>
        <w:rPr>
          <w:rStyle w:val="FootnoteReference"/>
        </w:rPr>
        <w:footnoteReference w:id="211"/>
      </w:r>
      <w:r>
        <w:t xml:space="preserve"> TURN</w:t>
      </w:r>
      <w:r w:rsidR="001213EA">
        <w:t xml:space="preserve"> </w:t>
      </w:r>
      <w:r w:rsidRPr="00E11F5F">
        <w:t xml:space="preserve">supports </w:t>
      </w:r>
      <w:r>
        <w:t xml:space="preserve">requiring </w:t>
      </w:r>
      <w:r w:rsidR="001213EA">
        <w:t xml:space="preserve">commensurable data </w:t>
      </w:r>
      <w:r w:rsidRPr="00E11F5F">
        <w:t>for alternatives to the utilities’ preferred mitigations and that this requirement be made explicit in the Commission’s decision.</w:t>
      </w:r>
      <w:r>
        <w:rPr>
          <w:rStyle w:val="FootnoteReference"/>
        </w:rPr>
        <w:footnoteReference w:id="212"/>
      </w:r>
      <w:r>
        <w:t xml:space="preserve"> PG&amp;E </w:t>
      </w:r>
      <w:r w:rsidR="00457B98">
        <w:t xml:space="preserve">notes </w:t>
      </w:r>
      <w:r>
        <w:t xml:space="preserve">that it created a spreadsheet tool for TURN to compare </w:t>
      </w:r>
      <w:r w:rsidR="001213EA">
        <w:t xml:space="preserve">commensurable data </w:t>
      </w:r>
      <w:r>
        <w:t>for system hardening initiatives to reduce wildfire risk.</w:t>
      </w:r>
      <w:r>
        <w:rPr>
          <w:rStyle w:val="FootnoteReference"/>
        </w:rPr>
        <w:footnoteReference w:id="213"/>
      </w:r>
    </w:p>
    <w:p w:rsidR="00AC396D" w:rsidP="003F6DD1" w:rsidRDefault="00AC396D" w14:paraId="1B1F7D92" w14:textId="2F6867D5">
      <w:pPr>
        <w:pStyle w:val="Standard"/>
      </w:pPr>
      <w:r>
        <w:t xml:space="preserve">PG&amp;E recommends that SPD Staff’s Data Template allow the </w:t>
      </w:r>
      <w:r w:rsidR="00B33796">
        <w:t xml:space="preserve">utilities </w:t>
      </w:r>
      <w:r>
        <w:t>to report the risk values they use in their forecasts</w:t>
      </w:r>
      <w:r w:rsidR="00457B98">
        <w:t xml:space="preserve"> (i.e., </w:t>
      </w:r>
      <w:r>
        <w:t>risk-adjusted or risk neutral</w:t>
      </w:r>
      <w:r w:rsidR="00457B98">
        <w:t>)</w:t>
      </w:r>
      <w:r>
        <w:t xml:space="preserve"> in the Pre-Mitigated Risk and Post-Mitigated Risk fields</w:t>
      </w:r>
      <w:r w:rsidR="004A4EFF">
        <w:t xml:space="preserve"> instead o</w:t>
      </w:r>
      <w:r w:rsidR="004C247B">
        <w:t>f requiring unscaled values</w:t>
      </w:r>
      <w:r>
        <w:t>. PG&amp;E argues that this requirement</w:t>
      </w:r>
      <w:r w:rsidRPr="008E27E3">
        <w:t xml:space="preserve"> </w:t>
      </w:r>
      <w:r>
        <w:t xml:space="preserve">imposes a risk-neutral </w:t>
      </w:r>
      <w:r>
        <w:lastRenderedPageBreak/>
        <w:t xml:space="preserve">attitude on </w:t>
      </w:r>
      <w:r w:rsidR="00233854">
        <w:t xml:space="preserve">utilities </w:t>
      </w:r>
      <w:r>
        <w:t xml:space="preserve">and is misleading because it assumes the adoption of </w:t>
      </w:r>
      <w:r w:rsidR="00065C53">
        <w:t>the S</w:t>
      </w:r>
      <w:r>
        <w:t xml:space="preserve">taff Risk Tolerance </w:t>
      </w:r>
      <w:r w:rsidR="00065C53">
        <w:t>P</w:t>
      </w:r>
      <w:r>
        <w:t>roposal.</w:t>
      </w:r>
      <w:r>
        <w:rPr>
          <w:rStyle w:val="FootnoteReference"/>
        </w:rPr>
        <w:footnoteReference w:id="214"/>
      </w:r>
      <w:r>
        <w:t xml:space="preserve"> </w:t>
      </w:r>
    </w:p>
    <w:p w:rsidR="00AC396D" w:rsidP="003F6DD1" w:rsidRDefault="00AC396D" w14:paraId="222119FD" w14:textId="181299FB">
      <w:pPr>
        <w:pStyle w:val="Standard"/>
      </w:pPr>
      <w:r w:rsidRPr="0072550E">
        <w:t>TURN recommends that the</w:t>
      </w:r>
      <w:r>
        <w:t xml:space="preserve"> </w:t>
      </w:r>
      <w:r w:rsidR="000551F3">
        <w:t>d</w:t>
      </w:r>
      <w:r>
        <w:t xml:space="preserve">ata </w:t>
      </w:r>
      <w:r w:rsidR="000551F3">
        <w:t>t</w:t>
      </w:r>
      <w:r>
        <w:t>emplate</w:t>
      </w:r>
      <w:r w:rsidRPr="0072550E">
        <w:t xml:space="preserve"> adopted in this proceeding include a field for the PVRR</w:t>
      </w:r>
      <w:r w:rsidR="00E42509">
        <w:t xml:space="preserve"> </w:t>
      </w:r>
      <w:r w:rsidRPr="0072550E">
        <w:t>of the projects and programs covered by the template</w:t>
      </w:r>
      <w:r>
        <w:t>, and that the</w:t>
      </w:r>
      <w:r w:rsidRPr="0072550E">
        <w:t xml:space="preserve"> Commission modify the RDF to</w:t>
      </w:r>
      <w:r>
        <w:t xml:space="preserve"> explicitly </w:t>
      </w:r>
      <w:r w:rsidRPr="0072550E">
        <w:t>specify that costs of capital projects and programs used in BCR</w:t>
      </w:r>
      <w:r>
        <w:t xml:space="preserve"> calculations</w:t>
      </w:r>
      <w:r w:rsidRPr="0072550E">
        <w:t xml:space="preserve"> must be based on the estimated PVRR</w:t>
      </w:r>
      <w:r>
        <w:t xml:space="preserve">. </w:t>
      </w:r>
      <w:r w:rsidRPr="0072550E">
        <w:t>TURN agrees with S</w:t>
      </w:r>
      <w:r w:rsidR="006402E3">
        <w:t>PD s</w:t>
      </w:r>
      <w:r>
        <w:t xml:space="preserve">taff </w:t>
      </w:r>
      <w:r w:rsidRPr="0072550E">
        <w:t xml:space="preserve">that the cost of programs and projects in RAMP and GRC submissions, particularly submissions related to the calculation of BCR, should be based on the present value of the full cost to ratepayers of those activities. </w:t>
      </w:r>
      <w:r w:rsidR="00E42509">
        <w:t>TURN asserts that u</w:t>
      </w:r>
      <w:r w:rsidR="00233854">
        <w:t>tilities</w:t>
      </w:r>
      <w:r>
        <w:t xml:space="preserve"> do </w:t>
      </w:r>
      <w:r w:rsidRPr="0072550E">
        <w:t>not include rate of return, taxes</w:t>
      </w:r>
      <w:r>
        <w:t>,</w:t>
      </w:r>
      <w:r w:rsidRPr="0072550E">
        <w:t xml:space="preserve"> and other loaders</w:t>
      </w:r>
      <w:r>
        <w:t xml:space="preserve"> in the costs used to calculate the BCR of capital projects</w:t>
      </w:r>
      <w:r w:rsidRPr="0072550E">
        <w:t xml:space="preserve">, </w:t>
      </w:r>
      <w:r>
        <w:t xml:space="preserve">which </w:t>
      </w:r>
      <w:r w:rsidRPr="0072550E">
        <w:t>undervalue</w:t>
      </w:r>
      <w:r>
        <w:t>s</w:t>
      </w:r>
      <w:r w:rsidRPr="0072550E">
        <w:t xml:space="preserve"> the total costs over the life of a capital asset</w:t>
      </w:r>
      <w:r>
        <w:t xml:space="preserve">, </w:t>
      </w:r>
      <w:r w:rsidRPr="0072550E">
        <w:t>and lead</w:t>
      </w:r>
      <w:r>
        <w:t>s</w:t>
      </w:r>
      <w:r w:rsidRPr="0072550E">
        <w:t xml:space="preserve"> to overstated BCRs.</w:t>
      </w:r>
      <w:r>
        <w:t xml:space="preserve"> TURN further argues that </w:t>
      </w:r>
      <w:r w:rsidRPr="00A4702E">
        <w:t xml:space="preserve">including the full revenue requirement impact of capital investments is consistent with the intent of </w:t>
      </w:r>
      <w:r w:rsidR="00E42509">
        <w:t xml:space="preserve">Pub. Util. Code </w:t>
      </w:r>
      <w:r w:rsidRPr="00A4702E">
        <w:t>Section 739.15, recently added by A</w:t>
      </w:r>
      <w:r w:rsidR="00E42509">
        <w:t xml:space="preserve">ssembly </w:t>
      </w:r>
      <w:r w:rsidRPr="00A4702E">
        <w:t>B</w:t>
      </w:r>
      <w:r w:rsidR="00E42509">
        <w:t>ill</w:t>
      </w:r>
      <w:r w:rsidRPr="00A4702E">
        <w:t xml:space="preserve"> 2847 (</w:t>
      </w:r>
      <w:r w:rsidR="00673D72">
        <w:t xml:space="preserve">Addis, </w:t>
      </w:r>
      <w:r w:rsidRPr="00A4702E">
        <w:t>2024), which authorizes the Commission, in utility application proceedings</w:t>
      </w:r>
      <w:r w:rsidR="00673D72">
        <w:t>,</w:t>
      </w:r>
      <w:r w:rsidRPr="00A4702E">
        <w:t xml:space="preserve"> to recover capital costs, </w:t>
      </w:r>
      <w:r w:rsidR="00673D72">
        <w:t xml:space="preserve">and </w:t>
      </w:r>
      <w:r w:rsidRPr="00A4702E">
        <w:t>to require utilities to estimate the revenue requirement impacts for each year that the capital costs will remain in rate base.</w:t>
      </w:r>
      <w:r>
        <w:rPr>
          <w:rStyle w:val="FootnoteReference"/>
        </w:rPr>
        <w:footnoteReference w:id="215"/>
      </w:r>
      <w:r>
        <w:t xml:space="preserve"> The Sempra </w:t>
      </w:r>
      <w:r w:rsidR="00B16A99">
        <w:t>C</w:t>
      </w:r>
      <w:r>
        <w:t xml:space="preserve">ompanies and SCE disagree with TURN’s recommendations on PVRR and encourage the Commission not to adopt them. As the Sempra </w:t>
      </w:r>
      <w:r w:rsidR="00B16A99">
        <w:t>C</w:t>
      </w:r>
      <w:r>
        <w:t>ompanies explain, d</w:t>
      </w:r>
      <w:r w:rsidRPr="002011F4">
        <w:t xml:space="preserve">etermination of the final revenue requirement </w:t>
      </w:r>
      <w:r>
        <w:t xml:space="preserve">happens at the </w:t>
      </w:r>
      <w:r w:rsidRPr="002011F4">
        <w:t>very end of the RAMP-to-GRC process</w:t>
      </w:r>
      <w:r>
        <w:t xml:space="preserve">, whereas </w:t>
      </w:r>
      <w:r w:rsidRPr="002011F4">
        <w:t xml:space="preserve">RAMP forecasts are developed 3-4 years in advance of a GRC test year. </w:t>
      </w:r>
      <w:r w:rsidR="00B23527">
        <w:t>As such, the Sempra Companies argue</w:t>
      </w:r>
      <w:r w:rsidR="00E93B18">
        <w:t xml:space="preserve"> that the </w:t>
      </w:r>
      <w:r w:rsidRPr="002011F4" w:rsidR="00E93B18">
        <w:lastRenderedPageBreak/>
        <w:t>develop</w:t>
      </w:r>
      <w:r w:rsidR="00E93B18">
        <w:t>ment of</w:t>
      </w:r>
      <w:r w:rsidRPr="002011F4" w:rsidR="00E93B18">
        <w:t xml:space="preserve"> a revenue requirement</w:t>
      </w:r>
      <w:r w:rsidR="00E93B18">
        <w:t xml:space="preserve"> </w:t>
      </w:r>
      <w:r w:rsidRPr="002011F4" w:rsidR="00E93B18">
        <w:t>estimate of RAMP costs</w:t>
      </w:r>
      <w:r w:rsidR="00E93B18">
        <w:t xml:space="preserve"> </w:t>
      </w:r>
      <w:r w:rsidRPr="002011F4" w:rsidR="00E93B18">
        <w:t>at the beginning of the GRC process</w:t>
      </w:r>
      <w:r w:rsidR="00B23527">
        <w:t xml:space="preserve"> </w:t>
      </w:r>
      <w:r w:rsidR="00DD5F7F">
        <w:t>would provide no value</w:t>
      </w:r>
      <w:r>
        <w:t>.</w:t>
      </w:r>
      <w:r>
        <w:rPr>
          <w:rStyle w:val="FootnoteReference"/>
        </w:rPr>
        <w:footnoteReference w:id="216"/>
      </w:r>
    </w:p>
    <w:p w:rsidR="00AC396D" w:rsidP="00923955" w:rsidRDefault="00AC396D" w14:paraId="66E73BF7" w14:textId="7E91A201">
      <w:pPr>
        <w:pStyle w:val="Standard"/>
      </w:pPr>
      <w:r>
        <w:t>SCE recommends removing the Hybrid Discount Rate Field from SPD Staff’s Data Template because this rate can be calculated using the Societal Discount Rate and W</w:t>
      </w:r>
      <w:r w:rsidR="00D03D56">
        <w:t xml:space="preserve">eighted </w:t>
      </w:r>
      <w:r>
        <w:t>A</w:t>
      </w:r>
      <w:r w:rsidR="00D03D56">
        <w:t xml:space="preserve">verage </w:t>
      </w:r>
      <w:r>
        <w:t>C</w:t>
      </w:r>
      <w:r w:rsidR="00D03D56">
        <w:t xml:space="preserve">ost of </w:t>
      </w:r>
      <w:r>
        <w:t>C</w:t>
      </w:r>
      <w:r w:rsidR="00D03D56">
        <w:t>apital</w:t>
      </w:r>
      <w:r>
        <w:t xml:space="preserve">, which are </w:t>
      </w:r>
      <w:r w:rsidR="00CF5C1D">
        <w:t xml:space="preserve">both </w:t>
      </w:r>
      <w:r>
        <w:t>included in S</w:t>
      </w:r>
      <w:r w:rsidR="00FB0A8E">
        <w:t>PD s</w:t>
      </w:r>
      <w:r>
        <w:t>taff’s Data Template.</w:t>
      </w:r>
      <w:r w:rsidR="005B61EF">
        <w:t xml:space="preserve"> </w:t>
      </w:r>
      <w:r>
        <w:t xml:space="preserve">SCE </w:t>
      </w:r>
      <w:r w:rsidR="005B61EF">
        <w:t xml:space="preserve">also </w:t>
      </w:r>
      <w:r>
        <w:t xml:space="preserve">recommends that the </w:t>
      </w:r>
      <w:r w:rsidR="004501A9">
        <w:t xml:space="preserve">utilities </w:t>
      </w:r>
      <w:r>
        <w:t xml:space="preserve">be allowed </w:t>
      </w:r>
      <w:r w:rsidRPr="00E65EBD">
        <w:t>to develop a reliability input table based on the actual data going into the RAMP models</w:t>
      </w:r>
      <w:r>
        <w:t xml:space="preserve"> </w:t>
      </w:r>
      <w:r w:rsidR="00AA0338">
        <w:t xml:space="preserve">because the ICE </w:t>
      </w:r>
      <w:r>
        <w:t>2.0</w:t>
      </w:r>
      <w:r w:rsidR="00AA0338">
        <w:t xml:space="preserve"> tool</w:t>
      </w:r>
      <w:r>
        <w:t xml:space="preserve"> will not be available until </w:t>
      </w:r>
      <w:r w:rsidR="005B61EF">
        <w:t>the second</w:t>
      </w:r>
      <w:r>
        <w:t xml:space="preserve"> or </w:t>
      </w:r>
      <w:r w:rsidR="005B61EF">
        <w:t>third quarter</w:t>
      </w:r>
      <w:r>
        <w:t xml:space="preserve"> of 2025.</w:t>
      </w:r>
      <w:r>
        <w:rPr>
          <w:rStyle w:val="FootnoteReference"/>
        </w:rPr>
        <w:footnoteReference w:id="217"/>
      </w:r>
      <w:r>
        <w:t xml:space="preserve"> </w:t>
      </w:r>
    </w:p>
    <w:p w:rsidR="00AC396D" w:rsidP="00923955" w:rsidRDefault="00281487" w14:paraId="4FF45C4E" w14:textId="4C2AC8B1">
      <w:pPr>
        <w:pStyle w:val="Standard"/>
      </w:pPr>
      <w:r>
        <w:t xml:space="preserve">In response to </w:t>
      </w:r>
      <w:r w:rsidR="00CC4F1C">
        <w:t xml:space="preserve">the utilities’ request for flexibility in presenting data in pivoted or tabular form, </w:t>
      </w:r>
      <w:r w:rsidR="00AC396D">
        <w:t>Cal Advocates argues that the tabular format would be more useful and flexible for data analysis</w:t>
      </w:r>
      <w:r w:rsidR="00CC4F1C">
        <w:t xml:space="preserve"> </w:t>
      </w:r>
      <w:r w:rsidR="00AC396D">
        <w:t>recommends that</w:t>
      </w:r>
      <w:r w:rsidRPr="00D41D69" w:rsidR="00AC396D">
        <w:t xml:space="preserve"> the Commission adopt the tabular template</w:t>
      </w:r>
      <w:r w:rsidR="00AC396D">
        <w:t xml:space="preserve">. </w:t>
      </w:r>
      <w:r w:rsidRPr="00D41D69" w:rsidR="00AC396D">
        <w:t>Cal Advocates</w:t>
      </w:r>
      <w:r w:rsidR="00AC396D">
        <w:t xml:space="preserve"> also</w:t>
      </w:r>
      <w:r w:rsidRPr="00D41D69" w:rsidR="00AC396D">
        <w:t xml:space="preserve"> recommends that utilities be permitted to supplement their </w:t>
      </w:r>
      <w:r w:rsidR="00AC396D">
        <w:t>data</w:t>
      </w:r>
      <w:r w:rsidRPr="00D41D69" w:rsidR="00AC396D">
        <w:t xml:space="preserve"> templates with pivoted data.</w:t>
      </w:r>
      <w:r w:rsidR="00AC396D">
        <w:rPr>
          <w:rStyle w:val="FootnoteReference"/>
        </w:rPr>
        <w:footnoteReference w:id="218"/>
      </w:r>
      <w:r w:rsidR="00AC396D">
        <w:t xml:space="preserve">  </w:t>
      </w:r>
    </w:p>
    <w:p w:rsidRPr="007E3AE8" w:rsidR="00AC396D" w:rsidP="00923955" w:rsidRDefault="00AC396D" w14:paraId="69DD528B" w14:textId="0B0F4015">
      <w:pPr>
        <w:pStyle w:val="Standard"/>
      </w:pPr>
      <w:r>
        <w:t xml:space="preserve">Regarding new requirements resulting from Phase 4 of this Proceeding, the Sempra </w:t>
      </w:r>
      <w:r w:rsidR="00917D26">
        <w:t>C</w:t>
      </w:r>
      <w:r>
        <w:t xml:space="preserve">ompanies agree with PG&amp;E that new requirements </w:t>
      </w:r>
      <w:r w:rsidRPr="00B922E8">
        <w:t xml:space="preserve">should not apply to </w:t>
      </w:r>
      <w:r>
        <w:t xml:space="preserve">the Sempra </w:t>
      </w:r>
      <w:r w:rsidR="00917D26">
        <w:t>C</w:t>
      </w:r>
      <w:r>
        <w:t>ompanies’ TY</w:t>
      </w:r>
      <w:r w:rsidRPr="00B922E8">
        <w:t xml:space="preserve"> 2028 GRC Application, on the principle that changes to the RDF should not be applied mid GRC cycle</w:t>
      </w:r>
      <w:r>
        <w:t>.</w:t>
      </w:r>
      <w:r>
        <w:rPr>
          <w:rStyle w:val="FootnoteReference"/>
        </w:rPr>
        <w:footnoteReference w:id="219"/>
      </w:r>
      <w:r>
        <w:t xml:space="preserve"> SCE recommends </w:t>
      </w:r>
      <w:r w:rsidRPr="00A12B94">
        <w:t xml:space="preserve">that a suitable best practice would be to avoid imposing substantive new </w:t>
      </w:r>
      <w:r w:rsidRPr="00A12B94">
        <w:lastRenderedPageBreak/>
        <w:t>requirements on a particular utility if the utility’s deadline to file its next RAMP falls within one year or less of the effective date of the new requirement.</w:t>
      </w:r>
      <w:r>
        <w:rPr>
          <w:rStyle w:val="FootnoteReference"/>
        </w:rPr>
        <w:footnoteReference w:id="220"/>
      </w:r>
    </w:p>
    <w:p w:rsidRPr="0051658D" w:rsidR="00AC396D" w:rsidP="00AB058F" w:rsidRDefault="00AC396D" w14:paraId="6AB4951B" w14:textId="7A0ACB80">
      <w:pPr>
        <w:pStyle w:val="Heading2"/>
      </w:pPr>
      <w:bookmarkStart w:name="_Toc204258062" w:id="139"/>
      <w:r w:rsidRPr="00AB058F">
        <w:t>Discussion</w:t>
      </w:r>
      <w:bookmarkEnd w:id="139"/>
    </w:p>
    <w:p w:rsidR="00AC396D" w:rsidP="00AC396D" w:rsidRDefault="00AC396D" w14:paraId="2CC91B41" w14:textId="7DCF9B7F">
      <w:pPr>
        <w:pStyle w:val="Standard"/>
      </w:pPr>
      <w:r>
        <w:t xml:space="preserve">The Commission </w:t>
      </w:r>
      <w:r w:rsidR="002F38D2">
        <w:t xml:space="preserve">is persuaded </w:t>
      </w:r>
      <w:r>
        <w:t>that the SPD Data Template</w:t>
      </w:r>
      <w:r w:rsidR="00EB3CCD">
        <w:t xml:space="preserve">, with </w:t>
      </w:r>
      <w:r w:rsidR="001040E1">
        <w:t xml:space="preserve">the </w:t>
      </w:r>
      <w:r w:rsidR="00EB3CCD">
        <w:t>modifications</w:t>
      </w:r>
      <w:r w:rsidR="001040E1">
        <w:t xml:space="preserve"> described here</w:t>
      </w:r>
      <w:r w:rsidR="00EB3CCD">
        <w:t>,</w:t>
      </w:r>
      <w:r>
        <w:t xml:space="preserve"> </w:t>
      </w:r>
      <w:r w:rsidR="002F38D2">
        <w:t xml:space="preserve">provides the data necessary to support evaluation of RAMP and GRC applications. </w:t>
      </w:r>
      <w:r w:rsidR="001040E1">
        <w:t>It is reasonable to adopt the</w:t>
      </w:r>
      <w:r w:rsidR="001621A4">
        <w:t xml:space="preserve"> data template</w:t>
      </w:r>
      <w:r w:rsidR="002F4396">
        <w:t xml:space="preserve"> and its guidelines</w:t>
      </w:r>
      <w:r>
        <w:t xml:space="preserve"> </w:t>
      </w:r>
      <w:r w:rsidR="002C6732">
        <w:t xml:space="preserve">attached </w:t>
      </w:r>
      <w:r>
        <w:t xml:space="preserve">to this </w:t>
      </w:r>
      <w:r w:rsidR="00866EA7">
        <w:t>d</w:t>
      </w:r>
      <w:r>
        <w:t>ecision as Appendix D, which we now call the RAMP Data Template</w:t>
      </w:r>
      <w:r w:rsidR="6CE676B3">
        <w:t xml:space="preserve"> and Guidelines</w:t>
      </w:r>
      <w:r>
        <w:t xml:space="preserve">. </w:t>
      </w:r>
      <w:r w:rsidR="002C7F15">
        <w:t xml:space="preserve">We </w:t>
      </w:r>
      <w:r>
        <w:t>agree with SPD</w:t>
      </w:r>
      <w:r w:rsidR="00316497">
        <w:t xml:space="preserve"> staff</w:t>
      </w:r>
      <w:r>
        <w:t xml:space="preserve">’s recommendation that the </w:t>
      </w:r>
      <w:r w:rsidR="00A678C1">
        <w:t xml:space="preserve">RAMP </w:t>
      </w:r>
      <w:r>
        <w:t xml:space="preserve">Data Template first be submitted with </w:t>
      </w:r>
      <w:r w:rsidR="004110A2">
        <w:t xml:space="preserve">the </w:t>
      </w:r>
      <w:r>
        <w:t>Sempra</w:t>
      </w:r>
      <w:r w:rsidR="004110A2">
        <w:t xml:space="preserve"> Companies</w:t>
      </w:r>
      <w:r>
        <w:t xml:space="preserve">’ 2028 Test Year GRC Application and SCE’s 2026 RAMP Application. </w:t>
      </w:r>
      <w:r w:rsidR="0089678E">
        <w:t>W</w:t>
      </w:r>
      <w:r>
        <w:t>e require the utilities to file the R</w:t>
      </w:r>
      <w:r w:rsidR="00024458">
        <w:t>AMP Data Template</w:t>
      </w:r>
      <w:r>
        <w:t xml:space="preserve"> with every RAMP </w:t>
      </w:r>
      <w:r w:rsidR="00854BD7">
        <w:t>a</w:t>
      </w:r>
      <w:r>
        <w:t>pplication</w:t>
      </w:r>
      <w:r w:rsidR="0089678E">
        <w:t xml:space="preserve"> filed after </w:t>
      </w:r>
      <w:r w:rsidR="00355C62">
        <w:t>January 1, 2026</w:t>
      </w:r>
      <w:r>
        <w:t xml:space="preserve">. </w:t>
      </w:r>
      <w:r w:rsidR="00E97CF0">
        <w:t>W</w:t>
      </w:r>
      <w:r>
        <w:t xml:space="preserve">e </w:t>
      </w:r>
      <w:r w:rsidR="00911269">
        <w:t>adopt</w:t>
      </w:r>
      <w:r>
        <w:t xml:space="preserve"> SPD </w:t>
      </w:r>
      <w:r w:rsidR="00F922A8">
        <w:t>s</w:t>
      </w:r>
      <w:r>
        <w:t>taff</w:t>
      </w:r>
      <w:r w:rsidR="00F922A8">
        <w:t>’s</w:t>
      </w:r>
      <w:r>
        <w:t xml:space="preserve"> </w:t>
      </w:r>
      <w:r w:rsidR="00F922A8">
        <w:t>recommendations</w:t>
      </w:r>
      <w:r>
        <w:t xml:space="preserve"> on the RRU </w:t>
      </w:r>
      <w:r w:rsidR="00866EA7">
        <w:t>to include</w:t>
      </w:r>
      <w:r>
        <w:t xml:space="preserve"> the following language change to Row 26</w:t>
      </w:r>
      <w:r w:rsidR="00866EA7">
        <w:t xml:space="preserve"> of the RDF</w:t>
      </w:r>
      <w:r w:rsidR="00A67C93">
        <w:t xml:space="preserve">, as </w:t>
      </w:r>
      <w:r w:rsidR="004C354C">
        <w:t>set forth in Appendix A</w:t>
      </w:r>
      <w:r w:rsidR="008E3E55">
        <w:t xml:space="preserve"> (additions in </w:t>
      </w:r>
      <w:r w:rsidR="008E3E55">
        <w:rPr>
          <w:i/>
          <w:iCs/>
        </w:rPr>
        <w:t>italics</w:t>
      </w:r>
      <w:r w:rsidR="008E3E55">
        <w:t xml:space="preserve"> and deletions in </w:t>
      </w:r>
      <w:r w:rsidR="008E3E55">
        <w:rPr>
          <w:strike/>
        </w:rPr>
        <w:t>strikethrough</w:t>
      </w:r>
      <w:r w:rsidR="008E3E55">
        <w:t>)</w:t>
      </w:r>
      <w:r>
        <w:t xml:space="preserve">: </w:t>
      </w:r>
      <w:r w:rsidR="00A67C93">
        <w:t>“</w:t>
      </w:r>
      <w:r w:rsidRPr="1F141BA7">
        <w:rPr>
          <w:rFonts w:eastAsia="Century Gothic" w:cs="Times New Roman (Headings CS)"/>
          <w:kern w:val="24"/>
        </w:rPr>
        <w:t xml:space="preserve">In the GRC, the utility will provide a ranking of </w:t>
      </w:r>
      <w:r w:rsidRPr="1F141BA7">
        <w:rPr>
          <w:rFonts w:eastAsia="Times New Roman" w:cs="Times New Roman"/>
        </w:rPr>
        <w:t>Mitigation</w:t>
      </w:r>
      <w:r w:rsidRPr="1F141BA7">
        <w:rPr>
          <w:rFonts w:eastAsia="Times New Roman" w:cs="Times New Roman"/>
          <w:strike/>
        </w:rPr>
        <w:t>s</w:t>
      </w:r>
      <w:r w:rsidRPr="1F141BA7">
        <w:rPr>
          <w:rFonts w:eastAsia="Times New Roman" w:cs="Times New Roman"/>
        </w:rPr>
        <w:t xml:space="preserve"> </w:t>
      </w:r>
      <w:r w:rsidRPr="00F61D0E" w:rsidR="008B0C16">
        <w:rPr>
          <w:rFonts w:eastAsia="Times New Roman" w:cs="Times New Roman"/>
          <w:i/>
          <w:iCs/>
        </w:rPr>
        <w:t xml:space="preserve">and Control </w:t>
      </w:r>
      <w:r w:rsidRPr="1F141BA7">
        <w:rPr>
          <w:rFonts w:eastAsia="Times New Roman" w:cs="Times New Roman"/>
          <w:i/>
        </w:rPr>
        <w:t>Programs</w:t>
      </w:r>
      <w:r w:rsidRPr="1F141BA7">
        <w:rPr>
          <w:rFonts w:eastAsia="Times New Roman" w:cs="Times New Roman"/>
        </w:rPr>
        <w:t xml:space="preserve"> by </w:t>
      </w:r>
      <w:r w:rsidRPr="1F141BA7">
        <w:rPr>
          <w:rFonts w:eastAsia="Times New Roman" w:cs="Times New Roman"/>
          <w:strike/>
        </w:rPr>
        <w:t>Cost-</w:t>
      </w:r>
      <w:r w:rsidRPr="1F141BA7">
        <w:rPr>
          <w:rFonts w:eastAsia="Times New Roman" w:cs="Times New Roman"/>
        </w:rPr>
        <w:t>Benefit</w:t>
      </w:r>
      <w:r w:rsidRPr="1F141BA7">
        <w:rPr>
          <w:rFonts w:eastAsia="Times New Roman" w:cs="Times New Roman"/>
          <w:i/>
        </w:rPr>
        <w:t>-Cost</w:t>
      </w:r>
      <w:r w:rsidRPr="1F141BA7">
        <w:rPr>
          <w:rFonts w:eastAsia="Times New Roman" w:cs="Times New Roman"/>
        </w:rPr>
        <w:t xml:space="preserve"> </w:t>
      </w:r>
      <w:r w:rsidRPr="1F141BA7">
        <w:rPr>
          <w:rFonts w:eastAsia="Century Gothic" w:cs="Times New Roman (Headings CS)"/>
          <w:kern w:val="24"/>
        </w:rPr>
        <w:t xml:space="preserve">Ratios, as follows: </w:t>
      </w:r>
      <w:r w:rsidRPr="1F141BA7">
        <w:rPr>
          <w:rFonts w:eastAsia="Century Gothic" w:cs="Times New Roman (Headings CS)"/>
          <w:i/>
          <w:kern w:val="24"/>
        </w:rPr>
        <w:t xml:space="preserve">(1) </w:t>
      </w:r>
      <w:r w:rsidRPr="00C103FC">
        <w:rPr>
          <w:i/>
          <w:iCs/>
        </w:rPr>
        <w:t>For any dataset of Risk Reporting Units submitted with the RAMP, the utility will provide an update of the dataset, if any is required, and provide an explanation of any differences from its RAMP filing and a justification for why the dataset from the RAMP filing required to be updated</w:t>
      </w:r>
      <w:r>
        <w:t>.”</w:t>
      </w:r>
      <w:r w:rsidR="0077056B">
        <w:t xml:space="preserve"> </w:t>
      </w:r>
      <w:r>
        <w:t xml:space="preserve">The Commission therefore requires that the </w:t>
      </w:r>
      <w:r w:rsidR="00113796">
        <w:t>utility</w:t>
      </w:r>
      <w:r>
        <w:t xml:space="preserve"> file an updated version of the R</w:t>
      </w:r>
      <w:r w:rsidR="008E43F0">
        <w:t>AMP Data Template</w:t>
      </w:r>
      <w:r>
        <w:t xml:space="preserve"> with its GRC </w:t>
      </w:r>
      <w:r w:rsidR="008E43F0">
        <w:t>a</w:t>
      </w:r>
      <w:r>
        <w:t>pplication along with a narrative explanation of any differences in the dataset compared with the version submitted in the RAMP.</w:t>
      </w:r>
    </w:p>
    <w:p w:rsidRPr="009B2190" w:rsidR="009775BD" w:rsidP="255224AC" w:rsidRDefault="2678718D" w14:paraId="68B79E0E" w14:textId="4A949064">
      <w:pPr>
        <w:pStyle w:val="Standard"/>
        <w:ind w:firstLine="360"/>
      </w:pPr>
      <w:r>
        <w:lastRenderedPageBreak/>
        <w:t>Building on recommendations from TURN, w</w:t>
      </w:r>
      <w:r w:rsidR="009775BD">
        <w:t>e adopt t</w:t>
      </w:r>
      <w:r w:rsidRPr="009B2190" w:rsidR="009775BD">
        <w:t xml:space="preserve">he following process </w:t>
      </w:r>
      <w:r w:rsidR="009775BD">
        <w:t xml:space="preserve">for making changes to the RAMP Data Template:  </w:t>
      </w:r>
    </w:p>
    <w:p w:rsidR="009775BD" w:rsidP="005156B5" w:rsidRDefault="009775BD" w14:paraId="67377B04" w14:textId="00964995">
      <w:pPr>
        <w:pStyle w:val="ListBullet"/>
        <w:numPr>
          <w:ilvl w:val="0"/>
          <w:numId w:val="66"/>
        </w:numPr>
        <w:ind w:right="1440"/>
      </w:pPr>
      <w:r>
        <w:t xml:space="preserve">SPD or any utility or non-utility party may propose one or more changes to the </w:t>
      </w:r>
      <w:r w:rsidRPr="00AB058F">
        <w:t>RAMP</w:t>
      </w:r>
      <w:r>
        <w:t xml:space="preserve"> Data Template by serving a document detailing the proposed change(s) and a rationale for each proposed change to the RAMP Data Template Notification List. In the case of change(s) proposed by a party, the document shall be served upon SPD on the same day it is served upon the RAMP Data Template Notification List.</w:t>
      </w:r>
    </w:p>
    <w:p w:rsidR="0005430C" w:rsidP="005156B5" w:rsidRDefault="0005430C" w14:paraId="6E21A013" w14:textId="59787DDC">
      <w:pPr>
        <w:pStyle w:val="ListBullet"/>
        <w:numPr>
          <w:ilvl w:val="0"/>
          <w:numId w:val="66"/>
        </w:numPr>
        <w:ind w:right="1440"/>
      </w:pPr>
      <w:r>
        <w:t>SPD sh</w:t>
      </w:r>
      <w:r w:rsidR="006B1872">
        <w:t>ould</w:t>
      </w:r>
      <w:r>
        <w:t xml:space="preserve"> </w:t>
      </w:r>
      <w:r w:rsidRPr="00AB058F">
        <w:t>compile</w:t>
      </w:r>
      <w:r>
        <w:t xml:space="preserve"> the RAMP Data Template Notification List from the service list of R.20-07-013. Any person, including but not limited to parties of R.20-07-013, wishing to be added or removed from the RAMP Data Template Notification List should submit their request to the SPD. The RAMP Data Template Notification List should be published on the Commission</w:t>
      </w:r>
      <w:r w:rsidR="0069192C">
        <w:t>’s RAMP</w:t>
      </w:r>
      <w:r>
        <w:t xml:space="preserve"> website.</w:t>
      </w:r>
      <w:r w:rsidR="00F55D34">
        <w:rPr>
          <w:rStyle w:val="FootnoteReference"/>
        </w:rPr>
        <w:footnoteReference w:id="221"/>
      </w:r>
    </w:p>
    <w:p w:rsidR="009775BD" w:rsidP="005156B5" w:rsidRDefault="009775BD" w14:paraId="56773E64" w14:textId="77777777">
      <w:pPr>
        <w:pStyle w:val="ListBullet"/>
        <w:numPr>
          <w:ilvl w:val="0"/>
          <w:numId w:val="66"/>
        </w:numPr>
        <w:ind w:right="1440"/>
      </w:pPr>
      <w:r>
        <w:t xml:space="preserve">Parties shall have 15 calendar days to comment on a proposed change and 15 calendar days to reply to comments. Comments may support, oppose, and/or suggest modifications to the proposed change(s), and should include the rationale for </w:t>
      </w:r>
      <w:r w:rsidRPr="00AB058F">
        <w:t>any</w:t>
      </w:r>
      <w:r>
        <w:t xml:space="preserve"> recommendations or positions taken.</w:t>
      </w:r>
    </w:p>
    <w:p w:rsidR="009775BD" w:rsidP="005156B5" w:rsidRDefault="009775BD" w14:paraId="37A1586C" w14:textId="77777777">
      <w:pPr>
        <w:pStyle w:val="ListBullet"/>
        <w:numPr>
          <w:ilvl w:val="0"/>
          <w:numId w:val="66"/>
        </w:numPr>
        <w:ind w:right="1440"/>
      </w:pPr>
      <w:r>
        <w:t xml:space="preserve">After conclusion of the comment periods on proposed change(s), SPD may issue a </w:t>
      </w:r>
      <w:r w:rsidRPr="00AB058F">
        <w:t>disposition</w:t>
      </w:r>
      <w:r>
        <w:t xml:space="preserve"> letter to the RAMP Data Template Notification List approving one or more proposed change(s). The disposition letter should explain any approved changes, address comments received, and</w:t>
      </w:r>
      <w:r w:rsidDel="00F750FB">
        <w:t xml:space="preserve"> </w:t>
      </w:r>
      <w:r>
        <w:t>explain</w:t>
      </w:r>
      <w:r w:rsidDel="00F750FB">
        <w:t xml:space="preserve"> proposed changes </w:t>
      </w:r>
      <w:r>
        <w:t>not approved.</w:t>
      </w:r>
      <w:r w:rsidDel="00F750FB">
        <w:t xml:space="preserve"> </w:t>
      </w:r>
    </w:p>
    <w:p w:rsidR="009775BD" w:rsidP="005156B5" w:rsidRDefault="009775BD" w14:paraId="43C9F5C2" w14:textId="77777777">
      <w:pPr>
        <w:pStyle w:val="ListBullet"/>
        <w:numPr>
          <w:ilvl w:val="0"/>
          <w:numId w:val="66"/>
        </w:numPr>
        <w:ind w:right="1440"/>
      </w:pPr>
      <w:r>
        <w:t xml:space="preserve">SPD may approve in the same disposition letter changes proposed by more than one </w:t>
      </w:r>
      <w:r w:rsidRPr="00AB058F">
        <w:t>party</w:t>
      </w:r>
      <w:r>
        <w:t xml:space="preserve"> and/or more than one document, and may also convene workshops or working group meetings to discuss any proposed changes. </w:t>
      </w:r>
    </w:p>
    <w:p w:rsidR="009775BD" w:rsidP="005156B5" w:rsidRDefault="009775BD" w14:paraId="35E5FB1A" w14:textId="53FD69F5">
      <w:pPr>
        <w:pStyle w:val="ListBullet"/>
        <w:numPr>
          <w:ilvl w:val="0"/>
          <w:numId w:val="66"/>
        </w:numPr>
        <w:ind w:right="1440"/>
      </w:pPr>
      <w:r>
        <w:t xml:space="preserve">Within 15 calendar days of a disposition letter from the SPD, any party may file and </w:t>
      </w:r>
      <w:r w:rsidRPr="00AB058F">
        <w:t>serve</w:t>
      </w:r>
      <w:r>
        <w:t xml:space="preserve"> upon SPD and the RAMP Data Template Notification List a protest to SPD’s disposition on </w:t>
      </w:r>
      <w:r>
        <w:lastRenderedPageBreak/>
        <w:t xml:space="preserve">approved changes. The protest shall explain the reason for the party’s objection to the approved changes. Any party may within 15 calendar days serve a response to such a protest to SPD and the RAMP Data Template Notification List. </w:t>
      </w:r>
    </w:p>
    <w:p w:rsidR="009775BD" w:rsidP="005156B5" w:rsidRDefault="009775BD" w14:paraId="52DEF64D" w14:textId="20ED639E">
      <w:pPr>
        <w:pStyle w:val="ListBullet"/>
        <w:numPr>
          <w:ilvl w:val="0"/>
          <w:numId w:val="66"/>
        </w:numPr>
        <w:ind w:right="1440"/>
      </w:pPr>
      <w:r>
        <w:t xml:space="preserve">After receiving a protest to its disposition letter, SPD may prepare a draft </w:t>
      </w:r>
      <w:r w:rsidRPr="00AB058F">
        <w:t>Resolution</w:t>
      </w:r>
      <w:r>
        <w:t xml:space="preserve"> for Commission consideration of the disputed changes. Alternatively, SPD may prepare and serve to the RAMP Data Template Notification List a modified disposition letter consistent with Paragraph </w:t>
      </w:r>
      <w:r w:rsidR="00274772">
        <w:t xml:space="preserve">4 </w:t>
      </w:r>
      <w:r>
        <w:t>above</w:t>
      </w:r>
      <w:r w:rsidR="00061955">
        <w:t>, and subject to protest by parties as specified in Paragraph 6 above</w:t>
      </w:r>
      <w:r>
        <w:t xml:space="preserve">.  </w:t>
      </w:r>
    </w:p>
    <w:p w:rsidR="009775BD" w:rsidP="005156B5" w:rsidRDefault="009775BD" w14:paraId="4E9BCA5A" w14:textId="77777777">
      <w:pPr>
        <w:pStyle w:val="ListBullet"/>
        <w:numPr>
          <w:ilvl w:val="0"/>
          <w:numId w:val="66"/>
        </w:numPr>
        <w:ind w:right="1440"/>
      </w:pPr>
      <w:r>
        <w:t xml:space="preserve">SPD may propose modifications to this process for making changes or modifications to the RAMP Data Template by preparing a Resolution for </w:t>
      </w:r>
      <w:r w:rsidRPr="00AB058F">
        <w:t>consideration</w:t>
      </w:r>
      <w:r>
        <w:t xml:space="preserve"> by the Commission. Prior to mailing a draft Resolution proposing such modifications, SPD shall provide an explanation of its proposed modifications to the RAMP Data Template Notification List, and Parties shall have 30 calendar days to comment.  </w:t>
      </w:r>
    </w:p>
    <w:p w:rsidR="009775BD" w:rsidP="005156B5" w:rsidRDefault="009775BD" w14:paraId="79A83DCA" w14:textId="7A76C398">
      <w:pPr>
        <w:pStyle w:val="ListBullet"/>
        <w:numPr>
          <w:ilvl w:val="0"/>
          <w:numId w:val="66"/>
        </w:numPr>
        <w:ind w:right="1440"/>
      </w:pPr>
      <w:r>
        <w:t xml:space="preserve">SPD shall maintain on the Commission website an updated version of the RAMP Data Template and RAMP Data Template Guidelines. SPD is authorized to update the RAMP Data Template Guidelines as necessary to address any changes made to the RAMP Data Template. </w:t>
      </w:r>
    </w:p>
    <w:p w:rsidR="00AC396D" w:rsidP="00AC396D" w:rsidRDefault="00AC396D" w14:paraId="590BD597" w14:textId="46855524">
      <w:pPr>
        <w:pStyle w:val="Standard"/>
      </w:pPr>
      <w:r w:rsidRPr="008E0A35">
        <w:t xml:space="preserve">We agree with the utilities that the RAMP Data Template should be submitted with </w:t>
      </w:r>
      <w:r w:rsidR="00C42FE9">
        <w:t>both RAMP and GRC filings</w:t>
      </w:r>
      <w:r w:rsidRPr="008E0A35">
        <w:t xml:space="preserve"> and should not be updated annually.</w:t>
      </w:r>
      <w:r>
        <w:t xml:space="preserve"> We are not </w:t>
      </w:r>
      <w:r w:rsidR="00E03D1B">
        <w:t xml:space="preserve">persuaded </w:t>
      </w:r>
      <w:r>
        <w:t>that</w:t>
      </w:r>
      <w:r w:rsidRPr="00286038">
        <w:t xml:space="preserve"> there would be significant benefit to ask the utility for an annual update of the entire </w:t>
      </w:r>
      <w:r w:rsidR="00CE6A6B">
        <w:t>RAMP Data Template</w:t>
      </w:r>
      <w:r>
        <w:t xml:space="preserve"> at the RRU level of granularity</w:t>
      </w:r>
      <w:r w:rsidRPr="00286038">
        <w:t xml:space="preserve"> in each of the four years of a utility’s GRC Cycle</w:t>
      </w:r>
      <w:r w:rsidRPr="00AD0FF1">
        <w:t>.</w:t>
      </w:r>
    </w:p>
    <w:p w:rsidR="00AC396D" w:rsidP="00AC396D" w:rsidRDefault="00AC396D" w14:paraId="360DED9A" w14:textId="2781CB47">
      <w:pPr>
        <w:pStyle w:val="Standard"/>
      </w:pPr>
      <w:r>
        <w:t xml:space="preserve">The Commission does recognize the benefit of linking geospatial data to the tabular data that informs the cost-benefit approach for determining which mitigations will be implemented to reduce a given risk. </w:t>
      </w:r>
      <w:r w:rsidR="00E713BA">
        <w:t xml:space="preserve">However, </w:t>
      </w:r>
      <w:r w:rsidR="005A478B">
        <w:t>refinement of</w:t>
      </w:r>
      <w:r w:rsidR="00860F1E">
        <w:t xml:space="preserve"> </w:t>
      </w:r>
      <w:r w:rsidR="00846335">
        <w:t xml:space="preserve">how best to integrate geospatial data into the RAMP Data Template </w:t>
      </w:r>
      <w:r w:rsidR="00584651">
        <w:t>is necessary</w:t>
      </w:r>
      <w:r w:rsidR="00846335">
        <w:t>.</w:t>
      </w:r>
      <w:r w:rsidR="00584651">
        <w:t xml:space="preserve"> </w:t>
      </w:r>
      <w:r w:rsidR="006A5072">
        <w:lastRenderedPageBreak/>
        <w:t xml:space="preserve">As such, we </w:t>
      </w:r>
      <w:r w:rsidR="005A478B">
        <w:t xml:space="preserve">do not add geospatial </w:t>
      </w:r>
      <w:r w:rsidR="009507EC">
        <w:t xml:space="preserve">data </w:t>
      </w:r>
      <w:r w:rsidR="003E44B6">
        <w:t xml:space="preserve">as a requirement in the RAMP Data Template at this time. </w:t>
      </w:r>
    </w:p>
    <w:p w:rsidR="00AC396D" w:rsidP="00AC396D" w:rsidRDefault="000B196D" w14:paraId="4F610E6D" w14:textId="194AE4D9">
      <w:pPr>
        <w:pStyle w:val="Standard"/>
      </w:pPr>
      <w:r>
        <w:t>W</w:t>
      </w:r>
      <w:r w:rsidR="00AC396D">
        <w:t>e find SPD</w:t>
      </w:r>
      <w:r>
        <w:t xml:space="preserve"> staff</w:t>
      </w:r>
      <w:r w:rsidR="00AC396D">
        <w:t xml:space="preserve">’s addition of the Proposed and Alternative Mitigation </w:t>
      </w:r>
      <w:r w:rsidR="003E2C1B">
        <w:t>f</w:t>
      </w:r>
      <w:r w:rsidR="00AC396D">
        <w:t>ield to be an important addition to the data template</w:t>
      </w:r>
      <w:r w:rsidR="003E2C1B">
        <w:t>. W</w:t>
      </w:r>
      <w:r w:rsidR="00AC396D">
        <w:t xml:space="preserve">e also find that there is precedent for providing this kind of data </w:t>
      </w:r>
      <w:r w:rsidR="003E2C1B">
        <w:t xml:space="preserve">and </w:t>
      </w:r>
      <w:r w:rsidRPr="003E2C1B" w:rsidR="003E2C1B">
        <w:t xml:space="preserve">that this field has primarily been used to conduct analysis of wildfire mitigations in the past. </w:t>
      </w:r>
      <w:r w:rsidR="00E8107C">
        <w:t xml:space="preserve">We also agree with PG&amp;E that the Proposed and Alternative Mitigation Field has relevance for the cost-recovery review of </w:t>
      </w:r>
      <w:r w:rsidR="00070786">
        <w:t>EUP</w:t>
      </w:r>
      <w:r w:rsidR="00E8107C">
        <w:t xml:space="preserve"> required by P</w:t>
      </w:r>
      <w:r w:rsidR="008E3E55">
        <w:t xml:space="preserve">ub. </w:t>
      </w:r>
      <w:r w:rsidR="00E8107C">
        <w:t>U</w:t>
      </w:r>
      <w:r w:rsidR="008E3E55">
        <w:t xml:space="preserve">til. </w:t>
      </w:r>
      <w:r w:rsidR="00E8107C">
        <w:t>C</w:t>
      </w:r>
      <w:r w:rsidR="008E3E55">
        <w:t>ode</w:t>
      </w:r>
      <w:r w:rsidR="00E8107C">
        <w:t xml:space="preserve"> 8838.5</w:t>
      </w:r>
      <w:r w:rsidR="00E258EE">
        <w:t xml:space="preserve">. The Office of </w:t>
      </w:r>
      <w:r w:rsidR="005C0AA6">
        <w:t>Energy Infrastructure Safety</w:t>
      </w:r>
      <w:r w:rsidR="00BA10DB">
        <w:t xml:space="preserve"> requires that </w:t>
      </w:r>
      <w:r w:rsidR="0088657B">
        <w:t>large</w:t>
      </w:r>
      <w:r w:rsidDel="00ED6340" w:rsidR="0088657B">
        <w:t xml:space="preserve"> </w:t>
      </w:r>
      <w:r w:rsidRPr="006D440E" w:rsidR="00ED6340">
        <w:t>utilitie</w:t>
      </w:r>
      <w:r w:rsidR="00ED6340">
        <w:t>s</w:t>
      </w:r>
      <w:r w:rsidR="0088657B">
        <w:t xml:space="preserve"> include</w:t>
      </w:r>
      <w:r w:rsidR="003551EB">
        <w:t xml:space="preserve"> </w:t>
      </w:r>
      <w:r w:rsidRPr="0088657B" w:rsidR="0088657B">
        <w:t>a comparison of the project to at least two Alternative Mitigations</w:t>
      </w:r>
      <w:r w:rsidRPr="00F80353" w:rsidR="00F80353">
        <w:t xml:space="preserve"> in their Undergrounding Plans</w:t>
      </w:r>
      <w:r w:rsidR="000D11FB">
        <w:t>.</w:t>
      </w:r>
      <w:r w:rsidR="000D11FB">
        <w:rPr>
          <w:rStyle w:val="FootnoteReference"/>
        </w:rPr>
        <w:footnoteReference w:id="222"/>
      </w:r>
      <w:r w:rsidR="00E8107C">
        <w:t xml:space="preserve"> </w:t>
      </w:r>
      <w:r w:rsidR="00B2316C">
        <w:t>W</w:t>
      </w:r>
      <w:r w:rsidR="00E8107C">
        <w:t>e</w:t>
      </w:r>
      <w:r w:rsidR="00F80353">
        <w:t xml:space="preserve"> </w:t>
      </w:r>
      <w:r w:rsidR="00CB61D1">
        <w:t>further</w:t>
      </w:r>
      <w:r w:rsidR="00E8107C">
        <w:t xml:space="preserve"> note that PG&amp;E has previously provided TURN spreadsheets for TURN to compare “apples-to-apples data” for comparison between PG&amp;E’s proposed and alternative mitigations.</w:t>
      </w:r>
      <w:r w:rsidR="00AC396D">
        <w:t xml:space="preserve"> Thus, we are not convinced by SCE’s </w:t>
      </w:r>
      <w:r w:rsidRPr="00676A98" w:rsidR="00676A98">
        <w:t xml:space="preserve">assertion that this field would constitute a “new and sweeping requirement” within the context of a RAMP or GRC filing. </w:t>
      </w:r>
      <w:r w:rsidR="00676A98">
        <w:t>The</w:t>
      </w:r>
      <w:r w:rsidRPr="003E2C1B" w:rsidR="003E2C1B">
        <w:t xml:space="preserve"> Commission requires that when </w:t>
      </w:r>
      <w:r w:rsidR="006961F2">
        <w:t xml:space="preserve">the </w:t>
      </w:r>
      <w:r w:rsidRPr="003E2C1B" w:rsidR="003E2C1B">
        <w:t>Sempra</w:t>
      </w:r>
      <w:r w:rsidR="006961F2">
        <w:t xml:space="preserve"> Companies</w:t>
      </w:r>
      <w:r w:rsidRPr="003E2C1B" w:rsidR="003E2C1B">
        <w:t xml:space="preserve"> file the </w:t>
      </w:r>
      <w:r w:rsidR="000D40F7">
        <w:t>RAMP Data Template</w:t>
      </w:r>
      <w:r w:rsidRPr="003E2C1B" w:rsidR="003E2C1B">
        <w:t xml:space="preserve"> with </w:t>
      </w:r>
      <w:r w:rsidR="006961F2">
        <w:t>their</w:t>
      </w:r>
      <w:r w:rsidRPr="003E2C1B" w:rsidR="003E2C1B">
        <w:t xml:space="preserve"> 2028 Test Year GRC Application, the </w:t>
      </w:r>
      <w:r w:rsidR="000B61B6">
        <w:t>Sempra Companies present</w:t>
      </w:r>
      <w:r w:rsidR="004C274C">
        <w:t xml:space="preserve">, at minimum, two alternative mitigations </w:t>
      </w:r>
      <w:r w:rsidR="00E40CCD">
        <w:t xml:space="preserve">for each proposed RRU </w:t>
      </w:r>
      <w:r w:rsidR="002F3F2A">
        <w:t xml:space="preserve">that </w:t>
      </w:r>
      <w:r w:rsidRPr="003E2C1B" w:rsidR="003E2C1B">
        <w:t>reduce</w:t>
      </w:r>
      <w:r w:rsidR="001E0E44">
        <w:t>s</w:t>
      </w:r>
      <w:r w:rsidRPr="003E2C1B" w:rsidR="003E2C1B">
        <w:t xml:space="preserve"> Wildfire and/or PSPS risk.</w:t>
      </w:r>
      <w:r w:rsidR="00AC396D">
        <w:t xml:space="preserve"> </w:t>
      </w:r>
      <w:r w:rsidR="003E2C1B">
        <w:t>F</w:t>
      </w:r>
      <w:r w:rsidR="00AC396D">
        <w:t xml:space="preserve">or the data template submitted with SCE’s 2026 RAMP and its subsequent GRC </w:t>
      </w:r>
      <w:r w:rsidR="00676A98">
        <w:t>a</w:t>
      </w:r>
      <w:r w:rsidR="00AC396D">
        <w:t xml:space="preserve">pplication, the Commission requires that </w:t>
      </w:r>
      <w:r w:rsidR="00C26174">
        <w:t xml:space="preserve">SCE present, at minimum, two </w:t>
      </w:r>
      <w:r w:rsidR="001F2096">
        <w:t xml:space="preserve">alternative </w:t>
      </w:r>
      <w:r w:rsidR="00AC396D">
        <w:t xml:space="preserve">mitigations </w:t>
      </w:r>
      <w:r w:rsidR="001F2096">
        <w:t xml:space="preserve">for each </w:t>
      </w:r>
      <w:r w:rsidR="00424B7D">
        <w:t xml:space="preserve">proposed </w:t>
      </w:r>
      <w:r w:rsidR="001F2096">
        <w:t xml:space="preserve">RRU </w:t>
      </w:r>
      <w:r w:rsidR="00AC396D">
        <w:t>that reduce</w:t>
      </w:r>
      <w:r w:rsidR="00424B7D">
        <w:t>s</w:t>
      </w:r>
      <w:r w:rsidR="00AC396D">
        <w:t xml:space="preserve"> Wildfire and/or PSPS risk. The Commission authorizes </w:t>
      </w:r>
      <w:r w:rsidR="00E86BAB">
        <w:t xml:space="preserve">consideration of </w:t>
      </w:r>
      <w:r w:rsidR="00AC396D">
        <w:t xml:space="preserve">the </w:t>
      </w:r>
      <w:r w:rsidR="00147D42">
        <w:t xml:space="preserve">requirement to provide alternative mitigations at the RRU </w:t>
      </w:r>
      <w:r w:rsidR="00147D42">
        <w:lastRenderedPageBreak/>
        <w:t>scale</w:t>
      </w:r>
      <w:r w:rsidR="00AC396D">
        <w:t xml:space="preserve"> in the Data Template Technical Working Group. We authorize </w:t>
      </w:r>
      <w:r w:rsidR="00D65753">
        <w:t xml:space="preserve">SPD </w:t>
      </w:r>
      <w:r w:rsidR="004617D6">
        <w:t>s</w:t>
      </w:r>
      <w:r w:rsidR="00AC396D">
        <w:t xml:space="preserve">taff to develop a Staff Resolution that </w:t>
      </w:r>
      <w:r w:rsidR="00803BCE">
        <w:t xml:space="preserve">identifies which mitigations, </w:t>
      </w:r>
      <w:r w:rsidR="00281FC4">
        <w:t xml:space="preserve">in addition to mitigations that reduce Wildfire and/or PSPS risk, </w:t>
      </w:r>
      <w:r w:rsidR="00E86BAB">
        <w:t xml:space="preserve">should </w:t>
      </w:r>
      <w:r w:rsidR="008031E7">
        <w:t xml:space="preserve">be presented with </w:t>
      </w:r>
      <w:r w:rsidR="0027791E">
        <w:t xml:space="preserve">RRU-scale </w:t>
      </w:r>
      <w:r w:rsidR="001447FD">
        <w:t>alternative mitigations</w:t>
      </w:r>
      <w:r w:rsidR="00AC396D">
        <w:t>.</w:t>
      </w:r>
    </w:p>
    <w:p w:rsidRPr="00AC396D" w:rsidR="00AC396D" w:rsidP="00AC396D" w:rsidRDefault="00AC396D" w14:paraId="0588F402" w14:textId="59E4FE1A">
      <w:pPr>
        <w:pStyle w:val="Standard"/>
      </w:pPr>
      <w:r>
        <w:t xml:space="preserve">We recognize that the final version of the SPD Data Template was submitted with the PVRR field as optional. We have continued to list the PVRR as optional in the </w:t>
      </w:r>
      <w:r w:rsidR="00722037">
        <w:t>RAMP Data Template</w:t>
      </w:r>
      <w:r w:rsidR="00063640">
        <w:t>. H</w:t>
      </w:r>
      <w:r>
        <w:t>owever</w:t>
      </w:r>
      <w:r w:rsidR="002803C2">
        <w:t>,</w:t>
      </w:r>
      <w:r>
        <w:t xml:space="preserve"> this does not remove the need for the utility to comply with the requirements of PUC 739.15. A successor proceeding </w:t>
      </w:r>
      <w:r w:rsidR="005A21B2">
        <w:t>may</w:t>
      </w:r>
      <w:r>
        <w:t xml:space="preserve"> discuss whether PVRR should be required </w:t>
      </w:r>
      <w:r w:rsidR="00063640">
        <w:t>to</w:t>
      </w:r>
      <w:r>
        <w:t xml:space="preserve"> make BCR calculation</w:t>
      </w:r>
      <w:r w:rsidR="00063640">
        <w:t>s</w:t>
      </w:r>
      <w:r>
        <w:t xml:space="preserve"> more accurate and representative of the lifetime costs of an RRU. We agree with SCE that </w:t>
      </w:r>
      <w:r w:rsidR="00D431A6">
        <w:t xml:space="preserve">calculation of </w:t>
      </w:r>
      <w:r>
        <w:t xml:space="preserve">the Hybrid Discount Rate </w:t>
      </w:r>
      <w:r w:rsidR="00D431A6">
        <w:t>in its own field is not necessary</w:t>
      </w:r>
      <w:r>
        <w:t xml:space="preserve">. </w:t>
      </w:r>
      <w:r w:rsidR="00D431A6">
        <w:t>W</w:t>
      </w:r>
      <w:r>
        <w:t>e authorize S</w:t>
      </w:r>
      <w:r w:rsidR="00D431A6">
        <w:t>PD s</w:t>
      </w:r>
      <w:r>
        <w:t xml:space="preserve">taff to update Table 7 </w:t>
      </w:r>
      <w:r w:rsidR="00D431A6">
        <w:t xml:space="preserve">of the RAMP Data Template </w:t>
      </w:r>
      <w:r>
        <w:t xml:space="preserve">when the ICE Calculator 2.0 becomes available. Finally, because this </w:t>
      </w:r>
      <w:r w:rsidR="00164C90">
        <w:t>d</w:t>
      </w:r>
      <w:r>
        <w:t xml:space="preserve">ecision has deferred final resolution of the risk tolerance issue to a successor proceeding, we recognize that Row 5 of the RDF </w:t>
      </w:r>
      <w:r w:rsidR="00126980">
        <w:t>continues to allow</w:t>
      </w:r>
      <w:r>
        <w:t xml:space="preserve"> </w:t>
      </w:r>
      <w:r w:rsidR="00164C90">
        <w:t xml:space="preserve">utilities </w:t>
      </w:r>
      <w:r>
        <w:t xml:space="preserve">to present scaled consequence and risk values in RAMP and GRC </w:t>
      </w:r>
      <w:r w:rsidR="00E706A4">
        <w:t>a</w:t>
      </w:r>
      <w:r>
        <w:t>pplication</w:t>
      </w:r>
      <w:r w:rsidR="00E706A4">
        <w:t>s</w:t>
      </w:r>
      <w:r>
        <w:t xml:space="preserve">. </w:t>
      </w:r>
      <w:r w:rsidR="00626DED">
        <w:t>W</w:t>
      </w:r>
      <w:r>
        <w:t xml:space="preserve">e agree with </w:t>
      </w:r>
      <w:r w:rsidR="00126980">
        <w:t>SPD s</w:t>
      </w:r>
      <w:r>
        <w:t xml:space="preserve">taff that it is important to have unscaled risk values </w:t>
      </w:r>
      <w:r w:rsidRPr="00126980" w:rsidR="00126980">
        <w:t xml:space="preserve">at the RRU level </w:t>
      </w:r>
      <w:r>
        <w:t xml:space="preserve">presented in the </w:t>
      </w:r>
      <w:r w:rsidR="00164C90">
        <w:t>RAMP Data Template</w:t>
      </w:r>
      <w:r>
        <w:t xml:space="preserve"> so that S</w:t>
      </w:r>
      <w:r w:rsidR="00126980">
        <w:t>PD s</w:t>
      </w:r>
      <w:r>
        <w:t xml:space="preserve">taff and </w:t>
      </w:r>
      <w:r w:rsidR="00126980">
        <w:t>p</w:t>
      </w:r>
      <w:r>
        <w:t xml:space="preserve">arties can properly understand the implications of selecting and prioritizing a proposed mitigation without the influence of </w:t>
      </w:r>
      <w:r w:rsidR="00A713F4">
        <w:t xml:space="preserve">scaled </w:t>
      </w:r>
      <w:r>
        <w:t xml:space="preserve">BCRs. </w:t>
      </w:r>
      <w:r w:rsidR="00F463F6">
        <w:t>As such</w:t>
      </w:r>
      <w:r>
        <w:t xml:space="preserve">, we retain this requirement in the </w:t>
      </w:r>
      <w:r w:rsidR="000949CB">
        <w:t>RAMP Data Template</w:t>
      </w:r>
      <w:r>
        <w:t xml:space="preserve">. </w:t>
      </w:r>
      <w:r w:rsidRPr="00496264" w:rsidR="00496264">
        <w:t>We require utilities to submit a dataset with unscaled risk values</w:t>
      </w:r>
      <w:r w:rsidR="00181D0A">
        <w:t>,</w:t>
      </w:r>
      <w:r w:rsidRPr="00496264" w:rsidR="00496264">
        <w:t xml:space="preserve"> but utilities </w:t>
      </w:r>
      <w:r w:rsidR="00EA7A25">
        <w:t>may</w:t>
      </w:r>
      <w:r w:rsidRPr="00496264" w:rsidR="00496264">
        <w:t xml:space="preserve"> submit </w:t>
      </w:r>
      <w:r w:rsidR="00B725E9">
        <w:t>another dataset</w:t>
      </w:r>
      <w:r w:rsidRPr="00496264" w:rsidR="00496264">
        <w:t xml:space="preserve"> with scaled risk values, if they desire</w:t>
      </w:r>
      <w:r w:rsidR="000E074B">
        <w:t xml:space="preserve">. </w:t>
      </w:r>
    </w:p>
    <w:p w:rsidR="00603238" w:rsidP="00FA1B4F" w:rsidRDefault="00603238" w14:paraId="58F46103" w14:textId="77777777">
      <w:pPr>
        <w:pStyle w:val="Heading1"/>
      </w:pPr>
      <w:bookmarkStart w:name="_Toc204258063" w:id="140"/>
      <w:bookmarkStart w:name="_Toc8123721" w:id="141"/>
      <w:r>
        <w:t>Summary of Public Comment</w:t>
      </w:r>
      <w:bookmarkEnd w:id="140"/>
    </w:p>
    <w:p w:rsidRPr="00647468" w:rsidR="00603238" w:rsidP="001E76C2" w:rsidRDefault="00603238" w14:paraId="09EFCAF7" w14:textId="5C9AA4D2">
      <w:pPr>
        <w:rPr>
          <w:rFonts w:ascii="Calibri" w:hAnsi="Calibri"/>
          <w:sz w:val="22"/>
        </w:rPr>
      </w:pPr>
      <w:r w:rsidRPr="00647468">
        <w:t xml:space="preserve">Rule 1.18 allows any member of the public to submit written comment in any Commission proceeding using the “Public Comment” tab of the online </w:t>
      </w:r>
      <w:r w:rsidRPr="00647468">
        <w:lastRenderedPageBreak/>
        <w:t>Docket Card for that proceeding on the Commission’s website.  Rule 1.18(b) requires that relevant written comment submitted in a proceeding be summarized in the final decision issued in that proceeding.</w:t>
      </w:r>
      <w:r w:rsidRPr="00647468" w:rsidR="001E76C2">
        <w:t xml:space="preserve"> There were no </w:t>
      </w:r>
      <w:r w:rsidRPr="00647468" w:rsidR="00647468">
        <w:t>public comments in this proceeding</w:t>
      </w:r>
      <w:r w:rsidRPr="00647468">
        <w:t>.</w:t>
      </w:r>
    </w:p>
    <w:p w:rsidR="00FA1B4F" w:rsidP="00FA1B4F" w:rsidRDefault="005939A5" w14:paraId="4F4A1F0D" w14:textId="77777777">
      <w:pPr>
        <w:pStyle w:val="Heading1"/>
      </w:pPr>
      <w:bookmarkStart w:name="_Toc204258064" w:id="142"/>
      <w:r>
        <w:t>Conclusion</w:t>
      </w:r>
      <w:bookmarkEnd w:id="141"/>
      <w:bookmarkEnd w:id="142"/>
    </w:p>
    <w:p w:rsidRPr="00343E5C" w:rsidR="00343E5C" w:rsidP="00343E5C" w:rsidRDefault="001D276A" w14:paraId="69960DD6" w14:textId="0EC6FD7C">
      <w:pPr>
        <w:pStyle w:val="Standard"/>
      </w:pPr>
      <w:r>
        <w:t xml:space="preserve">This decision adopts </w:t>
      </w:r>
      <w:r w:rsidR="00045BBF">
        <w:t>the changes to the Risk-Based Decision-Making Framework</w:t>
      </w:r>
      <w:r w:rsidR="00350A1F">
        <w:t xml:space="preserve"> </w:t>
      </w:r>
      <w:r w:rsidR="00552C16">
        <w:t>made in Appendix A</w:t>
      </w:r>
      <w:r w:rsidR="009605E8">
        <w:t xml:space="preserve">. This decision also </w:t>
      </w:r>
      <w:r w:rsidR="005939E5">
        <w:t xml:space="preserve">adopts </w:t>
      </w:r>
      <w:r w:rsidR="008E770D">
        <w:t xml:space="preserve">the Risk Mitigation Accountability Report </w:t>
      </w:r>
      <w:r w:rsidR="00894A65">
        <w:t xml:space="preserve">Guidelines </w:t>
      </w:r>
      <w:r w:rsidR="00A83366">
        <w:t xml:space="preserve">in Appendix </w:t>
      </w:r>
      <w:r w:rsidR="17F90CD0">
        <w:t>C</w:t>
      </w:r>
      <w:r w:rsidR="00BC5339">
        <w:t xml:space="preserve"> and RAMP Data Template and Guidelines in Appendix D.</w:t>
      </w:r>
    </w:p>
    <w:p w:rsidR="004A1EAD" w:rsidP="004A1EAD" w:rsidRDefault="004A1EAD" w14:paraId="0E376BB7" w14:textId="77777777">
      <w:pPr>
        <w:pStyle w:val="Heading1"/>
      </w:pPr>
      <w:bookmarkStart w:name="_Toc204258065" w:id="143"/>
      <w:bookmarkStart w:name="_Toc8123723" w:id="144"/>
      <w:r>
        <w:t>Procedural Matters</w:t>
      </w:r>
      <w:bookmarkEnd w:id="143"/>
    </w:p>
    <w:p w:rsidRPr="008B175A" w:rsidR="004A1EAD" w:rsidP="004A1EAD" w:rsidRDefault="004A1EAD" w14:paraId="7F2C0A31" w14:textId="77777777">
      <w:pPr>
        <w:pStyle w:val="Standard"/>
      </w:pPr>
      <w:r w:rsidRPr="008B175A">
        <w:t>This decision affirms all rulings made by the Administrative Law Judge and assigned Commissioner in this proceeding. All motions not ruled on are deemed denied.</w:t>
      </w:r>
    </w:p>
    <w:p w:rsidR="005939A5" w:rsidP="005939A5" w:rsidRDefault="005939A5" w14:paraId="3C9DBBF6" w14:textId="77777777">
      <w:pPr>
        <w:pStyle w:val="Heading1"/>
      </w:pPr>
      <w:bookmarkStart w:name="_Toc204258066" w:id="145"/>
      <w:r>
        <w:t>Comments on Proposed Decision</w:t>
      </w:r>
      <w:bookmarkEnd w:id="144"/>
      <w:bookmarkEnd w:id="145"/>
    </w:p>
    <w:p w:rsidR="005939A5" w:rsidP="005C58FA" w:rsidRDefault="005C58FA" w14:paraId="6A18D4BF" w14:textId="4EB75D45">
      <w:pPr>
        <w:pStyle w:val="Standard"/>
      </w:pPr>
      <w:r w:rsidRPr="00FB18D2">
        <w:t xml:space="preserve">The proposed decision of Commissioner </w:t>
      </w:r>
      <w:r w:rsidR="00FB18D2">
        <w:t>John Reynolds</w:t>
      </w:r>
      <w:r>
        <w:t xml:space="preserve"> in this matter was mailed to the parties in accordance with Section 311 of the Public Utilities Code and comments were allowed under Rule 14.3 of the Commission’s Rules of Practice and Procedure.  Comments were filed on </w:t>
      </w:r>
      <w:r w:rsidR="007666B6">
        <w:t>August 14, 2025</w:t>
      </w:r>
      <w:r w:rsidR="00C316F2">
        <w:t>, by EPUC/IS, PG&amp;E, SCE, the Sempra Companies, TURN, and Cal Advocates</w:t>
      </w:r>
      <w:r w:rsidR="007666B6">
        <w:t xml:space="preserve">, </w:t>
      </w:r>
      <w:r>
        <w:t xml:space="preserve">and reply comments were filed on </w:t>
      </w:r>
      <w:r w:rsidR="008A090B">
        <w:t xml:space="preserve">August 19, 2025, </w:t>
      </w:r>
      <w:r>
        <w:t xml:space="preserve">by </w:t>
      </w:r>
      <w:r w:rsidR="004E17F1">
        <w:t>PG&amp;E, EPUC/IS</w:t>
      </w:r>
      <w:r w:rsidR="008F058A">
        <w:t>, SCE, MGRA</w:t>
      </w:r>
      <w:r w:rsidR="000E69EB">
        <w:t>, TURN, and the Sempra Companies</w:t>
      </w:r>
      <w:r w:rsidR="004E17F1">
        <w:t>.</w:t>
      </w:r>
      <w:r w:rsidRPr="00C878D5" w:rsidR="004E17F1">
        <w:t xml:space="preserve"> </w:t>
      </w:r>
      <w:r w:rsidR="008204AD">
        <w:t>Changes have been made throughout the decision in response to these comments.</w:t>
      </w:r>
    </w:p>
    <w:p w:rsidR="005939A5" w:rsidP="005939A5" w:rsidRDefault="005939A5" w14:paraId="55A699C6" w14:textId="76A4AB77">
      <w:pPr>
        <w:pStyle w:val="Heading1"/>
      </w:pPr>
      <w:bookmarkStart w:name="_Toc8123724" w:id="146"/>
      <w:bookmarkStart w:name="_Toc204258067" w:id="147"/>
      <w:r>
        <w:t>Assignment of Proceeding</w:t>
      </w:r>
      <w:bookmarkEnd w:id="146"/>
      <w:bookmarkEnd w:id="147"/>
    </w:p>
    <w:p w:rsidR="005939A5" w:rsidP="006E6574" w:rsidRDefault="00E83A5D" w14:paraId="73661A77" w14:textId="27C3938C">
      <w:pPr>
        <w:pStyle w:val="Standard"/>
      </w:pPr>
      <w:r>
        <w:t>John Reynolds</w:t>
      </w:r>
      <w:r w:rsidR="005939A5">
        <w:t xml:space="preserve"> is the assigned Commissioner and </w:t>
      </w:r>
      <w:r>
        <w:t>Jonathan Lakey</w:t>
      </w:r>
      <w:r w:rsidR="005939A5">
        <w:t xml:space="preserve"> is the assigned Administrative Law Judge in this proceeding.</w:t>
      </w:r>
    </w:p>
    <w:p w:rsidR="005939A5" w:rsidP="005939A5" w:rsidRDefault="005939A5" w14:paraId="2F1249C2" w14:textId="553E1679">
      <w:pPr>
        <w:pStyle w:val="Dummy"/>
      </w:pPr>
      <w:bookmarkStart w:name="_Toc8123725" w:id="148"/>
      <w:bookmarkStart w:name="_Toc204258068" w:id="149"/>
      <w:r>
        <w:lastRenderedPageBreak/>
        <w:t>Findings of Fact</w:t>
      </w:r>
      <w:bookmarkEnd w:id="148"/>
      <w:bookmarkEnd w:id="149"/>
    </w:p>
    <w:p w:rsidRPr="00635D77" w:rsidR="00AA7A16" w:rsidP="00BA48F9" w:rsidRDefault="7853DDA8" w14:paraId="5E2DF4BE" w14:textId="08F9AD2A">
      <w:pPr>
        <w:pStyle w:val="FoF"/>
      </w:pPr>
      <w:r w:rsidRPr="00042FAB">
        <w:t xml:space="preserve">California </w:t>
      </w:r>
      <w:r w:rsidRPr="00BA48F9">
        <w:t>ratepayers</w:t>
      </w:r>
      <w:r w:rsidRPr="00042FAB">
        <w:t xml:space="preserve"> face growing challenges in affordability of utility rates</w:t>
      </w:r>
      <w:r w:rsidR="00D00386">
        <w:t>.</w:t>
      </w:r>
    </w:p>
    <w:p w:rsidRPr="00635D77" w:rsidR="7853DDA8" w:rsidP="00BA48F9" w:rsidRDefault="7853DDA8" w14:paraId="2B871E5B" w14:textId="13E7931F">
      <w:pPr>
        <w:pStyle w:val="FoF"/>
      </w:pPr>
      <w:r w:rsidRPr="00BA48F9">
        <w:t>Quantitative</w:t>
      </w:r>
      <w:r w:rsidRPr="00042FAB">
        <w:t xml:space="preserve"> analytical tools and concepts in the </w:t>
      </w:r>
      <w:r w:rsidR="001272CD">
        <w:t>RDF</w:t>
      </w:r>
      <w:r w:rsidRPr="00042FAB">
        <w:t xml:space="preserve"> </w:t>
      </w:r>
      <w:r w:rsidR="00C561BC">
        <w:t>support</w:t>
      </w:r>
      <w:r w:rsidRPr="00042FAB">
        <w:t xml:space="preserve"> the evaluation of proposals for safety investments.</w:t>
      </w:r>
    </w:p>
    <w:p w:rsidR="309E38C4" w:rsidP="047728D1" w:rsidRDefault="309E38C4" w14:paraId="05A9B4B8" w14:textId="3DB23655">
      <w:pPr>
        <w:pStyle w:val="FoF"/>
      </w:pPr>
      <w:r>
        <w:t xml:space="preserve">Standardized tracking of </w:t>
      </w:r>
      <w:r w:rsidR="00B440FF">
        <w:t>mitigated risk</w:t>
      </w:r>
      <w:r>
        <w:t xml:space="preserve"> </w:t>
      </w:r>
      <w:r w:rsidR="00272D3E">
        <w:t>improves</w:t>
      </w:r>
      <w:r>
        <w:t xml:space="preserve"> transparency</w:t>
      </w:r>
      <w:r w:rsidR="00BC35AF">
        <w:t xml:space="preserve"> </w:t>
      </w:r>
      <w:r w:rsidR="00272B9E">
        <w:t xml:space="preserve">in the use of </w:t>
      </w:r>
      <w:r w:rsidR="00BC35AF">
        <w:t>ratepayer</w:t>
      </w:r>
      <w:r w:rsidR="00272B9E">
        <w:t xml:space="preserve"> funds</w:t>
      </w:r>
      <w:r>
        <w:t xml:space="preserve"> and </w:t>
      </w:r>
      <w:r w:rsidR="00272B9E">
        <w:t xml:space="preserve">increases the </w:t>
      </w:r>
      <w:r>
        <w:t>accountability</w:t>
      </w:r>
      <w:r w:rsidR="00BC35AF">
        <w:t xml:space="preserve"> of the utilities</w:t>
      </w:r>
      <w:r w:rsidR="00042FAB">
        <w:t xml:space="preserve"> in their use of these funds</w:t>
      </w:r>
      <w:r w:rsidR="7A3B7590">
        <w:t>.</w:t>
      </w:r>
    </w:p>
    <w:p w:rsidRPr="00635D77" w:rsidR="7853DDA8" w:rsidRDefault="7853DDA8" w14:paraId="7EB451A4" w14:textId="2D75B3F9">
      <w:pPr>
        <w:pStyle w:val="FoF"/>
      </w:pPr>
      <w:r w:rsidRPr="00042FAB">
        <w:t xml:space="preserve">Requiring utilities to </w:t>
      </w:r>
      <w:r w:rsidR="00790B44">
        <w:t xml:space="preserve">use </w:t>
      </w:r>
      <w:r w:rsidR="008458EE">
        <w:t xml:space="preserve">a minimal set of </w:t>
      </w:r>
      <w:r w:rsidRPr="00042FAB">
        <w:t>budget-based scenarios</w:t>
      </w:r>
      <w:r w:rsidR="008458EE">
        <w:t xml:space="preserve"> in mitigation portfolio optimization </w:t>
      </w:r>
      <w:r w:rsidRPr="00042FAB">
        <w:t>can provide valuable factual information to better understand what impact different budget choices might have on achievable risk reduction.</w:t>
      </w:r>
    </w:p>
    <w:p w:rsidRPr="001E2A62" w:rsidR="00F62B7A" w:rsidP="001E2A62" w:rsidRDefault="00742E53" w14:paraId="6BA45B22" w14:textId="13BA590F">
      <w:pPr>
        <w:pStyle w:val="FoF"/>
      </w:pPr>
      <w:r>
        <w:t>RRU</w:t>
      </w:r>
      <w:r w:rsidR="0057328F">
        <w:t xml:space="preserve"> requirements may </w:t>
      </w:r>
      <w:r w:rsidR="00E55F19">
        <w:t xml:space="preserve">be </w:t>
      </w:r>
      <w:r w:rsidR="002914DB">
        <w:t>inappropri</w:t>
      </w:r>
      <w:r w:rsidR="00CE0F8C">
        <w:t>a</w:t>
      </w:r>
      <w:r w:rsidR="002914DB">
        <w:t>te</w:t>
      </w:r>
      <w:r w:rsidR="009E7846">
        <w:t xml:space="preserve"> for Public Power Safety Shutoffs beca</w:t>
      </w:r>
      <w:r w:rsidR="00F5496F">
        <w:t xml:space="preserve">use </w:t>
      </w:r>
      <w:r w:rsidR="005B512F">
        <w:t xml:space="preserve">Public Safety Power Shutoffs </w:t>
      </w:r>
      <w:r w:rsidR="0030329E">
        <w:t>temporarily remove wildfire risk</w:t>
      </w:r>
      <w:r>
        <w:t>.</w:t>
      </w:r>
    </w:p>
    <w:p w:rsidRPr="001E2A62" w:rsidR="00F62B7A" w:rsidDel="008E3E55" w:rsidP="001E2A62" w:rsidRDefault="00024CFB" w14:paraId="4D58278B" w14:textId="12BCFD47">
      <w:pPr>
        <w:pStyle w:val="FoF"/>
      </w:pPr>
      <w:r>
        <w:t>RRU</w:t>
      </w:r>
      <w:r w:rsidR="0030329E">
        <w:t xml:space="preserve"> requirements may be </w:t>
      </w:r>
      <w:r w:rsidR="002914DB">
        <w:t>inappropriate</w:t>
      </w:r>
      <w:r w:rsidR="0030329E">
        <w:t xml:space="preserve"> for Protective Equipment and Device Settings because Protect Equipment and Device Settings temporarily remove wildfire </w:t>
      </w:r>
      <w:r w:rsidR="00CB62D0">
        <w:t>risk</w:t>
      </w:r>
      <w:r>
        <w:t>.</w:t>
      </w:r>
    </w:p>
    <w:p w:rsidRPr="001E2A62" w:rsidR="008E6AE6" w:rsidP="005156B5" w:rsidRDefault="008E6AE6" w14:paraId="609EE2FC" w14:textId="2A852C58">
      <w:pPr>
        <w:pStyle w:val="FoF"/>
        <w:numPr>
          <w:ilvl w:val="0"/>
          <w:numId w:val="0"/>
        </w:numPr>
      </w:pPr>
    </w:p>
    <w:p w:rsidR="005939A5" w:rsidP="005939A5" w:rsidRDefault="005939A5" w14:paraId="4A76BDE8" w14:textId="77777777">
      <w:pPr>
        <w:pStyle w:val="Dummy"/>
      </w:pPr>
      <w:bookmarkStart w:name="_Toc8123726" w:id="150"/>
      <w:bookmarkStart w:name="_Toc204258069" w:id="151"/>
      <w:r>
        <w:t>Conclusions of Law</w:t>
      </w:r>
      <w:bookmarkEnd w:id="150"/>
      <w:bookmarkEnd w:id="151"/>
    </w:p>
    <w:p w:rsidR="009117A9" w:rsidP="005C3DF0" w:rsidRDefault="009117A9" w14:paraId="7D402862" w14:textId="77777777">
      <w:pPr>
        <w:pStyle w:val="CoL"/>
      </w:pPr>
      <w:r>
        <w:t>It is reasonable to close this proceeding.</w:t>
      </w:r>
    </w:p>
    <w:p w:rsidR="00C11CC1" w:rsidP="001E2A62" w:rsidRDefault="00C11CC1" w14:paraId="1C921B9B" w14:textId="7131C0C1">
      <w:pPr>
        <w:pStyle w:val="CoL"/>
      </w:pPr>
      <w:r>
        <w:t>It is reasonable to require that CoRE be represented as a probability distribution.</w:t>
      </w:r>
    </w:p>
    <w:p w:rsidR="00C11CC1" w:rsidP="001E2A62" w:rsidRDefault="00C11CC1" w14:paraId="616F5567" w14:textId="0399F404">
      <w:pPr>
        <w:pStyle w:val="CoL"/>
      </w:pPr>
      <w:r>
        <w:t xml:space="preserve">It is reasonable to modify Row 10 of the RDF to </w:t>
      </w:r>
      <w:r w:rsidR="00BF5574">
        <w:t>facilitate representation of CoRE as a probability distribution</w:t>
      </w:r>
      <w:r w:rsidR="00EA4EC3">
        <w:t xml:space="preserve"> and to modify the Risk-Based Decision-Making Framework accordingly</w:t>
      </w:r>
      <w:r w:rsidR="00266E9B">
        <w:t xml:space="preserve"> as set forth in Appendix A</w:t>
      </w:r>
      <w:r w:rsidR="00BF5574">
        <w:t>.</w:t>
      </w:r>
    </w:p>
    <w:p w:rsidR="00BF5574" w:rsidP="001E2A62" w:rsidRDefault="00BF5574" w14:paraId="05D9910E" w14:textId="0479EC9E">
      <w:pPr>
        <w:pStyle w:val="CoL"/>
      </w:pPr>
      <w:r>
        <w:lastRenderedPageBreak/>
        <w:t>It is reason</w:t>
      </w:r>
      <w:r w:rsidR="00B52E8F">
        <w:t xml:space="preserve">able to add the </w:t>
      </w:r>
      <w:r w:rsidR="009039D7">
        <w:t>definition of Probability Distribution to the RDF</w:t>
      </w:r>
      <w:r w:rsidR="00267C28">
        <w:t xml:space="preserve"> as set forth in Appendix A</w:t>
      </w:r>
      <w:r w:rsidR="009039D7">
        <w:t>.</w:t>
      </w:r>
    </w:p>
    <w:p w:rsidR="002C64FE" w:rsidP="001E2A62" w:rsidRDefault="002C64FE" w14:paraId="52D3CF76" w14:textId="0324A8A8">
      <w:pPr>
        <w:pStyle w:val="CoL"/>
      </w:pPr>
      <w:r>
        <w:t xml:space="preserve">It is reasonable to </w:t>
      </w:r>
      <w:r w:rsidR="007C56F8">
        <w:t>modify</w:t>
      </w:r>
      <w:r w:rsidR="00D670E8">
        <w:t xml:space="preserve"> the definitions of </w:t>
      </w:r>
      <w:r w:rsidR="00C52898">
        <w:t xml:space="preserve">Consequence and Risk </w:t>
      </w:r>
      <w:r w:rsidR="002567E4">
        <w:t>recommended by SPD staff</w:t>
      </w:r>
      <w:r w:rsidR="00482F6E">
        <w:t xml:space="preserve"> and as set forth in Appendix A</w:t>
      </w:r>
      <w:r w:rsidR="002567E4">
        <w:t>.</w:t>
      </w:r>
    </w:p>
    <w:p w:rsidR="00E541CE" w:rsidP="001E2A62" w:rsidRDefault="00E541CE" w14:paraId="5297D091" w14:textId="45F34A0A">
      <w:pPr>
        <w:pStyle w:val="CoL"/>
      </w:pPr>
      <w:r>
        <w:t xml:space="preserve">It is reasonable to </w:t>
      </w:r>
      <w:r w:rsidR="00831330">
        <w:t xml:space="preserve">modify Row 13 of the RDF to </w:t>
      </w:r>
      <w:r w:rsidR="00F77305">
        <w:t xml:space="preserve">facilitate representation of </w:t>
      </w:r>
      <w:r w:rsidR="00620F70">
        <w:t>CoRE as a probability distribution</w:t>
      </w:r>
      <w:r w:rsidR="00610352">
        <w:t xml:space="preserve"> as set forth in Appendix A</w:t>
      </w:r>
      <w:r w:rsidR="00620F70">
        <w:t>.</w:t>
      </w:r>
    </w:p>
    <w:p w:rsidRPr="001E2A62" w:rsidR="005269CC" w:rsidP="001E2A62" w:rsidRDefault="00231286" w14:paraId="6087656D" w14:textId="43DFFA04">
      <w:pPr>
        <w:pStyle w:val="CoL"/>
      </w:pPr>
      <w:r>
        <w:t>The</w:t>
      </w:r>
      <w:r w:rsidR="00181FF2">
        <w:t xml:space="preserve"> definition </w:t>
      </w:r>
      <w:r w:rsidR="00C468CB">
        <w:t>for</w:t>
      </w:r>
      <w:r w:rsidR="00181FF2">
        <w:t xml:space="preserve"> Overall Residual Risk </w:t>
      </w:r>
      <w:r w:rsidR="00EA7A38">
        <w:t>should be added to the RDF</w:t>
      </w:r>
      <w:r w:rsidR="00CA7FBA">
        <w:t xml:space="preserve"> as set forth in Appendix A</w:t>
      </w:r>
      <w:r w:rsidR="00EA7A38">
        <w:t>.</w:t>
      </w:r>
    </w:p>
    <w:p w:rsidRPr="001E2A62" w:rsidR="00932865" w:rsidP="001E2A62" w:rsidRDefault="00BC6241" w14:paraId="2E399D18" w14:textId="0AFC4880">
      <w:pPr>
        <w:pStyle w:val="CoL"/>
      </w:pPr>
      <w:r>
        <w:t>The definition of Residual Risk in the RDF should be modified to reflect that Residual Risk applies to a given GRC cycle</w:t>
      </w:r>
      <w:r w:rsidR="00CA7FBA">
        <w:t xml:space="preserve"> as set forth in Appendix A</w:t>
      </w:r>
      <w:r>
        <w:t>.</w:t>
      </w:r>
    </w:p>
    <w:p w:rsidRPr="001E2A62" w:rsidR="008F143D" w:rsidP="00D44DB6" w:rsidRDefault="00F53B21" w14:paraId="734C6A2C" w14:textId="67B95F17">
      <w:pPr>
        <w:pStyle w:val="CoL"/>
      </w:pPr>
      <w:r>
        <w:t xml:space="preserve">Row 9 of the RDF should be modified to incorporate the calculation and presentation </w:t>
      </w:r>
      <w:r w:rsidR="0094640E">
        <w:t>of</w:t>
      </w:r>
      <w:r>
        <w:t xml:space="preserve"> Overall Residual Risk</w:t>
      </w:r>
      <w:r w:rsidR="00CA7FBA">
        <w:t xml:space="preserve"> as set forth in Appendix A</w:t>
      </w:r>
      <w:r>
        <w:t>.</w:t>
      </w:r>
    </w:p>
    <w:p w:rsidRPr="001E2A62" w:rsidR="008D63FD" w:rsidP="00D44DB6" w:rsidRDefault="001B526A" w14:paraId="67B17E3F" w14:textId="53BE986F">
      <w:pPr>
        <w:pStyle w:val="CoL"/>
      </w:pPr>
      <w:r>
        <w:t xml:space="preserve">It is </w:t>
      </w:r>
      <w:r w:rsidR="00E75B30">
        <w:t xml:space="preserve">reasonable to </w:t>
      </w:r>
      <w:r w:rsidR="00BC1234">
        <w:t xml:space="preserve">adopt a mitigation portfolio optimization framework </w:t>
      </w:r>
      <w:r w:rsidR="00FE2EED">
        <w:t>in the RDF</w:t>
      </w:r>
      <w:r w:rsidR="007411CC">
        <w:t>.</w:t>
      </w:r>
    </w:p>
    <w:p w:rsidRPr="001E2A62" w:rsidR="0019764B" w:rsidP="00D44DB6" w:rsidRDefault="00814947" w14:paraId="28B30007" w14:textId="7509B678">
      <w:pPr>
        <w:pStyle w:val="CoL"/>
      </w:pPr>
      <w:r>
        <w:t xml:space="preserve">The </w:t>
      </w:r>
      <w:r w:rsidR="00570B5A">
        <w:t xml:space="preserve">optimization model </w:t>
      </w:r>
      <w:r w:rsidR="00712BE2">
        <w:t xml:space="preserve">used in mitigation portfolio optimization </w:t>
      </w:r>
      <w:r w:rsidR="0009323D">
        <w:t>shou</w:t>
      </w:r>
      <w:r w:rsidR="00034974">
        <w:t xml:space="preserve">ld </w:t>
      </w:r>
      <w:r w:rsidR="00C307D6">
        <w:t xml:space="preserve">include risk reduction as the objective function, </w:t>
      </w:r>
      <w:r w:rsidR="00B2349A">
        <w:t>the given budget level in dollars as the constraint</w:t>
      </w:r>
      <w:r w:rsidR="00003CE4">
        <w:t xml:space="preserve">, and </w:t>
      </w:r>
      <w:r w:rsidR="00546923">
        <w:t xml:space="preserve">whether a </w:t>
      </w:r>
      <w:r w:rsidR="00747D77">
        <w:t xml:space="preserve">given mitigation is included in a portfolio or not </w:t>
      </w:r>
      <w:r w:rsidR="001076DD">
        <w:t>as the decision variable.</w:t>
      </w:r>
    </w:p>
    <w:p w:rsidRPr="001E2A62" w:rsidR="001076DD" w:rsidP="00D44DB6" w:rsidRDefault="009535DE" w14:paraId="1FCC1AA7" w14:textId="52E540FF">
      <w:pPr>
        <w:pStyle w:val="CoL"/>
      </w:pPr>
      <w:r>
        <w:t xml:space="preserve">It is reasonable to </w:t>
      </w:r>
      <w:r w:rsidR="00061C09">
        <w:t xml:space="preserve">require, at minimum, </w:t>
      </w:r>
      <w:r w:rsidR="009C2175">
        <w:t xml:space="preserve">the presentation </w:t>
      </w:r>
      <w:r w:rsidR="00B21C67">
        <w:t xml:space="preserve">in the RAMP </w:t>
      </w:r>
      <w:r w:rsidR="009C2175">
        <w:t xml:space="preserve">of </w:t>
      </w:r>
      <w:r w:rsidR="00EC5CE9">
        <w:t xml:space="preserve">the optimal </w:t>
      </w:r>
      <w:r w:rsidR="00A237F5">
        <w:t>mitigation portfolios</w:t>
      </w:r>
      <w:r w:rsidR="00B6626A">
        <w:t xml:space="preserve"> </w:t>
      </w:r>
      <w:r w:rsidR="00C51B8C">
        <w:t>for</w:t>
      </w:r>
      <w:r w:rsidR="001B764A">
        <w:t xml:space="preserve"> </w:t>
      </w:r>
      <w:r w:rsidR="00FB2B92">
        <w:t xml:space="preserve">four budget scenarios </w:t>
      </w:r>
      <w:r w:rsidR="0069548C">
        <w:t>that are 85%</w:t>
      </w:r>
      <w:r w:rsidR="00106DD0">
        <w:t xml:space="preserve">, </w:t>
      </w:r>
      <w:r w:rsidR="001C55B3">
        <w:t xml:space="preserve">90%, 95%, and 100% of </w:t>
      </w:r>
      <w:r w:rsidR="0075717E">
        <w:t xml:space="preserve">the </w:t>
      </w:r>
      <w:r w:rsidR="006E4EFA">
        <w:t xml:space="preserve">forecasted costs of Mitigations </w:t>
      </w:r>
      <w:r w:rsidR="00223BBB">
        <w:t>and Controls</w:t>
      </w:r>
      <w:r w:rsidR="00822767">
        <w:t xml:space="preserve"> the filing utility </w:t>
      </w:r>
      <w:r w:rsidR="00FF614F">
        <w:t xml:space="preserve">proposed in its </w:t>
      </w:r>
      <w:r w:rsidR="001108CB">
        <w:t>RAMP</w:t>
      </w:r>
      <w:r w:rsidR="00442871">
        <w:t xml:space="preserve"> or current</w:t>
      </w:r>
      <w:r w:rsidR="00FF614F">
        <w:t xml:space="preserve"> GRC</w:t>
      </w:r>
      <w:r w:rsidR="00071C35">
        <w:t>.</w:t>
      </w:r>
    </w:p>
    <w:p w:rsidR="001046A2" w:rsidP="00D44DB6" w:rsidRDefault="001046A2" w14:paraId="76FD7612" w14:textId="54416D61">
      <w:pPr>
        <w:pStyle w:val="CoL"/>
      </w:pPr>
      <w:r>
        <w:t xml:space="preserve">Definitions for Baseline Cost Forecast, Budget Scenario, Enterprise Portfolio, </w:t>
      </w:r>
      <w:r w:rsidR="00A7428B">
        <w:t xml:space="preserve">Optimized (Enterprise or Risk Mitigation) Portfolio </w:t>
      </w:r>
      <w:r>
        <w:t>and Risk Mitigation Portfolio should be added to the RDF</w:t>
      </w:r>
      <w:r w:rsidR="004040CB">
        <w:t xml:space="preserve"> as set forth in Appendix A</w:t>
      </w:r>
      <w:r>
        <w:t>.</w:t>
      </w:r>
    </w:p>
    <w:p w:rsidR="001046A2" w:rsidP="00D44DB6" w:rsidRDefault="001046A2" w14:paraId="06ABA157" w14:textId="1D0AF376">
      <w:pPr>
        <w:pStyle w:val="CoL"/>
      </w:pPr>
      <w:r>
        <w:lastRenderedPageBreak/>
        <w:t>Row 25.1</w:t>
      </w:r>
      <w:r w:rsidR="00727304">
        <w:t xml:space="preserve">, </w:t>
      </w:r>
      <w:r w:rsidR="006932ED">
        <w:t>which provides direction</w:t>
      </w:r>
      <w:r w:rsidR="0040761E">
        <w:t xml:space="preserve"> </w:t>
      </w:r>
      <w:r w:rsidR="006C0986">
        <w:t xml:space="preserve">to utilities </w:t>
      </w:r>
      <w:r w:rsidR="0040761E">
        <w:t xml:space="preserve">on the construction of </w:t>
      </w:r>
      <w:r w:rsidR="00087003">
        <w:t xml:space="preserve">Optimized </w:t>
      </w:r>
      <w:r w:rsidR="0040761E">
        <w:t xml:space="preserve">Enterprise Portfolios, </w:t>
      </w:r>
      <w:r w:rsidR="00BF5F7D">
        <w:t>should be added to the RDF</w:t>
      </w:r>
      <w:r w:rsidR="004040CB">
        <w:t xml:space="preserve"> as set forth in Appendix A</w:t>
      </w:r>
      <w:r w:rsidR="00BF5F7D">
        <w:t>.</w:t>
      </w:r>
    </w:p>
    <w:p w:rsidR="00BF5F7D" w:rsidP="00D44DB6" w:rsidRDefault="00BF5F7D" w14:paraId="1C1E66E3" w14:textId="44BEEBCE">
      <w:pPr>
        <w:pStyle w:val="CoL"/>
      </w:pPr>
      <w:r>
        <w:t xml:space="preserve">Row 25.2, </w:t>
      </w:r>
      <w:r w:rsidR="006C0986">
        <w:t xml:space="preserve">which provides direction to utilities on the construction of </w:t>
      </w:r>
      <w:r w:rsidR="00087003">
        <w:t xml:space="preserve">Optimized </w:t>
      </w:r>
      <w:r w:rsidR="00C73514">
        <w:t>Risk Mitigation Portfolios, should be added to the RDF</w:t>
      </w:r>
      <w:r w:rsidRPr="004040CB" w:rsidR="004040CB">
        <w:t xml:space="preserve"> </w:t>
      </w:r>
      <w:r w:rsidR="004040CB">
        <w:t>as set forth in Appendix A</w:t>
      </w:r>
      <w:r w:rsidR="00C73514">
        <w:t>.</w:t>
      </w:r>
    </w:p>
    <w:p w:rsidR="00C73514" w:rsidP="00D44DB6" w:rsidRDefault="00F244BB" w14:paraId="72A63D95" w14:textId="68897171">
      <w:pPr>
        <w:pStyle w:val="CoL"/>
      </w:pPr>
      <w:r>
        <w:t>Row 26</w:t>
      </w:r>
      <w:r w:rsidR="00063E18">
        <w:t xml:space="preserve"> of the RDF should be modified to </w:t>
      </w:r>
      <w:r w:rsidR="00A23640">
        <w:t xml:space="preserve">incorporate </w:t>
      </w:r>
      <w:r w:rsidR="005E2DC7">
        <w:t xml:space="preserve">Optimized </w:t>
      </w:r>
      <w:r w:rsidR="00A23640">
        <w:t xml:space="preserve">Enterprise Portfolios and </w:t>
      </w:r>
      <w:r w:rsidR="005E2DC7">
        <w:t xml:space="preserve">Optimized </w:t>
      </w:r>
      <w:r w:rsidR="00A23640">
        <w:t>Risk Mitigation Portfolios int</w:t>
      </w:r>
      <w:r w:rsidR="009F554B">
        <w:t>o the RDF</w:t>
      </w:r>
      <w:r w:rsidRPr="004040CB" w:rsidR="004040CB">
        <w:t xml:space="preserve"> </w:t>
      </w:r>
      <w:r w:rsidR="004040CB">
        <w:t>as set forth in Appendix A</w:t>
      </w:r>
      <w:r w:rsidR="009F554B">
        <w:t>.</w:t>
      </w:r>
    </w:p>
    <w:p w:rsidR="008437B8" w:rsidP="00D44DB6" w:rsidRDefault="00C20029" w14:paraId="6E429E00" w14:textId="56C6981D">
      <w:pPr>
        <w:pStyle w:val="CoL"/>
      </w:pPr>
      <w:r>
        <w:t xml:space="preserve">Definitions </w:t>
      </w:r>
      <w:r w:rsidR="00504C09">
        <w:t>for Asset, Backcast</w:t>
      </w:r>
      <w:r w:rsidR="00570A2F">
        <w:t>, Mitigation/Control Program,</w:t>
      </w:r>
      <w:r w:rsidR="00B11C48">
        <w:t xml:space="preserve"> </w:t>
      </w:r>
      <w:r w:rsidR="00DE3990">
        <w:t xml:space="preserve">and </w:t>
      </w:r>
      <w:r w:rsidR="005640DD">
        <w:t>Risk Reporting Unit</w:t>
      </w:r>
      <w:r w:rsidR="00DE3990">
        <w:t xml:space="preserve"> should be added to the </w:t>
      </w:r>
      <w:r w:rsidR="002E64D1">
        <w:t>RDF</w:t>
      </w:r>
      <w:r w:rsidRPr="004040CB" w:rsidR="004040CB">
        <w:t xml:space="preserve"> </w:t>
      </w:r>
      <w:r w:rsidR="004040CB">
        <w:t>as set forth in Appendix A</w:t>
      </w:r>
      <w:r w:rsidR="002E64D1">
        <w:t>.</w:t>
      </w:r>
    </w:p>
    <w:p w:rsidR="000D6D9C" w:rsidP="00D44DB6" w:rsidRDefault="000D6D9C" w14:paraId="37C90AEF" w14:textId="5B2556F3">
      <w:pPr>
        <w:pStyle w:val="CoL"/>
      </w:pPr>
      <w:r>
        <w:t>The RRU should be auditable once the activity has taken place or the mitigation becomes used and useful.</w:t>
      </w:r>
    </w:p>
    <w:p w:rsidR="000D6D9C" w:rsidP="00D44DB6" w:rsidRDefault="000D6D9C" w14:paraId="5DF4468F" w14:textId="51681D9B">
      <w:pPr>
        <w:pStyle w:val="CoL"/>
      </w:pPr>
      <w:r>
        <w:t xml:space="preserve"> </w:t>
      </w:r>
      <w:r w:rsidR="00553D2B">
        <w:t xml:space="preserve">It is reasonable to exempt </w:t>
      </w:r>
      <w:r w:rsidR="00CA494B">
        <w:t>PSPS</w:t>
      </w:r>
      <w:r w:rsidR="00070FD2">
        <w:t xml:space="preserve"> and </w:t>
      </w:r>
      <w:r w:rsidR="009B7CE7">
        <w:t>PEDS</w:t>
      </w:r>
      <w:r w:rsidR="00070FD2">
        <w:t xml:space="preserve"> from </w:t>
      </w:r>
      <w:r w:rsidR="003C1E33">
        <w:t>the RRU requirements.</w:t>
      </w:r>
    </w:p>
    <w:p w:rsidR="003C1E33" w:rsidP="00E51D65" w:rsidRDefault="00614AD7" w14:paraId="2560AB88" w14:textId="7C774E1C">
      <w:pPr>
        <w:pStyle w:val="CoL"/>
      </w:pPr>
      <w:r>
        <w:t>Row 14</w:t>
      </w:r>
      <w:r w:rsidR="00F73C4A">
        <w:t xml:space="preserve"> of the RDF should be modified to </w:t>
      </w:r>
      <w:r w:rsidR="00E51D65">
        <w:t>integrate</w:t>
      </w:r>
      <w:r w:rsidR="00F73C4A">
        <w:t xml:space="preserve"> RRUs</w:t>
      </w:r>
      <w:r w:rsidR="00E51D65">
        <w:t xml:space="preserve"> into the Definition of Risk Events and Tranches</w:t>
      </w:r>
      <w:r w:rsidRPr="004040CB" w:rsidR="004040CB">
        <w:t xml:space="preserve"> </w:t>
      </w:r>
      <w:r w:rsidR="004040CB">
        <w:t>as set forth in Appendix A</w:t>
      </w:r>
      <w:r w:rsidR="00E51D65">
        <w:t>.</w:t>
      </w:r>
    </w:p>
    <w:p w:rsidR="00E51D65" w:rsidP="00D44DB6" w:rsidRDefault="00E51D65" w14:paraId="07B0D722" w14:textId="5B918EC4">
      <w:pPr>
        <w:pStyle w:val="CoL"/>
      </w:pPr>
      <w:r>
        <w:t>Row 16 of the RDF should be modified to integrate RRUs</w:t>
      </w:r>
      <w:r w:rsidR="008146EE">
        <w:t xml:space="preserve"> in Expressing Effects of a Mitigation</w:t>
      </w:r>
      <w:r w:rsidRPr="004040CB" w:rsidR="004040CB">
        <w:t xml:space="preserve"> </w:t>
      </w:r>
      <w:r w:rsidR="004040CB">
        <w:t>as set forth in Appendix A</w:t>
      </w:r>
      <w:r>
        <w:t>.</w:t>
      </w:r>
    </w:p>
    <w:p w:rsidR="00E51D65" w:rsidP="00D44DB6" w:rsidRDefault="00E51D65" w14:paraId="44C3B077" w14:textId="20B267CA">
      <w:pPr>
        <w:pStyle w:val="CoL"/>
      </w:pPr>
      <w:r>
        <w:t>Row 26 of the RDF should be modified to integrate RRUs</w:t>
      </w:r>
      <w:r w:rsidR="00CA7C3C">
        <w:t xml:space="preserve"> into Mitigation Strategy Presentation in the RAMP and GRC</w:t>
      </w:r>
      <w:r w:rsidRPr="004040CB" w:rsidR="004040CB">
        <w:t xml:space="preserve"> </w:t>
      </w:r>
      <w:r w:rsidR="004040CB">
        <w:t>as set forth in Appendix A</w:t>
      </w:r>
      <w:r w:rsidR="00CA7C3C">
        <w:t>.</w:t>
      </w:r>
    </w:p>
    <w:p w:rsidR="00CA7C3C" w:rsidP="00D44DB6" w:rsidRDefault="00CA7C3C" w14:paraId="2D8EDFFF" w14:textId="5A8ADDDF">
      <w:pPr>
        <w:pStyle w:val="CoL"/>
      </w:pPr>
      <w:r>
        <w:t>Row 15.1</w:t>
      </w:r>
      <w:r w:rsidR="00412E9D">
        <w:t xml:space="preserve"> should be added to the RDF to </w:t>
      </w:r>
      <w:r w:rsidR="00622332">
        <w:t xml:space="preserve">define the </w:t>
      </w:r>
      <w:r w:rsidR="000A76F1">
        <w:t>Mitigation Risk Reporting Unit</w:t>
      </w:r>
      <w:r w:rsidRPr="004040CB" w:rsidR="004040CB">
        <w:t xml:space="preserve"> </w:t>
      </w:r>
      <w:r w:rsidR="004040CB">
        <w:t>as set forth in Appendix A</w:t>
      </w:r>
      <w:r w:rsidR="000A76F1">
        <w:t>.</w:t>
      </w:r>
    </w:p>
    <w:p w:rsidR="000A76F1" w:rsidP="00D44DB6" w:rsidRDefault="000B636F" w14:paraId="24E0A5C9" w14:textId="31AECECF">
      <w:pPr>
        <w:pStyle w:val="CoL"/>
      </w:pPr>
      <w:r>
        <w:t>It is reasonable for the RMAR tables to be reported at the mitigation program level</w:t>
      </w:r>
      <w:r w:rsidR="00C663C8">
        <w:t>.</w:t>
      </w:r>
    </w:p>
    <w:p w:rsidR="00C663C8" w:rsidP="00D44DB6" w:rsidRDefault="00C663C8" w14:paraId="4301098C" w14:textId="21092D5A">
      <w:pPr>
        <w:pStyle w:val="CoL"/>
      </w:pPr>
      <w:r>
        <w:t xml:space="preserve">It is reasonable to adopt the </w:t>
      </w:r>
      <w:r w:rsidR="00F32C46">
        <w:t>RMAR</w:t>
      </w:r>
      <w:r w:rsidDel="00F32C46" w:rsidR="00F32C46">
        <w:t xml:space="preserve"> </w:t>
      </w:r>
      <w:r w:rsidR="000A6067">
        <w:t>Guidelines</w:t>
      </w:r>
      <w:r w:rsidR="00345A13">
        <w:t>, attached to this decision as Appendix C.</w:t>
      </w:r>
    </w:p>
    <w:p w:rsidR="00345A13" w:rsidP="00D44DB6" w:rsidRDefault="00345A13" w14:paraId="4D541464" w14:textId="5BF607FA">
      <w:pPr>
        <w:pStyle w:val="CoL"/>
      </w:pPr>
      <w:r>
        <w:lastRenderedPageBreak/>
        <w:t>Definitions for Hierarchy, Version, and Work Unit should be added to the RDF</w:t>
      </w:r>
      <w:r w:rsidRPr="004040CB" w:rsidR="004040CB">
        <w:t xml:space="preserve"> </w:t>
      </w:r>
      <w:r w:rsidR="004040CB">
        <w:t>as set forth in Appendix A</w:t>
      </w:r>
      <w:r>
        <w:t>.</w:t>
      </w:r>
    </w:p>
    <w:p w:rsidR="007B03FF" w:rsidP="00660C4C" w:rsidRDefault="007B03FF" w14:paraId="5B22CB2D" w14:textId="6C68D72A">
      <w:pPr>
        <w:pStyle w:val="CoL"/>
      </w:pPr>
      <w:r>
        <w:t xml:space="preserve">Row 9 of the RDF should be modified to incorporate </w:t>
      </w:r>
      <w:r w:rsidR="00660C4C">
        <w:t xml:space="preserve">a summary of the </w:t>
      </w:r>
      <w:r w:rsidR="00B515AE">
        <w:t xml:space="preserve">RMAR </w:t>
      </w:r>
      <w:r w:rsidR="00660C4C">
        <w:t xml:space="preserve">into the RDF </w:t>
      </w:r>
      <w:r>
        <w:t>as set forth in Appendix A.</w:t>
      </w:r>
    </w:p>
    <w:p w:rsidR="00EC6F20" w:rsidP="00D44DB6" w:rsidRDefault="00EC6F20" w14:paraId="22EC5857" w14:textId="23FD728F">
      <w:pPr>
        <w:pStyle w:val="CoL"/>
      </w:pPr>
      <w:r>
        <w:t xml:space="preserve">It is reasonable </w:t>
      </w:r>
      <w:r w:rsidR="003A7198">
        <w:t xml:space="preserve">for </w:t>
      </w:r>
      <w:r w:rsidR="00890E45">
        <w:t>the submission</w:t>
      </w:r>
      <w:r w:rsidR="003A7198">
        <w:t xml:space="preserve"> of the RMAR </w:t>
      </w:r>
      <w:r w:rsidR="00520E44">
        <w:t>to follow R</w:t>
      </w:r>
      <w:r w:rsidR="00F20CB3">
        <w:t>SAR guidelines.</w:t>
      </w:r>
    </w:p>
    <w:p w:rsidR="00F20CB3" w:rsidP="00D44DB6" w:rsidRDefault="00032622" w14:paraId="4E8E2105" w14:textId="2A974801">
      <w:pPr>
        <w:pStyle w:val="CoL"/>
      </w:pPr>
      <w:r>
        <w:t xml:space="preserve">It is reasonable </w:t>
      </w:r>
      <w:r w:rsidR="006C6445">
        <w:t xml:space="preserve">for the Commission to provide </w:t>
      </w:r>
      <w:r w:rsidR="00455820">
        <w:t xml:space="preserve">guidance to the </w:t>
      </w:r>
      <w:r w:rsidR="004429EE">
        <w:t>u</w:t>
      </w:r>
      <w:r w:rsidR="00A937EC">
        <w:t>tilitie</w:t>
      </w:r>
      <w:r w:rsidR="004429EE">
        <w:t xml:space="preserve">s </w:t>
      </w:r>
      <w:r w:rsidR="00455820">
        <w:t>on recasting, backcasting, and replanning</w:t>
      </w:r>
      <w:r w:rsidR="00493D7E">
        <w:t xml:space="preserve"> through a Staff Resolution.</w:t>
      </w:r>
    </w:p>
    <w:p w:rsidR="001A3FF9" w:rsidP="00D44DB6" w:rsidRDefault="001A3FF9" w14:paraId="486A2DCD" w14:textId="683A2D60">
      <w:pPr>
        <w:pStyle w:val="CoL"/>
      </w:pPr>
      <w:r>
        <w:t xml:space="preserve">It is reasonable to require the </w:t>
      </w:r>
      <w:r w:rsidR="005D017C">
        <w:t xml:space="preserve">utilities </w:t>
      </w:r>
      <w:r>
        <w:t xml:space="preserve">to provide </w:t>
      </w:r>
      <w:r w:rsidR="008278C5">
        <w:t xml:space="preserve">causal narratives of risk reduction </w:t>
      </w:r>
      <w:r w:rsidR="00EA24A9">
        <w:t xml:space="preserve">in their RAMP filings </w:t>
      </w:r>
      <w:r w:rsidR="0069337E">
        <w:t xml:space="preserve">and demonstrate how they can attribute risk reduction </w:t>
      </w:r>
      <w:r w:rsidR="00380015">
        <w:t>to a given mitigation.</w:t>
      </w:r>
    </w:p>
    <w:p w:rsidR="008A2AB8" w:rsidP="00CA54E4" w:rsidRDefault="005675EB" w14:paraId="0CA7EA45" w14:textId="6C68AA5F">
      <w:pPr>
        <w:pStyle w:val="CoL"/>
      </w:pPr>
      <w:r>
        <w:t xml:space="preserve">It is reasonable for the Commission to </w:t>
      </w:r>
      <w:r w:rsidR="00EA24A9">
        <w:t>determine the timing of the first RMAR submission and cadence of regular updates</w:t>
      </w:r>
      <w:r w:rsidR="008A2AB8">
        <w:t xml:space="preserve"> through a Staff Resolution.</w:t>
      </w:r>
    </w:p>
    <w:p w:rsidR="008A2AB8" w:rsidP="00CA54E4" w:rsidRDefault="008A2AB8" w14:paraId="687829AF" w14:textId="77777777">
      <w:pPr>
        <w:pStyle w:val="CoL"/>
      </w:pPr>
      <w:r>
        <w:t xml:space="preserve">It is reasonable for the Commission to </w:t>
      </w:r>
      <w:r w:rsidR="00972FE2">
        <w:t xml:space="preserve">determine </w:t>
      </w:r>
      <w:r>
        <w:t>an</w:t>
      </w:r>
      <w:r w:rsidR="00972FE2">
        <w:t xml:space="preserve"> approach for utility accountability</w:t>
      </w:r>
      <w:r>
        <w:t xml:space="preserve"> through a Staff Resolution.</w:t>
      </w:r>
    </w:p>
    <w:p w:rsidR="003C6545" w:rsidP="00CA54E4" w:rsidRDefault="008A2AB8" w14:paraId="111397D3" w14:textId="77777777">
      <w:pPr>
        <w:pStyle w:val="CoL"/>
      </w:pPr>
      <w:r>
        <w:t xml:space="preserve">It is reasonable for the Commission to </w:t>
      </w:r>
      <w:r w:rsidR="008237F3">
        <w:t>determi</w:t>
      </w:r>
      <w:r w:rsidR="009F79CD">
        <w:t>ne</w:t>
      </w:r>
      <w:r w:rsidR="008237F3">
        <w:t xml:space="preserve"> how utilities should demonstrate</w:t>
      </w:r>
      <w:r w:rsidR="003E368C">
        <w:t xml:space="preserve"> their confidence</w:t>
      </w:r>
      <w:r w:rsidR="008237F3">
        <w:t xml:space="preserve"> </w:t>
      </w:r>
      <w:r w:rsidR="00CA54E4">
        <w:t>that observed results were due to mitigation effectiveness as opposed to other factors</w:t>
      </w:r>
      <w:r w:rsidR="003C6545">
        <w:t xml:space="preserve"> through a Staff Resolution.</w:t>
      </w:r>
    </w:p>
    <w:p w:rsidR="00CA54E4" w:rsidP="00CA54E4" w:rsidRDefault="003C6545" w14:paraId="15EA5975" w14:textId="0760999E">
      <w:pPr>
        <w:pStyle w:val="CoL"/>
      </w:pPr>
      <w:r>
        <w:t>It is reasonable for the Commission to</w:t>
      </w:r>
      <w:r w:rsidR="00CA54E4">
        <w:t xml:space="preserve"> </w:t>
      </w:r>
      <w:r w:rsidR="00DC7544">
        <w:t xml:space="preserve">establish detailed </w:t>
      </w:r>
      <w:r w:rsidR="00C115B4">
        <w:t>RMAR change control procedures</w:t>
      </w:r>
      <w:r>
        <w:t xml:space="preserve"> through a Staff Resolution.</w:t>
      </w:r>
    </w:p>
    <w:p w:rsidR="003C6545" w:rsidP="00CA54E4" w:rsidRDefault="007D3BA2" w14:paraId="7F986A65" w14:textId="08197DF1">
      <w:pPr>
        <w:pStyle w:val="CoL"/>
      </w:pPr>
      <w:r>
        <w:t>It is reasonable for the Commission to determine which RMAR Tables from Appendix C should be filled out when the utilities complete their original RAMP backcast</w:t>
      </w:r>
      <w:r w:rsidR="00B72917">
        <w:t xml:space="preserve"> through a Staff Resolution</w:t>
      </w:r>
      <w:r>
        <w:t>.</w:t>
      </w:r>
    </w:p>
    <w:p w:rsidR="00B72917" w:rsidP="00CA54E4" w:rsidRDefault="00B72917" w14:paraId="00A21A2A" w14:textId="307675D4">
      <w:pPr>
        <w:pStyle w:val="CoL"/>
      </w:pPr>
      <w:r>
        <w:t xml:space="preserve">It is reasonable for the Commission to </w:t>
      </w:r>
      <w:r w:rsidR="007D0DAD">
        <w:t xml:space="preserve">modify or expand the list of required elements for a RMAR submission </w:t>
      </w:r>
      <w:r w:rsidR="00B82538">
        <w:t>in Appendix C through a Staff Resolution.</w:t>
      </w:r>
    </w:p>
    <w:p w:rsidR="00E73F8F" w:rsidP="00CA54E4" w:rsidRDefault="007C4D91" w14:paraId="22FFE581" w14:textId="24DF557E">
      <w:pPr>
        <w:pStyle w:val="CoL"/>
      </w:pPr>
      <w:r>
        <w:lastRenderedPageBreak/>
        <w:t xml:space="preserve">It is reasonable for </w:t>
      </w:r>
      <w:r w:rsidR="004A2E51">
        <w:t xml:space="preserve">the Commission to </w:t>
      </w:r>
      <w:r w:rsidR="00060606">
        <w:t xml:space="preserve">determine through a Resolution whether to </w:t>
      </w:r>
      <w:r w:rsidR="004A2E51">
        <w:t xml:space="preserve">allow SPD staff to </w:t>
      </w:r>
      <w:r w:rsidR="0091627B">
        <w:t>make limited changes to the required elements in Appendix C without the need for opening a proceeding or issu</w:t>
      </w:r>
      <w:r w:rsidR="00073B47">
        <w:t>ing a Staff Resolution.</w:t>
      </w:r>
    </w:p>
    <w:p w:rsidR="0071680F" w:rsidP="00CA54E4" w:rsidRDefault="0071680F" w14:paraId="25D8AC67" w14:textId="47B1D07E">
      <w:pPr>
        <w:pStyle w:val="CoL"/>
      </w:pPr>
      <w:r>
        <w:t xml:space="preserve">It is reasonable for the Commission to </w:t>
      </w:r>
      <w:r w:rsidR="00F71C6D">
        <w:t xml:space="preserve">allow </w:t>
      </w:r>
      <w:r>
        <w:t xml:space="preserve">SPD staff to </w:t>
      </w:r>
      <w:r w:rsidR="008251D4">
        <w:t xml:space="preserve">hold a workshop or workshops prior to </w:t>
      </w:r>
      <w:r w:rsidR="009C13DD">
        <w:t xml:space="preserve">developing Staff Resolutions </w:t>
      </w:r>
      <w:r w:rsidR="00E75E2D">
        <w:t xml:space="preserve">on topics </w:t>
      </w:r>
      <w:r w:rsidR="00C26D62">
        <w:t>related to the RMAR</w:t>
      </w:r>
      <w:r w:rsidR="001B44D0">
        <w:t>.</w:t>
      </w:r>
    </w:p>
    <w:p w:rsidR="001B44D0" w:rsidP="00CA54E4" w:rsidRDefault="00D1575E" w14:paraId="4D8DB98C" w14:textId="63B4016A">
      <w:pPr>
        <w:pStyle w:val="CoL"/>
      </w:pPr>
      <w:r>
        <w:t>The</w:t>
      </w:r>
      <w:r w:rsidR="00D86E45">
        <w:t xml:space="preserve"> </w:t>
      </w:r>
      <w:r w:rsidR="00485103">
        <w:t xml:space="preserve">Cost-Benefit Ratio </w:t>
      </w:r>
      <w:r>
        <w:t>should be referred to as the</w:t>
      </w:r>
      <w:r w:rsidR="00485103">
        <w:t xml:space="preserve"> Benefit-Cost Ratio</w:t>
      </w:r>
      <w:r>
        <w:t>.</w:t>
      </w:r>
    </w:p>
    <w:p w:rsidR="00D1575E" w:rsidP="00CA54E4" w:rsidRDefault="00D1575E" w14:paraId="3D419663" w14:textId="4ABFF9A6">
      <w:pPr>
        <w:pStyle w:val="CoL"/>
      </w:pPr>
      <w:r>
        <w:t xml:space="preserve">It is reasonable to modify </w:t>
      </w:r>
      <w:r w:rsidR="0075677C">
        <w:t xml:space="preserve">Row 28 of the RDF </w:t>
      </w:r>
      <w:r w:rsidR="00C50FE0">
        <w:t>to accurately reflect the four-year GRC cycle</w:t>
      </w:r>
      <w:r w:rsidRPr="00F71C6D" w:rsidR="00F71C6D">
        <w:t xml:space="preserve"> </w:t>
      </w:r>
      <w:r w:rsidR="00F71C6D">
        <w:t>as set forth in Appendix A</w:t>
      </w:r>
      <w:r w:rsidR="00C50FE0">
        <w:t>.</w:t>
      </w:r>
    </w:p>
    <w:p w:rsidR="00C50FE0" w:rsidP="00CA54E4" w:rsidRDefault="00C50FE0" w14:paraId="53FBFBF0" w14:textId="3CA024AD">
      <w:pPr>
        <w:pStyle w:val="CoL"/>
      </w:pPr>
      <w:r>
        <w:t>It is reasonable to remove the word “often” from the definition of Risk in the RDF</w:t>
      </w:r>
      <w:r w:rsidRPr="00F71C6D" w:rsidR="00F71C6D">
        <w:t xml:space="preserve"> </w:t>
      </w:r>
      <w:r w:rsidR="00F71C6D">
        <w:t>as set forth in Appendix A</w:t>
      </w:r>
      <w:r>
        <w:t>.</w:t>
      </w:r>
    </w:p>
    <w:p w:rsidR="00C50FE0" w:rsidP="00CA54E4" w:rsidRDefault="00371DE1" w14:paraId="5CFBBEA5" w14:textId="47C0B7FA">
      <w:pPr>
        <w:pStyle w:val="CoL"/>
      </w:pPr>
      <w:r>
        <w:t xml:space="preserve">It is reasonable to </w:t>
      </w:r>
      <w:r w:rsidR="002E216B">
        <w:t xml:space="preserve">adopt the RAMP Data Template </w:t>
      </w:r>
      <w:r w:rsidR="369F667A">
        <w:t xml:space="preserve">and </w:t>
      </w:r>
      <w:r w:rsidR="619B1DFC">
        <w:t>Guidelines</w:t>
      </w:r>
      <w:r w:rsidR="369F667A">
        <w:t xml:space="preserve"> </w:t>
      </w:r>
      <w:r w:rsidR="009C408C">
        <w:t>attached as Appendix D.</w:t>
      </w:r>
    </w:p>
    <w:p w:rsidR="00FB51D8" w:rsidP="00CA54E4" w:rsidRDefault="00FB51D8" w14:paraId="69C35B55" w14:textId="1891FC7C">
      <w:pPr>
        <w:pStyle w:val="CoL"/>
      </w:pPr>
      <w:r>
        <w:t>It is reasonable to require the utilities to file the RAMP Data Template with every RAMP application</w:t>
      </w:r>
      <w:r w:rsidR="00BD5335">
        <w:t xml:space="preserve"> and GRC application </w:t>
      </w:r>
      <w:r w:rsidR="00656973">
        <w:t xml:space="preserve">filed after January 1, 2026, </w:t>
      </w:r>
      <w:r w:rsidR="00BD5335">
        <w:t>starting with the Sempra Companies’ 2028 Test Year GRC Application and SCE’s 2026 RAMP Application</w:t>
      </w:r>
      <w:r>
        <w:t>.</w:t>
      </w:r>
    </w:p>
    <w:p w:rsidR="00BD5335" w:rsidP="00CA54E4" w:rsidRDefault="001163E4" w14:paraId="1388A8E9" w14:textId="747F81D4">
      <w:pPr>
        <w:pStyle w:val="CoL"/>
      </w:pPr>
      <w:r>
        <w:t>It is reasonable to require the utilit</w:t>
      </w:r>
      <w:r w:rsidR="00763307">
        <w:t>ies</w:t>
      </w:r>
      <w:r>
        <w:t xml:space="preserve"> to file </w:t>
      </w:r>
      <w:r w:rsidR="001B0205">
        <w:t xml:space="preserve">an updated version of the RAMP Data Template </w:t>
      </w:r>
      <w:r w:rsidR="00433065">
        <w:t xml:space="preserve">with their GRC applications with a narrative explanation of any differences in the dataset compared </w:t>
      </w:r>
      <w:r w:rsidR="002803C2">
        <w:t>with the version submitted in their RAMP application.</w:t>
      </w:r>
    </w:p>
    <w:p w:rsidR="00B77362" w:rsidP="00CA54E4" w:rsidRDefault="00B77362" w14:paraId="5893AD15" w14:textId="33C8C88D">
      <w:pPr>
        <w:pStyle w:val="CoL"/>
      </w:pPr>
      <w:r>
        <w:t xml:space="preserve">It is reasonable to adopt the process described in </w:t>
      </w:r>
      <w:r w:rsidR="001302C3">
        <w:t xml:space="preserve">Section 10.3 of </w:t>
      </w:r>
      <w:r w:rsidR="455C0288">
        <w:t xml:space="preserve">this </w:t>
      </w:r>
      <w:r w:rsidR="001302C3">
        <w:t>d</w:t>
      </w:r>
      <w:r w:rsidR="455C0288">
        <w:t>ecision</w:t>
      </w:r>
      <w:r>
        <w:t xml:space="preserve"> for making </w:t>
      </w:r>
      <w:r w:rsidR="0014142C">
        <w:t>changes to the RAMP Data Template.</w:t>
      </w:r>
    </w:p>
    <w:p w:rsidR="001E6FF4" w:rsidP="00CA54E4" w:rsidRDefault="001E6FF4" w14:paraId="27DEA081" w14:textId="7F8F9F70">
      <w:pPr>
        <w:pStyle w:val="CoL"/>
      </w:pPr>
      <w:r>
        <w:t>It is reasonable to include the Proposed and Alternative Mitigation Field in the RAMP Data Templates.</w:t>
      </w:r>
    </w:p>
    <w:p w:rsidR="00DE3C78" w:rsidP="00CA54E4" w:rsidRDefault="00DE3C78" w14:paraId="3E6BCBFE" w14:textId="4102E87C">
      <w:pPr>
        <w:pStyle w:val="CoL"/>
      </w:pPr>
      <w:r>
        <w:lastRenderedPageBreak/>
        <w:t xml:space="preserve">It is reasonable to require </w:t>
      </w:r>
      <w:r w:rsidR="000C08B5">
        <w:t>utilities to present</w:t>
      </w:r>
      <w:r w:rsidR="00CB64E9">
        <w:t xml:space="preserve"> in their RAMP Data Templates</w:t>
      </w:r>
      <w:r w:rsidR="000C08B5">
        <w:t>, at minimum</w:t>
      </w:r>
      <w:r w:rsidR="00F14D99">
        <w:t>, two alternative mitigations for each proposed RRU that reduces Wildfire and/or PSPS risk</w:t>
      </w:r>
      <w:r w:rsidR="005001A0">
        <w:t xml:space="preserve">, </w:t>
      </w:r>
      <w:r w:rsidR="00E9418B">
        <w:t xml:space="preserve">for </w:t>
      </w:r>
      <w:r w:rsidR="00E5599C">
        <w:t>GRC and RAMP applications</w:t>
      </w:r>
      <w:r w:rsidR="009B74F5">
        <w:t xml:space="preserve"> filed after January 1, 2026, </w:t>
      </w:r>
      <w:r w:rsidR="005001A0">
        <w:t xml:space="preserve">starting with </w:t>
      </w:r>
      <w:r w:rsidR="00482380">
        <w:t>the Sempra Companies’ 2028 Test Year GRC Application</w:t>
      </w:r>
      <w:r w:rsidR="00A8099C">
        <w:t xml:space="preserve"> and SCE’s 2026 RAMP Application</w:t>
      </w:r>
      <w:r w:rsidR="006C5113">
        <w:t>.</w:t>
      </w:r>
    </w:p>
    <w:p w:rsidR="006C5113" w:rsidP="00CA54E4" w:rsidRDefault="006C5113" w14:paraId="60CA77AE" w14:textId="09FCC743">
      <w:pPr>
        <w:pStyle w:val="CoL"/>
      </w:pPr>
      <w:r>
        <w:t>It is reasonable for the Commission</w:t>
      </w:r>
      <w:r w:rsidR="00C465BA">
        <w:t>, through a Staff Resolution,</w:t>
      </w:r>
      <w:r>
        <w:t xml:space="preserve"> to identify which mitigations, in addition to mitigations that reduce Wildfire and/or PSPS risk, should be presented with RRU-scale alternative mitigations</w:t>
      </w:r>
      <w:r w:rsidR="00C465BA">
        <w:t>.</w:t>
      </w:r>
    </w:p>
    <w:p w:rsidRPr="001E2A62" w:rsidR="00C465BA" w:rsidP="00CA54E4" w:rsidRDefault="00C465BA" w14:paraId="78ECABDA" w14:textId="6AEFA56D">
      <w:pPr>
        <w:pStyle w:val="CoL"/>
      </w:pPr>
      <w:r>
        <w:t>It is reasonable to authorize SPD staff to update Table 7 of the RAMP Data Template when the ICE Calculator 2.0 becomes available.</w:t>
      </w:r>
    </w:p>
    <w:p w:rsidR="00BB0243" w:rsidP="000A6E05" w:rsidRDefault="005939A5" w14:paraId="55920CA0" w14:textId="77777777">
      <w:pPr>
        <w:pStyle w:val="Mainex"/>
      </w:pPr>
      <w:bookmarkStart w:name="_Toc204258070" w:id="152"/>
      <w:r>
        <w:t>O</w:t>
      </w:r>
      <w:r w:rsidR="00722850">
        <w:t>RDER</w:t>
      </w:r>
      <w:bookmarkEnd w:id="152"/>
    </w:p>
    <w:p w:rsidR="00BB0243" w:rsidP="000A6E05" w:rsidRDefault="00BB0243" w14:paraId="5EFB2CAA" w14:textId="1991BEFA">
      <w:pPr>
        <w:keepNext/>
      </w:pPr>
      <w:r w:rsidRPr="00BB0243">
        <w:rPr>
          <w:b/>
        </w:rPr>
        <w:t>IT IS ORDERED</w:t>
      </w:r>
      <w:r>
        <w:t xml:space="preserve"> that:</w:t>
      </w:r>
    </w:p>
    <w:p w:rsidRPr="001E2A62" w:rsidR="00932865" w:rsidP="001E2A62" w:rsidRDefault="00921F30" w14:paraId="64ED6E17" w14:textId="7D688EA8">
      <w:pPr>
        <w:pStyle w:val="OP"/>
      </w:pPr>
      <w:r>
        <w:t xml:space="preserve">The Risk-Based Decision-Making Framework adopted in </w:t>
      </w:r>
      <w:r w:rsidR="00FB44D5">
        <w:t>D</w:t>
      </w:r>
      <w:r w:rsidR="00C425A8">
        <w:t xml:space="preserve">ecision </w:t>
      </w:r>
      <w:r w:rsidR="00FB44D5">
        <w:t>24-05-064</w:t>
      </w:r>
      <w:r w:rsidR="00C425A8">
        <w:t xml:space="preserve"> is modified as </w:t>
      </w:r>
      <w:r w:rsidR="00C424FC">
        <w:t>in accordance with Appendix A of this decision</w:t>
      </w:r>
      <w:r w:rsidR="002F2B78">
        <w:t xml:space="preserve"> and applies to Risk Assessment Mitigation Phase applications and General Rate Case applications filed after January 1, 2026</w:t>
      </w:r>
      <w:r w:rsidR="00C425A8">
        <w:t>.</w:t>
      </w:r>
    </w:p>
    <w:p w:rsidR="002A08FB" w:rsidP="001E2A62" w:rsidRDefault="0088098E" w14:paraId="627409DA" w14:textId="106151B4">
      <w:pPr>
        <w:pStyle w:val="OP"/>
      </w:pPr>
      <w:r>
        <w:t>San Diego Gas &amp; Electric Company and Southern California Gas Company</w:t>
      </w:r>
      <w:r w:rsidR="007C63BB">
        <w:t xml:space="preserve"> shall present </w:t>
      </w:r>
      <w:r w:rsidR="008F0D55">
        <w:t>a minimum of two alternative mitigations</w:t>
      </w:r>
      <w:r w:rsidR="00970FB5">
        <w:t xml:space="preserve"> </w:t>
      </w:r>
      <w:r w:rsidR="00BD73EF">
        <w:t xml:space="preserve">for each proposed Risk Reporting Unit that reduces wildfire or Public Safety Power Shutoff risk </w:t>
      </w:r>
      <w:r w:rsidR="00970FB5">
        <w:t>in</w:t>
      </w:r>
      <w:r w:rsidR="003A2DF4">
        <w:t xml:space="preserve"> the Risk Assessment Mitigation Phase Data Template filed with</w:t>
      </w:r>
      <w:r w:rsidR="00970FB5">
        <w:t xml:space="preserve"> their</w:t>
      </w:r>
      <w:r w:rsidR="009D750D">
        <w:t xml:space="preserve"> 2028 Test Year General Rate Case</w:t>
      </w:r>
      <w:r w:rsidR="00C07079">
        <w:t xml:space="preserve"> application</w:t>
      </w:r>
      <w:r w:rsidR="00CE420C">
        <w:t>.</w:t>
      </w:r>
    </w:p>
    <w:p w:rsidR="001F1B96" w:rsidP="001F1B96" w:rsidRDefault="001F1B96" w14:paraId="09CD0DCA" w14:textId="5A579158">
      <w:pPr>
        <w:pStyle w:val="OP"/>
      </w:pPr>
      <w:r>
        <w:t>Southern California Edison Company shall present a minimum of two alternative mitigations for each proposed Risk Reporting Unit that reduces wildfire or Public Safety Power Shutoff risk in the Risk Assessment Mitigation Phase Data Template filed with their 202</w:t>
      </w:r>
      <w:r w:rsidR="00E26C30">
        <w:t>6</w:t>
      </w:r>
      <w:r>
        <w:t xml:space="preserve"> </w:t>
      </w:r>
      <w:r w:rsidR="00E26C30">
        <w:t>Risk Assessment Mitigation Phase</w:t>
      </w:r>
      <w:r>
        <w:t xml:space="preserve"> application.</w:t>
      </w:r>
    </w:p>
    <w:p w:rsidR="00787D60" w:rsidP="00800CDC" w:rsidRDefault="00787D60" w14:paraId="57E89B57" w14:textId="44808D25">
      <w:pPr>
        <w:pStyle w:val="OP"/>
      </w:pPr>
      <w:r>
        <w:lastRenderedPageBreak/>
        <w:t xml:space="preserve">Within 80 days of </w:t>
      </w:r>
      <w:r w:rsidR="008703F0">
        <w:t xml:space="preserve">the issuance date of </w:t>
      </w:r>
      <w:r>
        <w:t xml:space="preserve">this decision, Pacific Gas </w:t>
      </w:r>
      <w:r w:rsidR="00FC4F69">
        <w:t>and</w:t>
      </w:r>
      <w:r>
        <w:t xml:space="preserve"> Electric</w:t>
      </w:r>
      <w:r w:rsidR="00FC4F69">
        <w:t xml:space="preserve"> Company</w:t>
      </w:r>
      <w:r>
        <w:t>, Southern California Edison</w:t>
      </w:r>
      <w:r w:rsidR="00FC4F69">
        <w:t xml:space="preserve"> Company</w:t>
      </w:r>
      <w:r>
        <w:t xml:space="preserve">, and San Diego Gas &amp; Electric </w:t>
      </w:r>
      <w:r w:rsidR="00FC4F69">
        <w:t xml:space="preserve">Company </w:t>
      </w:r>
      <w:r>
        <w:t xml:space="preserve">shall jointly draft a survey report on approaches to risk tolerance in </w:t>
      </w:r>
      <w:r w:rsidR="005D7E37">
        <w:t>related</w:t>
      </w:r>
      <w:r>
        <w:t xml:space="preserve"> industries and serve it on the service list</w:t>
      </w:r>
      <w:r w:rsidR="008703F0">
        <w:t xml:space="preserve"> of this proceeding</w:t>
      </w:r>
      <w:r>
        <w:t xml:space="preserve">.  The survey </w:t>
      </w:r>
      <w:r w:rsidR="00391AC2">
        <w:t>report</w:t>
      </w:r>
      <w:r>
        <w:t xml:space="preserve"> shall include the following information: whether a regulator</w:t>
      </w:r>
      <w:r w:rsidR="003F5284">
        <w:t xml:space="preserve"> </w:t>
      </w:r>
      <w:r>
        <w:t>set</w:t>
      </w:r>
      <w:r w:rsidR="00A836F8">
        <w:t>s</w:t>
      </w:r>
      <w:r>
        <w:t xml:space="preserve"> the baseline risk tolerance, or, if not or if only partially, how industries or private companies set, implement, and</w:t>
      </w:r>
      <w:r w:rsidR="003F5284">
        <w:t xml:space="preserve"> modify</w:t>
      </w:r>
      <w:r>
        <w:t xml:space="preserve"> </w:t>
      </w:r>
      <w:r w:rsidR="00DB7D38">
        <w:t xml:space="preserve">risk </w:t>
      </w:r>
      <w:r>
        <w:t>tolerance thresholds.  The survey</w:t>
      </w:r>
      <w:r w:rsidR="00D4063D">
        <w:t xml:space="preserve"> report</w:t>
      </w:r>
      <w:r>
        <w:t xml:space="preserve"> shall include, but is not limited to, the following industries: aviation, chemical, mining, oil and gas, nuclear, autonomous vehicles, spaceflight,  investor-owned utilities</w:t>
      </w:r>
      <w:r w:rsidR="00E51D3A">
        <w:t xml:space="preserve"> in other jurisdictions</w:t>
      </w:r>
      <w:r w:rsidR="004A158D">
        <w:t>, and large California investor-owned electric</w:t>
      </w:r>
      <w:r w:rsidR="004D5AA3">
        <w:t xml:space="preserve"> </w:t>
      </w:r>
      <w:r w:rsidR="00BE44EF">
        <w:t xml:space="preserve">and/or gas </w:t>
      </w:r>
      <w:r w:rsidR="004D5AA3">
        <w:t>utilities</w:t>
      </w:r>
      <w:r>
        <w:t>. For the section on large California investor-owned electric</w:t>
      </w:r>
      <w:r w:rsidR="003F5284">
        <w:t xml:space="preserve"> and/or gas</w:t>
      </w:r>
      <w:r>
        <w:t xml:space="preserve"> utilities, the utilities shall include a description of the status quo, explaining the internal process of how each company currently sets the amount of risk they accept in safety, operations, and decision-making. </w:t>
      </w:r>
    </w:p>
    <w:p w:rsidR="00F6397D" w:rsidP="00B3087D" w:rsidRDefault="00E23CBB" w14:paraId="03A55D9F" w14:textId="5FE3EA23">
      <w:pPr>
        <w:pStyle w:val="OP"/>
      </w:pPr>
      <w:r w:rsidRPr="001E2A62">
        <w:t>Rulemaking</w:t>
      </w:r>
      <w:r w:rsidR="00FB18D2">
        <w:t xml:space="preserve"> 20-07-013</w:t>
      </w:r>
      <w:r w:rsidRPr="001E2A62">
        <w:t xml:space="preserve"> </w:t>
      </w:r>
      <w:r w:rsidR="00DC31A2">
        <w:t>is closed</w:t>
      </w:r>
      <w:r w:rsidRPr="001E2A62">
        <w:t>.</w:t>
      </w:r>
    </w:p>
    <w:p w:rsidR="008F0116" w:rsidP="008F0116" w:rsidRDefault="008F0116" w14:paraId="7A055A80" w14:textId="77777777">
      <w:r>
        <w:t>This order is effective today.</w:t>
      </w:r>
    </w:p>
    <w:p w:rsidR="004E5CF5" w:rsidP="00816E05" w:rsidRDefault="008F0116" w14:paraId="151D7683" w14:textId="77777777">
      <w:r>
        <w:t>Date</w:t>
      </w:r>
      <w:r w:rsidR="00EF6222">
        <w:t xml:space="preserve"> August 28, 2025</w:t>
      </w:r>
      <w:r>
        <w:t xml:space="preserve">, at San Francisco, </w:t>
      </w:r>
      <w:r w:rsidR="00800CDC">
        <w:t>California</w:t>
      </w:r>
    </w:p>
    <w:p w:rsidR="00EF6222" w:rsidP="00EF6222" w:rsidRDefault="00EF6222" w14:paraId="72FE91A3" w14:textId="77777777">
      <w:pPr>
        <w:ind w:firstLine="0"/>
      </w:pPr>
    </w:p>
    <w:p w:rsidRPr="00313F05" w:rsidR="00EF6222" w:rsidP="00EF6222" w:rsidRDefault="00EF6222" w14:paraId="02F3A83B" w14:textId="77777777">
      <w:pPr>
        <w:spacing w:line="240" w:lineRule="auto"/>
        <w:ind w:left="4320" w:firstLine="0"/>
      </w:pPr>
      <w:r w:rsidRPr="00313F05">
        <w:t>ALICE REYNOLDS</w:t>
      </w:r>
    </w:p>
    <w:p w:rsidRPr="00313F05" w:rsidR="00EF6222" w:rsidP="00EF6222" w:rsidRDefault="00EF6222" w14:paraId="58899D40" w14:textId="77777777">
      <w:pPr>
        <w:spacing w:line="240" w:lineRule="auto"/>
        <w:ind w:left="4320" w:firstLine="1620"/>
      </w:pPr>
      <w:r w:rsidRPr="00313F05">
        <w:t>President</w:t>
      </w:r>
    </w:p>
    <w:p w:rsidRPr="00313F05" w:rsidR="00EF6222" w:rsidP="00EF6222" w:rsidRDefault="00EF6222" w14:paraId="32627479" w14:textId="77777777">
      <w:pPr>
        <w:spacing w:line="240" w:lineRule="auto"/>
        <w:ind w:left="4320" w:firstLine="0"/>
      </w:pPr>
      <w:r w:rsidRPr="00313F05">
        <w:t>JOHN REYNOLDS</w:t>
      </w:r>
    </w:p>
    <w:p w:rsidRPr="00313F05" w:rsidR="00EF6222" w:rsidP="00EF6222" w:rsidRDefault="00EF6222" w14:paraId="061B16BC" w14:textId="77777777">
      <w:pPr>
        <w:spacing w:line="240" w:lineRule="auto"/>
        <w:ind w:left="4320" w:firstLine="0"/>
      </w:pPr>
      <w:r w:rsidRPr="00313F05">
        <w:t>KAREN DOUGLAS</w:t>
      </w:r>
    </w:p>
    <w:p w:rsidRPr="00313F05" w:rsidR="00EF6222" w:rsidP="00EF6222" w:rsidRDefault="00EF6222" w14:paraId="5843D66E" w14:textId="77777777">
      <w:pPr>
        <w:spacing w:line="240" w:lineRule="auto"/>
        <w:ind w:left="4320" w:firstLine="0"/>
      </w:pPr>
      <w:r w:rsidRPr="00313F05">
        <w:t>DARCIE L. HOUCK</w:t>
      </w:r>
    </w:p>
    <w:p w:rsidR="00EF6222" w:rsidP="00EF6222" w:rsidRDefault="00EF6222" w14:paraId="3D861347" w14:textId="77777777">
      <w:pPr>
        <w:spacing w:line="240" w:lineRule="auto"/>
        <w:ind w:left="4320" w:firstLine="1620"/>
      </w:pPr>
      <w:r w:rsidRPr="00313F05">
        <w:t>Commissioners</w:t>
      </w:r>
    </w:p>
    <w:p w:rsidRPr="00313F05" w:rsidR="00EF6222" w:rsidP="00EF6222" w:rsidRDefault="00EF6222" w14:paraId="5B9E520C" w14:textId="77777777">
      <w:pPr>
        <w:spacing w:line="240" w:lineRule="auto"/>
        <w:ind w:left="4320" w:firstLine="1620"/>
      </w:pPr>
    </w:p>
    <w:p w:rsidRPr="00313F05" w:rsidR="00EF6222" w:rsidP="00EF6222" w:rsidRDefault="00EF6222" w14:paraId="63BE8C98" w14:textId="77777777">
      <w:pPr>
        <w:spacing w:line="240" w:lineRule="auto"/>
        <w:ind w:left="4320" w:firstLine="0"/>
      </w:pPr>
      <w:r w:rsidRPr="00313F05">
        <w:t>Commissioner Matthew Baker recused</w:t>
      </w:r>
    </w:p>
    <w:p w:rsidRPr="00313F05" w:rsidR="00EF6222" w:rsidP="00EF6222" w:rsidRDefault="00EF6222" w14:paraId="20249530" w14:textId="77777777">
      <w:pPr>
        <w:spacing w:line="240" w:lineRule="auto"/>
        <w:ind w:left="4320" w:firstLine="0"/>
      </w:pPr>
      <w:r w:rsidRPr="00313F05">
        <w:t>himself from this agenda item and was not</w:t>
      </w:r>
    </w:p>
    <w:p w:rsidR="00EF6222" w:rsidP="00EF6222" w:rsidRDefault="00EF6222" w14:paraId="60F4456D" w14:textId="14DC5332">
      <w:pPr>
        <w:ind w:left="3600"/>
        <w:sectPr w:rsidR="00EF6222" w:rsidSect="009A36B0">
          <w:headerReference w:type="default" r:id="rId16"/>
          <w:footerReference w:type="default" r:id="rId17"/>
          <w:pgSz w:w="12240" w:h="15840"/>
          <w:pgMar w:top="1728" w:right="1440" w:bottom="1440" w:left="1440" w:header="720" w:footer="720" w:gutter="0"/>
          <w:pgNumType w:start="2"/>
          <w:cols w:space="720"/>
          <w:docGrid w:linePitch="360"/>
        </w:sectPr>
      </w:pPr>
      <w:r w:rsidRPr="00313F05">
        <w:t>part of the quorum in its consideration</w:t>
      </w:r>
      <w:r>
        <w:t>.</w:t>
      </w:r>
    </w:p>
    <w:p w:rsidR="00BA48F9" w:rsidP="004E5CF5" w:rsidRDefault="00BA48F9" w14:paraId="352F31D1" w14:textId="3B671A9E">
      <w:pPr>
        <w:spacing w:line="259" w:lineRule="auto"/>
        <w:ind w:firstLine="0"/>
      </w:pPr>
    </w:p>
    <w:p w:rsidRPr="007614F4" w:rsidR="00714CF2" w:rsidP="00BA48F9" w:rsidRDefault="00BA48F9" w14:paraId="447CFB19" w14:textId="5F9370FB">
      <w:pPr>
        <w:jc w:val="center"/>
        <w:rPr>
          <w:b/>
          <w:bCs/>
          <w:sz w:val="28"/>
          <w:szCs w:val="28"/>
        </w:rPr>
      </w:pPr>
      <w:r w:rsidRPr="007614F4">
        <w:rPr>
          <w:b/>
          <w:bCs/>
          <w:sz w:val="28"/>
          <w:szCs w:val="28"/>
        </w:rPr>
        <w:t>Appendix A</w:t>
      </w:r>
    </w:p>
    <w:p w:rsidR="00BA48F9" w:rsidP="00BA48F9" w:rsidRDefault="00BA48F9" w14:paraId="443FDA67" w14:textId="4F8203AA">
      <w:pPr>
        <w:jc w:val="center"/>
        <w:rPr>
          <w:b/>
          <w:bCs/>
        </w:rPr>
      </w:pPr>
      <w:r>
        <w:rPr>
          <w:b/>
          <w:bCs/>
        </w:rPr>
        <w:t>(RDF Attachment)</w:t>
      </w:r>
    </w:p>
    <w:p w:rsidR="00BA48F9" w:rsidP="00BA48F9" w:rsidRDefault="00BA48F9" w14:paraId="510EA5D6" w14:textId="77777777">
      <w:pPr>
        <w:jc w:val="center"/>
        <w:rPr>
          <w:b/>
          <w:bCs/>
        </w:rPr>
      </w:pPr>
    </w:p>
    <w:p w:rsidR="00BA48F9" w:rsidP="00BA48F9" w:rsidRDefault="00BA48F9" w14:paraId="35E34393" w14:textId="77777777">
      <w:pPr>
        <w:jc w:val="center"/>
        <w:rPr>
          <w:b/>
          <w:bCs/>
        </w:rPr>
      </w:pPr>
    </w:p>
    <w:p w:rsidR="00BA48F9" w:rsidP="00BA48F9" w:rsidRDefault="00BA48F9" w14:paraId="3A0B68D1" w14:textId="77777777">
      <w:pPr>
        <w:jc w:val="center"/>
        <w:rPr>
          <w:b/>
          <w:bCs/>
        </w:rPr>
      </w:pPr>
    </w:p>
    <w:p w:rsidR="00BA48F9" w:rsidP="00BA48F9" w:rsidRDefault="00BA48F9" w14:paraId="1CA856A8" w14:textId="29C34D9A">
      <w:pPr>
        <w:jc w:val="center"/>
        <w:rPr>
          <w:b/>
          <w:bCs/>
        </w:rPr>
      </w:pPr>
      <w:r>
        <w:rPr>
          <w:b/>
          <w:bCs/>
        </w:rPr>
        <w:t>(END OF APPENDIX A)</w:t>
      </w:r>
    </w:p>
    <w:p w:rsidR="00BA48F9" w:rsidRDefault="00BA48F9" w14:paraId="0610F29F" w14:textId="77777777">
      <w:pPr>
        <w:spacing w:line="259" w:lineRule="auto"/>
        <w:rPr>
          <w:b/>
          <w:bCs/>
        </w:rPr>
      </w:pPr>
      <w:r>
        <w:rPr>
          <w:b/>
          <w:bCs/>
        </w:rPr>
        <w:br w:type="page"/>
      </w:r>
    </w:p>
    <w:p w:rsidRPr="007614F4" w:rsidR="00BA48F9" w:rsidP="00BA48F9" w:rsidRDefault="00BA48F9" w14:paraId="35015DFE" w14:textId="4C767E6A">
      <w:pPr>
        <w:jc w:val="center"/>
        <w:rPr>
          <w:b/>
          <w:bCs/>
          <w:sz w:val="28"/>
          <w:szCs w:val="28"/>
        </w:rPr>
      </w:pPr>
      <w:r w:rsidRPr="007614F4">
        <w:rPr>
          <w:b/>
          <w:bCs/>
          <w:sz w:val="28"/>
          <w:szCs w:val="28"/>
        </w:rPr>
        <w:lastRenderedPageBreak/>
        <w:t>Appendix B</w:t>
      </w:r>
    </w:p>
    <w:p w:rsidR="00BA48F9" w:rsidP="00BA48F9" w:rsidRDefault="00BA48F9" w14:paraId="35DE9CD9" w14:textId="3887A6BE">
      <w:pPr>
        <w:jc w:val="center"/>
        <w:rPr>
          <w:b/>
          <w:bCs/>
        </w:rPr>
      </w:pPr>
      <w:r>
        <w:rPr>
          <w:b/>
          <w:bCs/>
        </w:rPr>
        <w:t>(RDF Redline – attachment)</w:t>
      </w:r>
    </w:p>
    <w:p w:rsidR="00BA48F9" w:rsidP="00BA48F9" w:rsidRDefault="00BA48F9" w14:paraId="3CD29974" w14:textId="77777777">
      <w:pPr>
        <w:jc w:val="center"/>
        <w:rPr>
          <w:b/>
          <w:bCs/>
        </w:rPr>
      </w:pPr>
    </w:p>
    <w:p w:rsidR="00BA48F9" w:rsidP="00BA48F9" w:rsidRDefault="00BA48F9" w14:paraId="5527FFE4" w14:textId="77777777">
      <w:pPr>
        <w:jc w:val="center"/>
        <w:rPr>
          <w:b/>
          <w:bCs/>
        </w:rPr>
      </w:pPr>
    </w:p>
    <w:p w:rsidR="00BA48F9" w:rsidP="00BA48F9" w:rsidRDefault="00BA48F9" w14:paraId="19A2A6A0" w14:textId="77777777">
      <w:pPr>
        <w:jc w:val="center"/>
        <w:rPr>
          <w:b/>
          <w:bCs/>
        </w:rPr>
      </w:pPr>
    </w:p>
    <w:p w:rsidRPr="007614F4" w:rsidR="00BA48F9" w:rsidP="00BA48F9" w:rsidRDefault="00BA48F9" w14:paraId="09D36002" w14:textId="530D7EA7">
      <w:pPr>
        <w:jc w:val="center"/>
        <w:rPr>
          <w:b/>
          <w:bCs/>
          <w:sz w:val="28"/>
          <w:szCs w:val="28"/>
        </w:rPr>
      </w:pPr>
      <w:r w:rsidRPr="007614F4">
        <w:rPr>
          <w:b/>
          <w:bCs/>
          <w:sz w:val="28"/>
          <w:szCs w:val="28"/>
        </w:rPr>
        <w:t xml:space="preserve">(END OF APPENDIX B) </w:t>
      </w:r>
    </w:p>
    <w:p w:rsidR="00BA48F9" w:rsidRDefault="00BA48F9" w14:paraId="0B6C4F37" w14:textId="77777777">
      <w:pPr>
        <w:spacing w:line="259" w:lineRule="auto"/>
        <w:rPr>
          <w:b/>
          <w:bCs/>
        </w:rPr>
      </w:pPr>
      <w:r>
        <w:rPr>
          <w:b/>
          <w:bCs/>
        </w:rPr>
        <w:br w:type="page"/>
      </w:r>
    </w:p>
    <w:p w:rsidRPr="007614F4" w:rsidR="00BA48F9" w:rsidP="00BA48F9" w:rsidRDefault="00BA48F9" w14:paraId="7B346312" w14:textId="3E4E1796">
      <w:pPr>
        <w:jc w:val="center"/>
        <w:rPr>
          <w:b/>
          <w:bCs/>
          <w:sz w:val="28"/>
          <w:szCs w:val="28"/>
        </w:rPr>
      </w:pPr>
      <w:r w:rsidRPr="007614F4">
        <w:rPr>
          <w:b/>
          <w:bCs/>
          <w:sz w:val="28"/>
          <w:szCs w:val="28"/>
        </w:rPr>
        <w:lastRenderedPageBreak/>
        <w:t xml:space="preserve">Appendix C </w:t>
      </w:r>
    </w:p>
    <w:p w:rsidR="00BA48F9" w:rsidP="00BA48F9" w:rsidRDefault="00BA48F9" w14:paraId="14169C3D" w14:textId="42749C23">
      <w:pPr>
        <w:jc w:val="center"/>
        <w:rPr>
          <w:b/>
          <w:bCs/>
        </w:rPr>
      </w:pPr>
      <w:r>
        <w:rPr>
          <w:b/>
          <w:bCs/>
        </w:rPr>
        <w:t xml:space="preserve">(RMAR Guidelines) </w:t>
      </w:r>
    </w:p>
    <w:p w:rsidR="00BA48F9" w:rsidP="00BA48F9" w:rsidRDefault="00BA48F9" w14:paraId="4A0D811A" w14:textId="77777777">
      <w:pPr>
        <w:jc w:val="center"/>
        <w:rPr>
          <w:b/>
          <w:bCs/>
        </w:rPr>
      </w:pPr>
    </w:p>
    <w:p w:rsidR="00BA48F9" w:rsidP="00BA48F9" w:rsidRDefault="00BA48F9" w14:paraId="47BD756F" w14:textId="77777777">
      <w:pPr>
        <w:jc w:val="center"/>
        <w:rPr>
          <w:b/>
          <w:bCs/>
        </w:rPr>
      </w:pPr>
    </w:p>
    <w:p w:rsidR="00BA48F9" w:rsidP="00BA48F9" w:rsidRDefault="00BA48F9" w14:paraId="5358DCAC" w14:textId="77777777">
      <w:pPr>
        <w:jc w:val="center"/>
        <w:rPr>
          <w:b/>
          <w:bCs/>
        </w:rPr>
      </w:pPr>
    </w:p>
    <w:p w:rsidRPr="007614F4" w:rsidR="00BA48F9" w:rsidP="00BA48F9" w:rsidRDefault="00BA48F9" w14:paraId="66289A42" w14:textId="3A6F6E75">
      <w:pPr>
        <w:jc w:val="center"/>
        <w:rPr>
          <w:b/>
          <w:bCs/>
          <w:sz w:val="28"/>
          <w:szCs w:val="28"/>
        </w:rPr>
      </w:pPr>
      <w:r w:rsidRPr="007614F4">
        <w:rPr>
          <w:b/>
          <w:bCs/>
          <w:sz w:val="28"/>
          <w:szCs w:val="28"/>
        </w:rPr>
        <w:t>(END OF APPENDIX C)</w:t>
      </w:r>
    </w:p>
    <w:p w:rsidR="00BA48F9" w:rsidRDefault="00BA48F9" w14:paraId="11263B7C" w14:textId="77777777">
      <w:pPr>
        <w:spacing w:line="259" w:lineRule="auto"/>
        <w:rPr>
          <w:b/>
          <w:bCs/>
        </w:rPr>
      </w:pPr>
      <w:r>
        <w:rPr>
          <w:b/>
          <w:bCs/>
        </w:rPr>
        <w:br w:type="page"/>
      </w:r>
    </w:p>
    <w:p w:rsidRPr="007614F4" w:rsidR="00BA48F9" w:rsidP="00BA48F9" w:rsidRDefault="00BA48F9" w14:paraId="51484FC3" w14:textId="64F510CE">
      <w:pPr>
        <w:jc w:val="center"/>
        <w:rPr>
          <w:b/>
          <w:bCs/>
          <w:sz w:val="28"/>
          <w:szCs w:val="28"/>
        </w:rPr>
      </w:pPr>
      <w:r w:rsidRPr="007614F4">
        <w:rPr>
          <w:b/>
          <w:bCs/>
          <w:sz w:val="28"/>
          <w:szCs w:val="28"/>
        </w:rPr>
        <w:lastRenderedPageBreak/>
        <w:t>Appendix D</w:t>
      </w:r>
    </w:p>
    <w:p w:rsidR="00BA48F9" w:rsidP="00BA48F9" w:rsidRDefault="00BA48F9" w14:paraId="1A8C0FC3" w14:textId="603E76F9">
      <w:pPr>
        <w:jc w:val="center"/>
        <w:rPr>
          <w:b/>
          <w:bCs/>
        </w:rPr>
      </w:pPr>
      <w:r>
        <w:rPr>
          <w:b/>
          <w:bCs/>
        </w:rPr>
        <w:t xml:space="preserve">(RAMP Data Template and Guidelines – </w:t>
      </w:r>
      <w:r w:rsidR="00F066A0">
        <w:rPr>
          <w:b/>
          <w:bCs/>
        </w:rPr>
        <w:t>A</w:t>
      </w:r>
      <w:r>
        <w:rPr>
          <w:b/>
          <w:bCs/>
        </w:rPr>
        <w:t xml:space="preserve">ttachment) </w:t>
      </w:r>
    </w:p>
    <w:p w:rsidR="00BA48F9" w:rsidP="00BA48F9" w:rsidRDefault="00BA48F9" w14:paraId="0FBB89F6" w14:textId="77777777">
      <w:pPr>
        <w:jc w:val="center"/>
        <w:rPr>
          <w:b/>
          <w:bCs/>
        </w:rPr>
      </w:pPr>
    </w:p>
    <w:p w:rsidR="00BA48F9" w:rsidP="00BA48F9" w:rsidRDefault="00BA48F9" w14:paraId="5E0EA456" w14:textId="77777777">
      <w:pPr>
        <w:jc w:val="center"/>
        <w:rPr>
          <w:b/>
          <w:bCs/>
        </w:rPr>
      </w:pPr>
    </w:p>
    <w:p w:rsidR="00BA48F9" w:rsidP="00BA48F9" w:rsidRDefault="00BA48F9" w14:paraId="4C12ACE4" w14:textId="77777777">
      <w:pPr>
        <w:jc w:val="center"/>
        <w:rPr>
          <w:b/>
          <w:bCs/>
        </w:rPr>
      </w:pPr>
    </w:p>
    <w:p w:rsidRPr="007614F4" w:rsidR="00BA48F9" w:rsidP="00BA48F9" w:rsidRDefault="00BA48F9" w14:paraId="509CCD95" w14:textId="44989E0B">
      <w:pPr>
        <w:jc w:val="center"/>
        <w:rPr>
          <w:b/>
          <w:bCs/>
          <w:sz w:val="28"/>
          <w:szCs w:val="28"/>
        </w:rPr>
      </w:pPr>
      <w:r w:rsidRPr="007614F4">
        <w:rPr>
          <w:b/>
          <w:bCs/>
          <w:sz w:val="28"/>
          <w:szCs w:val="28"/>
        </w:rPr>
        <w:t xml:space="preserve">(END OF APPENDIX D) </w:t>
      </w:r>
    </w:p>
    <w:p w:rsidR="00BA48F9" w:rsidP="00756F41" w:rsidRDefault="00BA48F9" w14:paraId="792A1006" w14:textId="7DE53D93">
      <w:pPr>
        <w:spacing w:line="259" w:lineRule="auto"/>
        <w:rPr>
          <w:b/>
          <w:bCs/>
        </w:rPr>
      </w:pPr>
    </w:p>
    <w:p w:rsidR="00BA48F9" w:rsidP="00BA48F9" w:rsidRDefault="00BA48F9" w14:paraId="1C53FFAF" w14:textId="77777777">
      <w:pPr>
        <w:jc w:val="center"/>
        <w:rPr>
          <w:b/>
          <w:bCs/>
        </w:rPr>
      </w:pPr>
    </w:p>
    <w:p w:rsidR="00BA48F9" w:rsidP="00BA48F9" w:rsidRDefault="00BA48F9" w14:paraId="41BC72B7" w14:textId="77777777">
      <w:pPr>
        <w:jc w:val="center"/>
        <w:rPr>
          <w:b/>
          <w:bCs/>
        </w:rPr>
      </w:pPr>
    </w:p>
    <w:p w:rsidR="00BA48F9" w:rsidP="00BA48F9" w:rsidRDefault="00BA48F9" w14:paraId="3BE5467E" w14:textId="77777777">
      <w:pPr>
        <w:jc w:val="center"/>
        <w:rPr>
          <w:b/>
          <w:bCs/>
        </w:rPr>
      </w:pPr>
    </w:p>
    <w:p w:rsidR="00BA48F9" w:rsidP="00BA48F9" w:rsidRDefault="00BA48F9" w14:paraId="2DE922B2" w14:textId="77777777">
      <w:pPr>
        <w:jc w:val="center"/>
        <w:rPr>
          <w:b/>
          <w:bCs/>
        </w:rPr>
      </w:pPr>
    </w:p>
    <w:p w:rsidR="00BA48F9" w:rsidP="00BA48F9" w:rsidRDefault="00BA48F9" w14:paraId="5CDC19AD" w14:textId="77777777">
      <w:pPr>
        <w:jc w:val="center"/>
        <w:rPr>
          <w:b/>
          <w:bCs/>
        </w:rPr>
      </w:pPr>
    </w:p>
    <w:p w:rsidR="00BA48F9" w:rsidP="00BA48F9" w:rsidRDefault="00BA48F9" w14:paraId="473F081C" w14:textId="77777777">
      <w:pPr>
        <w:jc w:val="center"/>
        <w:rPr>
          <w:b/>
          <w:bCs/>
        </w:rPr>
      </w:pPr>
    </w:p>
    <w:p w:rsidR="00BA48F9" w:rsidP="00BA48F9" w:rsidRDefault="00BA48F9" w14:paraId="6AADF147" w14:textId="77777777">
      <w:pPr>
        <w:jc w:val="center"/>
        <w:rPr>
          <w:b/>
          <w:bCs/>
        </w:rPr>
      </w:pPr>
    </w:p>
    <w:p w:rsidR="00BA48F9" w:rsidP="00BA48F9" w:rsidRDefault="00BA48F9" w14:paraId="6FDF6ACD" w14:textId="77777777">
      <w:pPr>
        <w:jc w:val="center"/>
        <w:rPr>
          <w:b/>
          <w:bCs/>
        </w:rPr>
      </w:pPr>
    </w:p>
    <w:p w:rsidR="00BA48F9" w:rsidP="00BA48F9" w:rsidRDefault="00BA48F9" w14:paraId="51479BBC" w14:textId="77777777">
      <w:pPr>
        <w:jc w:val="center"/>
        <w:rPr>
          <w:b/>
          <w:bCs/>
        </w:rPr>
      </w:pPr>
    </w:p>
    <w:p w:rsidRPr="00BA48F9" w:rsidR="00BA48F9" w:rsidP="00BA48F9" w:rsidRDefault="00BA48F9" w14:paraId="643A093D" w14:textId="7838FA0E">
      <w:pPr>
        <w:jc w:val="center"/>
        <w:rPr>
          <w:b/>
          <w:bCs/>
        </w:rPr>
      </w:pPr>
    </w:p>
    <w:sectPr w:rsidRPr="00BA48F9" w:rsidR="00BA48F9" w:rsidSect="004E5CF5">
      <w:footerReference w:type="default" r:id="rId18"/>
      <w:pgSz w:w="12240" w:h="15840"/>
      <w:pgMar w:top="1728" w:right="1440" w:bottom="1440" w:left="1440" w:header="720" w:footer="720" w:gutter="0"/>
      <w:pgNumType w:fmt="numberInDash" w:start="1"/>
      <w:cols w:space="720"/>
      <w:docGrid w:linePitch="360"/>
    </w:sectPr>
    <w:p>
      <w:r>
        <w:t xml:space="preserve"/>
      </w:r>
    </w:p>
    <w:p>
      <w:r>
        <w:t xml:space="preserve">Attachment 1: </w:t>
      </w:r>
    </w:p>
    <w:p>
      <w:hyperlink w:history="true" r:id="R6a9e0a3457524187">
        <w:r w:rsidRPr="00CB1292">
          <w:rPr>
            <w:rStyle w:val="Hyperlink"/>
            <w:color w:val="2E74B5" w:themeColor="accent1" w:themeShade="BF"/>
            <w:u w:val="single"/>
          </w:rPr>
          <w:t>20250822 Appendix A RDF.pdf</w:t>
        </w:r>
      </w:hyperlink>
    </w:p>
    <w:p>
      <w:r>
        <w:t xml:space="preserve"/>
      </w:r>
    </w:p>
    <w:p>
      <w:r>
        <w:t xml:space="preserve">Attachment 2: </w:t>
      </w:r>
    </w:p>
    <w:p>
      <w:hyperlink w:history="true" r:id="R08291c2776294574">
        <w:r w:rsidRPr="00CB1292">
          <w:rPr>
            <w:rStyle w:val="Hyperlink"/>
            <w:color w:val="2E74B5" w:themeColor="accent1" w:themeShade="BF"/>
            <w:u w:val="single"/>
          </w:rPr>
          <w:t>20250822 Appendix B RDF Redlined.pdf</w:t>
        </w:r>
      </w:hyperlink>
    </w:p>
    <w:p>
      <w:r>
        <w:t xml:space="preserve"/>
      </w:r>
    </w:p>
    <w:p>
      <w:r>
        <w:t xml:space="preserve">Attachment 3: </w:t>
      </w:r>
    </w:p>
    <w:p>
      <w:hyperlink w:history="true" r:id="R10ab610ccfb54e33">
        <w:r w:rsidRPr="00CB1292">
          <w:rPr>
            <w:rStyle w:val="Hyperlink"/>
            <w:color w:val="2E74B5" w:themeColor="accent1" w:themeShade="BF"/>
            <w:u w:val="single"/>
          </w:rPr>
          <w:t>20250822 Appendix C RMAR Guidelines.pdf</w:t>
        </w:r>
      </w:hyperlink>
    </w:p>
    <w:p>
      <w:r>
        <w:t xml:space="preserve"/>
      </w:r>
    </w:p>
    <w:p>
      <w:r>
        <w:t xml:space="preserve">Attachment 4: </w:t>
      </w:r>
    </w:p>
    <w:p>
      <w:hyperlink w:history="true" r:id="R45ecfac9860a4f28">
        <w:r w:rsidRPr="00CB1292">
          <w:rPr>
            <w:rStyle w:val="Hyperlink"/>
            <w:color w:val="2E74B5" w:themeColor="accent1" w:themeShade="BF"/>
            <w:u w:val="single"/>
          </w:rPr>
          <w:t>20250822 Appendix D RAMP Data Template and Guidelines.pdf</w:t>
        </w:r>
      </w:hyperlink>
    </w:p>
    <w:p>
      <w:r>
        <w:t xml:space="preserve"/>
      </w:r>
    </w:p>
    <w:p>
      <w:r>
        <w:t xml:space="preserve">Attachment 5: </w:t>
      </w:r>
    </w:p>
    <w:p>
      <w:hyperlink w:history="true" r:id="R8af1a8d7027a4879">
        <w:r w:rsidRPr="00CB1292">
          <w:rPr>
            <w:rStyle w:val="Hyperlink"/>
            <w:color w:val="2E74B5" w:themeColor="accent1" w:themeShade="BF"/>
            <w:u w:val="single"/>
          </w:rPr>
          <w:t>20250822 Appendix E RMAR Guidelines Redlined.pdf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DF9FE" w14:textId="77777777" w:rsidR="00852E55" w:rsidRDefault="00852E55" w:rsidP="0098138E">
      <w:pPr>
        <w:spacing w:line="240" w:lineRule="auto"/>
      </w:pPr>
      <w:r>
        <w:separator/>
      </w:r>
    </w:p>
  </w:endnote>
  <w:endnote w:type="continuationSeparator" w:id="0">
    <w:p w14:paraId="27288CED" w14:textId="77777777" w:rsidR="00852E55" w:rsidRDefault="00852E55" w:rsidP="0098138E">
      <w:pPr>
        <w:spacing w:line="240" w:lineRule="auto"/>
      </w:pPr>
      <w:r>
        <w:continuationSeparator/>
      </w:r>
    </w:p>
  </w:endnote>
  <w:endnote w:type="continuationNotice" w:id="1">
    <w:p w14:paraId="477E2F01" w14:textId="77777777" w:rsidR="00852E55" w:rsidRDefault="00852E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380D" w14:textId="26C5DB62" w:rsidR="004E5CF5" w:rsidRDefault="00D62FC1" w:rsidP="004E5CF5">
    <w:pPr>
      <w:pStyle w:val="Footer"/>
      <w:tabs>
        <w:tab w:val="clear" w:pos="4680"/>
        <w:tab w:val="center" w:pos="4320"/>
      </w:tabs>
      <w:ind w:firstLine="0"/>
    </w:pPr>
    <w:r w:rsidRPr="00D62FC1">
      <w:rPr>
        <w:sz w:val="16"/>
        <w:szCs w:val="16"/>
      </w:rPr>
      <w:t>578198350</w:t>
    </w:r>
    <w:r w:rsidR="004E5CF5">
      <w:rPr>
        <w:sz w:val="16"/>
        <w:szCs w:val="16"/>
      </w:rPr>
      <w:tab/>
      <w:t>-</w:t>
    </w:r>
    <w:sdt>
      <w:sdtPr>
        <w:id w:val="-152144686"/>
        <w:docPartObj>
          <w:docPartGallery w:val="Page Numbers (Bottom of Page)"/>
          <w:docPartUnique/>
        </w:docPartObj>
      </w:sdtPr>
      <w:sdtEndPr>
        <w:rPr>
          <w:noProof/>
        </w:rPr>
      </w:sdtEndPr>
      <w:sdtContent>
        <w:r w:rsidR="004E5CF5">
          <w:fldChar w:fldCharType="begin"/>
        </w:r>
        <w:r w:rsidR="004E5CF5">
          <w:instrText xml:space="preserve"> PAGE   \* MERGEFORMAT </w:instrText>
        </w:r>
        <w:r w:rsidR="004E5CF5">
          <w:fldChar w:fldCharType="separate"/>
        </w:r>
        <w:r w:rsidR="004E5CF5">
          <w:rPr>
            <w:noProof/>
          </w:rPr>
          <w:t>2</w:t>
        </w:r>
        <w:r w:rsidR="004E5CF5">
          <w:rPr>
            <w:noProof/>
          </w:rPr>
          <w:fldChar w:fldCharType="end"/>
        </w:r>
        <w:r w:rsidR="004E5CF5">
          <w:rPr>
            <w:noProof/>
          </w:rPr>
          <w:t>-</w:t>
        </w:r>
      </w:sdtContent>
    </w:sdt>
  </w:p>
  <w:p w14:paraId="562E2046" w14:textId="77777777" w:rsidR="00E44B61" w:rsidRDefault="00E44B61" w:rsidP="007E0FEE">
    <w:pPr>
      <w:tabs>
        <w:tab w:val="center" w:pos="4680"/>
      </w:tabs>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1D9A" w14:textId="77777777" w:rsidR="00E23CBB" w:rsidRDefault="00E23CBB" w:rsidP="004E5CF5">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C4D4" w14:textId="1EEB841C" w:rsidR="004E5CF5" w:rsidRDefault="004E5CF5" w:rsidP="004E5CF5">
    <w:pPr>
      <w:pStyle w:val="Footer"/>
      <w:ind w:firstLine="0"/>
      <w:jc w:val="center"/>
    </w:pPr>
    <w:r>
      <w:t>-</w:t>
    </w:r>
    <w:sdt>
      <w:sdtPr>
        <w:id w:val="-12423334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6477E2C7" w14:textId="5869E158" w:rsidR="00E23CBB" w:rsidRDefault="00E23CBB" w:rsidP="004E5CF5">
    <w:pPr>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077829"/>
      <w:docPartObj>
        <w:docPartGallery w:val="Page Numbers (Bottom of Page)"/>
        <w:docPartUnique/>
      </w:docPartObj>
    </w:sdtPr>
    <w:sdtEndPr>
      <w:rPr>
        <w:noProof/>
      </w:rPr>
    </w:sdtEndPr>
    <w:sdtContent>
      <w:p w14:paraId="6C0FFD53" w14:textId="71DC05D4" w:rsidR="004E5CF5" w:rsidRDefault="004E5CF5" w:rsidP="004E5CF5">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28B6E899" w14:textId="77777777" w:rsidR="004E5CF5" w:rsidRDefault="004E5CF5" w:rsidP="004E5CF5">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44C58" w14:textId="77777777" w:rsidR="00852E55" w:rsidRDefault="00852E55" w:rsidP="00DF58E7">
      <w:pPr>
        <w:spacing w:line="240" w:lineRule="auto"/>
      </w:pPr>
      <w:r>
        <w:separator/>
      </w:r>
    </w:p>
  </w:footnote>
  <w:footnote w:type="continuationSeparator" w:id="0">
    <w:p w14:paraId="5D4758F1" w14:textId="77777777" w:rsidR="00852E55" w:rsidRDefault="00852E55" w:rsidP="00DF58E7">
      <w:pPr>
        <w:spacing w:line="240" w:lineRule="auto"/>
      </w:pPr>
      <w:r>
        <w:continuationSeparator/>
      </w:r>
    </w:p>
  </w:footnote>
  <w:footnote w:type="continuationNotice" w:id="1">
    <w:p w14:paraId="5282D5E1" w14:textId="77777777" w:rsidR="00852E55" w:rsidRPr="00DF58E7" w:rsidRDefault="00852E55" w:rsidP="00DF58E7">
      <w:pPr>
        <w:spacing w:line="240" w:lineRule="auto"/>
        <w:jc w:val="right"/>
        <w:rPr>
          <w:i/>
          <w:sz w:val="22"/>
        </w:rPr>
      </w:pPr>
      <w:r w:rsidRPr="00DF58E7">
        <w:rPr>
          <w:i/>
          <w:sz w:val="22"/>
        </w:rPr>
        <w:t>Footnote continued on next page.</w:t>
      </w:r>
    </w:p>
  </w:footnote>
  <w:footnote w:id="2">
    <w:p w14:paraId="767F862B" w14:textId="70155B0F" w:rsidR="493B57D1" w:rsidRDefault="493B57D1" w:rsidP="00D3306F">
      <w:pPr>
        <w:pStyle w:val="FootnoteText"/>
      </w:pPr>
      <w:r w:rsidRPr="493B57D1">
        <w:rPr>
          <w:rStyle w:val="FootnoteReference"/>
        </w:rPr>
        <w:footnoteRef/>
      </w:r>
      <w:r>
        <w:t xml:space="preserve"> The most recent RDF can be found as Appendix A of D.24-05-064, currently available at: </w:t>
      </w:r>
      <w:hyperlink r:id="rId1" w:history="1">
        <w:r w:rsidRPr="493B57D1">
          <w:rPr>
            <w:rStyle w:val="Hyperlink"/>
          </w:rPr>
          <w:t>https://docs.cpuc.ca.gov/PublishedDocs/Published/G000/M533/K206/533206241.PD</w:t>
        </w:r>
      </w:hyperlink>
      <w:r>
        <w:t>, and is updated by the appendices in this Decision.</w:t>
      </w:r>
    </w:p>
  </w:footnote>
  <w:footnote w:id="3">
    <w:p w14:paraId="35E7904F" w14:textId="77777777" w:rsidR="00BE5437" w:rsidRDefault="00BE5437" w:rsidP="00BE5437">
      <w:pPr>
        <w:pStyle w:val="FootnoteText"/>
      </w:pPr>
      <w:r>
        <w:rPr>
          <w:rStyle w:val="FootnoteReference"/>
        </w:rPr>
        <w:footnoteRef/>
      </w:r>
      <w:r>
        <w:t xml:space="preserve"> PCF moved to have its late-filed opening comments accepted, which was granted in the November 26, 2024, ALJ email ruling accepting PCF’s late-filed comments on the scoped work proposals. All other party opening comments were timely filed. </w:t>
      </w:r>
    </w:p>
  </w:footnote>
  <w:footnote w:id="4">
    <w:p w14:paraId="5BC63D15" w14:textId="4BDB2AEF" w:rsidR="00055C2F" w:rsidRDefault="00055C2F">
      <w:pPr>
        <w:pStyle w:val="FootnoteText"/>
      </w:pPr>
      <w:r>
        <w:rPr>
          <w:rStyle w:val="FootnoteReference"/>
        </w:rPr>
        <w:footnoteRef/>
      </w:r>
      <w:r>
        <w:t xml:space="preserve"> </w:t>
      </w:r>
      <w:r w:rsidR="005824EC">
        <w:t>SPD Staff Risk Tolerance Proposal at 52 – 54.</w:t>
      </w:r>
    </w:p>
  </w:footnote>
  <w:footnote w:id="5">
    <w:p w14:paraId="358758AC" w14:textId="71B24ED4" w:rsidR="00894863" w:rsidRDefault="00894863">
      <w:pPr>
        <w:pStyle w:val="FootnoteText"/>
      </w:pPr>
      <w:r>
        <w:rPr>
          <w:rStyle w:val="FootnoteReference"/>
        </w:rPr>
        <w:footnoteRef/>
      </w:r>
      <w:r>
        <w:t xml:space="preserve"> </w:t>
      </w:r>
      <w:r w:rsidRPr="00397465">
        <w:rPr>
          <w:i/>
          <w:iCs/>
        </w:rPr>
        <w:t>Id</w:t>
      </w:r>
      <w:r>
        <w:t>. at 17.</w:t>
      </w:r>
    </w:p>
  </w:footnote>
  <w:footnote w:id="6">
    <w:p w14:paraId="0D8F31F9" w14:textId="57A5BE9A" w:rsidR="00463CE2" w:rsidRDefault="00463CE2">
      <w:pPr>
        <w:pStyle w:val="FootnoteText"/>
      </w:pPr>
      <w:r>
        <w:rPr>
          <w:rStyle w:val="FootnoteReference"/>
        </w:rPr>
        <w:footnoteRef/>
      </w:r>
      <w:r>
        <w:t xml:space="preserve"> The most </w:t>
      </w:r>
      <w:r w:rsidR="007D363C">
        <w:t xml:space="preserve">up-to-date RDF can be </w:t>
      </w:r>
      <w:r w:rsidR="00A72B2B">
        <w:t>found as A</w:t>
      </w:r>
      <w:r w:rsidR="0034780A">
        <w:t>ppendix A of D.24-05-064</w:t>
      </w:r>
      <w:r w:rsidR="004776FB">
        <w:t xml:space="preserve">, currently available at: </w:t>
      </w:r>
      <w:r w:rsidR="004776FB" w:rsidRPr="004776FB">
        <w:t>https://docs.cpuc.ca.gov/PublishedDocs/Published/G000/M533/K206/533206241.PDF</w:t>
      </w:r>
    </w:p>
  </w:footnote>
  <w:footnote w:id="7">
    <w:p w14:paraId="536F7067" w14:textId="487C1CBF" w:rsidR="00592C05" w:rsidRDefault="00592C05">
      <w:pPr>
        <w:pStyle w:val="FootnoteText"/>
      </w:pPr>
      <w:r>
        <w:rPr>
          <w:rStyle w:val="FootnoteReference"/>
        </w:rPr>
        <w:footnoteRef/>
      </w:r>
      <w:r>
        <w:t xml:space="preserve"> </w:t>
      </w:r>
      <w:r w:rsidR="00F51682" w:rsidRPr="00397465">
        <w:rPr>
          <w:i/>
          <w:iCs/>
        </w:rPr>
        <w:t>Id</w:t>
      </w:r>
      <w:r w:rsidR="00F51682">
        <w:t>. at 54.</w:t>
      </w:r>
    </w:p>
  </w:footnote>
  <w:footnote w:id="8">
    <w:p w14:paraId="024264A1" w14:textId="733BD946" w:rsidR="00684883" w:rsidRDefault="00684883">
      <w:pPr>
        <w:pStyle w:val="FootnoteText"/>
      </w:pPr>
      <w:r>
        <w:rPr>
          <w:rStyle w:val="FootnoteReference"/>
        </w:rPr>
        <w:footnoteRef/>
      </w:r>
      <w:r>
        <w:t xml:space="preserve"> </w:t>
      </w:r>
      <w:r w:rsidR="008F00F2">
        <w:t xml:space="preserve">RDF at </w:t>
      </w:r>
      <w:r w:rsidR="00095A07">
        <w:t>A-3.</w:t>
      </w:r>
    </w:p>
  </w:footnote>
  <w:footnote w:id="9">
    <w:p w14:paraId="3A83282A" w14:textId="77777777" w:rsidR="001961CE" w:rsidRDefault="001961CE" w:rsidP="001961CE">
      <w:pPr>
        <w:pStyle w:val="FootnoteText"/>
      </w:pPr>
      <w:r>
        <w:rPr>
          <w:rStyle w:val="FootnoteReference"/>
        </w:rPr>
        <w:footnoteRef/>
      </w:r>
      <w:r>
        <w:t xml:space="preserve"> </w:t>
      </w:r>
      <w:r w:rsidRPr="000E24A4">
        <w:rPr>
          <w:i/>
        </w:rPr>
        <w:t>Id.</w:t>
      </w:r>
      <w:r>
        <w:t xml:space="preserve"> at 57 – 58. </w:t>
      </w:r>
    </w:p>
  </w:footnote>
  <w:footnote w:id="10">
    <w:p w14:paraId="3CA94469" w14:textId="692D7B18" w:rsidR="001C1187" w:rsidRDefault="001C1187">
      <w:pPr>
        <w:pStyle w:val="FootnoteText"/>
      </w:pPr>
      <w:r>
        <w:rPr>
          <w:rStyle w:val="FootnoteReference"/>
        </w:rPr>
        <w:footnoteRef/>
      </w:r>
      <w:r>
        <w:t xml:space="preserve"> MGRA Risk Tolerance Proposal at 2</w:t>
      </w:r>
      <w:r w:rsidR="00EF4EE5">
        <w:t xml:space="preserve">; see also </w:t>
      </w:r>
      <w:r w:rsidR="00256D28">
        <w:t>Section</w:t>
      </w:r>
      <w:r w:rsidR="0083322F">
        <w:t xml:space="preserve"> 3 of the MGRA Risk Tolerance Proposal.</w:t>
      </w:r>
    </w:p>
  </w:footnote>
  <w:footnote w:id="11">
    <w:p w14:paraId="39CDDDCF" w14:textId="39B60F19" w:rsidR="00BE0505" w:rsidRDefault="00BE0505">
      <w:pPr>
        <w:pStyle w:val="FootnoteText"/>
      </w:pPr>
      <w:r>
        <w:rPr>
          <w:rStyle w:val="FootnoteReference"/>
        </w:rPr>
        <w:footnoteRef/>
      </w:r>
      <w:r>
        <w:t xml:space="preserve"> </w:t>
      </w:r>
      <w:r w:rsidR="000103D2">
        <w:t>Cal Advocates Opening Comments on Workshop #2 at 10 – 11.</w:t>
      </w:r>
    </w:p>
  </w:footnote>
  <w:footnote w:id="12">
    <w:p w14:paraId="24825D5B" w14:textId="0D433436" w:rsidR="009A594E" w:rsidRDefault="009A594E" w:rsidP="009A594E">
      <w:pPr>
        <w:pStyle w:val="FootnoteText"/>
      </w:pPr>
      <w:r>
        <w:rPr>
          <w:rStyle w:val="FootnoteReference"/>
        </w:rPr>
        <w:footnoteRef/>
      </w:r>
      <w:r>
        <w:t xml:space="preserve"> EPUC/IS Opening Comments on Workshop #2 at 21</w:t>
      </w:r>
      <w:r w:rsidR="000D6341">
        <w:t xml:space="preserve"> – 22</w:t>
      </w:r>
      <w:r>
        <w:t>.</w:t>
      </w:r>
    </w:p>
  </w:footnote>
  <w:footnote w:id="13">
    <w:p w14:paraId="5A3B8526" w14:textId="54089852" w:rsidR="000D6341" w:rsidRDefault="000D6341">
      <w:pPr>
        <w:pStyle w:val="FootnoteText"/>
      </w:pPr>
      <w:r>
        <w:rPr>
          <w:rStyle w:val="FootnoteReference"/>
        </w:rPr>
        <w:footnoteRef/>
      </w:r>
      <w:r>
        <w:t xml:space="preserve"> </w:t>
      </w:r>
      <w:r w:rsidRPr="000D6341">
        <w:rPr>
          <w:i/>
          <w:iCs/>
        </w:rPr>
        <w:t>Id.</w:t>
      </w:r>
    </w:p>
  </w:footnote>
  <w:footnote w:id="14">
    <w:p w14:paraId="44B864D8" w14:textId="6F6BF5C1" w:rsidR="00650E47" w:rsidRDefault="00650E47">
      <w:pPr>
        <w:pStyle w:val="FootnoteText"/>
      </w:pPr>
      <w:r>
        <w:rPr>
          <w:rStyle w:val="FootnoteReference"/>
        </w:rPr>
        <w:footnoteRef/>
      </w:r>
      <w:r>
        <w:t xml:space="preserve"> </w:t>
      </w:r>
      <w:r w:rsidR="00E84A0F">
        <w:t>PG&amp;E Opening Comments on Workshop #2 at 11.</w:t>
      </w:r>
    </w:p>
  </w:footnote>
  <w:footnote w:id="15">
    <w:p w14:paraId="4C930521" w14:textId="707CD280" w:rsidR="00495F6A" w:rsidRDefault="00495F6A">
      <w:pPr>
        <w:pStyle w:val="FootnoteText"/>
      </w:pPr>
      <w:r>
        <w:rPr>
          <w:rStyle w:val="FootnoteReference"/>
        </w:rPr>
        <w:footnoteRef/>
      </w:r>
      <w:r>
        <w:t xml:space="preserve"> </w:t>
      </w:r>
      <w:r w:rsidR="0034566F">
        <w:t xml:space="preserve">SCE Opening Comments on Workshop #2 at 5. </w:t>
      </w:r>
    </w:p>
  </w:footnote>
  <w:footnote w:id="16">
    <w:p w14:paraId="4150688A" w14:textId="45549DBD" w:rsidR="000B1B33" w:rsidRDefault="000B1B33">
      <w:pPr>
        <w:pStyle w:val="FootnoteText"/>
      </w:pPr>
      <w:r>
        <w:rPr>
          <w:rStyle w:val="FootnoteReference"/>
        </w:rPr>
        <w:footnoteRef/>
      </w:r>
      <w:r>
        <w:t xml:space="preserve"> Sempra Companies Opening Comments on Workshop #2 </w:t>
      </w:r>
      <w:r w:rsidR="00D935B8">
        <w:t>at 4.</w:t>
      </w:r>
    </w:p>
  </w:footnote>
  <w:footnote w:id="17">
    <w:p w14:paraId="7522933E" w14:textId="1042CD28" w:rsidR="003536DB" w:rsidRDefault="003536DB">
      <w:pPr>
        <w:pStyle w:val="FootnoteText"/>
      </w:pPr>
      <w:r>
        <w:rPr>
          <w:rStyle w:val="FootnoteReference"/>
        </w:rPr>
        <w:footnoteRef/>
      </w:r>
      <w:r>
        <w:t xml:space="preserve"> PG&amp;E Opening Comments on Workshop #2 </w:t>
      </w:r>
      <w:r w:rsidR="00C56D97">
        <w:t>at 6 – 8</w:t>
      </w:r>
      <w:r>
        <w:t>; SCE Opening Comments on Workshop #2 a</w:t>
      </w:r>
      <w:r w:rsidR="001D2422">
        <w:t>t 5</w:t>
      </w:r>
      <w:r w:rsidR="00CF07BC">
        <w:t xml:space="preserve"> – 7</w:t>
      </w:r>
      <w:r>
        <w:t xml:space="preserve">; Sempra Companies Opening Comments </w:t>
      </w:r>
      <w:r w:rsidR="00976618">
        <w:t xml:space="preserve">on Workshop #2 at 4 – 5. </w:t>
      </w:r>
    </w:p>
  </w:footnote>
  <w:footnote w:id="18">
    <w:p w14:paraId="293AD516" w14:textId="7270CD67" w:rsidR="007D2F9E" w:rsidRDefault="007D2F9E">
      <w:pPr>
        <w:pStyle w:val="FootnoteText"/>
      </w:pPr>
      <w:r>
        <w:rPr>
          <w:rStyle w:val="FootnoteReference"/>
        </w:rPr>
        <w:footnoteRef/>
      </w:r>
      <w:r>
        <w:t xml:space="preserve"> MGRA Opening Comments on Workshop #2 at </w:t>
      </w:r>
      <w:r w:rsidR="006F1579">
        <w:t xml:space="preserve">1 – 3. </w:t>
      </w:r>
    </w:p>
  </w:footnote>
  <w:footnote w:id="19">
    <w:p w14:paraId="7D1AB9FD" w14:textId="6EA9D0C2" w:rsidR="002D5B38" w:rsidRDefault="002D5B38">
      <w:pPr>
        <w:pStyle w:val="FootnoteText"/>
      </w:pPr>
      <w:r>
        <w:rPr>
          <w:rStyle w:val="FootnoteReference"/>
        </w:rPr>
        <w:footnoteRef/>
      </w:r>
      <w:r>
        <w:t xml:space="preserve"> TURN Opening Comments on Workshop #2 at 2.</w:t>
      </w:r>
    </w:p>
  </w:footnote>
  <w:footnote w:id="20">
    <w:p w14:paraId="50675585" w14:textId="5648A445" w:rsidR="00DE0560" w:rsidRDefault="00DE0560">
      <w:pPr>
        <w:pStyle w:val="FootnoteText"/>
      </w:pPr>
      <w:r>
        <w:rPr>
          <w:rStyle w:val="FootnoteReference"/>
        </w:rPr>
        <w:footnoteRef/>
      </w:r>
      <w:r>
        <w:t xml:space="preserve"> </w:t>
      </w:r>
      <w:r w:rsidR="00C664CE" w:rsidRPr="005E2033">
        <w:rPr>
          <w:i/>
          <w:iCs/>
        </w:rPr>
        <w:t>Id</w:t>
      </w:r>
      <w:r w:rsidR="00C664CE">
        <w:t xml:space="preserve">. at 38 – 40. </w:t>
      </w:r>
    </w:p>
  </w:footnote>
  <w:footnote w:id="21">
    <w:p w14:paraId="1AB3299A" w14:textId="125B7BBC" w:rsidR="007F5674" w:rsidRDefault="007F5674">
      <w:pPr>
        <w:pStyle w:val="FootnoteText"/>
      </w:pPr>
      <w:r>
        <w:rPr>
          <w:rStyle w:val="FootnoteReference"/>
        </w:rPr>
        <w:footnoteRef/>
      </w:r>
      <w:r>
        <w:t xml:space="preserve"> </w:t>
      </w:r>
      <w:r w:rsidRPr="005E2033">
        <w:rPr>
          <w:i/>
          <w:iCs/>
        </w:rPr>
        <w:t>Id</w:t>
      </w:r>
      <w:r>
        <w:t xml:space="preserve">. at </w:t>
      </w:r>
      <w:r w:rsidR="004349D0">
        <w:t>2.</w:t>
      </w:r>
    </w:p>
  </w:footnote>
  <w:footnote w:id="22">
    <w:p w14:paraId="23443A02" w14:textId="77777777" w:rsidR="00595788" w:rsidRDefault="00595788" w:rsidP="00595788">
      <w:pPr>
        <w:pStyle w:val="FootnoteText"/>
      </w:pPr>
      <w:r>
        <w:rPr>
          <w:rStyle w:val="FootnoteReference"/>
        </w:rPr>
        <w:footnoteRef/>
      </w:r>
      <w:r>
        <w:t xml:space="preserve"> MGRA Opening Comments on Workshop #2 at 4 – 5.</w:t>
      </w:r>
    </w:p>
  </w:footnote>
  <w:footnote w:id="23">
    <w:p w14:paraId="6D4E1AEA" w14:textId="1E8F1159" w:rsidR="002251EF" w:rsidRDefault="00F853FA">
      <w:pPr>
        <w:pStyle w:val="FootnoteText"/>
      </w:pPr>
      <w:r>
        <w:rPr>
          <w:rStyle w:val="FootnoteReference"/>
        </w:rPr>
        <w:footnoteRef/>
      </w:r>
      <w:r>
        <w:t xml:space="preserve"> PG&amp;E Opening Comments on Workshop #2 at </w:t>
      </w:r>
      <w:r w:rsidR="001A439B">
        <w:t xml:space="preserve">37 </w:t>
      </w:r>
      <w:r w:rsidR="002251EF">
        <w:t>–</w:t>
      </w:r>
      <w:r w:rsidR="001A439B">
        <w:t xml:space="preserve"> </w:t>
      </w:r>
      <w:r w:rsidR="002251EF">
        <w:t>38.</w:t>
      </w:r>
    </w:p>
  </w:footnote>
  <w:footnote w:id="24">
    <w:p w14:paraId="6DCDF59D" w14:textId="77777777" w:rsidR="006872C8" w:rsidRDefault="006872C8" w:rsidP="006872C8">
      <w:pPr>
        <w:pStyle w:val="FootnoteText"/>
      </w:pPr>
      <w:r>
        <w:rPr>
          <w:rStyle w:val="FootnoteReference"/>
        </w:rPr>
        <w:footnoteRef/>
      </w:r>
      <w:r>
        <w:t xml:space="preserve"> Sempra Companies Opening Comments on Workshop #2 at 14 – 16.</w:t>
      </w:r>
    </w:p>
  </w:footnote>
  <w:footnote w:id="25">
    <w:p w14:paraId="0F0E2CB9" w14:textId="6A9DAAD3" w:rsidR="00363EC3" w:rsidRDefault="00363EC3">
      <w:pPr>
        <w:pStyle w:val="FootnoteText"/>
      </w:pPr>
      <w:r>
        <w:rPr>
          <w:rStyle w:val="FootnoteReference"/>
        </w:rPr>
        <w:footnoteRef/>
      </w:r>
      <w:r>
        <w:t xml:space="preserve"> </w:t>
      </w:r>
      <w:r w:rsidR="008E535D">
        <w:t xml:space="preserve">SCE Opening Comments on Workshop #2 at </w:t>
      </w:r>
      <w:r w:rsidR="00896DEB">
        <w:t>21</w:t>
      </w:r>
      <w:r w:rsidR="00480116">
        <w:t>.</w:t>
      </w:r>
    </w:p>
  </w:footnote>
  <w:footnote w:id="26">
    <w:p w14:paraId="3088957A" w14:textId="4AF10A71" w:rsidR="00CF2CDB" w:rsidRDefault="00CF2CDB">
      <w:pPr>
        <w:pStyle w:val="FootnoteText"/>
      </w:pPr>
      <w:r>
        <w:rPr>
          <w:rStyle w:val="FootnoteReference"/>
        </w:rPr>
        <w:footnoteRef/>
      </w:r>
      <w:r>
        <w:t xml:space="preserve"> </w:t>
      </w:r>
      <w:r w:rsidR="008F0F13">
        <w:t>EPUC/IS Opening Comments on Workshop #2 at 13 – 14.</w:t>
      </w:r>
    </w:p>
  </w:footnote>
  <w:footnote w:id="27">
    <w:p w14:paraId="397FB9D3" w14:textId="1C348860" w:rsidR="00E27CBA" w:rsidRPr="006809C2" w:rsidRDefault="00E27CBA">
      <w:pPr>
        <w:pStyle w:val="FootnoteText"/>
      </w:pPr>
      <w:r w:rsidRPr="006809C2">
        <w:rPr>
          <w:rStyle w:val="FootnoteReference"/>
        </w:rPr>
        <w:footnoteRef/>
      </w:r>
      <w:r w:rsidRPr="006809C2">
        <w:t xml:space="preserve"> MGRA </w:t>
      </w:r>
      <w:r w:rsidR="00622897" w:rsidRPr="006809C2">
        <w:t xml:space="preserve">Opening Comments on Workshop #2 </w:t>
      </w:r>
      <w:r w:rsidRPr="006809C2">
        <w:t>at 2 – 3</w:t>
      </w:r>
      <w:r w:rsidR="00622897" w:rsidRPr="006809C2">
        <w:t>;</w:t>
      </w:r>
      <w:r w:rsidRPr="006809C2">
        <w:t xml:space="preserve"> TURN </w:t>
      </w:r>
      <w:r w:rsidR="00622897" w:rsidRPr="006809C2">
        <w:t xml:space="preserve">Opening Comments on Workshop #2 </w:t>
      </w:r>
      <w:r w:rsidRPr="006809C2">
        <w:t>at 14</w:t>
      </w:r>
      <w:r w:rsidR="00622897" w:rsidRPr="006809C2">
        <w:t>.</w:t>
      </w:r>
    </w:p>
  </w:footnote>
  <w:footnote w:id="28">
    <w:p w14:paraId="711A4676" w14:textId="27F19C38" w:rsidR="00E27CBA" w:rsidRPr="00ED1709" w:rsidRDefault="00E27CBA">
      <w:pPr>
        <w:pStyle w:val="FootnoteText"/>
        <w:rPr>
          <w:highlight w:val="yellow"/>
        </w:rPr>
      </w:pPr>
      <w:r w:rsidRPr="006809C2">
        <w:rPr>
          <w:rStyle w:val="FootnoteReference"/>
        </w:rPr>
        <w:footnoteRef/>
      </w:r>
      <w:r w:rsidRPr="006809C2">
        <w:t xml:space="preserve"> TURN </w:t>
      </w:r>
      <w:r w:rsidR="00622897" w:rsidRPr="006809C2">
        <w:t xml:space="preserve">Opening Comments on Workshop #2 </w:t>
      </w:r>
      <w:r w:rsidRPr="006809C2">
        <w:t>at 15</w:t>
      </w:r>
      <w:r w:rsidR="00A660F0" w:rsidRPr="006809C2">
        <w:t>;</w:t>
      </w:r>
      <w:r w:rsidRPr="006809C2">
        <w:t xml:space="preserve"> EPUC/IS </w:t>
      </w:r>
      <w:r w:rsidR="00A660F0" w:rsidRPr="006809C2">
        <w:t xml:space="preserve">Opening Comments on Workshop #2 </w:t>
      </w:r>
      <w:r w:rsidRPr="006809C2">
        <w:t>at 2</w:t>
      </w:r>
      <w:r w:rsidR="00A660F0" w:rsidRPr="006809C2">
        <w:t>1.</w:t>
      </w:r>
    </w:p>
  </w:footnote>
  <w:footnote w:id="29">
    <w:p w14:paraId="5F2BC65D" w14:textId="052694A6" w:rsidR="00BA649D" w:rsidRPr="00ED1709" w:rsidRDefault="00BA649D">
      <w:pPr>
        <w:pStyle w:val="FootnoteText"/>
        <w:rPr>
          <w:highlight w:val="yellow"/>
        </w:rPr>
      </w:pPr>
      <w:r w:rsidRPr="006809C2">
        <w:rPr>
          <w:rStyle w:val="FootnoteReference"/>
        </w:rPr>
        <w:footnoteRef/>
      </w:r>
      <w:r w:rsidRPr="006809C2">
        <w:t xml:space="preserve"> TURN </w:t>
      </w:r>
      <w:r w:rsidR="00A660F0" w:rsidRPr="006809C2">
        <w:t xml:space="preserve">Opening Comments on Workshop #2 </w:t>
      </w:r>
      <w:r w:rsidRPr="006809C2">
        <w:t>at 15 – 16</w:t>
      </w:r>
      <w:r w:rsidR="00A660F0" w:rsidRPr="006809C2">
        <w:t>;</w:t>
      </w:r>
      <w:r w:rsidRPr="006809C2">
        <w:t xml:space="preserve"> MGRA Reply </w:t>
      </w:r>
      <w:r w:rsidR="002A5002" w:rsidRPr="006809C2">
        <w:t xml:space="preserve">Comments on Workshop #2 </w:t>
      </w:r>
      <w:r w:rsidRPr="006809C2">
        <w:t>at 10</w:t>
      </w:r>
      <w:r w:rsidR="00B978DF" w:rsidRPr="006809C2">
        <w:t>.</w:t>
      </w:r>
    </w:p>
  </w:footnote>
  <w:footnote w:id="30">
    <w:p w14:paraId="3F4C9FBE" w14:textId="7D23F8F0" w:rsidR="00BA649D" w:rsidRDefault="00BA649D">
      <w:pPr>
        <w:pStyle w:val="FootnoteText"/>
      </w:pPr>
      <w:r w:rsidRPr="006809C2">
        <w:rPr>
          <w:rStyle w:val="FootnoteReference"/>
        </w:rPr>
        <w:footnoteRef/>
      </w:r>
      <w:r w:rsidR="00E56E7F" w:rsidRPr="006809C2">
        <w:t xml:space="preserve"> Sempra Companies Opening Comments</w:t>
      </w:r>
      <w:r w:rsidR="005A4439" w:rsidRPr="006809C2">
        <w:t xml:space="preserve"> on Workshop #2 at 9 – 10;</w:t>
      </w:r>
      <w:r w:rsidRPr="006809C2">
        <w:t xml:space="preserve"> </w:t>
      </w:r>
      <w:r w:rsidR="00DA65E0" w:rsidRPr="006809C2">
        <w:t>PG&amp;E Opening Comments at 8 – 9;</w:t>
      </w:r>
      <w:r w:rsidR="00822ED5" w:rsidRPr="006809C2">
        <w:t xml:space="preserve"> SCE </w:t>
      </w:r>
      <w:r w:rsidR="00B978DF" w:rsidRPr="006809C2">
        <w:t xml:space="preserve">Opening Comments on Workshop #2 </w:t>
      </w:r>
      <w:r w:rsidR="00822ED5" w:rsidRPr="006809C2">
        <w:t>at 25</w:t>
      </w:r>
      <w:r w:rsidR="00B978DF" w:rsidRPr="006809C2">
        <w:t>.</w:t>
      </w:r>
    </w:p>
  </w:footnote>
  <w:footnote w:id="31">
    <w:p w14:paraId="561EEA05" w14:textId="0ED479C9" w:rsidR="00CA7E8D" w:rsidRDefault="00CA7E8D">
      <w:pPr>
        <w:pStyle w:val="FootnoteText"/>
      </w:pPr>
      <w:r>
        <w:rPr>
          <w:rStyle w:val="FootnoteReference"/>
        </w:rPr>
        <w:footnoteRef/>
      </w:r>
      <w:r>
        <w:t xml:space="preserve"> </w:t>
      </w:r>
      <w:r w:rsidR="00532583">
        <w:t>MGRA, Cal Advocates, and SCE.</w:t>
      </w:r>
    </w:p>
  </w:footnote>
  <w:footnote w:id="32">
    <w:p w14:paraId="14F621A5" w14:textId="790EE116" w:rsidR="007A3BC5" w:rsidRDefault="007A3BC5">
      <w:pPr>
        <w:pStyle w:val="FootnoteText"/>
      </w:pPr>
      <w:r>
        <w:rPr>
          <w:rStyle w:val="FootnoteReference"/>
        </w:rPr>
        <w:footnoteRef/>
      </w:r>
      <w:r>
        <w:t xml:space="preserve"> PG&amp;E Opening Comments on Workshop #2</w:t>
      </w:r>
      <w:r w:rsidR="000D53A5">
        <w:t xml:space="preserve"> at </w:t>
      </w:r>
      <w:r w:rsidR="00CF42BD">
        <w:t>12 – 20.</w:t>
      </w:r>
    </w:p>
  </w:footnote>
  <w:footnote w:id="33">
    <w:p w14:paraId="354489AC" w14:textId="58F9D99B" w:rsidR="00252B5D" w:rsidRDefault="00252B5D">
      <w:pPr>
        <w:pStyle w:val="FootnoteText"/>
      </w:pPr>
      <w:r>
        <w:rPr>
          <w:rStyle w:val="FootnoteReference"/>
        </w:rPr>
        <w:footnoteRef/>
      </w:r>
      <w:r>
        <w:t xml:space="preserve"> TURN Opening Comments on Workshop #2 at 20 – 22.</w:t>
      </w:r>
    </w:p>
  </w:footnote>
  <w:footnote w:id="34">
    <w:p w14:paraId="0088B7CB" w14:textId="73B4DCDF" w:rsidR="00217670" w:rsidRDefault="00217670">
      <w:pPr>
        <w:pStyle w:val="FootnoteText"/>
      </w:pPr>
      <w:r>
        <w:rPr>
          <w:rStyle w:val="FootnoteReference"/>
        </w:rPr>
        <w:footnoteRef/>
      </w:r>
      <w:r>
        <w:t xml:space="preserve"> EPUC/IS Opening Comments on Workshop #2 at 3.</w:t>
      </w:r>
    </w:p>
  </w:footnote>
  <w:footnote w:id="35">
    <w:p w14:paraId="70FE4502" w14:textId="49548FC9" w:rsidR="002E73D0" w:rsidRDefault="002E73D0" w:rsidP="002E73D0">
      <w:pPr>
        <w:pStyle w:val="FootnoteText"/>
      </w:pPr>
      <w:r>
        <w:rPr>
          <w:rStyle w:val="FootnoteReference"/>
        </w:rPr>
        <w:footnoteRef/>
      </w:r>
      <w:r>
        <w:t xml:space="preserve"> </w:t>
      </w:r>
      <w:r w:rsidR="00CF1844">
        <w:t xml:space="preserve">TURN Opening Comments on Workshop #2 at 40 – 42; </w:t>
      </w:r>
      <w:r>
        <w:t>PG&amp;E Opening Comments on Workshop #2 at 12 – 20.</w:t>
      </w:r>
    </w:p>
  </w:footnote>
  <w:footnote w:id="36">
    <w:p w14:paraId="54CBA721" w14:textId="6325356B" w:rsidR="00CF1844" w:rsidRDefault="00CF1844">
      <w:pPr>
        <w:pStyle w:val="FootnoteText"/>
      </w:pPr>
      <w:r>
        <w:rPr>
          <w:rStyle w:val="FootnoteReference"/>
        </w:rPr>
        <w:footnoteRef/>
      </w:r>
      <w:r>
        <w:t xml:space="preserve"> </w:t>
      </w:r>
      <w:r w:rsidR="00860F32">
        <w:t>EPUC/IS Opening Comments on Workshop #2 at 16 – 17.</w:t>
      </w:r>
    </w:p>
  </w:footnote>
  <w:footnote w:id="37">
    <w:p w14:paraId="65824D30" w14:textId="7378CEE2" w:rsidR="00860F32" w:rsidRDefault="00860F32">
      <w:pPr>
        <w:pStyle w:val="FootnoteText"/>
      </w:pPr>
      <w:r>
        <w:rPr>
          <w:rStyle w:val="FootnoteReference"/>
        </w:rPr>
        <w:footnoteRef/>
      </w:r>
      <w:r>
        <w:t xml:space="preserve"> </w:t>
      </w:r>
      <w:r w:rsidR="00F91BE3">
        <w:t xml:space="preserve">MGRA Opening Comments on Workshop #2 at </w:t>
      </w:r>
      <w:r w:rsidR="000E2627">
        <w:t>5 – 7</w:t>
      </w:r>
      <w:r w:rsidR="00F91BE3">
        <w:t>;</w:t>
      </w:r>
      <w:r w:rsidR="00B87F46">
        <w:t xml:space="preserve"> </w:t>
      </w:r>
      <w:r w:rsidR="00DB0C2F">
        <w:t xml:space="preserve">Sempra Companies Opening Comments on Workshop #2 at </w:t>
      </w:r>
      <w:r w:rsidR="00CD30E9">
        <w:t xml:space="preserve">15 – 16; SCE Opening Comments on Workshop #2 at </w:t>
      </w:r>
      <w:r w:rsidR="00B87F46">
        <w:t>23 – 24.</w:t>
      </w:r>
    </w:p>
  </w:footnote>
  <w:footnote w:id="38">
    <w:p w14:paraId="64913555" w14:textId="3DC9B5E4" w:rsidR="00DB1485" w:rsidRDefault="00DB1485">
      <w:pPr>
        <w:pStyle w:val="FootnoteText"/>
      </w:pPr>
      <w:r>
        <w:rPr>
          <w:rStyle w:val="FootnoteReference"/>
        </w:rPr>
        <w:footnoteRef/>
      </w:r>
      <w:r>
        <w:t xml:space="preserve"> </w:t>
      </w:r>
      <w:r w:rsidR="00383E89">
        <w:t xml:space="preserve">TURN Opening Comments on Workshop #2 at 40 – 41. </w:t>
      </w:r>
    </w:p>
  </w:footnote>
  <w:footnote w:id="39">
    <w:p w14:paraId="428E444E" w14:textId="2C1E8662" w:rsidR="00A046ED" w:rsidRDefault="00A046ED">
      <w:pPr>
        <w:pStyle w:val="FootnoteText"/>
      </w:pPr>
      <w:r>
        <w:rPr>
          <w:rStyle w:val="FootnoteReference"/>
        </w:rPr>
        <w:footnoteRef/>
      </w:r>
      <w:r>
        <w:t xml:space="preserve"> SPD Staff Risk Tolerance Proposal at 9.</w:t>
      </w:r>
    </w:p>
  </w:footnote>
  <w:footnote w:id="40">
    <w:p w14:paraId="2BE0721F" w14:textId="01DDFDFF" w:rsidR="0020539D" w:rsidRDefault="0020539D">
      <w:pPr>
        <w:pStyle w:val="FootnoteText"/>
      </w:pPr>
      <w:r>
        <w:rPr>
          <w:rStyle w:val="FootnoteReference"/>
        </w:rPr>
        <w:footnoteRef/>
      </w:r>
      <w:r>
        <w:t xml:space="preserve"> </w:t>
      </w:r>
      <w:r w:rsidRPr="00397465">
        <w:rPr>
          <w:i/>
          <w:iCs/>
        </w:rPr>
        <w:t>Id</w:t>
      </w:r>
      <w:r>
        <w:t>.</w:t>
      </w:r>
    </w:p>
  </w:footnote>
  <w:footnote w:id="41">
    <w:p w14:paraId="1969A614" w14:textId="0253C9F8" w:rsidR="00BB0308" w:rsidRDefault="00BB0308">
      <w:pPr>
        <w:pStyle w:val="FootnoteText"/>
      </w:pPr>
      <w:r>
        <w:rPr>
          <w:rStyle w:val="FootnoteReference"/>
        </w:rPr>
        <w:footnoteRef/>
      </w:r>
      <w:r>
        <w:t xml:space="preserve"> PG&amp;E Opening Comments on Workshop #2 at 34 – 35.</w:t>
      </w:r>
    </w:p>
  </w:footnote>
  <w:footnote w:id="42">
    <w:p w14:paraId="2BF37588" w14:textId="77777777" w:rsidR="00C21503" w:rsidRDefault="00C21503" w:rsidP="00C21503">
      <w:pPr>
        <w:pStyle w:val="FootnoteText"/>
      </w:pPr>
      <w:r>
        <w:rPr>
          <w:rStyle w:val="FootnoteReference"/>
        </w:rPr>
        <w:footnoteRef/>
      </w:r>
      <w:r>
        <w:t xml:space="preserve"> Sempra Companies Opening Comments on Workshop #2 at 11 – 12.</w:t>
      </w:r>
    </w:p>
  </w:footnote>
  <w:footnote w:id="43">
    <w:p w14:paraId="225E7740" w14:textId="77777777" w:rsidR="00C21503" w:rsidRDefault="00C21503" w:rsidP="00C21503">
      <w:pPr>
        <w:pStyle w:val="FootnoteText"/>
      </w:pPr>
      <w:r>
        <w:rPr>
          <w:rStyle w:val="FootnoteReference"/>
        </w:rPr>
        <w:footnoteRef/>
      </w:r>
      <w:r>
        <w:t xml:space="preserve"> SCE Opening Comments on Workshop #2 at 16 – 19.</w:t>
      </w:r>
    </w:p>
  </w:footnote>
  <w:footnote w:id="44">
    <w:p w14:paraId="410F159B" w14:textId="3AB7AB16" w:rsidR="00201EE1" w:rsidRDefault="00201EE1">
      <w:pPr>
        <w:pStyle w:val="FootnoteText"/>
      </w:pPr>
      <w:r>
        <w:rPr>
          <w:rStyle w:val="FootnoteReference"/>
        </w:rPr>
        <w:footnoteRef/>
      </w:r>
      <w:r>
        <w:t xml:space="preserve"> TURN Opening Comments on Workshop #2 </w:t>
      </w:r>
      <w:r w:rsidR="009754D5">
        <w:t>at 5.</w:t>
      </w:r>
    </w:p>
  </w:footnote>
  <w:footnote w:id="45">
    <w:p w14:paraId="6537FD11" w14:textId="4B18A3D7" w:rsidR="00C26548" w:rsidRDefault="00C26548">
      <w:pPr>
        <w:pStyle w:val="FootnoteText"/>
      </w:pPr>
      <w:r>
        <w:rPr>
          <w:rStyle w:val="FootnoteReference"/>
        </w:rPr>
        <w:footnoteRef/>
      </w:r>
      <w:r>
        <w:t xml:space="preserve"> </w:t>
      </w:r>
      <w:r w:rsidRPr="00C26548">
        <w:rPr>
          <w:i/>
          <w:iCs/>
        </w:rPr>
        <w:t xml:space="preserve">Id. </w:t>
      </w:r>
      <w:r>
        <w:t>at 6</w:t>
      </w:r>
      <w:r w:rsidR="00E91045">
        <w:t xml:space="preserve"> – 7. </w:t>
      </w:r>
    </w:p>
  </w:footnote>
  <w:footnote w:id="46">
    <w:p w14:paraId="0B3BE281" w14:textId="7DB3A081" w:rsidR="00E57A3C" w:rsidRDefault="00E57A3C">
      <w:pPr>
        <w:pStyle w:val="FootnoteText"/>
      </w:pPr>
      <w:r>
        <w:rPr>
          <w:rStyle w:val="FootnoteReference"/>
        </w:rPr>
        <w:footnoteRef/>
      </w:r>
      <w:r>
        <w:t xml:space="preserve"> Cal Advocates Opening Comments on Workshop #2 at </w:t>
      </w:r>
      <w:r w:rsidR="002C288B">
        <w:t>9.</w:t>
      </w:r>
    </w:p>
  </w:footnote>
  <w:footnote w:id="47">
    <w:p w14:paraId="5CCE3FC0" w14:textId="27EFF916" w:rsidR="0054597D" w:rsidRDefault="0054597D">
      <w:pPr>
        <w:pStyle w:val="FootnoteText"/>
      </w:pPr>
      <w:r>
        <w:rPr>
          <w:rStyle w:val="FootnoteReference"/>
        </w:rPr>
        <w:footnoteRef/>
      </w:r>
      <w:r>
        <w:t xml:space="preserve"> MGRA Opening Comments at </w:t>
      </w:r>
      <w:r w:rsidR="00D75576">
        <w:t>3.</w:t>
      </w:r>
    </w:p>
  </w:footnote>
  <w:footnote w:id="48">
    <w:p w14:paraId="040A099D" w14:textId="1B7574DC" w:rsidR="00EE58DE" w:rsidRDefault="00EE58DE">
      <w:pPr>
        <w:pStyle w:val="FootnoteText"/>
      </w:pPr>
      <w:r>
        <w:rPr>
          <w:rStyle w:val="FootnoteReference"/>
        </w:rPr>
        <w:footnoteRef/>
      </w:r>
      <w:r>
        <w:t xml:space="preserve"> EPUC/IS Opening Comments on Workshop #2 at 9 – 10. </w:t>
      </w:r>
    </w:p>
  </w:footnote>
  <w:footnote w:id="49">
    <w:p w14:paraId="0ADB031E" w14:textId="0C13F640" w:rsidR="00AA56A1" w:rsidRDefault="00AA56A1">
      <w:pPr>
        <w:pStyle w:val="FootnoteText"/>
      </w:pPr>
      <w:r>
        <w:rPr>
          <w:rStyle w:val="FootnoteReference"/>
        </w:rPr>
        <w:footnoteRef/>
      </w:r>
      <w:r>
        <w:t xml:space="preserve"> SPD Staff Risk Tolerance Proposal at 27.</w:t>
      </w:r>
    </w:p>
  </w:footnote>
  <w:footnote w:id="50">
    <w:p w14:paraId="4DE7CB80" w14:textId="16EB1422" w:rsidR="004A0E56" w:rsidRDefault="004A0E56">
      <w:pPr>
        <w:pStyle w:val="FootnoteText"/>
      </w:pPr>
      <w:r>
        <w:rPr>
          <w:rStyle w:val="FootnoteReference"/>
        </w:rPr>
        <w:footnoteRef/>
      </w:r>
      <w:r>
        <w:t xml:space="preserve"> </w:t>
      </w:r>
      <w:r w:rsidRPr="001F2AAF">
        <w:rPr>
          <w:i/>
          <w:iCs/>
        </w:rPr>
        <w:t>Id</w:t>
      </w:r>
      <w:r>
        <w:t xml:space="preserve">. at </w:t>
      </w:r>
      <w:r w:rsidR="00933BF1">
        <w:t>29.</w:t>
      </w:r>
    </w:p>
  </w:footnote>
  <w:footnote w:id="51">
    <w:p w14:paraId="108022A2" w14:textId="27778FDF" w:rsidR="00933BF1" w:rsidRDefault="00933BF1">
      <w:pPr>
        <w:pStyle w:val="FootnoteText"/>
      </w:pPr>
      <w:r>
        <w:rPr>
          <w:rStyle w:val="FootnoteReference"/>
        </w:rPr>
        <w:footnoteRef/>
      </w:r>
      <w:r>
        <w:t xml:space="preserve"> </w:t>
      </w:r>
      <w:r w:rsidRPr="001F2AAF">
        <w:rPr>
          <w:i/>
          <w:iCs/>
        </w:rPr>
        <w:t>Id</w:t>
      </w:r>
      <w:r>
        <w:t xml:space="preserve">. at 30. </w:t>
      </w:r>
    </w:p>
  </w:footnote>
  <w:footnote w:id="52">
    <w:p w14:paraId="5E654E1F" w14:textId="33EE1BEE" w:rsidR="0019314B" w:rsidRDefault="0019314B">
      <w:pPr>
        <w:pStyle w:val="FootnoteText"/>
      </w:pPr>
      <w:r>
        <w:rPr>
          <w:rStyle w:val="FootnoteReference"/>
        </w:rPr>
        <w:footnoteRef/>
      </w:r>
      <w:r>
        <w:t xml:space="preserve"> </w:t>
      </w:r>
      <w:r w:rsidRPr="001F2AAF">
        <w:rPr>
          <w:i/>
          <w:iCs/>
        </w:rPr>
        <w:t>Id</w:t>
      </w:r>
      <w:r>
        <w:t>. at 34.</w:t>
      </w:r>
    </w:p>
  </w:footnote>
  <w:footnote w:id="53">
    <w:p w14:paraId="3B4C8097" w14:textId="5D96A777" w:rsidR="00BD2B3B" w:rsidRDefault="00BD2B3B">
      <w:pPr>
        <w:pStyle w:val="FootnoteText"/>
      </w:pPr>
      <w:r>
        <w:rPr>
          <w:rStyle w:val="FootnoteReference"/>
        </w:rPr>
        <w:footnoteRef/>
      </w:r>
      <w:r>
        <w:t xml:space="preserve"> PG&amp;E Opening Comments on Workshop #2 at 22 – 24.</w:t>
      </w:r>
    </w:p>
  </w:footnote>
  <w:footnote w:id="54">
    <w:p w14:paraId="73256BCA" w14:textId="77777777" w:rsidR="00B008AD" w:rsidRDefault="00B008AD" w:rsidP="00B008AD">
      <w:pPr>
        <w:pStyle w:val="FootnoteText"/>
      </w:pPr>
      <w:r>
        <w:rPr>
          <w:rStyle w:val="FootnoteReference"/>
        </w:rPr>
        <w:footnoteRef/>
      </w:r>
      <w:r>
        <w:t xml:space="preserve"> </w:t>
      </w:r>
      <w:r w:rsidRPr="001F2AAF">
        <w:rPr>
          <w:i/>
          <w:iCs/>
        </w:rPr>
        <w:t>Id</w:t>
      </w:r>
      <w:r>
        <w:t>. at 25 – 26.</w:t>
      </w:r>
    </w:p>
  </w:footnote>
  <w:footnote w:id="55">
    <w:p w14:paraId="21FD746B" w14:textId="77777777" w:rsidR="00FB2400" w:rsidRDefault="00FB2400" w:rsidP="00FB2400">
      <w:pPr>
        <w:pStyle w:val="FootnoteText"/>
      </w:pPr>
      <w:r>
        <w:rPr>
          <w:rStyle w:val="FootnoteReference"/>
        </w:rPr>
        <w:footnoteRef/>
      </w:r>
      <w:r>
        <w:t xml:space="preserve"> SCE Opening Comments on Workshop #2 at 31.</w:t>
      </w:r>
    </w:p>
  </w:footnote>
  <w:footnote w:id="56">
    <w:p w14:paraId="55946F9A" w14:textId="20BF6167" w:rsidR="004E1049" w:rsidRDefault="004E1049">
      <w:pPr>
        <w:pStyle w:val="FootnoteText"/>
      </w:pPr>
      <w:r>
        <w:rPr>
          <w:rStyle w:val="FootnoteReference"/>
        </w:rPr>
        <w:footnoteRef/>
      </w:r>
      <w:r>
        <w:t xml:space="preserve"> Sempra Companies Opening Comments on Workshop #2 at 18 – 19. </w:t>
      </w:r>
    </w:p>
  </w:footnote>
  <w:footnote w:id="57">
    <w:p w14:paraId="63E1F0D2" w14:textId="7FBB8741" w:rsidR="00AD09F4" w:rsidRDefault="00AD09F4">
      <w:pPr>
        <w:pStyle w:val="FootnoteText"/>
      </w:pPr>
      <w:r>
        <w:rPr>
          <w:rStyle w:val="FootnoteReference"/>
        </w:rPr>
        <w:footnoteRef/>
      </w:r>
      <w:r>
        <w:t xml:space="preserve"> Cal Advocates Opening Comments on Workshop #2 at 10 – 11.</w:t>
      </w:r>
    </w:p>
  </w:footnote>
  <w:footnote w:id="58">
    <w:p w14:paraId="68D55FC1" w14:textId="0CF5A5FC" w:rsidR="0009203F" w:rsidRDefault="0009203F">
      <w:pPr>
        <w:pStyle w:val="FootnoteText"/>
      </w:pPr>
      <w:r>
        <w:rPr>
          <w:rStyle w:val="FootnoteReference"/>
        </w:rPr>
        <w:footnoteRef/>
      </w:r>
      <w:r>
        <w:t xml:space="preserve"> </w:t>
      </w:r>
      <w:r w:rsidR="00394448">
        <w:t>TURN Opening Comments on Workshop #2 at 28 – 29.</w:t>
      </w:r>
    </w:p>
  </w:footnote>
  <w:footnote w:id="59">
    <w:p w14:paraId="16CC0547" w14:textId="15DE1A97" w:rsidR="00FA5DBB" w:rsidRDefault="00FA5DBB">
      <w:pPr>
        <w:pStyle w:val="FootnoteText"/>
      </w:pPr>
      <w:r>
        <w:rPr>
          <w:rStyle w:val="FootnoteReference"/>
        </w:rPr>
        <w:footnoteRef/>
      </w:r>
      <w:r>
        <w:t xml:space="preserve"> TURN Reply Comments on Workshop #2 at 8.</w:t>
      </w:r>
    </w:p>
  </w:footnote>
  <w:footnote w:id="60">
    <w:p w14:paraId="75C71B8A" w14:textId="6054269D" w:rsidR="006F01E6" w:rsidRDefault="006F01E6">
      <w:pPr>
        <w:pStyle w:val="FootnoteText"/>
      </w:pPr>
      <w:r>
        <w:rPr>
          <w:rStyle w:val="FootnoteReference"/>
        </w:rPr>
        <w:footnoteRef/>
      </w:r>
      <w:r>
        <w:t xml:space="preserve"> EPUC/IS Opening Comments on Workshop #2 at 26 – 28.</w:t>
      </w:r>
    </w:p>
  </w:footnote>
  <w:footnote w:id="61">
    <w:p w14:paraId="67A32420" w14:textId="298F148A" w:rsidR="00F51068" w:rsidRDefault="00F51068">
      <w:pPr>
        <w:pStyle w:val="FootnoteText"/>
      </w:pPr>
      <w:r>
        <w:rPr>
          <w:rStyle w:val="FootnoteReference"/>
        </w:rPr>
        <w:footnoteRef/>
      </w:r>
      <w:r>
        <w:t xml:space="preserve"> MGRA Opening Comments on Workshop #2 at 9.</w:t>
      </w:r>
    </w:p>
  </w:footnote>
  <w:footnote w:id="62">
    <w:p w14:paraId="13468082" w14:textId="77777777" w:rsidR="00094BBC" w:rsidRDefault="00094BBC" w:rsidP="00094BBC">
      <w:pPr>
        <w:pStyle w:val="FootnoteText"/>
      </w:pPr>
      <w:r>
        <w:rPr>
          <w:rStyle w:val="FootnoteReference"/>
        </w:rPr>
        <w:footnoteRef/>
      </w:r>
      <w:r>
        <w:t xml:space="preserve"> The Public Advocates Office’s Recommendation to Develop Risk Mitigation Project Templates in Rulemaking 20-07-013 Workshop 5, October 31 2023, at 15.</w:t>
      </w:r>
    </w:p>
  </w:footnote>
  <w:footnote w:id="63">
    <w:p w14:paraId="12BCA710" w14:textId="77777777" w:rsidR="00094BBC" w:rsidRDefault="00094BBC" w:rsidP="00094BBC">
      <w:pPr>
        <w:pStyle w:val="FootnoteText"/>
      </w:pPr>
      <w:r>
        <w:rPr>
          <w:rStyle w:val="FootnoteReference"/>
        </w:rPr>
        <w:footnoteRef/>
      </w:r>
      <w:r>
        <w:t xml:space="preserve"> D.24-05-064 at 110. </w:t>
      </w:r>
    </w:p>
  </w:footnote>
  <w:footnote w:id="64">
    <w:p w14:paraId="6A61CE40" w14:textId="77777777" w:rsidR="00094BBC" w:rsidRDefault="00094BBC" w:rsidP="00094BBC">
      <w:pPr>
        <w:pStyle w:val="FootnoteText"/>
      </w:pPr>
      <w:r>
        <w:rPr>
          <w:rStyle w:val="FootnoteReference"/>
        </w:rPr>
        <w:footnoteRef/>
      </w:r>
      <w:r>
        <w:t xml:space="preserve"> D.24-05-064, Appendix A, Row 28 at A-19. All three IOUs have a different alphanumeric naming convention for their programs. For details see D.24-05-064, Appendix A, Row 28 at A-19 – A-20</w:t>
      </w:r>
    </w:p>
  </w:footnote>
  <w:footnote w:id="65">
    <w:p w14:paraId="45326B5B" w14:textId="77777777" w:rsidR="00094BBC" w:rsidRDefault="00094BBC" w:rsidP="00094BBC">
      <w:pPr>
        <w:pStyle w:val="FootnoteText"/>
      </w:pPr>
      <w:r w:rsidRPr="00891C2B">
        <w:rPr>
          <w:rStyle w:val="FootnoteReference"/>
        </w:rPr>
        <w:footnoteRef/>
      </w:r>
      <w:r w:rsidRPr="00891C2B">
        <w:t xml:space="preserve"> </w:t>
      </w:r>
      <w:r w:rsidRPr="003D3A82">
        <w:t xml:space="preserve">The granularity of tranches </w:t>
      </w:r>
      <w:r>
        <w:t xml:space="preserve">has been addressed by the Commission in the Phase 3 Decision. </w:t>
      </w:r>
      <w:r w:rsidRPr="00891C2B">
        <w:t>See D.24-05-064 at 26 and D.24-05-064 Appendix A, Row 14 at A-13 for details.</w:t>
      </w:r>
    </w:p>
  </w:footnote>
  <w:footnote w:id="66">
    <w:p w14:paraId="3A4D506F" w14:textId="77777777" w:rsidR="00094BBC" w:rsidRDefault="00094BBC" w:rsidP="00094BBC">
      <w:pPr>
        <w:pStyle w:val="FootnoteText"/>
      </w:pPr>
      <w:r>
        <w:rPr>
          <w:rStyle w:val="FootnoteReference"/>
        </w:rPr>
        <w:footnoteRef/>
      </w:r>
      <w:r>
        <w:t xml:space="preserve"> Staff Proposal at 5-8.</w:t>
      </w:r>
    </w:p>
  </w:footnote>
  <w:footnote w:id="67">
    <w:p w14:paraId="43138C03" w14:textId="77777777" w:rsidR="00094BBC" w:rsidRDefault="00094BBC" w:rsidP="00094BBC">
      <w:pPr>
        <w:pStyle w:val="FootnoteText"/>
      </w:pPr>
      <w:r>
        <w:rPr>
          <w:rStyle w:val="FootnoteReference"/>
        </w:rPr>
        <w:footnoteRef/>
      </w:r>
      <w:r>
        <w:t xml:space="preserve"> Staff Proposal at 9.</w:t>
      </w:r>
    </w:p>
  </w:footnote>
  <w:footnote w:id="68">
    <w:p w14:paraId="63152803" w14:textId="77777777" w:rsidR="00094BBC" w:rsidRDefault="00094BBC" w:rsidP="00094BBC">
      <w:pPr>
        <w:pStyle w:val="FootnoteText"/>
      </w:pPr>
      <w:r>
        <w:rPr>
          <w:rStyle w:val="FootnoteReference"/>
        </w:rPr>
        <w:footnoteRef/>
      </w:r>
      <w:r>
        <w:t xml:space="preserve"> Hierarchy refers to a utility’s organizational hierarchy, such as an Electric Distribution Division or a Gas Distribution Division as well as other ways of categorizing high risk assets and systems (i.e. HFTDs, circuits, regions etc.). Unique identifiers could also include features that were discussed further in the RMAR Staff Proposal, such as Scenario, which refers to actuals, plan or forecast, and Version, which refers to a risk model version. </w:t>
      </w:r>
    </w:p>
  </w:footnote>
  <w:footnote w:id="69">
    <w:p w14:paraId="3DACF466" w14:textId="77777777" w:rsidR="00094BBC" w:rsidRDefault="00094BBC" w:rsidP="00094BBC">
      <w:pPr>
        <w:pStyle w:val="FootnoteText"/>
      </w:pPr>
      <w:r>
        <w:rPr>
          <w:rStyle w:val="FootnoteReference"/>
        </w:rPr>
        <w:footnoteRef/>
      </w:r>
      <w:r>
        <w:t xml:space="preserve"> For the FERC USOA, see 18 CFR Part 101 </w:t>
      </w:r>
      <w:hyperlink r:id="rId2" w:history="1">
        <w:r w:rsidRPr="005F5128">
          <w:rPr>
            <w:rStyle w:val="Hyperlink"/>
          </w:rPr>
          <w:t>https://www.ecfr.gov/current/title-18/chapter-I/subchapter-C/part-101</w:t>
        </w:r>
      </w:hyperlink>
      <w:r>
        <w:t xml:space="preserve"> </w:t>
      </w:r>
    </w:p>
  </w:footnote>
  <w:footnote w:id="70">
    <w:p w14:paraId="2F28C9D1" w14:textId="77777777" w:rsidR="00094BBC" w:rsidRDefault="00094BBC" w:rsidP="00094BBC">
      <w:pPr>
        <w:pStyle w:val="FootnoteText"/>
      </w:pPr>
      <w:r>
        <w:rPr>
          <w:rStyle w:val="FootnoteReference"/>
        </w:rPr>
        <w:footnoteRef/>
      </w:r>
      <w:r>
        <w:t xml:space="preserve"> Hierarchy refers to a utility’s organizational hierarchy, such as an Electric Distribution Division or a Gas Distribution Division as well as other ways of categorizing high risk assets and systems (i.e. HFTDs, circuits, regions etc.).</w:t>
      </w:r>
    </w:p>
  </w:footnote>
  <w:footnote w:id="71">
    <w:p w14:paraId="4AD32BD2" w14:textId="0929CD0F" w:rsidR="00094BBC" w:rsidRDefault="00094BBC" w:rsidP="00094BBC">
      <w:pPr>
        <w:pStyle w:val="FootnoteText"/>
      </w:pPr>
      <w:r>
        <w:rPr>
          <w:rStyle w:val="FootnoteReference"/>
        </w:rPr>
        <w:footnoteRef/>
      </w:r>
      <w:r>
        <w:t xml:space="preserve"> </w:t>
      </w:r>
      <w:r w:rsidR="00B8116A">
        <w:t xml:space="preserve">Joint </w:t>
      </w:r>
      <w:r>
        <w:t xml:space="preserve">IOU </w:t>
      </w:r>
      <w:r w:rsidR="00B8116A">
        <w:t xml:space="preserve">Scoped Work </w:t>
      </w:r>
      <w:r>
        <w:t>Proposal at 7.</w:t>
      </w:r>
    </w:p>
  </w:footnote>
  <w:footnote w:id="72">
    <w:p w14:paraId="2244E96A" w14:textId="6E0F8316" w:rsidR="00094BBC" w:rsidRDefault="00094BBC" w:rsidP="00094BBC">
      <w:pPr>
        <w:pStyle w:val="FootnoteText"/>
      </w:pPr>
      <w:r>
        <w:rPr>
          <w:rStyle w:val="FootnoteReference"/>
        </w:rPr>
        <w:footnoteRef/>
      </w:r>
      <w:r>
        <w:t xml:space="preserve"> </w:t>
      </w:r>
      <w:r w:rsidR="00B8116A" w:rsidRPr="001F2AAF">
        <w:rPr>
          <w:i/>
          <w:iCs/>
        </w:rPr>
        <w:t>Id</w:t>
      </w:r>
      <w:r w:rsidR="00B8116A">
        <w:t>. at</w:t>
      </w:r>
      <w:r>
        <w:t xml:space="preserve"> 10.</w:t>
      </w:r>
    </w:p>
  </w:footnote>
  <w:footnote w:id="73">
    <w:p w14:paraId="48BB3DFB" w14:textId="503A5DF6" w:rsidR="00094BBC" w:rsidRDefault="00094BBC" w:rsidP="00094BBC">
      <w:pPr>
        <w:pStyle w:val="FootnoteText"/>
      </w:pPr>
      <w:r>
        <w:rPr>
          <w:rStyle w:val="FootnoteReference"/>
        </w:rPr>
        <w:footnoteRef/>
      </w:r>
      <w:r>
        <w:t xml:space="preserve"> </w:t>
      </w:r>
      <w:r w:rsidR="00B8116A" w:rsidRPr="001F2AAF">
        <w:rPr>
          <w:i/>
          <w:iCs/>
        </w:rPr>
        <w:t>Id</w:t>
      </w:r>
      <w:r w:rsidR="00B8116A">
        <w:t>. at</w:t>
      </w:r>
      <w:r>
        <w:t xml:space="preserve"> 11.</w:t>
      </w:r>
    </w:p>
  </w:footnote>
  <w:footnote w:id="74">
    <w:p w14:paraId="5245A20B" w14:textId="496E8602" w:rsidR="00094BBC" w:rsidRDefault="00094BBC" w:rsidP="00094BBC">
      <w:pPr>
        <w:pStyle w:val="FootnoteText"/>
      </w:pPr>
      <w:r>
        <w:rPr>
          <w:rStyle w:val="FootnoteReference"/>
        </w:rPr>
        <w:footnoteRef/>
      </w:r>
      <w:r>
        <w:t xml:space="preserve"> </w:t>
      </w:r>
      <w:r w:rsidR="00D057FC" w:rsidRPr="001F2AAF">
        <w:rPr>
          <w:i/>
          <w:iCs/>
        </w:rPr>
        <w:t>Id</w:t>
      </w:r>
      <w:r>
        <w:t>.</w:t>
      </w:r>
    </w:p>
  </w:footnote>
  <w:footnote w:id="75">
    <w:p w14:paraId="5466745C" w14:textId="6EF04B48" w:rsidR="00094BBC" w:rsidRDefault="00094BBC" w:rsidP="00094BBC">
      <w:pPr>
        <w:pStyle w:val="FootnoteText"/>
      </w:pPr>
      <w:r>
        <w:rPr>
          <w:rStyle w:val="FootnoteReference"/>
        </w:rPr>
        <w:footnoteRef/>
      </w:r>
      <w:r>
        <w:t xml:space="preserve"> </w:t>
      </w:r>
      <w:r w:rsidR="00D057FC" w:rsidRPr="00D37897">
        <w:rPr>
          <w:i/>
          <w:iCs/>
        </w:rPr>
        <w:t>Id</w:t>
      </w:r>
      <w:r w:rsidR="00D057FC">
        <w:t>.</w:t>
      </w:r>
      <w:r>
        <w:t xml:space="preserve"> at 6.</w:t>
      </w:r>
    </w:p>
  </w:footnote>
  <w:footnote w:id="76">
    <w:p w14:paraId="798ACAA1" w14:textId="18F8CB65" w:rsidR="00094BBC" w:rsidRDefault="00094BBC" w:rsidP="00094BBC">
      <w:pPr>
        <w:pStyle w:val="FootnoteText"/>
      </w:pPr>
      <w:r>
        <w:rPr>
          <w:rStyle w:val="FootnoteReference"/>
        </w:rPr>
        <w:footnoteRef/>
      </w:r>
      <w:r>
        <w:t xml:space="preserve"> </w:t>
      </w:r>
      <w:r w:rsidR="00EF0EED" w:rsidRPr="00D37897">
        <w:rPr>
          <w:i/>
          <w:iCs/>
        </w:rPr>
        <w:t>Id</w:t>
      </w:r>
      <w:r w:rsidR="00EF0EED">
        <w:t>.</w:t>
      </w:r>
      <w:r>
        <w:t xml:space="preserve"> at 12.</w:t>
      </w:r>
    </w:p>
  </w:footnote>
  <w:footnote w:id="77">
    <w:p w14:paraId="5C8C8131" w14:textId="5B71B4F5" w:rsidR="00094BBC" w:rsidRDefault="00094BBC" w:rsidP="00094BBC">
      <w:pPr>
        <w:pStyle w:val="FootnoteText"/>
      </w:pPr>
      <w:r>
        <w:rPr>
          <w:rStyle w:val="FootnoteReference"/>
        </w:rPr>
        <w:footnoteRef/>
      </w:r>
      <w:r>
        <w:t xml:space="preserve"> SCE Opening Comments</w:t>
      </w:r>
      <w:r w:rsidR="00EF0EED">
        <w:t xml:space="preserve"> on Workshop #1</w:t>
      </w:r>
      <w:r>
        <w:t xml:space="preserve"> at 12.</w:t>
      </w:r>
    </w:p>
  </w:footnote>
  <w:footnote w:id="78">
    <w:p w14:paraId="154514A3" w14:textId="4C5BB078" w:rsidR="00094BBC" w:rsidRDefault="00094BBC" w:rsidP="00094BBC">
      <w:pPr>
        <w:pStyle w:val="FootnoteText"/>
      </w:pPr>
      <w:r>
        <w:rPr>
          <w:rStyle w:val="FootnoteReference"/>
        </w:rPr>
        <w:footnoteRef/>
      </w:r>
      <w:r>
        <w:t xml:space="preserve"> Joint Intervenor Opening Comments </w:t>
      </w:r>
      <w:r w:rsidR="00EF0EED">
        <w:t xml:space="preserve">on Workshop #1 </w:t>
      </w:r>
      <w:r>
        <w:t>at 5.</w:t>
      </w:r>
    </w:p>
  </w:footnote>
  <w:footnote w:id="79">
    <w:p w14:paraId="163570E8" w14:textId="6811FA68" w:rsidR="00094BBC" w:rsidRDefault="00094BBC" w:rsidP="00094BBC">
      <w:pPr>
        <w:pStyle w:val="FootnoteText"/>
      </w:pPr>
      <w:r>
        <w:rPr>
          <w:rStyle w:val="FootnoteReference"/>
        </w:rPr>
        <w:footnoteRef/>
      </w:r>
      <w:r>
        <w:t xml:space="preserve"> PG&amp;E Opening Comments </w:t>
      </w:r>
      <w:r w:rsidR="009C10E2">
        <w:t xml:space="preserve">on Workshop #1 </w:t>
      </w:r>
      <w:r>
        <w:t>at 3, Sempra Opening Comments</w:t>
      </w:r>
      <w:r w:rsidR="009C10E2">
        <w:t xml:space="preserve"> on Workshop #1</w:t>
      </w:r>
      <w:r>
        <w:t xml:space="preserve"> at 3</w:t>
      </w:r>
      <w:r w:rsidR="009C10E2">
        <w:t xml:space="preserve"> – 4, </w:t>
      </w:r>
      <w:r>
        <w:t>and SCE Opening Comments</w:t>
      </w:r>
      <w:r w:rsidR="009C10E2">
        <w:t xml:space="preserve"> on Workshop #1</w:t>
      </w:r>
      <w:r>
        <w:t xml:space="preserve"> at 13 and Appendix B.</w:t>
      </w:r>
    </w:p>
  </w:footnote>
  <w:footnote w:id="80">
    <w:p w14:paraId="1B3936E5" w14:textId="2A066EA5" w:rsidR="00094BBC" w:rsidRDefault="00094BBC" w:rsidP="00094BBC">
      <w:pPr>
        <w:pStyle w:val="FootnoteText"/>
      </w:pPr>
      <w:r>
        <w:rPr>
          <w:rStyle w:val="FootnoteReference"/>
        </w:rPr>
        <w:footnoteRef/>
      </w:r>
      <w:r>
        <w:t xml:space="preserve"> Joint Intervenors Reply Comments</w:t>
      </w:r>
      <w:r w:rsidR="009C10E2">
        <w:t xml:space="preserve"> on Workshop #1</w:t>
      </w:r>
      <w:r>
        <w:t xml:space="preserve"> at 7.</w:t>
      </w:r>
    </w:p>
  </w:footnote>
  <w:footnote w:id="81">
    <w:p w14:paraId="7CFBB505" w14:textId="6D77CB4F" w:rsidR="00094BBC" w:rsidRDefault="00094BBC" w:rsidP="00094BBC">
      <w:pPr>
        <w:pStyle w:val="FootnoteText"/>
      </w:pPr>
      <w:r>
        <w:rPr>
          <w:rStyle w:val="FootnoteReference"/>
        </w:rPr>
        <w:footnoteRef/>
      </w:r>
      <w:r>
        <w:t xml:space="preserve"> PG&amp;E Opening Comments </w:t>
      </w:r>
      <w:r w:rsidR="009C10E2">
        <w:t xml:space="preserve">on Workshop #1 </w:t>
      </w:r>
      <w:r>
        <w:t>at 9, SCE Opening Comments</w:t>
      </w:r>
      <w:r w:rsidR="009C10E2">
        <w:t xml:space="preserve"> on Workshop #1</w:t>
      </w:r>
      <w:r>
        <w:t xml:space="preserve"> at </w:t>
      </w:r>
      <w:r w:rsidR="00B935CC">
        <w:t>18</w:t>
      </w:r>
      <w:r w:rsidR="00F31CDF">
        <w:t>, Sempra Opening Comments on Workshop #1 at 7.</w:t>
      </w:r>
    </w:p>
  </w:footnote>
  <w:footnote w:id="82">
    <w:p w14:paraId="5F5C8C1B" w14:textId="41EB0501" w:rsidR="00094BBC" w:rsidRDefault="00094BBC" w:rsidP="00094BBC">
      <w:pPr>
        <w:pStyle w:val="FootnoteText"/>
      </w:pPr>
      <w:r>
        <w:rPr>
          <w:rStyle w:val="FootnoteReference"/>
        </w:rPr>
        <w:footnoteRef/>
      </w:r>
      <w:r>
        <w:t xml:space="preserve"> Joint Intervenors Opening Comments </w:t>
      </w:r>
      <w:r w:rsidR="00631C97">
        <w:t xml:space="preserve">on Workshop #1 </w:t>
      </w:r>
      <w:r>
        <w:t>at 15-16.</w:t>
      </w:r>
    </w:p>
  </w:footnote>
  <w:footnote w:id="83">
    <w:p w14:paraId="7C77DB6B" w14:textId="77A2E9F9" w:rsidR="00094BBC" w:rsidRDefault="00094BBC" w:rsidP="00094BBC">
      <w:pPr>
        <w:pStyle w:val="FootnoteText"/>
      </w:pPr>
      <w:r>
        <w:rPr>
          <w:rStyle w:val="FootnoteReference"/>
        </w:rPr>
        <w:footnoteRef/>
      </w:r>
      <w:r>
        <w:t xml:space="preserve"> Joint Intervenors Opening Comments </w:t>
      </w:r>
      <w:r w:rsidR="00631C97">
        <w:t xml:space="preserve">on Workshop #1 </w:t>
      </w:r>
      <w:r>
        <w:t>at 11.</w:t>
      </w:r>
    </w:p>
  </w:footnote>
  <w:footnote w:id="84">
    <w:p w14:paraId="1D29A27E" w14:textId="695917A3" w:rsidR="00094BBC" w:rsidRDefault="00094BBC" w:rsidP="00094BBC">
      <w:pPr>
        <w:pStyle w:val="FootnoteText"/>
      </w:pPr>
      <w:r>
        <w:rPr>
          <w:rStyle w:val="FootnoteReference"/>
        </w:rPr>
        <w:footnoteRef/>
      </w:r>
      <w:r>
        <w:t xml:space="preserve"> PG&amp;E Reply Comments</w:t>
      </w:r>
      <w:r w:rsidR="00631C97">
        <w:t xml:space="preserve"> on Workshop #1</w:t>
      </w:r>
      <w:r>
        <w:t xml:space="preserve"> at 11.</w:t>
      </w:r>
    </w:p>
  </w:footnote>
  <w:footnote w:id="85">
    <w:p w14:paraId="614B70BF" w14:textId="1E6D6FFC" w:rsidR="00094BBC" w:rsidRDefault="00094BBC" w:rsidP="00094BBC">
      <w:pPr>
        <w:pStyle w:val="FootnoteText"/>
      </w:pPr>
      <w:r>
        <w:rPr>
          <w:rStyle w:val="FootnoteReference"/>
        </w:rPr>
        <w:footnoteRef/>
      </w:r>
      <w:r>
        <w:t xml:space="preserve"> SCE Reply Comments</w:t>
      </w:r>
      <w:r w:rsidR="00631C97">
        <w:t xml:space="preserve"> on Workshop #1</w:t>
      </w:r>
      <w:r>
        <w:t xml:space="preserve"> at 8-9.</w:t>
      </w:r>
    </w:p>
  </w:footnote>
  <w:footnote w:id="86">
    <w:p w14:paraId="26313956" w14:textId="0D2D502B" w:rsidR="00094BBC" w:rsidRDefault="00094BBC" w:rsidP="00094BBC">
      <w:pPr>
        <w:pStyle w:val="FootnoteText"/>
      </w:pPr>
      <w:r>
        <w:rPr>
          <w:rStyle w:val="FootnoteReference"/>
        </w:rPr>
        <w:footnoteRef/>
      </w:r>
      <w:r>
        <w:t xml:space="preserve"> PG&amp;E Opening Comments </w:t>
      </w:r>
      <w:r w:rsidR="00E37A0E">
        <w:t xml:space="preserve">on Workshop #1 </w:t>
      </w:r>
      <w:r>
        <w:t>at 7-8.</w:t>
      </w:r>
    </w:p>
  </w:footnote>
  <w:footnote w:id="87">
    <w:p w14:paraId="49716BF0" w14:textId="4741E612" w:rsidR="00094BBC" w:rsidRDefault="00094BBC" w:rsidP="00094BBC">
      <w:pPr>
        <w:pStyle w:val="FootnoteText"/>
      </w:pPr>
      <w:r>
        <w:rPr>
          <w:rStyle w:val="FootnoteReference"/>
        </w:rPr>
        <w:footnoteRef/>
      </w:r>
      <w:r>
        <w:t xml:space="preserve"> Sempra Opening Comments</w:t>
      </w:r>
      <w:r w:rsidR="00503410">
        <w:t xml:space="preserve"> on Workshop #1</w:t>
      </w:r>
      <w:r>
        <w:t xml:space="preserve"> at 7.</w:t>
      </w:r>
    </w:p>
  </w:footnote>
  <w:footnote w:id="88">
    <w:p w14:paraId="1F46ABE8" w14:textId="34B0F763" w:rsidR="00094BBC" w:rsidRDefault="00094BBC" w:rsidP="00094BBC">
      <w:pPr>
        <w:pStyle w:val="FootnoteText"/>
      </w:pPr>
      <w:r>
        <w:rPr>
          <w:rStyle w:val="FootnoteReference"/>
        </w:rPr>
        <w:footnoteRef/>
      </w:r>
      <w:r>
        <w:t xml:space="preserve"> SCE Opening Comments </w:t>
      </w:r>
      <w:r w:rsidR="00503410">
        <w:t xml:space="preserve">on Workshop #1 </w:t>
      </w:r>
      <w:r>
        <w:t xml:space="preserve">at 16. </w:t>
      </w:r>
    </w:p>
  </w:footnote>
  <w:footnote w:id="89">
    <w:p w14:paraId="753DB553" w14:textId="040F5D8C" w:rsidR="00094BBC" w:rsidRDefault="00094BBC" w:rsidP="00094BBC">
      <w:pPr>
        <w:pStyle w:val="FootnoteText"/>
      </w:pPr>
      <w:r>
        <w:rPr>
          <w:rStyle w:val="FootnoteReference"/>
        </w:rPr>
        <w:footnoteRef/>
      </w:r>
      <w:r>
        <w:t xml:space="preserve"> Sempra Reply Comments </w:t>
      </w:r>
      <w:r w:rsidR="00503410">
        <w:t xml:space="preserve">on Workshop #1 </w:t>
      </w:r>
      <w:r>
        <w:t>at 3.</w:t>
      </w:r>
    </w:p>
  </w:footnote>
  <w:footnote w:id="90">
    <w:p w14:paraId="5B622D62" w14:textId="5ECC47F8" w:rsidR="00094BBC" w:rsidRDefault="00094BBC" w:rsidP="00094BBC">
      <w:pPr>
        <w:pStyle w:val="FootnoteText"/>
      </w:pPr>
      <w:r>
        <w:rPr>
          <w:rStyle w:val="FootnoteReference"/>
        </w:rPr>
        <w:footnoteRef/>
      </w:r>
      <w:r>
        <w:t xml:space="preserve"> SCE Opening Comments </w:t>
      </w:r>
      <w:r w:rsidR="00503410">
        <w:t xml:space="preserve">on Workshop #1 </w:t>
      </w:r>
      <w:r>
        <w:t xml:space="preserve">at 5, Sempra Opening Comments </w:t>
      </w:r>
      <w:r w:rsidR="00503410">
        <w:t xml:space="preserve">on Workshop #1 </w:t>
      </w:r>
      <w:r>
        <w:t>at 4.</w:t>
      </w:r>
    </w:p>
  </w:footnote>
  <w:footnote w:id="91">
    <w:p w14:paraId="6073E8BC" w14:textId="5DF1CDBB" w:rsidR="00094BBC" w:rsidRDefault="00094BBC" w:rsidP="00094BBC">
      <w:pPr>
        <w:pStyle w:val="FootnoteText"/>
      </w:pPr>
      <w:r>
        <w:rPr>
          <w:rStyle w:val="FootnoteReference"/>
        </w:rPr>
        <w:footnoteRef/>
      </w:r>
      <w:r>
        <w:t xml:space="preserve"> Joint Intervenors Opening Comments </w:t>
      </w:r>
      <w:r w:rsidR="00503410">
        <w:t xml:space="preserve">on Workshop #1 </w:t>
      </w:r>
      <w:r>
        <w:t>at 5.</w:t>
      </w:r>
    </w:p>
  </w:footnote>
  <w:footnote w:id="92">
    <w:p w14:paraId="59B44FDC" w14:textId="206E7A91" w:rsidR="00094BBC" w:rsidRDefault="00094BBC" w:rsidP="00094BBC">
      <w:pPr>
        <w:pStyle w:val="FootnoteText"/>
      </w:pPr>
      <w:r>
        <w:rPr>
          <w:rStyle w:val="FootnoteReference"/>
        </w:rPr>
        <w:footnoteRef/>
      </w:r>
      <w:r>
        <w:t xml:space="preserve"> Joint Intervenors Opening Comments </w:t>
      </w:r>
      <w:r w:rsidR="00503410">
        <w:t xml:space="preserve">on Workshop #1 </w:t>
      </w:r>
      <w:r>
        <w:t>at 6.</w:t>
      </w:r>
    </w:p>
  </w:footnote>
  <w:footnote w:id="93">
    <w:p w14:paraId="75688369" w14:textId="4960DB46" w:rsidR="00094BBC" w:rsidRDefault="00094BBC" w:rsidP="00094BBC">
      <w:pPr>
        <w:pStyle w:val="FootnoteText"/>
      </w:pPr>
      <w:r>
        <w:rPr>
          <w:rStyle w:val="FootnoteReference"/>
        </w:rPr>
        <w:footnoteRef/>
      </w:r>
      <w:r>
        <w:t xml:space="preserve"> SCE Reply Comments </w:t>
      </w:r>
      <w:r w:rsidR="00503410">
        <w:t xml:space="preserve">on Workshop #1 </w:t>
      </w:r>
      <w:r>
        <w:t>at 12.</w:t>
      </w:r>
    </w:p>
  </w:footnote>
  <w:footnote w:id="94">
    <w:p w14:paraId="458640D7" w14:textId="23C8FB07" w:rsidR="00094BBC" w:rsidRDefault="00094BBC" w:rsidP="00094BBC">
      <w:pPr>
        <w:pStyle w:val="FootnoteText"/>
      </w:pPr>
      <w:r>
        <w:rPr>
          <w:rStyle w:val="FootnoteReference"/>
        </w:rPr>
        <w:footnoteRef/>
      </w:r>
      <w:r>
        <w:t xml:space="preserve"> PG&amp;E Opening Comments </w:t>
      </w:r>
      <w:r w:rsidR="00503410">
        <w:t xml:space="preserve">on Workshop #1 </w:t>
      </w:r>
      <w:r>
        <w:t>at 5.</w:t>
      </w:r>
    </w:p>
  </w:footnote>
  <w:footnote w:id="95">
    <w:p w14:paraId="4A724EF2" w14:textId="7052F2EA" w:rsidR="00094BBC" w:rsidRDefault="00094BBC" w:rsidP="00094BBC">
      <w:pPr>
        <w:pStyle w:val="FootnoteText"/>
      </w:pPr>
      <w:r>
        <w:rPr>
          <w:rStyle w:val="FootnoteReference"/>
        </w:rPr>
        <w:footnoteRef/>
      </w:r>
      <w:r>
        <w:t xml:space="preserve"> SCE Opening Comments </w:t>
      </w:r>
      <w:r w:rsidR="00503410">
        <w:t xml:space="preserve">on Workshop #1 </w:t>
      </w:r>
      <w:r>
        <w:t>at 15.</w:t>
      </w:r>
    </w:p>
  </w:footnote>
  <w:footnote w:id="96">
    <w:p w14:paraId="1E4B87C3" w14:textId="3DB74BE2" w:rsidR="00094BBC" w:rsidRDefault="00094BBC" w:rsidP="00094BBC">
      <w:pPr>
        <w:pStyle w:val="FootnoteText"/>
      </w:pPr>
      <w:r>
        <w:rPr>
          <w:rStyle w:val="FootnoteReference"/>
        </w:rPr>
        <w:footnoteRef/>
      </w:r>
      <w:r>
        <w:t xml:space="preserve"> Joint Intervenors Opening Comments </w:t>
      </w:r>
      <w:r w:rsidR="00B80BE3">
        <w:t xml:space="preserve">on Workshop #1 </w:t>
      </w:r>
      <w:r>
        <w:t>at 6.</w:t>
      </w:r>
    </w:p>
  </w:footnote>
  <w:footnote w:id="97">
    <w:p w14:paraId="52A40241" w14:textId="3BE6FDFC" w:rsidR="00094BBC" w:rsidRDefault="00094BBC" w:rsidP="00094BBC">
      <w:pPr>
        <w:pStyle w:val="FootnoteText"/>
      </w:pPr>
      <w:r>
        <w:rPr>
          <w:rStyle w:val="FootnoteReference"/>
        </w:rPr>
        <w:footnoteRef/>
      </w:r>
      <w:r>
        <w:t xml:space="preserve"> Joint Intervenors Opening Comments </w:t>
      </w:r>
      <w:r w:rsidR="00B80BE3">
        <w:t xml:space="preserve">on Workshop #1 </w:t>
      </w:r>
      <w:r>
        <w:t>at 6-10.</w:t>
      </w:r>
    </w:p>
  </w:footnote>
  <w:footnote w:id="98">
    <w:p w14:paraId="78F75D37" w14:textId="4B89E429" w:rsidR="00094BBC" w:rsidRDefault="00094BBC" w:rsidP="00094BBC">
      <w:pPr>
        <w:pStyle w:val="FootnoteText"/>
      </w:pPr>
      <w:r>
        <w:rPr>
          <w:rStyle w:val="FootnoteReference"/>
        </w:rPr>
        <w:footnoteRef/>
      </w:r>
      <w:r>
        <w:t xml:space="preserve"> PG&amp;E Reply Comments </w:t>
      </w:r>
      <w:r w:rsidR="00B80BE3">
        <w:t xml:space="preserve">on Workshop #1 </w:t>
      </w:r>
      <w:r>
        <w:t>at 5-6, Sempra Reply Comments</w:t>
      </w:r>
      <w:r w:rsidR="00B80BE3">
        <w:t xml:space="preserve"> on Workshop #1 </w:t>
      </w:r>
      <w:r>
        <w:t xml:space="preserve"> at 3-4, SCE Reply Comments </w:t>
      </w:r>
      <w:r w:rsidR="00B80BE3">
        <w:t xml:space="preserve">on Workshop #1 </w:t>
      </w:r>
      <w:r>
        <w:t>at 3.</w:t>
      </w:r>
    </w:p>
  </w:footnote>
  <w:footnote w:id="99">
    <w:p w14:paraId="44BFEC82" w14:textId="0402D6C9" w:rsidR="00094BBC" w:rsidRDefault="00094BBC" w:rsidP="00094BBC">
      <w:pPr>
        <w:pStyle w:val="FootnoteText"/>
      </w:pPr>
      <w:r>
        <w:rPr>
          <w:rStyle w:val="FootnoteReference"/>
        </w:rPr>
        <w:footnoteRef/>
      </w:r>
      <w:r>
        <w:t xml:space="preserve"> SCE Reply Comments </w:t>
      </w:r>
      <w:r w:rsidR="00B80BE3">
        <w:t xml:space="preserve">on Workshop #1 </w:t>
      </w:r>
      <w:r>
        <w:t>at 13.</w:t>
      </w:r>
    </w:p>
  </w:footnote>
  <w:footnote w:id="100">
    <w:p w14:paraId="11E115DD" w14:textId="7BF680FB" w:rsidR="00094BBC" w:rsidRDefault="00094BBC" w:rsidP="00094BBC">
      <w:pPr>
        <w:pStyle w:val="FootnoteText"/>
      </w:pPr>
      <w:r>
        <w:rPr>
          <w:rStyle w:val="FootnoteReference"/>
        </w:rPr>
        <w:footnoteRef/>
      </w:r>
      <w:r>
        <w:t xml:space="preserve"> Joint Intervenors Opening Comments </w:t>
      </w:r>
      <w:r w:rsidR="00B80BE3">
        <w:t xml:space="preserve">on Workshop #1 </w:t>
      </w:r>
      <w:r>
        <w:t>at 20.</w:t>
      </w:r>
    </w:p>
  </w:footnote>
  <w:footnote w:id="101">
    <w:p w14:paraId="03108293" w14:textId="3ABF2494" w:rsidR="00094BBC" w:rsidRDefault="00094BBC" w:rsidP="00094BBC">
      <w:pPr>
        <w:pStyle w:val="FootnoteText"/>
      </w:pPr>
      <w:r>
        <w:rPr>
          <w:rStyle w:val="FootnoteReference"/>
        </w:rPr>
        <w:footnoteRef/>
      </w:r>
      <w:r>
        <w:t xml:space="preserve"> PG&amp;E Reply Comments </w:t>
      </w:r>
      <w:r w:rsidR="00B80BE3">
        <w:t xml:space="preserve">on Workshop #1 </w:t>
      </w:r>
      <w:r>
        <w:t>at 7.</w:t>
      </w:r>
    </w:p>
  </w:footnote>
  <w:footnote w:id="102">
    <w:p w14:paraId="2B6DF93A" w14:textId="44DC4BFB" w:rsidR="00094BBC" w:rsidRDefault="00094BBC" w:rsidP="00094BBC">
      <w:pPr>
        <w:pStyle w:val="FootnoteText"/>
      </w:pPr>
      <w:r>
        <w:rPr>
          <w:rStyle w:val="FootnoteReference"/>
        </w:rPr>
        <w:footnoteRef/>
      </w:r>
      <w:r>
        <w:t xml:space="preserve"> Sempra Opening Comments </w:t>
      </w:r>
      <w:r w:rsidR="00B80BE3">
        <w:t xml:space="preserve">on Workshop #1 </w:t>
      </w:r>
      <w:r>
        <w:t xml:space="preserve">at 7, Joint Intervenor Opening Comments </w:t>
      </w:r>
      <w:r w:rsidR="00B80BE3">
        <w:t xml:space="preserve">on Workshop #1 </w:t>
      </w:r>
      <w:r>
        <w:t>at 15</w:t>
      </w:r>
    </w:p>
  </w:footnote>
  <w:footnote w:id="103">
    <w:p w14:paraId="34FEE5EA" w14:textId="77777777" w:rsidR="00094BBC" w:rsidRDefault="00094BBC" w:rsidP="00094BBC">
      <w:pPr>
        <w:pStyle w:val="FootnoteText"/>
      </w:pPr>
      <w:r>
        <w:rPr>
          <w:rStyle w:val="FootnoteReference"/>
        </w:rPr>
        <w:footnoteRef/>
      </w:r>
      <w:r>
        <w:t xml:space="preserve"> PG&amp;E Opening Comments at 8-9.</w:t>
      </w:r>
    </w:p>
  </w:footnote>
  <w:footnote w:id="104">
    <w:p w14:paraId="31C70332" w14:textId="77777777" w:rsidR="00094BBC" w:rsidRDefault="00094BBC" w:rsidP="00094BBC">
      <w:pPr>
        <w:pStyle w:val="FootnoteText"/>
      </w:pPr>
      <w:r>
        <w:rPr>
          <w:rStyle w:val="FootnoteReference"/>
        </w:rPr>
        <w:footnoteRef/>
      </w:r>
      <w:r>
        <w:t xml:space="preserve"> SCE Opening Comments at 17.</w:t>
      </w:r>
    </w:p>
  </w:footnote>
  <w:footnote w:id="105">
    <w:p w14:paraId="3AD2700D" w14:textId="77777777" w:rsidR="00094BBC" w:rsidRDefault="00094BBC" w:rsidP="00094BBC">
      <w:pPr>
        <w:pStyle w:val="FootnoteText"/>
      </w:pPr>
      <w:r>
        <w:rPr>
          <w:rStyle w:val="FootnoteReference"/>
        </w:rPr>
        <w:footnoteRef/>
      </w:r>
      <w:r>
        <w:t xml:space="preserve"> PG&amp;E Opening Comments at 6-7, SCE Opening Comments at 15-16, Sempra Opening Comments at 6.</w:t>
      </w:r>
    </w:p>
  </w:footnote>
  <w:footnote w:id="106">
    <w:p w14:paraId="3621893A" w14:textId="77777777" w:rsidR="00094BBC" w:rsidRDefault="00094BBC" w:rsidP="00094BBC">
      <w:pPr>
        <w:pStyle w:val="FootnoteText"/>
      </w:pPr>
      <w:r>
        <w:rPr>
          <w:rStyle w:val="FootnoteReference"/>
        </w:rPr>
        <w:footnoteRef/>
      </w:r>
      <w:r>
        <w:t xml:space="preserve"> Joint Intervenors Opening Comments at 12.</w:t>
      </w:r>
    </w:p>
  </w:footnote>
  <w:footnote w:id="107">
    <w:p w14:paraId="3F9A3C21" w14:textId="77777777" w:rsidR="00094BBC" w:rsidRDefault="00094BBC" w:rsidP="00094BBC">
      <w:pPr>
        <w:pStyle w:val="FootnoteText"/>
      </w:pPr>
      <w:r>
        <w:rPr>
          <w:rStyle w:val="FootnoteReference"/>
        </w:rPr>
        <w:footnoteRef/>
      </w:r>
      <w:r>
        <w:t xml:space="preserve"> Joint Intervenors Opening Comments at 12.</w:t>
      </w:r>
    </w:p>
  </w:footnote>
  <w:footnote w:id="108">
    <w:p w14:paraId="1B019176" w14:textId="77777777" w:rsidR="00094BBC" w:rsidRDefault="00094BBC" w:rsidP="00094BBC">
      <w:pPr>
        <w:pStyle w:val="FootnoteText"/>
      </w:pPr>
      <w:r>
        <w:rPr>
          <w:rStyle w:val="FootnoteReference"/>
        </w:rPr>
        <w:footnoteRef/>
      </w:r>
      <w:r>
        <w:t xml:space="preserve"> Joint Intervenors Opening Comments at 25.</w:t>
      </w:r>
    </w:p>
  </w:footnote>
  <w:footnote w:id="109">
    <w:p w14:paraId="26361CAF" w14:textId="77777777" w:rsidR="00094BBC" w:rsidRDefault="00094BBC" w:rsidP="00094BBC">
      <w:pPr>
        <w:pStyle w:val="FootnoteText"/>
      </w:pPr>
      <w:r>
        <w:rPr>
          <w:rStyle w:val="FootnoteReference"/>
        </w:rPr>
        <w:footnoteRef/>
      </w:r>
      <w:r>
        <w:t xml:space="preserve"> Joint Intervenors Opening Comments at 24.</w:t>
      </w:r>
    </w:p>
  </w:footnote>
  <w:footnote w:id="110">
    <w:p w14:paraId="04F71DA0" w14:textId="77777777" w:rsidR="00094BBC" w:rsidRDefault="00094BBC" w:rsidP="00094BBC">
      <w:pPr>
        <w:pStyle w:val="FootnoteText"/>
      </w:pPr>
      <w:r>
        <w:rPr>
          <w:rStyle w:val="FootnoteReference"/>
        </w:rPr>
        <w:footnoteRef/>
      </w:r>
      <w:r>
        <w:t xml:space="preserve"> D.22-12-002 at 17</w:t>
      </w:r>
    </w:p>
  </w:footnote>
  <w:footnote w:id="111">
    <w:p w14:paraId="17383182" w14:textId="77777777" w:rsidR="00094BBC" w:rsidRDefault="00094BBC" w:rsidP="00094BBC">
      <w:pPr>
        <w:pStyle w:val="FootnoteText"/>
      </w:pPr>
      <w:r>
        <w:rPr>
          <w:rStyle w:val="FootnoteReference"/>
        </w:rPr>
        <w:footnoteRef/>
      </w:r>
      <w:r>
        <w:t xml:space="preserve"> Joint Intervenors Opening Comments at 24.</w:t>
      </w:r>
    </w:p>
  </w:footnote>
  <w:footnote w:id="112">
    <w:p w14:paraId="61D00C69" w14:textId="02C5709C" w:rsidR="00094BBC" w:rsidRDefault="00094BBC" w:rsidP="00094BBC">
      <w:pPr>
        <w:pStyle w:val="FootnoteText"/>
      </w:pPr>
      <w:r>
        <w:rPr>
          <w:rStyle w:val="FootnoteReference"/>
        </w:rPr>
        <w:footnoteRef/>
      </w:r>
      <w:r>
        <w:t xml:space="preserve"> Hierarchy refers to a utility’s organizational hierarchy, such as an Electric Distribution Division or a Gas Distribution Division as well as other ways of categorizing high risk assets and systems (i.e. HFTDs, circuits, regions</w:t>
      </w:r>
      <w:r w:rsidR="002F7B43">
        <w:t>,</w:t>
      </w:r>
      <w:r>
        <w:t xml:space="preserve"> etc.).</w:t>
      </w:r>
    </w:p>
  </w:footnote>
  <w:footnote w:id="113">
    <w:p w14:paraId="0578FD3A" w14:textId="772D2FFB" w:rsidR="00094BBC" w:rsidRDefault="00094BBC" w:rsidP="00094BBC">
      <w:pPr>
        <w:pStyle w:val="FootnoteText"/>
      </w:pPr>
      <w:r>
        <w:rPr>
          <w:rStyle w:val="FootnoteReference"/>
        </w:rPr>
        <w:footnoteRef/>
      </w:r>
      <w:r>
        <w:t xml:space="preserve"> Scenario refers to </w:t>
      </w:r>
      <w:r w:rsidR="00864379">
        <w:t>f</w:t>
      </w:r>
      <w:r w:rsidR="002D075E" w:rsidRPr="002D075E">
        <w:t xml:space="preserve">orecasts, </w:t>
      </w:r>
      <w:r w:rsidR="00864379">
        <w:t>r</w:t>
      </w:r>
      <w:r w:rsidR="002D075E" w:rsidRPr="002D075E">
        <w:t xml:space="preserve">esults, and </w:t>
      </w:r>
      <w:r w:rsidR="00864379">
        <w:t>p</w:t>
      </w:r>
      <w:r w:rsidR="002D075E" w:rsidRPr="002D075E">
        <w:t>rojections</w:t>
      </w:r>
      <w:r>
        <w:t>.</w:t>
      </w:r>
      <w:r w:rsidR="00046EED">
        <w:t xml:space="preserve"> For details see </w:t>
      </w:r>
      <w:r w:rsidR="00B8484A" w:rsidRPr="0038349B">
        <w:t>Section</w:t>
      </w:r>
      <w:r w:rsidR="0038349B" w:rsidRPr="0038349B">
        <w:t xml:space="preserve"> </w:t>
      </w:r>
      <w:r w:rsidR="00C80F00" w:rsidRPr="00F93DEA">
        <w:t>8</w:t>
      </w:r>
      <w:r w:rsidR="00623178" w:rsidRPr="00F93DEA">
        <w:t>.3</w:t>
      </w:r>
      <w:r w:rsidR="00623178">
        <w:t>.</w:t>
      </w:r>
    </w:p>
  </w:footnote>
  <w:footnote w:id="114">
    <w:p w14:paraId="0D974ED3" w14:textId="77777777" w:rsidR="00094BBC" w:rsidRDefault="00094BBC" w:rsidP="00094BBC">
      <w:pPr>
        <w:pStyle w:val="FootnoteText"/>
      </w:pPr>
      <w:r>
        <w:rPr>
          <w:rStyle w:val="FootnoteReference"/>
        </w:rPr>
        <w:footnoteRef/>
      </w:r>
      <w:r>
        <w:t xml:space="preserve"> Version refers to a risk model version.</w:t>
      </w:r>
    </w:p>
  </w:footnote>
  <w:footnote w:id="115">
    <w:p w14:paraId="00B7A356" w14:textId="77777777" w:rsidR="00094BBC" w:rsidRDefault="00094BBC" w:rsidP="00094BBC">
      <w:pPr>
        <w:pStyle w:val="FootnoteText"/>
      </w:pPr>
      <w:r>
        <w:rPr>
          <w:rStyle w:val="FootnoteReference"/>
        </w:rPr>
        <w:footnoteRef/>
      </w:r>
      <w:r>
        <w:t xml:space="preserve"> D.21-11-009, Ordering Paragraph 1h.</w:t>
      </w:r>
    </w:p>
  </w:footnote>
  <w:footnote w:id="116">
    <w:p w14:paraId="25CBD6FD" w14:textId="77777777" w:rsidR="00AD6098" w:rsidRDefault="00AD6098" w:rsidP="00AD6098">
      <w:pPr>
        <w:pStyle w:val="FootnoteText"/>
      </w:pPr>
      <w:r>
        <w:rPr>
          <w:rStyle w:val="FootnoteReference"/>
        </w:rPr>
        <w:footnoteRef/>
      </w:r>
      <w:r>
        <w:t xml:space="preserve"> See D.21-11-009 at 141.</w:t>
      </w:r>
    </w:p>
  </w:footnote>
  <w:footnote w:id="117">
    <w:p w14:paraId="02E64AC8" w14:textId="77777777" w:rsidR="004824FD" w:rsidRDefault="004824FD" w:rsidP="004824FD">
      <w:pPr>
        <w:pStyle w:val="FootnoteText"/>
      </w:pPr>
      <w:r>
        <w:rPr>
          <w:rStyle w:val="FootnoteReference"/>
        </w:rPr>
        <w:footnoteRef/>
      </w:r>
      <w:r>
        <w:t>D.19-04-020 at 32.</w:t>
      </w:r>
    </w:p>
  </w:footnote>
  <w:footnote w:id="118">
    <w:p w14:paraId="57CF88A9" w14:textId="77777777" w:rsidR="004824FD" w:rsidRDefault="004824FD" w:rsidP="004824FD">
      <w:pPr>
        <w:pStyle w:val="FootnoteText"/>
      </w:pPr>
      <w:r>
        <w:rPr>
          <w:rStyle w:val="FootnoteReference"/>
        </w:rPr>
        <w:footnoteRef/>
      </w:r>
      <w:r>
        <w:t xml:space="preserve"> D.23-11-069 at 280.</w:t>
      </w:r>
    </w:p>
  </w:footnote>
  <w:footnote w:id="119">
    <w:p w14:paraId="4FBAA977" w14:textId="77777777" w:rsidR="004824FD" w:rsidRDefault="004824FD" w:rsidP="004824FD">
      <w:pPr>
        <w:pStyle w:val="FootnoteText"/>
      </w:pPr>
      <w:r>
        <w:rPr>
          <w:rStyle w:val="FootnoteReference"/>
        </w:rPr>
        <w:footnoteRef/>
      </w:r>
      <w:r>
        <w:t xml:space="preserve"> SPD RMAR Staff Proposal at 14.</w:t>
      </w:r>
    </w:p>
  </w:footnote>
  <w:footnote w:id="120">
    <w:p w14:paraId="0F98A7D1" w14:textId="35FC15AC" w:rsidR="0088154E" w:rsidRDefault="0088154E">
      <w:pPr>
        <w:pStyle w:val="FootnoteText"/>
      </w:pPr>
      <w:r>
        <w:rPr>
          <w:rStyle w:val="FootnoteReference"/>
        </w:rPr>
        <w:footnoteRef/>
      </w:r>
      <w:r>
        <w:t xml:space="preserve"> </w:t>
      </w:r>
      <w:r w:rsidR="007301A9">
        <w:t>Staff RMAR Proposal at 22.</w:t>
      </w:r>
    </w:p>
  </w:footnote>
  <w:footnote w:id="121">
    <w:p w14:paraId="5D1AB101" w14:textId="77777777" w:rsidR="008D11BE" w:rsidRDefault="008D11BE" w:rsidP="008D11BE">
      <w:pPr>
        <w:pStyle w:val="FootnoteText"/>
      </w:pPr>
      <w:r>
        <w:rPr>
          <w:rStyle w:val="FootnoteReference"/>
        </w:rPr>
        <w:footnoteRef/>
      </w:r>
      <w:r>
        <w:t xml:space="preserve"> </w:t>
      </w:r>
      <w:r w:rsidRPr="00086173">
        <w:rPr>
          <w:i/>
          <w:iCs/>
        </w:rPr>
        <w:t>Id</w:t>
      </w:r>
      <w:r>
        <w:t>. at 22 – 23.</w:t>
      </w:r>
    </w:p>
  </w:footnote>
  <w:footnote w:id="122">
    <w:p w14:paraId="3876012F" w14:textId="128B6646" w:rsidR="001D6353" w:rsidRDefault="001D6353">
      <w:pPr>
        <w:pStyle w:val="FootnoteText"/>
      </w:pPr>
      <w:r>
        <w:rPr>
          <w:rStyle w:val="FootnoteReference"/>
        </w:rPr>
        <w:footnoteRef/>
      </w:r>
      <w:r>
        <w:t xml:space="preserve"> Id. at 26.</w:t>
      </w:r>
    </w:p>
  </w:footnote>
  <w:footnote w:id="123">
    <w:p w14:paraId="4D0B8F0C" w14:textId="1D24DC3A" w:rsidR="003D48D7" w:rsidRDefault="003D48D7">
      <w:pPr>
        <w:pStyle w:val="FootnoteText"/>
      </w:pPr>
      <w:r>
        <w:rPr>
          <w:rStyle w:val="FootnoteReference"/>
        </w:rPr>
        <w:footnoteRef/>
      </w:r>
      <w:r>
        <w:t xml:space="preserve"> </w:t>
      </w:r>
      <w:r w:rsidR="00622716">
        <w:t xml:space="preserve">The description of backcast </w:t>
      </w:r>
      <w:r w:rsidR="003D5C04">
        <w:t>presented</w:t>
      </w:r>
      <w:r w:rsidR="00622716">
        <w:t xml:space="preserve"> in the </w:t>
      </w:r>
      <w:r w:rsidR="00E033A1">
        <w:t>Staff RMAR Proposal</w:t>
      </w:r>
      <w:r w:rsidR="003D5C04">
        <w:t xml:space="preserve"> </w:t>
      </w:r>
      <w:r w:rsidR="00057C30">
        <w:t>explains how it relates to the RMAR.</w:t>
      </w:r>
    </w:p>
  </w:footnote>
  <w:footnote w:id="124">
    <w:p w14:paraId="47FB5CC8" w14:textId="77777777" w:rsidR="004A6864" w:rsidRDefault="004A6864" w:rsidP="004A6864">
      <w:pPr>
        <w:pStyle w:val="FootnoteText"/>
      </w:pPr>
      <w:r>
        <w:rPr>
          <w:rStyle w:val="FootnoteReference"/>
        </w:rPr>
        <w:footnoteRef/>
      </w:r>
      <w:r>
        <w:t xml:space="preserve"> </w:t>
      </w:r>
      <w:r w:rsidRPr="003B35E2">
        <w:rPr>
          <w:i/>
          <w:iCs/>
        </w:rPr>
        <w:t>Id</w:t>
      </w:r>
      <w:r>
        <w:t>. at 39 – 42.</w:t>
      </w:r>
    </w:p>
  </w:footnote>
  <w:footnote w:id="125">
    <w:p w14:paraId="707720E9" w14:textId="2A214E26" w:rsidR="00A02582" w:rsidRDefault="00A02582" w:rsidP="00A02582">
      <w:pPr>
        <w:pStyle w:val="FootnoteText"/>
      </w:pPr>
      <w:r>
        <w:rPr>
          <w:rStyle w:val="FootnoteReference"/>
        </w:rPr>
        <w:footnoteRef/>
      </w:r>
      <w:r>
        <w:t xml:space="preserve"> </w:t>
      </w:r>
      <w:r w:rsidR="003475CE">
        <w:t>Staff RMAR Proposal at</w:t>
      </w:r>
      <w:r>
        <w:t xml:space="preserve"> 44-46.</w:t>
      </w:r>
    </w:p>
  </w:footnote>
  <w:footnote w:id="126">
    <w:p w14:paraId="30F091E5" w14:textId="77777777" w:rsidR="00A02582" w:rsidRDefault="00A02582" w:rsidP="00A02582">
      <w:pPr>
        <w:pStyle w:val="FootnoteText"/>
      </w:pPr>
      <w:r>
        <w:rPr>
          <w:rStyle w:val="FootnoteReference"/>
        </w:rPr>
        <w:footnoteRef/>
      </w:r>
      <w:r>
        <w:t xml:space="preserve"> These elements were listed in Section 10.1 of the SPD Staff Proposal Workshop #3 RMAR at 54-55.</w:t>
      </w:r>
    </w:p>
  </w:footnote>
  <w:footnote w:id="127">
    <w:p w14:paraId="6B262530" w14:textId="25C139B3" w:rsidR="00131E37" w:rsidRDefault="00131E37">
      <w:pPr>
        <w:pStyle w:val="FootnoteText"/>
      </w:pPr>
      <w:r>
        <w:rPr>
          <w:rStyle w:val="FootnoteReference"/>
        </w:rPr>
        <w:footnoteRef/>
      </w:r>
      <w:r>
        <w:t xml:space="preserve"> Staff RMAR Proposal</w:t>
      </w:r>
      <w:r w:rsidR="00E91C6F">
        <w:t xml:space="preserve">, </w:t>
      </w:r>
      <w:r w:rsidR="00BC55DA">
        <w:t>Section 8</w:t>
      </w:r>
      <w:r w:rsidR="00BE41F3">
        <w:t>.</w:t>
      </w:r>
    </w:p>
  </w:footnote>
  <w:footnote w:id="128">
    <w:p w14:paraId="1CCC4592" w14:textId="60698D56" w:rsidR="00091A8A" w:rsidRDefault="00091A8A">
      <w:pPr>
        <w:pStyle w:val="FootnoteText"/>
      </w:pPr>
      <w:r>
        <w:rPr>
          <w:rStyle w:val="FootnoteReference"/>
        </w:rPr>
        <w:footnoteRef/>
      </w:r>
      <w:r>
        <w:t xml:space="preserve"> </w:t>
      </w:r>
      <w:r w:rsidRPr="008A7967">
        <w:rPr>
          <w:i/>
          <w:iCs/>
        </w:rPr>
        <w:t xml:space="preserve">See </w:t>
      </w:r>
      <w:r>
        <w:t>Table 4.7 of the Staff RMAR Proposal at 33 – 34</w:t>
      </w:r>
      <w:r w:rsidR="00773EFF">
        <w:t xml:space="preserve"> for an example table</w:t>
      </w:r>
      <w:r>
        <w:t>.</w:t>
      </w:r>
    </w:p>
  </w:footnote>
  <w:footnote w:id="129">
    <w:p w14:paraId="1819C6CD" w14:textId="5244ABE7" w:rsidR="00A02582" w:rsidRDefault="00A02582" w:rsidP="00A02582">
      <w:pPr>
        <w:pStyle w:val="FootnoteText"/>
      </w:pPr>
      <w:r>
        <w:rPr>
          <w:rStyle w:val="FootnoteReference"/>
        </w:rPr>
        <w:footnoteRef/>
      </w:r>
      <w:r>
        <w:t xml:space="preserve"> TURN Opening Comments </w:t>
      </w:r>
      <w:bookmarkStart w:id="103" w:name="_Hlk197370829"/>
      <w:r w:rsidR="00E648D4">
        <w:t xml:space="preserve">on Workshop #3 </w:t>
      </w:r>
      <w:bookmarkEnd w:id="103"/>
      <w:r>
        <w:t>at 2.</w:t>
      </w:r>
    </w:p>
  </w:footnote>
  <w:footnote w:id="130">
    <w:p w14:paraId="2FEC5A53" w14:textId="55692D06" w:rsidR="00A02582" w:rsidRDefault="00A02582" w:rsidP="00A02582">
      <w:pPr>
        <w:pStyle w:val="FootnoteText"/>
      </w:pPr>
      <w:r>
        <w:rPr>
          <w:rStyle w:val="FootnoteReference"/>
        </w:rPr>
        <w:footnoteRef/>
      </w:r>
      <w:r>
        <w:t xml:space="preserve"> SCE Reply Comments </w:t>
      </w:r>
      <w:r w:rsidR="00FC4AE2" w:rsidRPr="00FC4AE2">
        <w:t xml:space="preserve">on Workshop #3 </w:t>
      </w:r>
      <w:r>
        <w:t>at 6.</w:t>
      </w:r>
    </w:p>
  </w:footnote>
  <w:footnote w:id="131">
    <w:p w14:paraId="1951F04E" w14:textId="5F988409" w:rsidR="00A02582" w:rsidRDefault="00A02582" w:rsidP="00A02582">
      <w:pPr>
        <w:pStyle w:val="FootnoteText"/>
      </w:pPr>
      <w:r>
        <w:rPr>
          <w:rStyle w:val="FootnoteReference"/>
        </w:rPr>
        <w:footnoteRef/>
      </w:r>
      <w:r>
        <w:t xml:space="preserve"> SCE Opening Comments</w:t>
      </w:r>
      <w:r w:rsidR="00FC4AE2" w:rsidRPr="00FC4AE2">
        <w:t xml:space="preserve"> on Workshop #3</w:t>
      </w:r>
      <w:r>
        <w:t xml:space="preserve"> at 9.</w:t>
      </w:r>
    </w:p>
  </w:footnote>
  <w:footnote w:id="132">
    <w:p w14:paraId="777CA51E" w14:textId="11E3001E" w:rsidR="00A02582" w:rsidRDefault="00A02582" w:rsidP="00A02582">
      <w:pPr>
        <w:pStyle w:val="FootnoteText"/>
      </w:pPr>
      <w:r>
        <w:rPr>
          <w:rStyle w:val="FootnoteReference"/>
        </w:rPr>
        <w:footnoteRef/>
      </w:r>
      <w:r>
        <w:t xml:space="preserve"> EPUC/IS Opening Comments</w:t>
      </w:r>
      <w:r w:rsidR="00FC4AE2" w:rsidRPr="00FC4AE2">
        <w:t xml:space="preserve"> </w:t>
      </w:r>
      <w:r w:rsidR="00FC4AE2">
        <w:t>on Workshop #3</w:t>
      </w:r>
      <w:r>
        <w:t xml:space="preserve"> at 6.</w:t>
      </w:r>
    </w:p>
  </w:footnote>
  <w:footnote w:id="133">
    <w:p w14:paraId="03D7665D" w14:textId="5ABFE0AB" w:rsidR="00A02582" w:rsidRDefault="00A02582" w:rsidP="00A02582">
      <w:pPr>
        <w:pStyle w:val="FootnoteText"/>
      </w:pPr>
      <w:r>
        <w:rPr>
          <w:rStyle w:val="FootnoteReference"/>
        </w:rPr>
        <w:footnoteRef/>
      </w:r>
      <w:r>
        <w:t xml:space="preserve"> Sempra Opening Comments</w:t>
      </w:r>
      <w:r w:rsidR="00EC3DF8" w:rsidRPr="00EC3DF8">
        <w:t xml:space="preserve"> </w:t>
      </w:r>
      <w:r w:rsidR="00EC3DF8">
        <w:t xml:space="preserve">on Workshop #3 </w:t>
      </w:r>
      <w:r>
        <w:t>at 7.</w:t>
      </w:r>
    </w:p>
  </w:footnote>
  <w:footnote w:id="134">
    <w:p w14:paraId="797EB800" w14:textId="792CBBCD" w:rsidR="00A02582" w:rsidRDefault="00A02582" w:rsidP="00A02582">
      <w:pPr>
        <w:pStyle w:val="FootnoteText"/>
      </w:pPr>
      <w:r>
        <w:rPr>
          <w:rStyle w:val="FootnoteReference"/>
        </w:rPr>
        <w:footnoteRef/>
      </w:r>
      <w:r>
        <w:t xml:space="preserve"> Sempra Opening Comments </w:t>
      </w:r>
      <w:r w:rsidR="00EC3DF8">
        <w:t xml:space="preserve">on Workshop #3 </w:t>
      </w:r>
      <w:r>
        <w:t>at 7-8.</w:t>
      </w:r>
    </w:p>
  </w:footnote>
  <w:footnote w:id="135">
    <w:p w14:paraId="0D65DD60" w14:textId="11CDF271" w:rsidR="00A02582" w:rsidRDefault="00A02582" w:rsidP="00A02582">
      <w:pPr>
        <w:pStyle w:val="FootnoteText"/>
      </w:pPr>
      <w:r>
        <w:rPr>
          <w:rStyle w:val="FootnoteReference"/>
        </w:rPr>
        <w:footnoteRef/>
      </w:r>
      <w:r>
        <w:t xml:space="preserve"> SCE Opening Comments </w:t>
      </w:r>
      <w:r w:rsidR="00EC3DF8">
        <w:t xml:space="preserve">on Workshop #3 </w:t>
      </w:r>
      <w:r>
        <w:t xml:space="preserve">at 11. </w:t>
      </w:r>
    </w:p>
  </w:footnote>
  <w:footnote w:id="136">
    <w:p w14:paraId="17EA6BA4" w14:textId="5D1EFDD8" w:rsidR="00A02582" w:rsidRDefault="00A02582" w:rsidP="00A02582">
      <w:pPr>
        <w:pStyle w:val="FootnoteText"/>
      </w:pPr>
      <w:r>
        <w:rPr>
          <w:rStyle w:val="FootnoteReference"/>
        </w:rPr>
        <w:footnoteRef/>
      </w:r>
      <w:r>
        <w:t xml:space="preserve"> TURN Opening Comments </w:t>
      </w:r>
      <w:r w:rsidR="00EC3DF8">
        <w:t xml:space="preserve">on Workshop #3 </w:t>
      </w:r>
      <w:r>
        <w:t>at 10.</w:t>
      </w:r>
    </w:p>
  </w:footnote>
  <w:footnote w:id="137">
    <w:p w14:paraId="17303C29" w14:textId="05ACD779" w:rsidR="00A02582" w:rsidRDefault="00A02582" w:rsidP="00A02582">
      <w:pPr>
        <w:pStyle w:val="FootnoteText"/>
      </w:pPr>
      <w:r>
        <w:rPr>
          <w:rStyle w:val="FootnoteReference"/>
        </w:rPr>
        <w:footnoteRef/>
      </w:r>
      <w:r>
        <w:t xml:space="preserve"> TURN Opening Comments </w:t>
      </w:r>
      <w:r w:rsidR="00EC3DF8">
        <w:t xml:space="preserve">on Workshop #3 </w:t>
      </w:r>
      <w:r>
        <w:t>at 4.</w:t>
      </w:r>
    </w:p>
  </w:footnote>
  <w:footnote w:id="138">
    <w:p w14:paraId="3080B29C" w14:textId="6DBAAC95" w:rsidR="00A02582" w:rsidRDefault="00A02582" w:rsidP="00A02582">
      <w:pPr>
        <w:pStyle w:val="FootnoteText"/>
      </w:pPr>
      <w:r>
        <w:rPr>
          <w:rStyle w:val="FootnoteReference"/>
        </w:rPr>
        <w:footnoteRef/>
      </w:r>
      <w:r>
        <w:t xml:space="preserve"> TURN Reply Comments</w:t>
      </w:r>
      <w:r w:rsidR="00EC3DF8" w:rsidRPr="00EC3DF8">
        <w:t xml:space="preserve"> </w:t>
      </w:r>
      <w:r w:rsidR="00EC3DF8">
        <w:t>on Workshop #</w:t>
      </w:r>
      <w:r w:rsidR="00B00A5F">
        <w:t>3 at</w:t>
      </w:r>
      <w:r>
        <w:t xml:space="preserve"> 3.</w:t>
      </w:r>
    </w:p>
  </w:footnote>
  <w:footnote w:id="139">
    <w:p w14:paraId="2A0B2FFC" w14:textId="1CEF88BB" w:rsidR="00A02582" w:rsidRDefault="00A02582" w:rsidP="00A02582">
      <w:pPr>
        <w:pStyle w:val="FootnoteText"/>
      </w:pPr>
      <w:r>
        <w:rPr>
          <w:rStyle w:val="FootnoteReference"/>
        </w:rPr>
        <w:footnoteRef/>
      </w:r>
      <w:r>
        <w:t xml:space="preserve"> Cal Advocates Opening Comments </w:t>
      </w:r>
      <w:r w:rsidR="00EC3DF8">
        <w:t xml:space="preserve">on Workshop #3 </w:t>
      </w:r>
      <w:r>
        <w:t>at 7.</w:t>
      </w:r>
    </w:p>
  </w:footnote>
  <w:footnote w:id="140">
    <w:p w14:paraId="0A3C915F" w14:textId="1D2B8254" w:rsidR="00A02582" w:rsidRDefault="00A02582" w:rsidP="00A02582">
      <w:pPr>
        <w:pStyle w:val="FootnoteText"/>
      </w:pPr>
      <w:r>
        <w:rPr>
          <w:rStyle w:val="FootnoteReference"/>
        </w:rPr>
        <w:footnoteRef/>
      </w:r>
      <w:r>
        <w:t xml:space="preserve"> TURN Reply Comments </w:t>
      </w:r>
      <w:r w:rsidR="00EC3DF8">
        <w:t xml:space="preserve">on Workshop #3 </w:t>
      </w:r>
      <w:r>
        <w:t>at 5.</w:t>
      </w:r>
    </w:p>
  </w:footnote>
  <w:footnote w:id="141">
    <w:p w14:paraId="50A18D2D" w14:textId="61F884A8" w:rsidR="00A02582" w:rsidRDefault="00A02582" w:rsidP="00A02582">
      <w:pPr>
        <w:pStyle w:val="FootnoteText"/>
      </w:pPr>
      <w:r>
        <w:rPr>
          <w:rStyle w:val="FootnoteReference"/>
        </w:rPr>
        <w:footnoteRef/>
      </w:r>
      <w:r>
        <w:t xml:space="preserve"> TURN Opening Comments</w:t>
      </w:r>
      <w:r w:rsidR="00EC3DF8" w:rsidRPr="00EC3DF8">
        <w:t xml:space="preserve"> </w:t>
      </w:r>
      <w:r w:rsidR="00EC3DF8">
        <w:t xml:space="preserve">on Workshop #3 </w:t>
      </w:r>
      <w:r>
        <w:t>at 12.</w:t>
      </w:r>
    </w:p>
  </w:footnote>
  <w:footnote w:id="142">
    <w:p w14:paraId="60B1E2DE" w14:textId="399B27D9" w:rsidR="00A02582" w:rsidRDefault="00A02582" w:rsidP="00A02582">
      <w:pPr>
        <w:pStyle w:val="FootnoteText"/>
      </w:pPr>
      <w:r>
        <w:rPr>
          <w:rStyle w:val="FootnoteReference"/>
        </w:rPr>
        <w:footnoteRef/>
      </w:r>
      <w:r>
        <w:t xml:space="preserve"> TURN Opening Comments </w:t>
      </w:r>
      <w:r w:rsidR="00EC3DF8">
        <w:t xml:space="preserve">on Workshop #3 </w:t>
      </w:r>
      <w:r>
        <w:t>at 5</w:t>
      </w:r>
      <w:r w:rsidR="002D1F99">
        <w:t xml:space="preserve"> – 6.</w:t>
      </w:r>
    </w:p>
  </w:footnote>
  <w:footnote w:id="143">
    <w:p w14:paraId="23595197" w14:textId="13B9F99C" w:rsidR="00A02582" w:rsidRDefault="00A02582" w:rsidP="00A02582">
      <w:pPr>
        <w:pStyle w:val="FootnoteText"/>
      </w:pPr>
      <w:r>
        <w:rPr>
          <w:rStyle w:val="FootnoteReference"/>
        </w:rPr>
        <w:footnoteRef/>
      </w:r>
      <w:r>
        <w:t xml:space="preserve"> Cal Advocates Opening Comments</w:t>
      </w:r>
      <w:r w:rsidR="00EC3DF8" w:rsidRPr="00EC3DF8">
        <w:t xml:space="preserve"> </w:t>
      </w:r>
      <w:r w:rsidR="00EC3DF8">
        <w:t xml:space="preserve">on Workshop #3 </w:t>
      </w:r>
      <w:r>
        <w:t>at 5, EPUC/IS Opening Comments</w:t>
      </w:r>
      <w:r w:rsidR="00EC3DF8" w:rsidRPr="00EC3DF8">
        <w:t xml:space="preserve"> </w:t>
      </w:r>
      <w:r w:rsidR="00EC3DF8">
        <w:t>on Workshop #3</w:t>
      </w:r>
      <w:r>
        <w:t xml:space="preserve"> at 6</w:t>
      </w:r>
      <w:r w:rsidR="002D1F99">
        <w:t xml:space="preserve"> – 7</w:t>
      </w:r>
      <w:r>
        <w:t>.</w:t>
      </w:r>
    </w:p>
  </w:footnote>
  <w:footnote w:id="144">
    <w:p w14:paraId="349BD9C2" w14:textId="53B239C6" w:rsidR="00A02582" w:rsidRDefault="00A02582" w:rsidP="00A02582">
      <w:pPr>
        <w:pStyle w:val="FootnoteText"/>
      </w:pPr>
      <w:r>
        <w:rPr>
          <w:rStyle w:val="FootnoteReference"/>
        </w:rPr>
        <w:footnoteRef/>
      </w:r>
      <w:r>
        <w:t xml:space="preserve"> TURN Opening Comments</w:t>
      </w:r>
      <w:r w:rsidR="00936C49" w:rsidRPr="00936C49">
        <w:t xml:space="preserve"> </w:t>
      </w:r>
      <w:r w:rsidR="00936C49">
        <w:t>on Workshop #3</w:t>
      </w:r>
      <w:r>
        <w:t xml:space="preserve"> at 9.</w:t>
      </w:r>
    </w:p>
  </w:footnote>
  <w:footnote w:id="145">
    <w:p w14:paraId="59FDC164" w14:textId="76AF7F80" w:rsidR="00A02582" w:rsidRDefault="00A02582" w:rsidP="00A02582">
      <w:pPr>
        <w:pStyle w:val="FootnoteText"/>
      </w:pPr>
      <w:r>
        <w:rPr>
          <w:rStyle w:val="FootnoteReference"/>
        </w:rPr>
        <w:footnoteRef/>
      </w:r>
      <w:r>
        <w:t xml:space="preserve"> </w:t>
      </w:r>
      <w:r w:rsidRPr="002D1F99">
        <w:t>EPUC/IS Opening Comments</w:t>
      </w:r>
      <w:r w:rsidR="003B55A5">
        <w:t xml:space="preserve"> on Workshop #3 at </w:t>
      </w:r>
      <w:r w:rsidR="002D1F99">
        <w:t>8.</w:t>
      </w:r>
    </w:p>
  </w:footnote>
  <w:footnote w:id="146">
    <w:p w14:paraId="76F0F1F7" w14:textId="60A9A0F9" w:rsidR="00A02582" w:rsidRDefault="00A02582" w:rsidP="00A02582">
      <w:pPr>
        <w:pStyle w:val="FootnoteText"/>
      </w:pPr>
      <w:r>
        <w:rPr>
          <w:rStyle w:val="FootnoteReference"/>
        </w:rPr>
        <w:footnoteRef/>
      </w:r>
      <w:r>
        <w:t xml:space="preserve"> TURN Opening Comments</w:t>
      </w:r>
      <w:r w:rsidR="00936C49" w:rsidRPr="00936C49">
        <w:t xml:space="preserve"> </w:t>
      </w:r>
      <w:r w:rsidR="00936C49">
        <w:t xml:space="preserve">on Workshop #3 </w:t>
      </w:r>
      <w:r>
        <w:t>at 7.</w:t>
      </w:r>
    </w:p>
  </w:footnote>
  <w:footnote w:id="147">
    <w:p w14:paraId="147F8C5D" w14:textId="0E8B12AB" w:rsidR="00A02582" w:rsidRDefault="00A02582" w:rsidP="00A02582">
      <w:pPr>
        <w:pStyle w:val="FootnoteText"/>
      </w:pPr>
      <w:r>
        <w:rPr>
          <w:rStyle w:val="FootnoteReference"/>
        </w:rPr>
        <w:footnoteRef/>
      </w:r>
      <w:r>
        <w:t xml:space="preserve"> EPUC/IS Reply Comments </w:t>
      </w:r>
      <w:r w:rsidR="00936C49">
        <w:t xml:space="preserve">on Workshop #3 </w:t>
      </w:r>
      <w:r>
        <w:t>at 3.</w:t>
      </w:r>
    </w:p>
  </w:footnote>
  <w:footnote w:id="148">
    <w:p w14:paraId="7C389A88" w14:textId="66915F59" w:rsidR="00A02582" w:rsidRDefault="00A02582" w:rsidP="00A02582">
      <w:pPr>
        <w:pStyle w:val="FootnoteText"/>
      </w:pPr>
      <w:r>
        <w:rPr>
          <w:rStyle w:val="FootnoteReference"/>
        </w:rPr>
        <w:footnoteRef/>
      </w:r>
      <w:r>
        <w:t xml:space="preserve"> SCE Opening Comments</w:t>
      </w:r>
      <w:r w:rsidR="00936C49" w:rsidRPr="00936C49">
        <w:t xml:space="preserve"> </w:t>
      </w:r>
      <w:r w:rsidR="00936C49">
        <w:t xml:space="preserve">on Workshop #3 </w:t>
      </w:r>
      <w:r>
        <w:t>at 10.</w:t>
      </w:r>
    </w:p>
  </w:footnote>
  <w:footnote w:id="149">
    <w:p w14:paraId="228D4FF0" w14:textId="12AD3FA6" w:rsidR="00A02582" w:rsidRDefault="00A02582" w:rsidP="00A02582">
      <w:pPr>
        <w:pStyle w:val="FootnoteText"/>
      </w:pPr>
      <w:r>
        <w:rPr>
          <w:rStyle w:val="FootnoteReference"/>
        </w:rPr>
        <w:footnoteRef/>
      </w:r>
      <w:r>
        <w:t xml:space="preserve"> TURN Opening Comments </w:t>
      </w:r>
      <w:r w:rsidR="00936C49">
        <w:t xml:space="preserve">on Workshop #3 </w:t>
      </w:r>
      <w:r>
        <w:t>at 4</w:t>
      </w:r>
    </w:p>
  </w:footnote>
  <w:footnote w:id="150">
    <w:p w14:paraId="22407FD5" w14:textId="64F293E2" w:rsidR="00A02582" w:rsidRDefault="00A02582" w:rsidP="00A02582">
      <w:pPr>
        <w:pStyle w:val="FootnoteText"/>
      </w:pPr>
      <w:r>
        <w:rPr>
          <w:rStyle w:val="FootnoteReference"/>
        </w:rPr>
        <w:footnoteRef/>
      </w:r>
      <w:r>
        <w:t xml:space="preserve"> PG&amp;E Reply Comments </w:t>
      </w:r>
      <w:r w:rsidR="00936C49">
        <w:t xml:space="preserve">on Workshop #3 </w:t>
      </w:r>
      <w:r>
        <w:t>at 4.</w:t>
      </w:r>
    </w:p>
  </w:footnote>
  <w:footnote w:id="151">
    <w:p w14:paraId="1F74D976" w14:textId="79ADAE59" w:rsidR="00A02582" w:rsidRDefault="00A02582" w:rsidP="00A02582">
      <w:pPr>
        <w:pStyle w:val="FootnoteText"/>
      </w:pPr>
      <w:r w:rsidRPr="00360ADF">
        <w:rPr>
          <w:rStyle w:val="FootnoteReference"/>
          <w:color w:val="000000" w:themeColor="text1"/>
        </w:rPr>
        <w:footnoteRef/>
      </w:r>
      <w:r w:rsidR="527549BF" w:rsidRPr="00360ADF">
        <w:rPr>
          <w:color w:val="000000" w:themeColor="text1"/>
        </w:rPr>
        <w:t xml:space="preserve"> </w:t>
      </w:r>
      <w:r w:rsidR="32737F37" w:rsidRPr="00360ADF">
        <w:rPr>
          <w:color w:val="000000" w:themeColor="text1"/>
        </w:rPr>
        <w:t>TURN</w:t>
      </w:r>
      <w:r w:rsidR="527549BF" w:rsidRPr="00360ADF">
        <w:rPr>
          <w:color w:val="000000" w:themeColor="text1"/>
        </w:rPr>
        <w:t xml:space="preserve"> </w:t>
      </w:r>
      <w:r w:rsidR="527549BF">
        <w:t xml:space="preserve">Opening Comments on Workshop #3 at </w:t>
      </w:r>
      <w:r w:rsidR="2A8B8D5D">
        <w:t>6</w:t>
      </w:r>
      <w:r w:rsidR="527549BF">
        <w:t>.</w:t>
      </w:r>
    </w:p>
  </w:footnote>
  <w:footnote w:id="152">
    <w:p w14:paraId="60C7377E" w14:textId="6F58FC8D" w:rsidR="00A02582" w:rsidRDefault="00A02582" w:rsidP="00A02582">
      <w:pPr>
        <w:pStyle w:val="FootnoteText"/>
      </w:pPr>
      <w:r>
        <w:rPr>
          <w:rStyle w:val="FootnoteReference"/>
        </w:rPr>
        <w:footnoteRef/>
      </w:r>
      <w:r>
        <w:t xml:space="preserve"> SCE Opening Comments </w:t>
      </w:r>
      <w:r w:rsidR="00936C49">
        <w:t xml:space="preserve">on Workshop #3 </w:t>
      </w:r>
      <w:r>
        <w:t>at 12.</w:t>
      </w:r>
    </w:p>
  </w:footnote>
  <w:footnote w:id="153">
    <w:p w14:paraId="55A8BC62" w14:textId="37F75C6C" w:rsidR="00A02582" w:rsidRDefault="00A02582" w:rsidP="00A02582">
      <w:pPr>
        <w:pStyle w:val="FootnoteText"/>
      </w:pPr>
      <w:r>
        <w:rPr>
          <w:rStyle w:val="FootnoteReference"/>
        </w:rPr>
        <w:footnoteRef/>
      </w:r>
      <w:r>
        <w:t xml:space="preserve"> TURN Opening Comments</w:t>
      </w:r>
      <w:r w:rsidR="00936C49" w:rsidRPr="00936C49">
        <w:t xml:space="preserve"> </w:t>
      </w:r>
      <w:r w:rsidR="00936C49">
        <w:t>on Workshop #3</w:t>
      </w:r>
      <w:r>
        <w:t xml:space="preserve"> at 11.</w:t>
      </w:r>
    </w:p>
  </w:footnote>
  <w:footnote w:id="154">
    <w:p w14:paraId="454FCCC0" w14:textId="0B68E44A" w:rsidR="00A02582" w:rsidRDefault="00A02582" w:rsidP="00A02582">
      <w:pPr>
        <w:pStyle w:val="FootnoteText"/>
      </w:pPr>
      <w:r>
        <w:rPr>
          <w:rStyle w:val="FootnoteReference"/>
        </w:rPr>
        <w:footnoteRef/>
      </w:r>
      <w:r>
        <w:t xml:space="preserve"> TURN Opening Comments </w:t>
      </w:r>
      <w:r w:rsidR="00936C49">
        <w:t xml:space="preserve">on Workshop #3 </w:t>
      </w:r>
      <w:r>
        <w:t>at 13, Cal Advocates Opening Comments</w:t>
      </w:r>
      <w:r w:rsidR="00936C49" w:rsidRPr="00936C49">
        <w:t xml:space="preserve"> </w:t>
      </w:r>
      <w:r w:rsidR="00936C49">
        <w:t xml:space="preserve">on Workshop #3 </w:t>
      </w:r>
      <w:r>
        <w:t>at 8.</w:t>
      </w:r>
    </w:p>
  </w:footnote>
  <w:footnote w:id="155">
    <w:p w14:paraId="216EB0BA" w14:textId="2809309E" w:rsidR="00A02582" w:rsidRDefault="00A02582" w:rsidP="00A02582">
      <w:pPr>
        <w:pStyle w:val="FootnoteText"/>
      </w:pPr>
      <w:r>
        <w:rPr>
          <w:rStyle w:val="FootnoteReference"/>
        </w:rPr>
        <w:footnoteRef/>
      </w:r>
      <w:r>
        <w:t xml:space="preserve"> SCE Opening Comments</w:t>
      </w:r>
      <w:r w:rsidR="00936C49" w:rsidRPr="00936C49">
        <w:t xml:space="preserve"> </w:t>
      </w:r>
      <w:r w:rsidR="00936C49">
        <w:t>on Workshop #3</w:t>
      </w:r>
      <w:r>
        <w:t xml:space="preserve"> at 14.</w:t>
      </w:r>
    </w:p>
  </w:footnote>
  <w:footnote w:id="156">
    <w:p w14:paraId="2E7E9448" w14:textId="2F399407" w:rsidR="00A02582" w:rsidRDefault="00A02582" w:rsidP="00A02582">
      <w:pPr>
        <w:pStyle w:val="FootnoteText"/>
      </w:pPr>
      <w:r>
        <w:rPr>
          <w:rStyle w:val="FootnoteReference"/>
        </w:rPr>
        <w:footnoteRef/>
      </w:r>
      <w:r>
        <w:t xml:space="preserve"> Cal Advocates Opening Comments</w:t>
      </w:r>
      <w:r w:rsidR="00936C49" w:rsidRPr="00936C49">
        <w:t xml:space="preserve"> </w:t>
      </w:r>
      <w:r w:rsidR="00936C49">
        <w:t>on Workshop #3</w:t>
      </w:r>
      <w:r>
        <w:t xml:space="preserve"> at 9.</w:t>
      </w:r>
    </w:p>
  </w:footnote>
  <w:footnote w:id="157">
    <w:p w14:paraId="490B5749" w14:textId="1F7C980C" w:rsidR="00A02582" w:rsidRDefault="00A02582" w:rsidP="00A02582">
      <w:pPr>
        <w:pStyle w:val="FootnoteText"/>
      </w:pPr>
      <w:r>
        <w:rPr>
          <w:rStyle w:val="FootnoteReference"/>
        </w:rPr>
        <w:footnoteRef/>
      </w:r>
      <w:r>
        <w:t xml:space="preserve"> SCE Reply Comments</w:t>
      </w:r>
      <w:r w:rsidR="00936C49" w:rsidRPr="00936C49">
        <w:t xml:space="preserve"> </w:t>
      </w:r>
      <w:r w:rsidR="00936C49">
        <w:t>on Workshop #3</w:t>
      </w:r>
      <w:r>
        <w:t xml:space="preserve"> at 10.</w:t>
      </w:r>
    </w:p>
  </w:footnote>
  <w:footnote w:id="158">
    <w:p w14:paraId="53207026" w14:textId="5465493A" w:rsidR="00A02582" w:rsidRDefault="00A02582" w:rsidP="00A02582">
      <w:pPr>
        <w:pStyle w:val="FootnoteText"/>
      </w:pPr>
      <w:r>
        <w:rPr>
          <w:rStyle w:val="FootnoteReference"/>
        </w:rPr>
        <w:footnoteRef/>
      </w:r>
      <w:r>
        <w:t xml:space="preserve"> Sempra Reply Comments</w:t>
      </w:r>
      <w:r w:rsidR="00D8089D" w:rsidRPr="00D8089D">
        <w:t xml:space="preserve"> </w:t>
      </w:r>
      <w:r w:rsidR="00D8089D">
        <w:t>on Workshop #3</w:t>
      </w:r>
      <w:r>
        <w:t xml:space="preserve"> at 9.</w:t>
      </w:r>
    </w:p>
  </w:footnote>
  <w:footnote w:id="159">
    <w:p w14:paraId="1E7B3979" w14:textId="3110E9DE" w:rsidR="00A02582" w:rsidRDefault="00A02582" w:rsidP="00A02582">
      <w:pPr>
        <w:pStyle w:val="FootnoteText"/>
      </w:pPr>
      <w:r>
        <w:rPr>
          <w:rStyle w:val="FootnoteReference"/>
        </w:rPr>
        <w:footnoteRef/>
      </w:r>
      <w:r>
        <w:t xml:space="preserve"> PG&amp;E Opening Comments</w:t>
      </w:r>
      <w:r w:rsidR="00D8089D" w:rsidRPr="00D8089D">
        <w:t xml:space="preserve"> </w:t>
      </w:r>
      <w:r w:rsidR="00D8089D">
        <w:t>on Workshop #3</w:t>
      </w:r>
      <w:r>
        <w:t xml:space="preserve"> at 12.</w:t>
      </w:r>
    </w:p>
  </w:footnote>
  <w:footnote w:id="160">
    <w:p w14:paraId="78589E5C" w14:textId="72D2AD66" w:rsidR="00A02582" w:rsidRDefault="00A02582" w:rsidP="00A02582">
      <w:pPr>
        <w:pStyle w:val="FootnoteText"/>
      </w:pPr>
      <w:r>
        <w:rPr>
          <w:rStyle w:val="FootnoteReference"/>
        </w:rPr>
        <w:footnoteRef/>
      </w:r>
      <w:r>
        <w:t xml:space="preserve"> TURN Reply Comments</w:t>
      </w:r>
      <w:r w:rsidR="00D8089D" w:rsidRPr="00D8089D">
        <w:t xml:space="preserve"> </w:t>
      </w:r>
      <w:r w:rsidR="00D8089D">
        <w:t>on Workshop #3</w:t>
      </w:r>
      <w:r>
        <w:t xml:space="preserve"> at 6.</w:t>
      </w:r>
    </w:p>
  </w:footnote>
  <w:footnote w:id="161">
    <w:p w14:paraId="7AC03398" w14:textId="5FE6291C" w:rsidR="00A02582" w:rsidRDefault="00A02582" w:rsidP="00A02582">
      <w:pPr>
        <w:pStyle w:val="FootnoteText"/>
      </w:pPr>
      <w:r>
        <w:rPr>
          <w:rStyle w:val="FootnoteReference"/>
        </w:rPr>
        <w:footnoteRef/>
      </w:r>
      <w:r>
        <w:t xml:space="preserve"> Cal Advocates Reply Comments</w:t>
      </w:r>
      <w:r w:rsidR="00D8089D" w:rsidRPr="00D8089D">
        <w:t xml:space="preserve"> </w:t>
      </w:r>
      <w:r w:rsidR="00D8089D">
        <w:t>on Workshop #3</w:t>
      </w:r>
      <w:r>
        <w:t xml:space="preserve"> at 4-5. </w:t>
      </w:r>
    </w:p>
  </w:footnote>
  <w:footnote w:id="162">
    <w:p w14:paraId="3A8837F1" w14:textId="619345FD" w:rsidR="00A02582" w:rsidRDefault="00A02582" w:rsidP="00A02582">
      <w:pPr>
        <w:pStyle w:val="FootnoteText"/>
      </w:pPr>
      <w:r>
        <w:rPr>
          <w:rStyle w:val="FootnoteReference"/>
        </w:rPr>
        <w:footnoteRef/>
      </w:r>
      <w:r>
        <w:t xml:space="preserve"> TURN Opening Comments</w:t>
      </w:r>
      <w:r w:rsidR="00D8089D" w:rsidRPr="00D8089D">
        <w:t xml:space="preserve"> </w:t>
      </w:r>
      <w:r w:rsidR="00D8089D">
        <w:t>on Workshop #3</w:t>
      </w:r>
      <w:r>
        <w:t xml:space="preserve"> at 13-14, Cal Advocates Opening Comments</w:t>
      </w:r>
      <w:r w:rsidR="00D8089D" w:rsidRPr="00D8089D">
        <w:t xml:space="preserve"> </w:t>
      </w:r>
      <w:r w:rsidR="00D8089D">
        <w:t>on Workshop #3</w:t>
      </w:r>
      <w:r>
        <w:t xml:space="preserve"> at 9-10, EPUC/IS Opening Comments at 9-10.</w:t>
      </w:r>
    </w:p>
  </w:footnote>
  <w:footnote w:id="163">
    <w:p w14:paraId="16D6FDC8" w14:textId="1389586C" w:rsidR="00A02582" w:rsidRDefault="00A02582" w:rsidP="00A02582">
      <w:pPr>
        <w:pStyle w:val="FootnoteText"/>
      </w:pPr>
      <w:r>
        <w:rPr>
          <w:rStyle w:val="FootnoteReference"/>
        </w:rPr>
        <w:footnoteRef/>
      </w:r>
      <w:r>
        <w:t xml:space="preserve"> TURN Opening Comments</w:t>
      </w:r>
      <w:r w:rsidR="00D8089D" w:rsidRPr="00D8089D">
        <w:t xml:space="preserve"> </w:t>
      </w:r>
      <w:r w:rsidR="00D8089D">
        <w:t>on Workshop #3</w:t>
      </w:r>
      <w:r>
        <w:t xml:space="preserve"> at 13-14.</w:t>
      </w:r>
    </w:p>
  </w:footnote>
  <w:footnote w:id="164">
    <w:p w14:paraId="50D2A457" w14:textId="4E70BB1B" w:rsidR="00A02582" w:rsidRDefault="00A02582" w:rsidP="00A02582">
      <w:pPr>
        <w:pStyle w:val="FootnoteText"/>
      </w:pPr>
      <w:r>
        <w:rPr>
          <w:rStyle w:val="FootnoteReference"/>
        </w:rPr>
        <w:footnoteRef/>
      </w:r>
      <w:r>
        <w:t xml:space="preserve"> TURN Opening Comments</w:t>
      </w:r>
      <w:r w:rsidR="00D8089D" w:rsidRPr="00D8089D">
        <w:t xml:space="preserve"> </w:t>
      </w:r>
      <w:r w:rsidR="00D8089D">
        <w:t>on Workshop #3</w:t>
      </w:r>
      <w:r>
        <w:t xml:space="preserve"> at 14.</w:t>
      </w:r>
    </w:p>
  </w:footnote>
  <w:footnote w:id="165">
    <w:p w14:paraId="3BF790C5" w14:textId="7203D2F0" w:rsidR="00A02582" w:rsidRDefault="00A02582" w:rsidP="00A02582">
      <w:pPr>
        <w:pStyle w:val="FootnoteText"/>
      </w:pPr>
      <w:r>
        <w:rPr>
          <w:rStyle w:val="FootnoteReference"/>
        </w:rPr>
        <w:footnoteRef/>
      </w:r>
      <w:r>
        <w:t xml:space="preserve"> SCE Opening Comments</w:t>
      </w:r>
      <w:r w:rsidR="00D8089D" w:rsidRPr="00D8089D">
        <w:t xml:space="preserve"> </w:t>
      </w:r>
      <w:r w:rsidR="00D8089D">
        <w:t xml:space="preserve">on Workshop #3 </w:t>
      </w:r>
      <w:r>
        <w:t xml:space="preserve">at 16-18, Sempra </w:t>
      </w:r>
      <w:r w:rsidR="00D8089D">
        <w:t xml:space="preserve">Companies </w:t>
      </w:r>
      <w:r>
        <w:t>Opening Comments</w:t>
      </w:r>
      <w:r w:rsidR="00D8089D" w:rsidRPr="00D8089D">
        <w:t xml:space="preserve"> </w:t>
      </w:r>
      <w:r w:rsidR="00D8089D">
        <w:t>on Workshop #3</w:t>
      </w:r>
      <w:r>
        <w:t xml:space="preserve"> at 11-12, PG&amp;E Opening Comments at 13.</w:t>
      </w:r>
    </w:p>
  </w:footnote>
  <w:footnote w:id="166">
    <w:p w14:paraId="2379B660" w14:textId="17C039D3" w:rsidR="00A02582" w:rsidRDefault="00A02582" w:rsidP="00A02582">
      <w:pPr>
        <w:pStyle w:val="FootnoteText"/>
      </w:pPr>
      <w:r>
        <w:rPr>
          <w:rStyle w:val="FootnoteReference"/>
        </w:rPr>
        <w:footnoteRef/>
      </w:r>
      <w:r>
        <w:t xml:space="preserve"> TURN Reply Comments</w:t>
      </w:r>
      <w:r w:rsidR="00D8089D" w:rsidRPr="00D8089D">
        <w:t xml:space="preserve"> </w:t>
      </w:r>
      <w:r w:rsidR="00D8089D">
        <w:t xml:space="preserve">on Workshop #3 </w:t>
      </w:r>
      <w:r>
        <w:t>at 6-7.</w:t>
      </w:r>
    </w:p>
  </w:footnote>
  <w:footnote w:id="167">
    <w:p w14:paraId="0F564E6E" w14:textId="44DCBBF1" w:rsidR="00A02582" w:rsidRDefault="00A02582" w:rsidP="00A02582">
      <w:pPr>
        <w:pStyle w:val="FootnoteText"/>
      </w:pPr>
      <w:r>
        <w:rPr>
          <w:rStyle w:val="FootnoteReference"/>
        </w:rPr>
        <w:footnoteRef/>
      </w:r>
      <w:r>
        <w:t xml:space="preserve"> EPUC/IS Reply Comments </w:t>
      </w:r>
      <w:r w:rsidR="00D8089D">
        <w:t xml:space="preserve">on Workshop #3 </w:t>
      </w:r>
      <w:r>
        <w:t>at 5.</w:t>
      </w:r>
    </w:p>
  </w:footnote>
  <w:footnote w:id="168">
    <w:p w14:paraId="7D0B855C" w14:textId="15453F15" w:rsidR="00A02582" w:rsidRDefault="00A02582" w:rsidP="00A02582">
      <w:pPr>
        <w:pStyle w:val="FootnoteText"/>
      </w:pPr>
      <w:r>
        <w:rPr>
          <w:rStyle w:val="FootnoteReference"/>
        </w:rPr>
        <w:footnoteRef/>
      </w:r>
      <w:r>
        <w:t xml:space="preserve"> EPUC/IS Reply Comments</w:t>
      </w:r>
      <w:r w:rsidR="00D8089D" w:rsidRPr="00D8089D">
        <w:t xml:space="preserve"> </w:t>
      </w:r>
      <w:r w:rsidR="00D8089D">
        <w:t>on Workshop #3</w:t>
      </w:r>
      <w:r>
        <w:t xml:space="preserve"> at 7.</w:t>
      </w:r>
    </w:p>
  </w:footnote>
  <w:footnote w:id="169">
    <w:p w14:paraId="55AD97FF" w14:textId="345BE3FE" w:rsidR="00A02582" w:rsidRDefault="00A02582" w:rsidP="00A02582">
      <w:pPr>
        <w:pStyle w:val="FootnoteText"/>
      </w:pPr>
      <w:r>
        <w:rPr>
          <w:rStyle w:val="FootnoteReference"/>
        </w:rPr>
        <w:footnoteRef/>
      </w:r>
      <w:r>
        <w:t xml:space="preserve"> TURN Opening Comments</w:t>
      </w:r>
      <w:r w:rsidR="00D8089D" w:rsidRPr="00D8089D">
        <w:t xml:space="preserve"> </w:t>
      </w:r>
      <w:r w:rsidR="00D8089D">
        <w:t>on Workshop #3</w:t>
      </w:r>
      <w:r>
        <w:t xml:space="preserve"> at 19.</w:t>
      </w:r>
    </w:p>
  </w:footnote>
  <w:footnote w:id="170">
    <w:p w14:paraId="7FACE674" w14:textId="7473CEB7" w:rsidR="00A02582" w:rsidRDefault="00A02582" w:rsidP="00A02582">
      <w:pPr>
        <w:pStyle w:val="FootnoteText"/>
      </w:pPr>
      <w:r>
        <w:rPr>
          <w:rStyle w:val="FootnoteReference"/>
        </w:rPr>
        <w:footnoteRef/>
      </w:r>
      <w:r>
        <w:t xml:space="preserve"> TURN Opening Comments</w:t>
      </w:r>
      <w:r w:rsidR="00D8089D" w:rsidRPr="00D8089D">
        <w:t xml:space="preserve"> </w:t>
      </w:r>
      <w:r w:rsidR="00D8089D">
        <w:t>on Workshop #3</w:t>
      </w:r>
      <w:r>
        <w:t xml:space="preserve"> at 18, Cal Advocates Opening Comments</w:t>
      </w:r>
      <w:r w:rsidR="00D8089D" w:rsidRPr="00D8089D">
        <w:t xml:space="preserve"> </w:t>
      </w:r>
      <w:r w:rsidR="00D8089D">
        <w:t>on Workshop #3</w:t>
      </w:r>
      <w:r>
        <w:t xml:space="preserve"> at 13, Sempra Companies Opening Comments</w:t>
      </w:r>
      <w:r w:rsidR="00D8089D" w:rsidRPr="00D8089D">
        <w:t xml:space="preserve"> </w:t>
      </w:r>
      <w:r w:rsidR="00D8089D">
        <w:t>on Workshop #3</w:t>
      </w:r>
      <w:r>
        <w:t xml:space="preserve"> at 15, SCE Opening Comments</w:t>
      </w:r>
      <w:r w:rsidR="00D8089D" w:rsidRPr="00D8089D">
        <w:t xml:space="preserve"> </w:t>
      </w:r>
      <w:r w:rsidR="00D8089D">
        <w:t>on Workshop #3</w:t>
      </w:r>
      <w:r>
        <w:t xml:space="preserve"> at 21.</w:t>
      </w:r>
    </w:p>
  </w:footnote>
  <w:footnote w:id="171">
    <w:p w14:paraId="2711E1A9" w14:textId="318D468B" w:rsidR="00A02582" w:rsidRDefault="00A02582" w:rsidP="00A02582">
      <w:pPr>
        <w:pStyle w:val="FootnoteText"/>
      </w:pPr>
      <w:r>
        <w:rPr>
          <w:rStyle w:val="FootnoteReference"/>
        </w:rPr>
        <w:footnoteRef/>
      </w:r>
      <w:r>
        <w:t xml:space="preserve"> TURN Opening Comments</w:t>
      </w:r>
      <w:r w:rsidR="00D8089D" w:rsidRPr="00D8089D">
        <w:t xml:space="preserve"> </w:t>
      </w:r>
      <w:r w:rsidR="00D8089D">
        <w:t>on Workshop #3</w:t>
      </w:r>
      <w:r>
        <w:t xml:space="preserve"> at 18.</w:t>
      </w:r>
    </w:p>
  </w:footnote>
  <w:footnote w:id="172">
    <w:p w14:paraId="740ACB0F" w14:textId="08119278" w:rsidR="00A02582" w:rsidRDefault="00A02582" w:rsidP="00A02582">
      <w:pPr>
        <w:pStyle w:val="FootnoteText"/>
      </w:pPr>
      <w:r>
        <w:rPr>
          <w:rStyle w:val="FootnoteReference"/>
        </w:rPr>
        <w:footnoteRef/>
      </w:r>
      <w:r>
        <w:t xml:space="preserve"> PG&amp;E Opening Comments</w:t>
      </w:r>
      <w:r w:rsidR="00D8089D" w:rsidRPr="00D8089D">
        <w:t xml:space="preserve"> </w:t>
      </w:r>
      <w:r w:rsidR="00D8089D">
        <w:t>on Workshop #3</w:t>
      </w:r>
      <w:r>
        <w:t xml:space="preserve"> at 16.</w:t>
      </w:r>
    </w:p>
  </w:footnote>
  <w:footnote w:id="173">
    <w:p w14:paraId="07054450" w14:textId="6B5BAC61" w:rsidR="00A02582" w:rsidRDefault="00A02582" w:rsidP="00A02582">
      <w:pPr>
        <w:pStyle w:val="FootnoteText"/>
      </w:pPr>
      <w:r>
        <w:rPr>
          <w:rStyle w:val="FootnoteReference"/>
        </w:rPr>
        <w:footnoteRef/>
      </w:r>
      <w:r>
        <w:t xml:space="preserve"> SCE Opening Comments</w:t>
      </w:r>
      <w:r w:rsidR="00D8089D" w:rsidRPr="00D8089D">
        <w:t xml:space="preserve"> </w:t>
      </w:r>
      <w:r w:rsidR="00D8089D">
        <w:t>on Workshop #3</w:t>
      </w:r>
      <w:r>
        <w:t xml:space="preserve"> at 23.</w:t>
      </w:r>
    </w:p>
  </w:footnote>
  <w:footnote w:id="174">
    <w:p w14:paraId="701A6476" w14:textId="17852E33" w:rsidR="00A02582" w:rsidRDefault="00A02582" w:rsidP="00A02582">
      <w:pPr>
        <w:pStyle w:val="FootnoteText"/>
      </w:pPr>
      <w:r>
        <w:rPr>
          <w:rStyle w:val="FootnoteReference"/>
        </w:rPr>
        <w:footnoteRef/>
      </w:r>
      <w:r>
        <w:t xml:space="preserve"> PG&amp;E Opening Comments</w:t>
      </w:r>
      <w:r w:rsidR="00190E42" w:rsidRPr="00190E42">
        <w:t xml:space="preserve"> </w:t>
      </w:r>
      <w:r w:rsidR="00190E42">
        <w:t>on Workshop #3</w:t>
      </w:r>
      <w:r>
        <w:t xml:space="preserve"> at 17-18.</w:t>
      </w:r>
    </w:p>
  </w:footnote>
  <w:footnote w:id="175">
    <w:p w14:paraId="3F8CF3EF" w14:textId="5CFE1EE3" w:rsidR="00A02582" w:rsidRDefault="00A02582" w:rsidP="00A02582">
      <w:pPr>
        <w:pStyle w:val="FootnoteText"/>
      </w:pPr>
      <w:r>
        <w:rPr>
          <w:rStyle w:val="FootnoteReference"/>
        </w:rPr>
        <w:footnoteRef/>
      </w:r>
      <w:r>
        <w:t xml:space="preserve"> Sempra </w:t>
      </w:r>
      <w:r w:rsidR="00190E42">
        <w:t xml:space="preserve">Companies </w:t>
      </w:r>
      <w:r>
        <w:t>Opening Comments, Appendix.</w:t>
      </w:r>
    </w:p>
  </w:footnote>
  <w:footnote w:id="176">
    <w:p w14:paraId="1D76F569" w14:textId="04F849F3" w:rsidR="00A02582" w:rsidRDefault="00A02582" w:rsidP="00A02582">
      <w:pPr>
        <w:pStyle w:val="FootnoteText"/>
      </w:pPr>
      <w:r>
        <w:rPr>
          <w:rStyle w:val="FootnoteReference"/>
        </w:rPr>
        <w:footnoteRef/>
      </w:r>
      <w:r>
        <w:t xml:space="preserve"> TURN Reply Comments</w:t>
      </w:r>
      <w:r w:rsidR="00190E42" w:rsidRPr="00190E42">
        <w:t xml:space="preserve"> </w:t>
      </w:r>
      <w:r w:rsidR="00190E42">
        <w:t>on Workshop #3</w:t>
      </w:r>
      <w:r>
        <w:t xml:space="preserve"> at 7.</w:t>
      </w:r>
    </w:p>
  </w:footnote>
  <w:footnote w:id="177">
    <w:p w14:paraId="77B191F6" w14:textId="105AE830" w:rsidR="00A02582" w:rsidRDefault="00A02582" w:rsidP="00A02582">
      <w:pPr>
        <w:pStyle w:val="FootnoteText"/>
      </w:pPr>
      <w:r>
        <w:rPr>
          <w:rStyle w:val="FootnoteReference"/>
        </w:rPr>
        <w:footnoteRef/>
      </w:r>
      <w:r>
        <w:t xml:space="preserve"> Cal Advocates Reply Comments</w:t>
      </w:r>
      <w:r w:rsidR="00190E42" w:rsidRPr="00190E42">
        <w:t xml:space="preserve"> </w:t>
      </w:r>
      <w:r w:rsidR="00190E42">
        <w:t>on Workshop #3</w:t>
      </w:r>
      <w:r>
        <w:t xml:space="preserve"> at 2-3.</w:t>
      </w:r>
    </w:p>
  </w:footnote>
  <w:footnote w:id="178">
    <w:p w14:paraId="72397BE1" w14:textId="3D062977" w:rsidR="00A02582" w:rsidRDefault="00A02582" w:rsidP="00A02582">
      <w:pPr>
        <w:pStyle w:val="FootnoteText"/>
      </w:pPr>
      <w:r>
        <w:rPr>
          <w:rStyle w:val="FootnoteReference"/>
        </w:rPr>
        <w:footnoteRef/>
      </w:r>
      <w:r>
        <w:t xml:space="preserve"> Cal Advocates Opening Comments</w:t>
      </w:r>
      <w:r w:rsidR="00190E42" w:rsidRPr="00190E42">
        <w:t xml:space="preserve"> </w:t>
      </w:r>
      <w:r w:rsidR="00190E42">
        <w:t>on Workshop #3</w:t>
      </w:r>
      <w:r>
        <w:t xml:space="preserve"> at 16.</w:t>
      </w:r>
    </w:p>
  </w:footnote>
  <w:footnote w:id="179">
    <w:p w14:paraId="7BC0E278" w14:textId="77777777" w:rsidR="00A02582" w:rsidRDefault="00A02582" w:rsidP="00A02582">
      <w:pPr>
        <w:pStyle w:val="FootnoteText"/>
      </w:pPr>
      <w:r>
        <w:rPr>
          <w:rStyle w:val="FootnoteReference"/>
        </w:rPr>
        <w:footnoteRef/>
      </w:r>
      <w:r>
        <w:t xml:space="preserve"> EPUC/IS Opening Comments at 12.</w:t>
      </w:r>
    </w:p>
  </w:footnote>
  <w:footnote w:id="180">
    <w:p w14:paraId="31BD03AA" w14:textId="77777777" w:rsidR="00A02582" w:rsidRDefault="00A02582" w:rsidP="00A02582">
      <w:pPr>
        <w:pStyle w:val="FootnoteText"/>
      </w:pPr>
      <w:r>
        <w:rPr>
          <w:rStyle w:val="FootnoteReference"/>
        </w:rPr>
        <w:footnoteRef/>
      </w:r>
      <w:r>
        <w:t xml:space="preserve"> TURN Opening Comments at 19. TURN noted that in terms of the timing of the events, these are their recommended minimum intervals.</w:t>
      </w:r>
    </w:p>
  </w:footnote>
  <w:footnote w:id="181">
    <w:p w14:paraId="3B426427" w14:textId="27E8B12D" w:rsidR="00A02582" w:rsidRDefault="00A02582" w:rsidP="00A02582">
      <w:pPr>
        <w:pStyle w:val="FootnoteText"/>
      </w:pPr>
      <w:r>
        <w:rPr>
          <w:rStyle w:val="FootnoteReference"/>
        </w:rPr>
        <w:footnoteRef/>
      </w:r>
      <w:r>
        <w:t xml:space="preserve"> Cal Advo</w:t>
      </w:r>
      <w:r w:rsidR="00112CB5">
        <w:t>c</w:t>
      </w:r>
      <w:r>
        <w:t xml:space="preserve">ates Opening Comments at 15. </w:t>
      </w:r>
    </w:p>
  </w:footnote>
  <w:footnote w:id="182">
    <w:p w14:paraId="7D090C5F" w14:textId="77777777" w:rsidR="00A02582" w:rsidRDefault="00A02582" w:rsidP="00A02582">
      <w:pPr>
        <w:pStyle w:val="FootnoteText"/>
      </w:pPr>
      <w:r>
        <w:rPr>
          <w:rStyle w:val="FootnoteReference"/>
        </w:rPr>
        <w:footnoteRef/>
      </w:r>
      <w:r>
        <w:t xml:space="preserve"> SCE Reply Comments at 6.</w:t>
      </w:r>
    </w:p>
  </w:footnote>
  <w:footnote w:id="183">
    <w:p w14:paraId="4E38E73A" w14:textId="77777777" w:rsidR="00A02582" w:rsidRDefault="00A02582" w:rsidP="00A02582">
      <w:pPr>
        <w:pStyle w:val="FootnoteText"/>
      </w:pPr>
      <w:r>
        <w:rPr>
          <w:rStyle w:val="FootnoteReference"/>
        </w:rPr>
        <w:footnoteRef/>
      </w:r>
      <w:r>
        <w:t xml:space="preserve"> </w:t>
      </w:r>
      <w:r w:rsidRPr="00F327EB">
        <w:rPr>
          <w:i/>
          <w:iCs/>
        </w:rPr>
        <w:t xml:space="preserve">See </w:t>
      </w:r>
      <w:r>
        <w:t>Appendix C at C-3 of the expectation of each line-item in the Reporting Phase Table.</w:t>
      </w:r>
    </w:p>
  </w:footnote>
  <w:footnote w:id="184">
    <w:p w14:paraId="1987818C" w14:textId="77777777" w:rsidR="00AC396D" w:rsidRDefault="00AC396D" w:rsidP="00AC396D">
      <w:pPr>
        <w:pStyle w:val="FootnoteText"/>
      </w:pPr>
      <w:r>
        <w:rPr>
          <w:rStyle w:val="FootnoteReference"/>
        </w:rPr>
        <w:footnoteRef/>
      </w:r>
      <w:r>
        <w:t xml:space="preserve"> R.20-07-013, </w:t>
      </w:r>
      <w:r w:rsidRPr="00D120B0">
        <w:t>Cal Advocates Comments on Phase 3 Roadmap at</w:t>
      </w:r>
      <w:r>
        <w:t xml:space="preserve"> 3.</w:t>
      </w:r>
    </w:p>
  </w:footnote>
  <w:footnote w:id="185">
    <w:p w14:paraId="7E8191A0" w14:textId="77777777" w:rsidR="00AC396D" w:rsidRDefault="00AC396D" w:rsidP="00AC396D">
      <w:pPr>
        <w:pStyle w:val="FootnoteText"/>
      </w:pPr>
      <w:r>
        <w:rPr>
          <w:rStyle w:val="FootnoteReference"/>
        </w:rPr>
        <w:footnoteRef/>
      </w:r>
      <w:r>
        <w:t xml:space="preserve"> R.20-07-013, Phase 3 Workshop #5, Cal Advocates, Recommendation to Develop Risk Mitigation Project Templates, October 31, 2023.</w:t>
      </w:r>
    </w:p>
  </w:footnote>
  <w:footnote w:id="186">
    <w:p w14:paraId="3C3EF5F4" w14:textId="77777777" w:rsidR="00BE2105" w:rsidRDefault="00BE2105" w:rsidP="00BE2105">
      <w:pPr>
        <w:pStyle w:val="FootnoteText"/>
      </w:pPr>
      <w:r>
        <w:rPr>
          <w:rStyle w:val="FootnoteReference"/>
        </w:rPr>
        <w:footnoteRef/>
      </w:r>
      <w:r>
        <w:t xml:space="preserve"> D.24-05-064 at 110.</w:t>
      </w:r>
    </w:p>
  </w:footnote>
  <w:footnote w:id="187">
    <w:p w14:paraId="1FAE305D" w14:textId="576F7B5B" w:rsidR="00AC396D" w:rsidRPr="00BE2105" w:rsidRDefault="00AC396D" w:rsidP="00AC396D">
      <w:pPr>
        <w:pStyle w:val="FootnoteText"/>
      </w:pPr>
      <w:r w:rsidRPr="00BE2105">
        <w:rPr>
          <w:rStyle w:val="FootnoteReference"/>
          <w:color w:val="000000" w:themeColor="text1"/>
        </w:rPr>
        <w:footnoteRef/>
      </w:r>
      <w:r w:rsidRPr="00BE2105">
        <w:rPr>
          <w:color w:val="000000" w:themeColor="text1"/>
        </w:rPr>
        <w:t xml:space="preserve"> </w:t>
      </w:r>
      <w:r w:rsidRPr="00F327EB">
        <w:rPr>
          <w:i/>
          <w:iCs/>
          <w:color w:val="000000" w:themeColor="text1"/>
        </w:rPr>
        <w:t>Id</w:t>
      </w:r>
      <w:r w:rsidRPr="00BE2105">
        <w:rPr>
          <w:color w:val="000000" w:themeColor="text1"/>
        </w:rPr>
        <w:t>.</w:t>
      </w:r>
      <w:r w:rsidR="00D03D56" w:rsidRPr="00BE2105">
        <w:rPr>
          <w:color w:val="000000" w:themeColor="text1"/>
        </w:rPr>
        <w:t xml:space="preserve"> at 123.</w:t>
      </w:r>
    </w:p>
  </w:footnote>
  <w:footnote w:id="188">
    <w:p w14:paraId="7882350D" w14:textId="77777777" w:rsidR="00AC396D" w:rsidRDefault="00AC396D" w:rsidP="00AC396D">
      <w:pPr>
        <w:pStyle w:val="FootnoteText"/>
      </w:pPr>
      <w:r>
        <w:rPr>
          <w:rStyle w:val="FootnoteReference"/>
        </w:rPr>
        <w:footnoteRef/>
      </w:r>
      <w:r>
        <w:t xml:space="preserve"> R.20-07-013, Phase 4 Scoping Memo, September 13, 2024, at 11.</w:t>
      </w:r>
    </w:p>
  </w:footnote>
  <w:footnote w:id="189">
    <w:p w14:paraId="363A28B0" w14:textId="77777777" w:rsidR="00AC396D" w:rsidRDefault="00AC396D" w:rsidP="00AC396D">
      <w:pPr>
        <w:pStyle w:val="FootnoteText"/>
      </w:pPr>
      <w:r>
        <w:rPr>
          <w:rStyle w:val="FootnoteReference"/>
        </w:rPr>
        <w:footnoteRef/>
      </w:r>
      <w:r>
        <w:t xml:space="preserve"> R.20-07-013, Administrative Law Judge’s Ruling Entering Phase 4 Technical Working Group Materials and Related Staff Proposal Into the Record and Setting Comment Schedule, February 11, 2025, at 2.</w:t>
      </w:r>
    </w:p>
  </w:footnote>
  <w:footnote w:id="190">
    <w:p w14:paraId="7037B03E" w14:textId="77777777" w:rsidR="00AC396D" w:rsidRDefault="00AC396D" w:rsidP="00AC396D">
      <w:pPr>
        <w:pStyle w:val="FootnoteText"/>
      </w:pPr>
      <w:r>
        <w:rPr>
          <w:rStyle w:val="FootnoteReference"/>
        </w:rPr>
        <w:footnoteRef/>
      </w:r>
      <w:r>
        <w:t xml:space="preserve"> For more information on the RRU, </w:t>
      </w:r>
      <w:r w:rsidRPr="003B2BD7">
        <w:rPr>
          <w:i/>
        </w:rPr>
        <w:t>vide supra</w:t>
      </w:r>
      <w:r>
        <w:t>, Section 7: Definition of Scoped Work.</w:t>
      </w:r>
    </w:p>
  </w:footnote>
  <w:footnote w:id="191">
    <w:p w14:paraId="23711F3B" w14:textId="77777777" w:rsidR="00AC396D" w:rsidRDefault="00AC396D" w:rsidP="00AC396D">
      <w:pPr>
        <w:pStyle w:val="FootnoteText"/>
      </w:pPr>
      <w:r>
        <w:rPr>
          <w:rStyle w:val="FootnoteReference"/>
        </w:rPr>
        <w:footnoteRef/>
      </w:r>
      <w:r>
        <w:t xml:space="preserve"> In Table 4, “low-risk” </w:t>
      </w:r>
      <w:r w:rsidRPr="00275AE7">
        <w:rPr>
          <w:szCs w:val="22"/>
        </w:rPr>
        <w:t>is defined as electric grid infrastructure assets whose risk level is below the threshold of two standard deviations (where the standard deviation is a measure of the amount of variation of the values of a variable about its mean) compared to the median and average risk of electric grid infrastructure assets mitigated by the RRU. R.20-07-013, Phase 4, Track 2</w:t>
      </w:r>
      <w:r>
        <w:rPr>
          <w:szCs w:val="22"/>
        </w:rPr>
        <w:t xml:space="preserve">, </w:t>
      </w:r>
      <w:r w:rsidRPr="00275AE7">
        <w:rPr>
          <w:szCs w:val="22"/>
        </w:rPr>
        <w:t>Safety Policy Division</w:t>
      </w:r>
      <w:r>
        <w:rPr>
          <w:szCs w:val="22"/>
        </w:rPr>
        <w:t xml:space="preserve"> </w:t>
      </w:r>
      <w:r w:rsidRPr="00275AE7">
        <w:rPr>
          <w:szCs w:val="22"/>
        </w:rPr>
        <w:t>Proposed Data Template Guideline for RAMP and GRC Application, February 7, 2025, Footnote 9, at 5.</w:t>
      </w:r>
    </w:p>
  </w:footnote>
  <w:footnote w:id="192">
    <w:p w14:paraId="45C7D2B4" w14:textId="77777777" w:rsidR="00AC396D" w:rsidRPr="005972BD" w:rsidRDefault="00AC396D" w:rsidP="00AC396D">
      <w:pPr>
        <w:pStyle w:val="FootnoteText"/>
        <w:rPr>
          <w:szCs w:val="22"/>
        </w:rPr>
      </w:pPr>
      <w:r w:rsidRPr="005972BD">
        <w:rPr>
          <w:rStyle w:val="FootnoteReference"/>
          <w:szCs w:val="22"/>
        </w:rPr>
        <w:footnoteRef/>
      </w:r>
      <w:r w:rsidRPr="005972BD">
        <w:rPr>
          <w:szCs w:val="22"/>
        </w:rPr>
        <w:t xml:space="preserve"> In Table 5, “low-risk” is defined as gas infrastructure assets whose risk level is below the threshold of two standard deviations (where the standard deviation is a measure of the amount of variation of the values of a variable about its mean) compared to the median and average risk of gas infrastructure assets mitigated by the RRU. R.20-07-013, Phase 4, Track 2, Safety Policy Division Proposed Data Template Guideline for RAMP and GRC Application, February 7, 2025, Footnote 10, at 5.</w:t>
      </w:r>
    </w:p>
  </w:footnote>
  <w:footnote w:id="193">
    <w:p w14:paraId="1DEB2D0B" w14:textId="77777777" w:rsidR="00AC396D" w:rsidRDefault="00AC396D" w:rsidP="00AC396D">
      <w:pPr>
        <w:pStyle w:val="FootnoteText"/>
      </w:pPr>
      <w:r>
        <w:rPr>
          <w:rStyle w:val="FootnoteReference"/>
        </w:rPr>
        <w:footnoteRef/>
      </w:r>
      <w:r>
        <w:t xml:space="preserve"> </w:t>
      </w:r>
      <w:r w:rsidRPr="005972BD">
        <w:rPr>
          <w:szCs w:val="22"/>
        </w:rPr>
        <w:t xml:space="preserve">R.20-07-013, Phase 4, Track 2, Safety Policy Division Proposed Data Template Guideline for RAMP and GRC Application, February 7, 2025, </w:t>
      </w:r>
      <w:r>
        <w:rPr>
          <w:szCs w:val="22"/>
        </w:rPr>
        <w:t>at 20</w:t>
      </w:r>
      <w:r w:rsidRPr="005972BD">
        <w:rPr>
          <w:szCs w:val="22"/>
        </w:rPr>
        <w:t>.</w:t>
      </w:r>
    </w:p>
  </w:footnote>
  <w:footnote w:id="194">
    <w:p w14:paraId="622BB6D1" w14:textId="77777777" w:rsidR="00AC396D" w:rsidRDefault="00AC396D" w:rsidP="00AC396D">
      <w:pPr>
        <w:pStyle w:val="FootnoteText"/>
      </w:pPr>
      <w:r>
        <w:rPr>
          <w:rStyle w:val="FootnoteReference"/>
        </w:rPr>
        <w:footnoteRef/>
      </w:r>
      <w:r>
        <w:t xml:space="preserve"> </w:t>
      </w:r>
      <w:r w:rsidRPr="00D8174D">
        <w:t>R.20-07-013</w:t>
      </w:r>
      <w:r>
        <w:t>,</w:t>
      </w:r>
      <w:r w:rsidRPr="00D8174D">
        <w:t xml:space="preserve"> P</w:t>
      </w:r>
      <w:r>
        <w:t>hase</w:t>
      </w:r>
      <w:r w:rsidRPr="00D8174D">
        <w:t xml:space="preserve"> 4</w:t>
      </w:r>
      <w:r>
        <w:t>, Track 2, Public Advocates Office Proposal to Develop Data Templates, February 18, 2025.</w:t>
      </w:r>
    </w:p>
  </w:footnote>
  <w:footnote w:id="195">
    <w:p w14:paraId="42115621" w14:textId="77777777" w:rsidR="00AC396D" w:rsidRDefault="00AC396D" w:rsidP="00AC396D">
      <w:pPr>
        <w:pStyle w:val="FootnoteText"/>
      </w:pPr>
      <w:r>
        <w:rPr>
          <w:rStyle w:val="FootnoteReference"/>
        </w:rPr>
        <w:footnoteRef/>
      </w:r>
      <w:r>
        <w:t xml:space="preserve"> </w:t>
      </w:r>
      <w:r w:rsidRPr="001E400D">
        <w:t>D.21-11-009</w:t>
      </w:r>
      <w:r>
        <w:t xml:space="preserve">, </w:t>
      </w:r>
      <w:r w:rsidRPr="001E400D">
        <w:t>Transparency Proposal</w:t>
      </w:r>
      <w:r>
        <w:t>,</w:t>
      </w:r>
      <w:r w:rsidRPr="001E400D">
        <w:t xml:space="preserve"> Appendix C</w:t>
      </w:r>
      <w:r>
        <w:t xml:space="preserve">; </w:t>
      </w:r>
      <w:r w:rsidRPr="001E400D">
        <w:t>R.20-07-013</w:t>
      </w:r>
      <w:r>
        <w:t>,</w:t>
      </w:r>
      <w:r w:rsidRPr="001E400D">
        <w:t xml:space="preserve"> Pacific Gas and Electric Company’s Test of the Transparency Pilot Guidelines, </w:t>
      </w:r>
      <w:r>
        <w:t xml:space="preserve">August </w:t>
      </w:r>
      <w:r w:rsidRPr="001E400D">
        <w:t>5</w:t>
      </w:r>
      <w:r>
        <w:t>, 2024.</w:t>
      </w:r>
    </w:p>
  </w:footnote>
  <w:footnote w:id="196">
    <w:p w14:paraId="42392ACC" w14:textId="665CF494" w:rsidR="00AC396D" w:rsidRDefault="00AC396D" w:rsidP="00AC396D">
      <w:pPr>
        <w:pStyle w:val="FootnoteText"/>
      </w:pPr>
      <w:r>
        <w:rPr>
          <w:rStyle w:val="FootnoteReference"/>
        </w:rPr>
        <w:footnoteRef/>
      </w:r>
      <w:r>
        <w:t xml:space="preserve"> PG&amp;E Opening Comments </w:t>
      </w:r>
      <w:r w:rsidR="009A7D9C">
        <w:t xml:space="preserve">on </w:t>
      </w:r>
      <w:r w:rsidR="00CE1981">
        <w:t>Technical Working Group</w:t>
      </w:r>
      <w:r w:rsidR="0067065E">
        <w:t xml:space="preserve"> </w:t>
      </w:r>
      <w:r>
        <w:t xml:space="preserve">at 15; SCE Reply Comments </w:t>
      </w:r>
      <w:r w:rsidR="0067065E">
        <w:t xml:space="preserve">on Workshop #2 </w:t>
      </w:r>
      <w:r>
        <w:t>at 7.</w:t>
      </w:r>
    </w:p>
  </w:footnote>
  <w:footnote w:id="197">
    <w:p w14:paraId="262BA556" w14:textId="5DE40F6E" w:rsidR="00AC396D" w:rsidRDefault="00AC396D" w:rsidP="00AC396D">
      <w:pPr>
        <w:pStyle w:val="FootnoteText"/>
      </w:pPr>
      <w:r>
        <w:rPr>
          <w:rStyle w:val="FootnoteReference"/>
        </w:rPr>
        <w:footnoteRef/>
      </w:r>
      <w:r>
        <w:t xml:space="preserve"> Sempra </w:t>
      </w:r>
      <w:r w:rsidR="0067065E">
        <w:t xml:space="preserve">Companies </w:t>
      </w:r>
      <w:r>
        <w:t xml:space="preserve">Opening Comments </w:t>
      </w:r>
      <w:r w:rsidR="0067065E">
        <w:t xml:space="preserve">on </w:t>
      </w:r>
      <w:r w:rsidR="005A04A2">
        <w:t>Technical Working Group</w:t>
      </w:r>
      <w:r w:rsidR="0067065E">
        <w:t xml:space="preserve"> </w:t>
      </w:r>
      <w:r>
        <w:t>at 2.</w:t>
      </w:r>
    </w:p>
  </w:footnote>
  <w:footnote w:id="198">
    <w:p w14:paraId="73729AD2" w14:textId="7BC5F60F" w:rsidR="00AC396D" w:rsidRDefault="00AC396D" w:rsidP="00AC396D">
      <w:pPr>
        <w:pStyle w:val="FootnoteText"/>
      </w:pPr>
      <w:r>
        <w:rPr>
          <w:rStyle w:val="FootnoteReference"/>
        </w:rPr>
        <w:footnoteRef/>
      </w:r>
      <w:r>
        <w:t xml:space="preserve"> Public Advocates Office Opening Commen</w:t>
      </w:r>
      <w:r w:rsidR="005A04A2">
        <w:t>ts</w:t>
      </w:r>
      <w:r w:rsidR="0067065E">
        <w:t xml:space="preserve"> on </w:t>
      </w:r>
      <w:r w:rsidR="005A04A2">
        <w:t>Technical Working Group</w:t>
      </w:r>
      <w:r>
        <w:t xml:space="preserve"> at 4.</w:t>
      </w:r>
    </w:p>
  </w:footnote>
  <w:footnote w:id="199">
    <w:p w14:paraId="0EAA6E8A" w14:textId="663BD525" w:rsidR="00AC396D" w:rsidRDefault="00AC396D" w:rsidP="00AC396D">
      <w:pPr>
        <w:pStyle w:val="FootnoteText"/>
      </w:pPr>
      <w:r>
        <w:rPr>
          <w:rStyle w:val="FootnoteReference"/>
        </w:rPr>
        <w:footnoteRef/>
      </w:r>
      <w:r>
        <w:t xml:space="preserve"> TURN Opening Comments </w:t>
      </w:r>
      <w:r w:rsidR="00516298">
        <w:t xml:space="preserve">on Technical Working Group </w:t>
      </w:r>
      <w:r>
        <w:t xml:space="preserve">at </w:t>
      </w:r>
      <w:r w:rsidR="00516298">
        <w:t xml:space="preserve"> 5 – 6</w:t>
      </w:r>
      <w:r>
        <w:t>.</w:t>
      </w:r>
    </w:p>
  </w:footnote>
  <w:footnote w:id="200">
    <w:p w14:paraId="3B5F6E8A" w14:textId="1059D8D5" w:rsidR="00AC396D" w:rsidRDefault="00AC396D" w:rsidP="00AC396D">
      <w:pPr>
        <w:pStyle w:val="FootnoteText"/>
      </w:pPr>
      <w:r>
        <w:rPr>
          <w:rStyle w:val="FootnoteReference"/>
        </w:rPr>
        <w:footnoteRef/>
      </w:r>
      <w:r>
        <w:t xml:space="preserve"> PG&amp;E Reply Comments </w:t>
      </w:r>
      <w:r w:rsidR="00516298">
        <w:t xml:space="preserve">on Technical Working Group </w:t>
      </w:r>
      <w:r>
        <w:t>at 4.</w:t>
      </w:r>
    </w:p>
  </w:footnote>
  <w:footnote w:id="201">
    <w:p w14:paraId="572065C5" w14:textId="54C838FF" w:rsidR="00AC396D" w:rsidRDefault="00AC396D" w:rsidP="00AC396D">
      <w:pPr>
        <w:pStyle w:val="FootnoteText"/>
      </w:pPr>
      <w:r>
        <w:rPr>
          <w:rStyle w:val="FootnoteReference"/>
        </w:rPr>
        <w:footnoteRef/>
      </w:r>
      <w:r>
        <w:t xml:space="preserve"> PG&amp;E Opening Comments</w:t>
      </w:r>
      <w:r w:rsidR="00F245F4">
        <w:t xml:space="preserve"> on Technical Working Group</w:t>
      </w:r>
      <w:r>
        <w:t xml:space="preserve"> at 15.</w:t>
      </w:r>
    </w:p>
  </w:footnote>
  <w:footnote w:id="202">
    <w:p w14:paraId="4BBBCC4A" w14:textId="1B0C59F0" w:rsidR="000F359B" w:rsidRDefault="000F359B" w:rsidP="000F359B">
      <w:pPr>
        <w:pStyle w:val="FootnoteText"/>
      </w:pPr>
      <w:r>
        <w:rPr>
          <w:rStyle w:val="FootnoteReference"/>
        </w:rPr>
        <w:footnoteRef/>
      </w:r>
      <w:r>
        <w:t xml:space="preserve"> PG&amp;E Opening Comments on Technical Working Group at </w:t>
      </w:r>
      <w:r w:rsidR="00521F1B">
        <w:t>1</w:t>
      </w:r>
      <w:r w:rsidR="00BC6860">
        <w:t>3</w:t>
      </w:r>
      <w:r w:rsidR="00F16B9D">
        <w:t>, 17-18</w:t>
      </w:r>
      <w:r w:rsidR="00521F1B">
        <w:t xml:space="preserve">; </w:t>
      </w:r>
      <w:r>
        <w:t>SCE Reply Comments on Technical Working Group at 5.</w:t>
      </w:r>
    </w:p>
  </w:footnote>
  <w:footnote w:id="203">
    <w:p w14:paraId="1054864F" w14:textId="2D50F690" w:rsidR="00994EF4" w:rsidRDefault="00994EF4">
      <w:pPr>
        <w:pStyle w:val="FootnoteText"/>
      </w:pPr>
      <w:r>
        <w:rPr>
          <w:rStyle w:val="FootnoteReference"/>
        </w:rPr>
        <w:footnoteRef/>
      </w:r>
      <w:r>
        <w:t xml:space="preserve"> </w:t>
      </w:r>
      <w:r w:rsidRPr="00994EF4">
        <w:t xml:space="preserve">PG&amp;E Opening Comments on Technical Working Group at </w:t>
      </w:r>
      <w:r>
        <w:t>2-3</w:t>
      </w:r>
      <w:r w:rsidRPr="00994EF4">
        <w:t>; SCE Reply Comments on Technical Working Group at 5.</w:t>
      </w:r>
    </w:p>
  </w:footnote>
  <w:footnote w:id="204">
    <w:p w14:paraId="125242EF" w14:textId="744E87AC" w:rsidR="00A942C7" w:rsidRDefault="00A942C7">
      <w:pPr>
        <w:pStyle w:val="FootnoteText"/>
      </w:pPr>
      <w:r>
        <w:rPr>
          <w:rStyle w:val="FootnoteReference"/>
        </w:rPr>
        <w:footnoteRef/>
      </w:r>
      <w:r>
        <w:t xml:space="preserve"> PG&amp;E Opening Comments on Technical Working Group at 18; SCE </w:t>
      </w:r>
      <w:r w:rsidR="00E4475D">
        <w:t>Opening</w:t>
      </w:r>
      <w:r>
        <w:t xml:space="preserve"> Comments on Technical Working Group at </w:t>
      </w:r>
      <w:r w:rsidR="00E4475D">
        <w:t>12</w:t>
      </w:r>
      <w:r w:rsidR="006A64D0">
        <w:t xml:space="preserve">; Sempra Opening Comments on Technical Working Group at </w:t>
      </w:r>
      <w:r w:rsidR="00B71DD7">
        <w:t>4-5</w:t>
      </w:r>
      <w:r>
        <w:t>.</w:t>
      </w:r>
    </w:p>
  </w:footnote>
  <w:footnote w:id="205">
    <w:p w14:paraId="7247AFB1" w14:textId="322D2DD3" w:rsidR="00AC396D" w:rsidRDefault="00AC396D" w:rsidP="00AC396D">
      <w:pPr>
        <w:pStyle w:val="FootnoteText"/>
      </w:pPr>
      <w:r>
        <w:rPr>
          <w:rStyle w:val="FootnoteReference"/>
        </w:rPr>
        <w:footnoteRef/>
      </w:r>
      <w:r>
        <w:t xml:space="preserve"> TURN Opening Comments </w:t>
      </w:r>
      <w:r w:rsidR="00D311C5">
        <w:t xml:space="preserve">on </w:t>
      </w:r>
      <w:r w:rsidR="00322E48">
        <w:t>Technical Working Group</w:t>
      </w:r>
      <w:r w:rsidR="00D311C5">
        <w:t xml:space="preserve"> </w:t>
      </w:r>
      <w:r>
        <w:t>at 7.</w:t>
      </w:r>
    </w:p>
  </w:footnote>
  <w:footnote w:id="206">
    <w:p w14:paraId="432C07F8" w14:textId="39B963A1" w:rsidR="00AC396D" w:rsidRDefault="00AC396D" w:rsidP="00AC396D">
      <w:pPr>
        <w:pStyle w:val="FootnoteText"/>
      </w:pPr>
      <w:r>
        <w:rPr>
          <w:rStyle w:val="FootnoteReference"/>
        </w:rPr>
        <w:footnoteRef/>
      </w:r>
      <w:r>
        <w:t xml:space="preserve"> </w:t>
      </w:r>
      <w:r w:rsidR="003D67FD">
        <w:t>Cal Advocates</w:t>
      </w:r>
      <w:r>
        <w:t xml:space="preserve"> Opening Comments</w:t>
      </w:r>
      <w:r w:rsidR="003D67FD">
        <w:t xml:space="preserve"> on </w:t>
      </w:r>
      <w:r w:rsidR="00322E48">
        <w:t>Technical Working Group</w:t>
      </w:r>
      <w:r>
        <w:t xml:space="preserve"> at 3.</w:t>
      </w:r>
    </w:p>
  </w:footnote>
  <w:footnote w:id="207">
    <w:p w14:paraId="0B3A99E0" w14:textId="214B4A0A" w:rsidR="00AC396D" w:rsidRDefault="00AC396D" w:rsidP="00AC396D">
      <w:pPr>
        <w:pStyle w:val="FootnoteText"/>
      </w:pPr>
      <w:r>
        <w:rPr>
          <w:rStyle w:val="FootnoteReference"/>
        </w:rPr>
        <w:footnoteRef/>
      </w:r>
      <w:r>
        <w:t xml:space="preserve"> SCE Opening Comments </w:t>
      </w:r>
      <w:r w:rsidR="009518F0">
        <w:t xml:space="preserve">on </w:t>
      </w:r>
      <w:r w:rsidR="00322E48">
        <w:t>Technical Working Group</w:t>
      </w:r>
      <w:r w:rsidR="009518F0">
        <w:t xml:space="preserve"> </w:t>
      </w:r>
      <w:r>
        <w:t xml:space="preserve">at 8; PG&amp;E Reply Comments </w:t>
      </w:r>
      <w:r w:rsidR="009518F0">
        <w:t xml:space="preserve">on </w:t>
      </w:r>
      <w:r w:rsidR="00322E48">
        <w:t>Technical Working Group</w:t>
      </w:r>
      <w:r w:rsidR="009518F0">
        <w:t xml:space="preserve"> </w:t>
      </w:r>
      <w:r>
        <w:t xml:space="preserve">at 3. </w:t>
      </w:r>
    </w:p>
  </w:footnote>
  <w:footnote w:id="208">
    <w:p w14:paraId="622DE59D" w14:textId="4D7D8940" w:rsidR="00AC396D" w:rsidRDefault="00AC396D" w:rsidP="00AC396D">
      <w:pPr>
        <w:pStyle w:val="FootnoteText"/>
      </w:pPr>
      <w:r>
        <w:rPr>
          <w:rStyle w:val="FootnoteReference"/>
        </w:rPr>
        <w:footnoteRef/>
      </w:r>
      <w:r>
        <w:t xml:space="preserve"> Public Advocates Office Reply Comments </w:t>
      </w:r>
      <w:r w:rsidR="001213EA">
        <w:t xml:space="preserve">on Technical Working Group </w:t>
      </w:r>
      <w:r>
        <w:t>at 13-15.</w:t>
      </w:r>
    </w:p>
  </w:footnote>
  <w:footnote w:id="209">
    <w:p w14:paraId="15CE9D91" w14:textId="0F6D1D1A" w:rsidR="00AC396D" w:rsidRDefault="00AC396D" w:rsidP="00AC396D">
      <w:pPr>
        <w:pStyle w:val="FootnoteText"/>
      </w:pPr>
      <w:r>
        <w:rPr>
          <w:rStyle w:val="FootnoteReference"/>
        </w:rPr>
        <w:footnoteRef/>
      </w:r>
      <w:r>
        <w:t xml:space="preserve"> PG&amp;E Opening Comments </w:t>
      </w:r>
      <w:r w:rsidR="001213EA">
        <w:t xml:space="preserve">on Technical Working Group </w:t>
      </w:r>
      <w:r>
        <w:t>at 5.</w:t>
      </w:r>
    </w:p>
  </w:footnote>
  <w:footnote w:id="210">
    <w:p w14:paraId="327F7BE0" w14:textId="78F4AC05" w:rsidR="00AC396D" w:rsidRDefault="00AC396D" w:rsidP="00AC396D">
      <w:pPr>
        <w:pStyle w:val="FootnoteText"/>
      </w:pPr>
      <w:r>
        <w:rPr>
          <w:rStyle w:val="FootnoteReference"/>
        </w:rPr>
        <w:footnoteRef/>
      </w:r>
      <w:r>
        <w:t xml:space="preserve"> SCE Opening Comments </w:t>
      </w:r>
      <w:r w:rsidR="00457B98">
        <w:t xml:space="preserve">on Technical Working Group </w:t>
      </w:r>
      <w:r>
        <w:t>at 3; Sempra Opening Comments</w:t>
      </w:r>
      <w:r w:rsidR="00CF59C0">
        <w:t xml:space="preserve"> on Technical Working Group</w:t>
      </w:r>
      <w:r>
        <w:t xml:space="preserve"> at 1-2.</w:t>
      </w:r>
    </w:p>
  </w:footnote>
  <w:footnote w:id="211">
    <w:p w14:paraId="5FBFFCB1" w14:textId="0B3C3DAC" w:rsidR="00AC396D" w:rsidRDefault="00AC396D" w:rsidP="00AC396D">
      <w:pPr>
        <w:pStyle w:val="FootnoteText"/>
      </w:pPr>
      <w:r>
        <w:rPr>
          <w:rStyle w:val="FootnoteReference"/>
        </w:rPr>
        <w:footnoteRef/>
      </w:r>
      <w:r>
        <w:t xml:space="preserve"> SCE Opening Comments </w:t>
      </w:r>
      <w:r w:rsidR="00457B98">
        <w:t xml:space="preserve">on Technical Working Group </w:t>
      </w:r>
      <w:r>
        <w:t xml:space="preserve">at 4. </w:t>
      </w:r>
    </w:p>
  </w:footnote>
  <w:footnote w:id="212">
    <w:p w14:paraId="634DF49B" w14:textId="4D1F05B1" w:rsidR="00AC396D" w:rsidRDefault="00AC396D" w:rsidP="00AC396D">
      <w:pPr>
        <w:pStyle w:val="FootnoteText"/>
      </w:pPr>
      <w:r>
        <w:rPr>
          <w:rStyle w:val="FootnoteReference"/>
        </w:rPr>
        <w:footnoteRef/>
      </w:r>
      <w:r>
        <w:t xml:space="preserve"> TURN Opening Comments </w:t>
      </w:r>
      <w:r w:rsidR="00457B98">
        <w:t xml:space="preserve">on Technical Working Group </w:t>
      </w:r>
      <w:r>
        <w:t>at 4.</w:t>
      </w:r>
    </w:p>
  </w:footnote>
  <w:footnote w:id="213">
    <w:p w14:paraId="40ADC423" w14:textId="70A320CB" w:rsidR="00AC396D" w:rsidRDefault="00AC396D" w:rsidP="00AC396D">
      <w:pPr>
        <w:pStyle w:val="FootnoteText"/>
      </w:pPr>
      <w:r>
        <w:rPr>
          <w:rStyle w:val="FootnoteReference"/>
        </w:rPr>
        <w:footnoteRef/>
      </w:r>
      <w:r>
        <w:t xml:space="preserve"> PG&amp;E Reply Comments </w:t>
      </w:r>
      <w:r w:rsidR="00457B98">
        <w:t xml:space="preserve">on Technical Working Group </w:t>
      </w:r>
      <w:r>
        <w:t>at 4-5.</w:t>
      </w:r>
    </w:p>
  </w:footnote>
  <w:footnote w:id="214">
    <w:p w14:paraId="654A46C8" w14:textId="59A06774" w:rsidR="00AC396D" w:rsidRDefault="00AC396D" w:rsidP="00AC396D">
      <w:pPr>
        <w:pStyle w:val="FootnoteText"/>
      </w:pPr>
      <w:r>
        <w:rPr>
          <w:rStyle w:val="FootnoteReference"/>
        </w:rPr>
        <w:footnoteRef/>
      </w:r>
      <w:r>
        <w:t xml:space="preserve"> PG&amp;E Opening Comments </w:t>
      </w:r>
      <w:r w:rsidR="00B959C9">
        <w:t>on Technical Working Group</w:t>
      </w:r>
      <w:r w:rsidR="009D7910">
        <w:t xml:space="preserve"> </w:t>
      </w:r>
      <w:r>
        <w:t>at 4-5.</w:t>
      </w:r>
    </w:p>
  </w:footnote>
  <w:footnote w:id="215">
    <w:p w14:paraId="6D8A5F37" w14:textId="03FF92FF" w:rsidR="00AC396D" w:rsidRDefault="00AC396D" w:rsidP="00AC396D">
      <w:pPr>
        <w:pStyle w:val="FootnoteText"/>
      </w:pPr>
      <w:r>
        <w:rPr>
          <w:rStyle w:val="FootnoteReference"/>
        </w:rPr>
        <w:footnoteRef/>
      </w:r>
      <w:r>
        <w:t xml:space="preserve"> TURN Opening Comments </w:t>
      </w:r>
      <w:r w:rsidR="006402E3">
        <w:t>on Te</w:t>
      </w:r>
      <w:r w:rsidR="0037242E">
        <w:t xml:space="preserve">chnical Working Group </w:t>
      </w:r>
      <w:r>
        <w:t>at 2-3.</w:t>
      </w:r>
    </w:p>
  </w:footnote>
  <w:footnote w:id="216">
    <w:p w14:paraId="7073A4C8" w14:textId="246BF9FB" w:rsidR="00AC396D" w:rsidRDefault="00AC396D" w:rsidP="00AC396D">
      <w:pPr>
        <w:pStyle w:val="FootnoteText"/>
      </w:pPr>
      <w:r>
        <w:rPr>
          <w:rStyle w:val="FootnoteReference"/>
        </w:rPr>
        <w:footnoteRef/>
      </w:r>
      <w:r>
        <w:t xml:space="preserve"> Sempra </w:t>
      </w:r>
      <w:r w:rsidR="00CF5C1D">
        <w:t xml:space="preserve">Companies </w:t>
      </w:r>
      <w:r>
        <w:t>Reply Comments</w:t>
      </w:r>
      <w:r w:rsidR="00CF5C1D">
        <w:t xml:space="preserve"> on Technical Working Group</w:t>
      </w:r>
      <w:r>
        <w:t xml:space="preserve"> at 5; SCE Reply Comments</w:t>
      </w:r>
      <w:r w:rsidR="00CF5C1D">
        <w:t xml:space="preserve"> on Technical Working Group</w:t>
      </w:r>
      <w:r>
        <w:t xml:space="preserve"> at 3.</w:t>
      </w:r>
    </w:p>
  </w:footnote>
  <w:footnote w:id="217">
    <w:p w14:paraId="6129294A" w14:textId="40A3BC9B" w:rsidR="00AC396D" w:rsidRDefault="00AC396D" w:rsidP="00AC396D">
      <w:pPr>
        <w:pStyle w:val="FootnoteText"/>
      </w:pPr>
      <w:r>
        <w:rPr>
          <w:rStyle w:val="FootnoteReference"/>
        </w:rPr>
        <w:footnoteRef/>
      </w:r>
      <w:r>
        <w:t xml:space="preserve"> SCE Opening Comments</w:t>
      </w:r>
      <w:r w:rsidR="005B61EF">
        <w:t xml:space="preserve"> on Technical Working Group</w:t>
      </w:r>
      <w:r>
        <w:t xml:space="preserve"> at 4</w:t>
      </w:r>
      <w:r w:rsidR="005B61EF">
        <w:t xml:space="preserve"> – 5</w:t>
      </w:r>
      <w:r>
        <w:t>.</w:t>
      </w:r>
    </w:p>
  </w:footnote>
  <w:footnote w:id="218">
    <w:p w14:paraId="0321DC8B" w14:textId="5422246B" w:rsidR="00AC396D" w:rsidRDefault="00AC396D" w:rsidP="00AC396D">
      <w:pPr>
        <w:pStyle w:val="FootnoteText"/>
      </w:pPr>
      <w:r>
        <w:rPr>
          <w:rStyle w:val="FootnoteReference"/>
        </w:rPr>
        <w:footnoteRef/>
      </w:r>
      <w:r>
        <w:t xml:space="preserve"> </w:t>
      </w:r>
      <w:r w:rsidR="005B61EF">
        <w:t>Cal Advocates</w:t>
      </w:r>
      <w:r>
        <w:t xml:space="preserve"> Opening Comments</w:t>
      </w:r>
      <w:r w:rsidR="005B61EF">
        <w:t xml:space="preserve"> on Technical Working Group</w:t>
      </w:r>
      <w:r>
        <w:t xml:space="preserve"> at </w:t>
      </w:r>
      <w:r w:rsidR="005B61EF">
        <w:t>5 – 6</w:t>
      </w:r>
      <w:r>
        <w:t>.</w:t>
      </w:r>
    </w:p>
  </w:footnote>
  <w:footnote w:id="219">
    <w:p w14:paraId="4516801C" w14:textId="2F04B442" w:rsidR="00AC396D" w:rsidRDefault="00AC396D" w:rsidP="00AC396D">
      <w:pPr>
        <w:pStyle w:val="FootnoteText"/>
      </w:pPr>
      <w:r>
        <w:rPr>
          <w:rStyle w:val="FootnoteReference"/>
        </w:rPr>
        <w:footnoteRef/>
      </w:r>
      <w:r>
        <w:t xml:space="preserve"> PG&amp;E Opening Comments </w:t>
      </w:r>
      <w:r w:rsidR="00B6662A">
        <w:t xml:space="preserve">on Technical Working Group </w:t>
      </w:r>
      <w:r>
        <w:t>at 6; Sempra Reply Comments</w:t>
      </w:r>
      <w:r w:rsidR="00B6662A">
        <w:t xml:space="preserve"> on Technical Working Group</w:t>
      </w:r>
      <w:r>
        <w:t xml:space="preserve"> at 4.</w:t>
      </w:r>
    </w:p>
  </w:footnote>
  <w:footnote w:id="220">
    <w:p w14:paraId="0B3D942F" w14:textId="77777777" w:rsidR="00AC396D" w:rsidRDefault="00AC396D" w:rsidP="00AC396D">
      <w:pPr>
        <w:pStyle w:val="FootnoteText"/>
      </w:pPr>
      <w:r>
        <w:rPr>
          <w:rStyle w:val="FootnoteReference"/>
        </w:rPr>
        <w:footnoteRef/>
      </w:r>
      <w:r>
        <w:t xml:space="preserve"> </w:t>
      </w:r>
      <w:r w:rsidRPr="00D8174D">
        <w:t>R.20-07-013</w:t>
      </w:r>
      <w:r>
        <w:t>,</w:t>
      </w:r>
      <w:r w:rsidRPr="00D8174D">
        <w:t xml:space="preserve"> P</w:t>
      </w:r>
      <w:r>
        <w:t>hase</w:t>
      </w:r>
      <w:r w:rsidRPr="00D8174D">
        <w:t xml:space="preserve"> 4</w:t>
      </w:r>
      <w:r>
        <w:t>, Track 2, SCE Reply Comments at 7-8.</w:t>
      </w:r>
    </w:p>
  </w:footnote>
  <w:footnote w:id="221">
    <w:p w14:paraId="7E813A75" w14:textId="2C7790C2" w:rsidR="00F55D34" w:rsidRDefault="00F55D34">
      <w:pPr>
        <w:pStyle w:val="FootnoteText"/>
      </w:pPr>
      <w:r>
        <w:rPr>
          <w:rStyle w:val="FootnoteReference"/>
        </w:rPr>
        <w:footnoteRef/>
      </w:r>
      <w:r>
        <w:t xml:space="preserve"> </w:t>
      </w:r>
      <w:r w:rsidR="00A233F6">
        <w:t xml:space="preserve">The Commission’s RAMP website is currently located at </w:t>
      </w:r>
      <w:r w:rsidR="00A233F6" w:rsidRPr="00A233F6">
        <w:t>https://www.cpuc.ca.gov/about-cpuc/divisions/safety-policy-division/risk-assessment-and-safety-analytics/risk-assessment-mitigation-phase</w:t>
      </w:r>
      <w:r w:rsidR="00A233F6">
        <w:t>.</w:t>
      </w:r>
    </w:p>
  </w:footnote>
  <w:footnote w:id="222">
    <w:p w14:paraId="641FA1EE" w14:textId="54DA546A" w:rsidR="000D11FB" w:rsidRDefault="000D11FB">
      <w:pPr>
        <w:pStyle w:val="FootnoteText"/>
      </w:pPr>
      <w:r>
        <w:rPr>
          <w:rStyle w:val="FootnoteReference"/>
        </w:rPr>
        <w:footnoteRef/>
      </w:r>
      <w:r>
        <w:t xml:space="preserve"> </w:t>
      </w:r>
      <w:r w:rsidR="007D7A9E">
        <w:t>Office of Energy Infrastructure Safety, “</w:t>
      </w:r>
      <w:r w:rsidR="003F7E0A">
        <w:t xml:space="preserve">10-Year Electrical Undergrounding Plan Guidelines,” February 20, 2025, at 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25F3" w14:textId="28693AB3" w:rsidR="00E23CBB" w:rsidRDefault="0047711D" w:rsidP="004E5CF5">
    <w:pPr>
      <w:pStyle w:val="Header"/>
      <w:tabs>
        <w:tab w:val="clear" w:pos="4680"/>
      </w:tabs>
      <w:ind w:firstLine="0"/>
      <w:rPr>
        <w:b/>
      </w:rPr>
    </w:pPr>
    <w:r>
      <w:t xml:space="preserve">R.20-07-013  </w:t>
    </w:r>
    <w:r w:rsidR="00A34AED">
      <w:t>COM/JR5/JLQ/asf</w:t>
    </w:r>
    <w:r w:rsidR="00E23CBB">
      <w:tab/>
    </w:r>
  </w:p>
  <w:p w14:paraId="405A4953" w14:textId="77777777" w:rsidR="00A34AED" w:rsidRDefault="00A34AED" w:rsidP="004E5CF5">
    <w:pPr>
      <w:pStyle w:val="Header"/>
      <w:tabs>
        <w:tab w:val="clear" w:pos="4680"/>
      </w:tabs>
      <w:ind w:firstLine="0"/>
      <w:rPr>
        <w:iCs/>
        <w:color w:val="FF0000"/>
      </w:rPr>
    </w:pPr>
  </w:p>
  <w:p w14:paraId="59657EED" w14:textId="77777777" w:rsidR="00A34AED" w:rsidRPr="00A34AED" w:rsidRDefault="00A34AED" w:rsidP="004E5CF5">
    <w:pPr>
      <w:pStyle w:val="Header"/>
      <w:tabs>
        <w:tab w:val="clear" w:pos="4680"/>
      </w:tabs>
      <w:ind w:firstLine="0"/>
      <w:rPr>
        <w:iCs/>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96C5" w14:textId="463A8C00" w:rsidR="00FE2351" w:rsidRDefault="0047711D" w:rsidP="004E5CF5">
    <w:pPr>
      <w:pStyle w:val="Header"/>
      <w:tabs>
        <w:tab w:val="clear" w:pos="4680"/>
      </w:tabs>
      <w:ind w:firstLine="0"/>
      <w:rPr>
        <w:b/>
      </w:rPr>
    </w:pPr>
    <w:r>
      <w:t xml:space="preserve">R.20-07-013  </w:t>
    </w:r>
    <w:r w:rsidR="00397465">
      <w:t>COM/JR5/JLQ/asf</w:t>
    </w:r>
    <w:r w:rsidR="00FE2351">
      <w:tab/>
    </w:r>
  </w:p>
  <w:p w14:paraId="319707B6" w14:textId="77777777" w:rsidR="00397465" w:rsidRDefault="00397465" w:rsidP="004E5CF5">
    <w:pPr>
      <w:pStyle w:val="Header"/>
      <w:tabs>
        <w:tab w:val="clear" w:pos="4680"/>
      </w:tabs>
      <w:ind w:firstLine="0"/>
      <w:rPr>
        <w:iCs/>
        <w:color w:val="FF0000"/>
      </w:rPr>
    </w:pPr>
  </w:p>
  <w:p w14:paraId="167486CD" w14:textId="77777777" w:rsidR="00397465" w:rsidRPr="00397465" w:rsidRDefault="00397465" w:rsidP="004E5CF5">
    <w:pPr>
      <w:pStyle w:val="Header"/>
      <w:tabs>
        <w:tab w:val="clear" w:pos="4680"/>
      </w:tabs>
      <w:ind w:firstLine="0"/>
      <w:rPr>
        <w:i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A02BD"/>
    <w:multiLevelType w:val="multilevel"/>
    <w:tmpl w:val="87D6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6D02BE"/>
    <w:multiLevelType w:val="hybridMultilevel"/>
    <w:tmpl w:val="A2BC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071F7"/>
    <w:multiLevelType w:val="hybridMultilevel"/>
    <w:tmpl w:val="F900209A"/>
    <w:lvl w:ilvl="0" w:tplc="2420533E">
      <w:start w:val="1"/>
      <w:numFmt w:val="decimal"/>
      <w:lvlText w:val="%1."/>
      <w:lvlJc w:val="left"/>
      <w:pPr>
        <w:tabs>
          <w:tab w:val="num" w:pos="720"/>
        </w:tabs>
        <w:ind w:left="720" w:hanging="360"/>
      </w:pPr>
      <w:rPr>
        <w:b w:val="0"/>
        <w:bCs w:val="0"/>
      </w:rPr>
    </w:lvl>
    <w:lvl w:ilvl="1" w:tplc="57E2FFF8">
      <w:start w:val="1"/>
      <w:numFmt w:val="decimal"/>
      <w:lvlText w:val="%2."/>
      <w:lvlJc w:val="left"/>
      <w:pPr>
        <w:tabs>
          <w:tab w:val="num" w:pos="1440"/>
        </w:tabs>
        <w:ind w:left="1440" w:hanging="360"/>
      </w:pPr>
    </w:lvl>
    <w:lvl w:ilvl="2" w:tplc="59A8E47E" w:tentative="1">
      <w:start w:val="1"/>
      <w:numFmt w:val="decimal"/>
      <w:lvlText w:val="%3."/>
      <w:lvlJc w:val="left"/>
      <w:pPr>
        <w:tabs>
          <w:tab w:val="num" w:pos="2160"/>
        </w:tabs>
        <w:ind w:left="2160" w:hanging="360"/>
      </w:pPr>
    </w:lvl>
    <w:lvl w:ilvl="3" w:tplc="30E65F88" w:tentative="1">
      <w:start w:val="1"/>
      <w:numFmt w:val="decimal"/>
      <w:lvlText w:val="%4."/>
      <w:lvlJc w:val="left"/>
      <w:pPr>
        <w:tabs>
          <w:tab w:val="num" w:pos="2880"/>
        </w:tabs>
        <w:ind w:left="2880" w:hanging="360"/>
      </w:pPr>
    </w:lvl>
    <w:lvl w:ilvl="4" w:tplc="4790CF78" w:tentative="1">
      <w:start w:val="1"/>
      <w:numFmt w:val="decimal"/>
      <w:lvlText w:val="%5."/>
      <w:lvlJc w:val="left"/>
      <w:pPr>
        <w:tabs>
          <w:tab w:val="num" w:pos="3600"/>
        </w:tabs>
        <w:ind w:left="3600" w:hanging="360"/>
      </w:pPr>
    </w:lvl>
    <w:lvl w:ilvl="5" w:tplc="A7329878" w:tentative="1">
      <w:start w:val="1"/>
      <w:numFmt w:val="decimal"/>
      <w:lvlText w:val="%6."/>
      <w:lvlJc w:val="left"/>
      <w:pPr>
        <w:tabs>
          <w:tab w:val="num" w:pos="4320"/>
        </w:tabs>
        <w:ind w:left="4320" w:hanging="360"/>
      </w:pPr>
    </w:lvl>
    <w:lvl w:ilvl="6" w:tplc="A572786E" w:tentative="1">
      <w:start w:val="1"/>
      <w:numFmt w:val="decimal"/>
      <w:lvlText w:val="%7."/>
      <w:lvlJc w:val="left"/>
      <w:pPr>
        <w:tabs>
          <w:tab w:val="num" w:pos="5040"/>
        </w:tabs>
        <w:ind w:left="5040" w:hanging="360"/>
      </w:pPr>
    </w:lvl>
    <w:lvl w:ilvl="7" w:tplc="81E6C040" w:tentative="1">
      <w:start w:val="1"/>
      <w:numFmt w:val="decimal"/>
      <w:lvlText w:val="%8."/>
      <w:lvlJc w:val="left"/>
      <w:pPr>
        <w:tabs>
          <w:tab w:val="num" w:pos="5760"/>
        </w:tabs>
        <w:ind w:left="5760" w:hanging="360"/>
      </w:pPr>
    </w:lvl>
    <w:lvl w:ilvl="8" w:tplc="F46C8D00" w:tentative="1">
      <w:start w:val="1"/>
      <w:numFmt w:val="decimal"/>
      <w:lvlText w:val="%9."/>
      <w:lvlJc w:val="left"/>
      <w:pPr>
        <w:tabs>
          <w:tab w:val="num" w:pos="6480"/>
        </w:tabs>
        <w:ind w:left="6480" w:hanging="360"/>
      </w:pPr>
    </w:lvl>
  </w:abstractNum>
  <w:abstractNum w:abstractNumId="4" w15:restartNumberingAfterBreak="0">
    <w:nsid w:val="06673B6A"/>
    <w:multiLevelType w:val="hybridMultilevel"/>
    <w:tmpl w:val="13D08D1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0A6569A6"/>
    <w:multiLevelType w:val="hybridMultilevel"/>
    <w:tmpl w:val="AEA8E706"/>
    <w:lvl w:ilvl="0" w:tplc="7E76D1FA">
      <w:start w:val="1"/>
      <w:numFmt w:val="bullet"/>
      <w:lvlText w:val="•"/>
      <w:lvlJc w:val="left"/>
      <w:pPr>
        <w:tabs>
          <w:tab w:val="num" w:pos="720"/>
        </w:tabs>
        <w:ind w:left="720" w:hanging="360"/>
      </w:pPr>
      <w:rPr>
        <w:rFonts w:ascii="Arial" w:hAnsi="Arial" w:hint="default"/>
      </w:rPr>
    </w:lvl>
    <w:lvl w:ilvl="1" w:tplc="EA9AB7B2" w:tentative="1">
      <w:start w:val="1"/>
      <w:numFmt w:val="bullet"/>
      <w:lvlText w:val="•"/>
      <w:lvlJc w:val="left"/>
      <w:pPr>
        <w:tabs>
          <w:tab w:val="num" w:pos="1440"/>
        </w:tabs>
        <w:ind w:left="1440" w:hanging="360"/>
      </w:pPr>
      <w:rPr>
        <w:rFonts w:ascii="Arial" w:hAnsi="Arial" w:hint="default"/>
      </w:rPr>
    </w:lvl>
    <w:lvl w:ilvl="2" w:tplc="A79C786E" w:tentative="1">
      <w:start w:val="1"/>
      <w:numFmt w:val="bullet"/>
      <w:lvlText w:val="•"/>
      <w:lvlJc w:val="left"/>
      <w:pPr>
        <w:tabs>
          <w:tab w:val="num" w:pos="2160"/>
        </w:tabs>
        <w:ind w:left="2160" w:hanging="360"/>
      </w:pPr>
      <w:rPr>
        <w:rFonts w:ascii="Arial" w:hAnsi="Arial" w:hint="default"/>
      </w:rPr>
    </w:lvl>
    <w:lvl w:ilvl="3" w:tplc="98BCF2FC" w:tentative="1">
      <w:start w:val="1"/>
      <w:numFmt w:val="bullet"/>
      <w:lvlText w:val="•"/>
      <w:lvlJc w:val="left"/>
      <w:pPr>
        <w:tabs>
          <w:tab w:val="num" w:pos="2880"/>
        </w:tabs>
        <w:ind w:left="2880" w:hanging="360"/>
      </w:pPr>
      <w:rPr>
        <w:rFonts w:ascii="Arial" w:hAnsi="Arial" w:hint="default"/>
      </w:rPr>
    </w:lvl>
    <w:lvl w:ilvl="4" w:tplc="4B00901A" w:tentative="1">
      <w:start w:val="1"/>
      <w:numFmt w:val="bullet"/>
      <w:lvlText w:val="•"/>
      <w:lvlJc w:val="left"/>
      <w:pPr>
        <w:tabs>
          <w:tab w:val="num" w:pos="3600"/>
        </w:tabs>
        <w:ind w:left="3600" w:hanging="360"/>
      </w:pPr>
      <w:rPr>
        <w:rFonts w:ascii="Arial" w:hAnsi="Arial" w:hint="default"/>
      </w:rPr>
    </w:lvl>
    <w:lvl w:ilvl="5" w:tplc="BD24B64A" w:tentative="1">
      <w:start w:val="1"/>
      <w:numFmt w:val="bullet"/>
      <w:lvlText w:val="•"/>
      <w:lvlJc w:val="left"/>
      <w:pPr>
        <w:tabs>
          <w:tab w:val="num" w:pos="4320"/>
        </w:tabs>
        <w:ind w:left="4320" w:hanging="360"/>
      </w:pPr>
      <w:rPr>
        <w:rFonts w:ascii="Arial" w:hAnsi="Arial" w:hint="default"/>
      </w:rPr>
    </w:lvl>
    <w:lvl w:ilvl="6" w:tplc="C158E574" w:tentative="1">
      <w:start w:val="1"/>
      <w:numFmt w:val="bullet"/>
      <w:lvlText w:val="•"/>
      <w:lvlJc w:val="left"/>
      <w:pPr>
        <w:tabs>
          <w:tab w:val="num" w:pos="5040"/>
        </w:tabs>
        <w:ind w:left="5040" w:hanging="360"/>
      </w:pPr>
      <w:rPr>
        <w:rFonts w:ascii="Arial" w:hAnsi="Arial" w:hint="default"/>
      </w:rPr>
    </w:lvl>
    <w:lvl w:ilvl="7" w:tplc="3286C436" w:tentative="1">
      <w:start w:val="1"/>
      <w:numFmt w:val="bullet"/>
      <w:lvlText w:val="•"/>
      <w:lvlJc w:val="left"/>
      <w:pPr>
        <w:tabs>
          <w:tab w:val="num" w:pos="5760"/>
        </w:tabs>
        <w:ind w:left="5760" w:hanging="360"/>
      </w:pPr>
      <w:rPr>
        <w:rFonts w:ascii="Arial" w:hAnsi="Arial" w:hint="default"/>
      </w:rPr>
    </w:lvl>
    <w:lvl w:ilvl="8" w:tplc="DCDC82F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BF3A8D"/>
    <w:multiLevelType w:val="hybridMultilevel"/>
    <w:tmpl w:val="D9424F58"/>
    <w:lvl w:ilvl="0" w:tplc="8F4AA31C">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6C1C14"/>
    <w:multiLevelType w:val="multilevel"/>
    <w:tmpl w:val="18F4A5AC"/>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8" w15:restartNumberingAfterBreak="0">
    <w:nsid w:val="15B86F01"/>
    <w:multiLevelType w:val="hybridMultilevel"/>
    <w:tmpl w:val="487C0942"/>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F056CB"/>
    <w:multiLevelType w:val="multilevel"/>
    <w:tmpl w:val="18F4A5AC"/>
    <w:numStyleLink w:val="FoFCoLOP"/>
  </w:abstractNum>
  <w:abstractNum w:abstractNumId="10" w15:restartNumberingAfterBreak="0">
    <w:nsid w:val="1C260FA0"/>
    <w:multiLevelType w:val="hybridMultilevel"/>
    <w:tmpl w:val="3596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B0F3A"/>
    <w:multiLevelType w:val="hybridMultilevel"/>
    <w:tmpl w:val="F14A4B60"/>
    <w:lvl w:ilvl="0" w:tplc="36F22C3E">
      <w:start w:val="1"/>
      <w:numFmt w:val="decimal"/>
      <w:lvlText w:val="(%1)"/>
      <w:lvlJc w:val="left"/>
      <w:pPr>
        <w:ind w:left="383" w:hanging="360"/>
      </w:pPr>
      <w:rPr>
        <w:rFonts w:hint="default"/>
      </w:rPr>
    </w:lvl>
    <w:lvl w:ilvl="1" w:tplc="04090019">
      <w:start w:val="1"/>
      <w:numFmt w:val="lowerLetter"/>
      <w:lvlText w:val="%2."/>
      <w:lvlJc w:val="left"/>
      <w:pPr>
        <w:ind w:left="1103" w:hanging="360"/>
      </w:pPr>
    </w:lvl>
    <w:lvl w:ilvl="2" w:tplc="014C2D66">
      <w:start w:val="1"/>
      <w:numFmt w:val="decimal"/>
      <w:lvlText w:val="%3)"/>
      <w:lvlJc w:val="left"/>
      <w:pPr>
        <w:ind w:left="2003" w:hanging="360"/>
      </w:pPr>
      <w:rPr>
        <w:rFonts w:hint="default"/>
      </w:r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2" w15:restartNumberingAfterBreak="0">
    <w:nsid w:val="1C7E31B6"/>
    <w:multiLevelType w:val="hybridMultilevel"/>
    <w:tmpl w:val="99524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70038F"/>
    <w:multiLevelType w:val="multilevel"/>
    <w:tmpl w:val="3C526EDE"/>
    <w:numStyleLink w:val="Headings"/>
  </w:abstractNum>
  <w:abstractNum w:abstractNumId="15" w15:restartNumberingAfterBreak="0">
    <w:nsid w:val="1E2242C9"/>
    <w:multiLevelType w:val="multilevel"/>
    <w:tmpl w:val="3C526EDE"/>
    <w:numStyleLink w:val="Headings"/>
  </w:abstractNum>
  <w:abstractNum w:abstractNumId="16" w15:restartNumberingAfterBreak="0">
    <w:nsid w:val="1E4877C1"/>
    <w:multiLevelType w:val="hybridMultilevel"/>
    <w:tmpl w:val="E7AA0918"/>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1426B8"/>
    <w:multiLevelType w:val="hybridMultilevel"/>
    <w:tmpl w:val="29504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921902"/>
    <w:multiLevelType w:val="hybridMultilevel"/>
    <w:tmpl w:val="23DE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FB58FE"/>
    <w:multiLevelType w:val="multilevel"/>
    <w:tmpl w:val="3C526EDE"/>
    <w:numStyleLink w:val="Headings"/>
  </w:abstractNum>
  <w:abstractNum w:abstractNumId="20" w15:restartNumberingAfterBreak="0">
    <w:nsid w:val="243663A0"/>
    <w:multiLevelType w:val="multilevel"/>
    <w:tmpl w:val="3C526EDE"/>
    <w:numStyleLink w:val="Headings"/>
  </w:abstractNum>
  <w:abstractNum w:abstractNumId="21" w15:restartNumberingAfterBreak="0">
    <w:nsid w:val="24AC1050"/>
    <w:multiLevelType w:val="hybridMultilevel"/>
    <w:tmpl w:val="1908C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9113059"/>
    <w:multiLevelType w:val="hybridMultilevel"/>
    <w:tmpl w:val="E5CC3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8124D7"/>
    <w:multiLevelType w:val="multilevel"/>
    <w:tmpl w:val="3C526EDE"/>
    <w:numStyleLink w:val="Headings"/>
  </w:abstractNum>
  <w:abstractNum w:abstractNumId="24" w15:restartNumberingAfterBreak="0">
    <w:nsid w:val="2D2468A1"/>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5" w15:restartNumberingAfterBreak="0">
    <w:nsid w:val="2F424569"/>
    <w:multiLevelType w:val="hybridMultilevel"/>
    <w:tmpl w:val="0BB6A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28E2D92"/>
    <w:multiLevelType w:val="hybridMultilevel"/>
    <w:tmpl w:val="F1A6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BD2A9A"/>
    <w:multiLevelType w:val="hybridMultilevel"/>
    <w:tmpl w:val="0C380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9" w15:restartNumberingAfterBreak="0">
    <w:nsid w:val="33840567"/>
    <w:multiLevelType w:val="hybridMultilevel"/>
    <w:tmpl w:val="01824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96231B"/>
    <w:multiLevelType w:val="hybridMultilevel"/>
    <w:tmpl w:val="D9669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7E62583"/>
    <w:multiLevelType w:val="hybridMultilevel"/>
    <w:tmpl w:val="54B046A4"/>
    <w:lvl w:ilvl="0" w:tplc="A0266360">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99967F0"/>
    <w:multiLevelType w:val="hybridMultilevel"/>
    <w:tmpl w:val="6E1E131E"/>
    <w:lvl w:ilvl="0" w:tplc="A2C00F1C">
      <w:start w:val="1"/>
      <w:numFmt w:val="lowerLetter"/>
      <w:lvlText w:val="%1)"/>
      <w:lvlJc w:val="left"/>
      <w:pPr>
        <w:ind w:left="720" w:hanging="360"/>
      </w:pPr>
    </w:lvl>
    <w:lvl w:ilvl="1" w:tplc="19C87E36">
      <w:start w:val="1"/>
      <w:numFmt w:val="lowerLetter"/>
      <w:lvlText w:val="%2)"/>
      <w:lvlJc w:val="left"/>
      <w:pPr>
        <w:ind w:left="720" w:hanging="360"/>
      </w:pPr>
    </w:lvl>
    <w:lvl w:ilvl="2" w:tplc="68D2BD76">
      <w:start w:val="1"/>
      <w:numFmt w:val="lowerLetter"/>
      <w:lvlText w:val="%3)"/>
      <w:lvlJc w:val="left"/>
      <w:pPr>
        <w:ind w:left="720" w:hanging="360"/>
      </w:pPr>
    </w:lvl>
    <w:lvl w:ilvl="3" w:tplc="DA7434B6">
      <w:start w:val="1"/>
      <w:numFmt w:val="lowerLetter"/>
      <w:lvlText w:val="%4)"/>
      <w:lvlJc w:val="left"/>
      <w:pPr>
        <w:ind w:left="720" w:hanging="360"/>
      </w:pPr>
    </w:lvl>
    <w:lvl w:ilvl="4" w:tplc="97BA4704">
      <w:start w:val="1"/>
      <w:numFmt w:val="lowerLetter"/>
      <w:lvlText w:val="%5)"/>
      <w:lvlJc w:val="left"/>
      <w:pPr>
        <w:ind w:left="720" w:hanging="360"/>
      </w:pPr>
    </w:lvl>
    <w:lvl w:ilvl="5" w:tplc="E5406678">
      <w:start w:val="1"/>
      <w:numFmt w:val="lowerLetter"/>
      <w:lvlText w:val="%6)"/>
      <w:lvlJc w:val="left"/>
      <w:pPr>
        <w:ind w:left="720" w:hanging="360"/>
      </w:pPr>
    </w:lvl>
    <w:lvl w:ilvl="6" w:tplc="A1D859B4">
      <w:start w:val="1"/>
      <w:numFmt w:val="lowerLetter"/>
      <w:lvlText w:val="%7)"/>
      <w:lvlJc w:val="left"/>
      <w:pPr>
        <w:ind w:left="720" w:hanging="360"/>
      </w:pPr>
    </w:lvl>
    <w:lvl w:ilvl="7" w:tplc="E90E82F0">
      <w:start w:val="1"/>
      <w:numFmt w:val="lowerLetter"/>
      <w:lvlText w:val="%8)"/>
      <w:lvlJc w:val="left"/>
      <w:pPr>
        <w:ind w:left="720" w:hanging="360"/>
      </w:pPr>
    </w:lvl>
    <w:lvl w:ilvl="8" w:tplc="BEBA990E">
      <w:start w:val="1"/>
      <w:numFmt w:val="lowerLetter"/>
      <w:lvlText w:val="%9)"/>
      <w:lvlJc w:val="left"/>
      <w:pPr>
        <w:ind w:left="720" w:hanging="360"/>
      </w:pPr>
    </w:lvl>
  </w:abstractNum>
  <w:abstractNum w:abstractNumId="33" w15:restartNumberingAfterBreak="0">
    <w:nsid w:val="3B585498"/>
    <w:multiLevelType w:val="hybridMultilevel"/>
    <w:tmpl w:val="276826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983303"/>
    <w:multiLevelType w:val="hybridMultilevel"/>
    <w:tmpl w:val="ABF0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A87C87"/>
    <w:multiLevelType w:val="hybridMultilevel"/>
    <w:tmpl w:val="4AF4E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D84BBF"/>
    <w:multiLevelType w:val="hybridMultilevel"/>
    <w:tmpl w:val="2B72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E0195E"/>
    <w:multiLevelType w:val="multilevel"/>
    <w:tmpl w:val="E0A2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915A09"/>
    <w:multiLevelType w:val="hybridMultilevel"/>
    <w:tmpl w:val="AC74949A"/>
    <w:lvl w:ilvl="0" w:tplc="3D84528C">
      <w:start w:val="1"/>
      <w:numFmt w:val="upperRoman"/>
      <w:lvlText w:val="%1."/>
      <w:lvlJc w:val="right"/>
      <w:pPr>
        <w:tabs>
          <w:tab w:val="num" w:pos="1260"/>
        </w:tabs>
        <w:ind w:left="1260" w:hanging="360"/>
      </w:pPr>
    </w:lvl>
    <w:lvl w:ilvl="1" w:tplc="337ECCEA" w:tentative="1">
      <w:start w:val="1"/>
      <w:numFmt w:val="upperRoman"/>
      <w:lvlText w:val="%2."/>
      <w:lvlJc w:val="right"/>
      <w:pPr>
        <w:tabs>
          <w:tab w:val="num" w:pos="1980"/>
        </w:tabs>
        <w:ind w:left="1980" w:hanging="360"/>
      </w:pPr>
    </w:lvl>
    <w:lvl w:ilvl="2" w:tplc="C4EA0126" w:tentative="1">
      <w:start w:val="1"/>
      <w:numFmt w:val="upperRoman"/>
      <w:lvlText w:val="%3."/>
      <w:lvlJc w:val="right"/>
      <w:pPr>
        <w:tabs>
          <w:tab w:val="num" w:pos="2700"/>
        </w:tabs>
        <w:ind w:left="2700" w:hanging="360"/>
      </w:pPr>
    </w:lvl>
    <w:lvl w:ilvl="3" w:tplc="73DE90BE" w:tentative="1">
      <w:start w:val="1"/>
      <w:numFmt w:val="upperRoman"/>
      <w:lvlText w:val="%4."/>
      <w:lvlJc w:val="right"/>
      <w:pPr>
        <w:tabs>
          <w:tab w:val="num" w:pos="3420"/>
        </w:tabs>
        <w:ind w:left="3420" w:hanging="360"/>
      </w:pPr>
    </w:lvl>
    <w:lvl w:ilvl="4" w:tplc="68D65246" w:tentative="1">
      <w:start w:val="1"/>
      <w:numFmt w:val="upperRoman"/>
      <w:lvlText w:val="%5."/>
      <w:lvlJc w:val="right"/>
      <w:pPr>
        <w:tabs>
          <w:tab w:val="num" w:pos="4140"/>
        </w:tabs>
        <w:ind w:left="4140" w:hanging="360"/>
      </w:pPr>
    </w:lvl>
    <w:lvl w:ilvl="5" w:tplc="BAF60C7A" w:tentative="1">
      <w:start w:val="1"/>
      <w:numFmt w:val="upperRoman"/>
      <w:lvlText w:val="%6."/>
      <w:lvlJc w:val="right"/>
      <w:pPr>
        <w:tabs>
          <w:tab w:val="num" w:pos="4860"/>
        </w:tabs>
        <w:ind w:left="4860" w:hanging="360"/>
      </w:pPr>
    </w:lvl>
    <w:lvl w:ilvl="6" w:tplc="0DC8F7CE" w:tentative="1">
      <w:start w:val="1"/>
      <w:numFmt w:val="upperRoman"/>
      <w:lvlText w:val="%7."/>
      <w:lvlJc w:val="right"/>
      <w:pPr>
        <w:tabs>
          <w:tab w:val="num" w:pos="5580"/>
        </w:tabs>
        <w:ind w:left="5580" w:hanging="360"/>
      </w:pPr>
    </w:lvl>
    <w:lvl w:ilvl="7" w:tplc="2ABCFAC4" w:tentative="1">
      <w:start w:val="1"/>
      <w:numFmt w:val="upperRoman"/>
      <w:lvlText w:val="%8."/>
      <w:lvlJc w:val="right"/>
      <w:pPr>
        <w:tabs>
          <w:tab w:val="num" w:pos="6300"/>
        </w:tabs>
        <w:ind w:left="6300" w:hanging="360"/>
      </w:pPr>
    </w:lvl>
    <w:lvl w:ilvl="8" w:tplc="DC78985A" w:tentative="1">
      <w:start w:val="1"/>
      <w:numFmt w:val="upperRoman"/>
      <w:lvlText w:val="%9."/>
      <w:lvlJc w:val="right"/>
      <w:pPr>
        <w:tabs>
          <w:tab w:val="num" w:pos="7020"/>
        </w:tabs>
        <w:ind w:left="7020" w:hanging="360"/>
      </w:pPr>
    </w:lvl>
  </w:abstractNum>
  <w:abstractNum w:abstractNumId="39" w15:restartNumberingAfterBreak="0">
    <w:nsid w:val="47DD2693"/>
    <w:multiLevelType w:val="hybridMultilevel"/>
    <w:tmpl w:val="0DFCF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AE033C3"/>
    <w:multiLevelType w:val="hybridMultilevel"/>
    <w:tmpl w:val="0E3ED4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8E7469"/>
    <w:multiLevelType w:val="hybridMultilevel"/>
    <w:tmpl w:val="4E22C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0755D91"/>
    <w:multiLevelType w:val="hybridMultilevel"/>
    <w:tmpl w:val="C3F07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9D042D7"/>
    <w:multiLevelType w:val="multilevel"/>
    <w:tmpl w:val="18F4A5AC"/>
    <w:numStyleLink w:val="FoFCoLOP"/>
  </w:abstractNum>
  <w:abstractNum w:abstractNumId="44" w15:restartNumberingAfterBreak="0">
    <w:nsid w:val="5A9E2171"/>
    <w:multiLevelType w:val="multilevel"/>
    <w:tmpl w:val="3C526EDE"/>
    <w:numStyleLink w:val="Headings"/>
  </w:abstractNum>
  <w:abstractNum w:abstractNumId="45" w15:restartNumberingAfterBreak="0">
    <w:nsid w:val="5AA35BB8"/>
    <w:multiLevelType w:val="hybridMultilevel"/>
    <w:tmpl w:val="BA6A2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B550832"/>
    <w:multiLevelType w:val="hybridMultilevel"/>
    <w:tmpl w:val="506C9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FD39F8"/>
    <w:multiLevelType w:val="hybridMultilevel"/>
    <w:tmpl w:val="56D25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0E04088"/>
    <w:multiLevelType w:val="hybridMultilevel"/>
    <w:tmpl w:val="A33A58B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9" w15:restartNumberingAfterBreak="0">
    <w:nsid w:val="61A25780"/>
    <w:multiLevelType w:val="multilevel"/>
    <w:tmpl w:val="3C526EDE"/>
    <w:numStyleLink w:val="Headings"/>
  </w:abstractNum>
  <w:abstractNum w:abstractNumId="50" w15:restartNumberingAfterBreak="0">
    <w:nsid w:val="6251774B"/>
    <w:multiLevelType w:val="hybridMultilevel"/>
    <w:tmpl w:val="94420F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43763A7"/>
    <w:multiLevelType w:val="hybridMultilevel"/>
    <w:tmpl w:val="8B3C0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83763A4"/>
    <w:multiLevelType w:val="hybridMultilevel"/>
    <w:tmpl w:val="A292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702EBE"/>
    <w:multiLevelType w:val="hybridMultilevel"/>
    <w:tmpl w:val="BE6CD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A0E74C3"/>
    <w:multiLevelType w:val="hybridMultilevel"/>
    <w:tmpl w:val="78F01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B603DE"/>
    <w:multiLevelType w:val="hybridMultilevel"/>
    <w:tmpl w:val="FFC25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C7D38A1"/>
    <w:multiLevelType w:val="hybridMultilevel"/>
    <w:tmpl w:val="5C0A6C42"/>
    <w:lvl w:ilvl="0" w:tplc="AF62AF22">
      <w:start w:val="1"/>
      <w:numFmt w:val="decimal"/>
      <w:lvlText w:val="%1."/>
      <w:lvlJc w:val="left"/>
      <w:pPr>
        <w:ind w:left="1020" w:hanging="360"/>
      </w:pPr>
    </w:lvl>
    <w:lvl w:ilvl="1" w:tplc="30EC4C02">
      <w:start w:val="1"/>
      <w:numFmt w:val="decimal"/>
      <w:lvlText w:val="%2."/>
      <w:lvlJc w:val="left"/>
      <w:pPr>
        <w:ind w:left="1020" w:hanging="360"/>
      </w:pPr>
    </w:lvl>
    <w:lvl w:ilvl="2" w:tplc="3EA837EC">
      <w:start w:val="1"/>
      <w:numFmt w:val="decimal"/>
      <w:lvlText w:val="%3."/>
      <w:lvlJc w:val="left"/>
      <w:pPr>
        <w:ind w:left="1020" w:hanging="360"/>
      </w:pPr>
    </w:lvl>
    <w:lvl w:ilvl="3" w:tplc="E5F0DA3A">
      <w:start w:val="1"/>
      <w:numFmt w:val="decimal"/>
      <w:lvlText w:val="%4."/>
      <w:lvlJc w:val="left"/>
      <w:pPr>
        <w:ind w:left="1020" w:hanging="360"/>
      </w:pPr>
    </w:lvl>
    <w:lvl w:ilvl="4" w:tplc="88A247F8">
      <w:start w:val="1"/>
      <w:numFmt w:val="decimal"/>
      <w:lvlText w:val="%5."/>
      <w:lvlJc w:val="left"/>
      <w:pPr>
        <w:ind w:left="1020" w:hanging="360"/>
      </w:pPr>
    </w:lvl>
    <w:lvl w:ilvl="5" w:tplc="8062D38A">
      <w:start w:val="1"/>
      <w:numFmt w:val="decimal"/>
      <w:lvlText w:val="%6."/>
      <w:lvlJc w:val="left"/>
      <w:pPr>
        <w:ind w:left="1020" w:hanging="360"/>
      </w:pPr>
    </w:lvl>
    <w:lvl w:ilvl="6" w:tplc="FF60D406">
      <w:start w:val="1"/>
      <w:numFmt w:val="decimal"/>
      <w:lvlText w:val="%7."/>
      <w:lvlJc w:val="left"/>
      <w:pPr>
        <w:ind w:left="1020" w:hanging="360"/>
      </w:pPr>
    </w:lvl>
    <w:lvl w:ilvl="7" w:tplc="66F09790">
      <w:start w:val="1"/>
      <w:numFmt w:val="decimal"/>
      <w:lvlText w:val="%8."/>
      <w:lvlJc w:val="left"/>
      <w:pPr>
        <w:ind w:left="1020" w:hanging="360"/>
      </w:pPr>
    </w:lvl>
    <w:lvl w:ilvl="8" w:tplc="D6285EDA">
      <w:start w:val="1"/>
      <w:numFmt w:val="decimal"/>
      <w:lvlText w:val="%9."/>
      <w:lvlJc w:val="left"/>
      <w:pPr>
        <w:ind w:left="1020" w:hanging="360"/>
      </w:pPr>
    </w:lvl>
  </w:abstractNum>
  <w:abstractNum w:abstractNumId="57" w15:restartNumberingAfterBreak="0">
    <w:nsid w:val="6D6A5C23"/>
    <w:multiLevelType w:val="hybridMultilevel"/>
    <w:tmpl w:val="5184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0CE70F0"/>
    <w:multiLevelType w:val="hybridMultilevel"/>
    <w:tmpl w:val="E6781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549425B"/>
    <w:multiLevelType w:val="hybridMultilevel"/>
    <w:tmpl w:val="C38ED2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781A4FCA"/>
    <w:multiLevelType w:val="hybridMultilevel"/>
    <w:tmpl w:val="60EEF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89A0AFE"/>
    <w:multiLevelType w:val="multilevel"/>
    <w:tmpl w:val="18F4A5AC"/>
    <w:numStyleLink w:val="FoFCoLOP"/>
  </w:abstractNum>
  <w:abstractNum w:abstractNumId="63" w15:restartNumberingAfterBreak="0">
    <w:nsid w:val="78A51A60"/>
    <w:multiLevelType w:val="hybridMultilevel"/>
    <w:tmpl w:val="19C8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FA7969"/>
    <w:multiLevelType w:val="hybridMultilevel"/>
    <w:tmpl w:val="164A5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8543446">
    <w:abstractNumId w:val="43"/>
  </w:num>
  <w:num w:numId="2" w16cid:durableId="701521005">
    <w:abstractNumId w:val="9"/>
  </w:num>
  <w:num w:numId="3" w16cid:durableId="2017029027">
    <w:abstractNumId w:val="62"/>
  </w:num>
  <w:num w:numId="4" w16cid:durableId="816924040">
    <w:abstractNumId w:val="0"/>
  </w:num>
  <w:num w:numId="5" w16cid:durableId="1714382259">
    <w:abstractNumId w:val="49"/>
  </w:num>
  <w:num w:numId="6" w16cid:durableId="338315918">
    <w:abstractNumId w:val="53"/>
  </w:num>
  <w:num w:numId="7" w16cid:durableId="1381586291">
    <w:abstractNumId w:val="51"/>
  </w:num>
  <w:num w:numId="8" w16cid:durableId="1974602489">
    <w:abstractNumId w:val="12"/>
  </w:num>
  <w:num w:numId="9" w16cid:durableId="432289963">
    <w:abstractNumId w:val="21"/>
  </w:num>
  <w:num w:numId="10" w16cid:durableId="1513019">
    <w:abstractNumId w:val="27"/>
  </w:num>
  <w:num w:numId="11" w16cid:durableId="468478182">
    <w:abstractNumId w:val="64"/>
  </w:num>
  <w:num w:numId="12" w16cid:durableId="572469727">
    <w:abstractNumId w:val="42"/>
  </w:num>
  <w:num w:numId="13" w16cid:durableId="1938826973">
    <w:abstractNumId w:val="10"/>
  </w:num>
  <w:num w:numId="14" w16cid:durableId="1494645195">
    <w:abstractNumId w:val="17"/>
  </w:num>
  <w:num w:numId="15" w16cid:durableId="2011643214">
    <w:abstractNumId w:val="40"/>
  </w:num>
  <w:num w:numId="16" w16cid:durableId="2122795025">
    <w:abstractNumId w:val="16"/>
  </w:num>
  <w:num w:numId="17" w16cid:durableId="401416311">
    <w:abstractNumId w:val="34"/>
  </w:num>
  <w:num w:numId="18" w16cid:durableId="1746758383">
    <w:abstractNumId w:val="26"/>
  </w:num>
  <w:num w:numId="19" w16cid:durableId="1577784841">
    <w:abstractNumId w:val="11"/>
  </w:num>
  <w:num w:numId="20" w16cid:durableId="1277786850">
    <w:abstractNumId w:val="63"/>
  </w:num>
  <w:num w:numId="21" w16cid:durableId="1649631228">
    <w:abstractNumId w:val="18"/>
  </w:num>
  <w:num w:numId="22" w16cid:durableId="1556043269">
    <w:abstractNumId w:val="3"/>
  </w:num>
  <w:num w:numId="23" w16cid:durableId="899096939">
    <w:abstractNumId w:val="25"/>
  </w:num>
  <w:num w:numId="24" w16cid:durableId="1546330669">
    <w:abstractNumId w:val="36"/>
  </w:num>
  <w:num w:numId="25" w16cid:durableId="859047292">
    <w:abstractNumId w:val="2"/>
  </w:num>
  <w:num w:numId="26" w16cid:durableId="1349060173">
    <w:abstractNumId w:val="47"/>
  </w:num>
  <w:num w:numId="27" w16cid:durableId="1320573445">
    <w:abstractNumId w:val="31"/>
  </w:num>
  <w:num w:numId="28" w16cid:durableId="130053856">
    <w:abstractNumId w:val="41"/>
  </w:num>
  <w:num w:numId="29" w16cid:durableId="1424718965">
    <w:abstractNumId w:val="55"/>
  </w:num>
  <w:num w:numId="30" w16cid:durableId="572937222">
    <w:abstractNumId w:val="22"/>
  </w:num>
  <w:num w:numId="31" w16cid:durableId="627128234">
    <w:abstractNumId w:val="35"/>
  </w:num>
  <w:num w:numId="32" w16cid:durableId="160706778">
    <w:abstractNumId w:val="46"/>
  </w:num>
  <w:num w:numId="33" w16cid:durableId="221908678">
    <w:abstractNumId w:val="57"/>
  </w:num>
  <w:num w:numId="34" w16cid:durableId="2126077078">
    <w:abstractNumId w:val="29"/>
  </w:num>
  <w:num w:numId="35" w16cid:durableId="719672523">
    <w:abstractNumId w:val="39"/>
  </w:num>
  <w:num w:numId="36" w16cid:durableId="283318926">
    <w:abstractNumId w:val="54"/>
  </w:num>
  <w:num w:numId="37" w16cid:durableId="611667792">
    <w:abstractNumId w:val="38"/>
  </w:num>
  <w:num w:numId="38" w16cid:durableId="700518057">
    <w:abstractNumId w:val="5"/>
  </w:num>
  <w:num w:numId="39" w16cid:durableId="1984892180">
    <w:abstractNumId w:val="45"/>
  </w:num>
  <w:num w:numId="40" w16cid:durableId="1282810562">
    <w:abstractNumId w:val="30"/>
  </w:num>
  <w:num w:numId="41" w16cid:durableId="379788565">
    <w:abstractNumId w:val="32"/>
  </w:num>
  <w:num w:numId="42" w16cid:durableId="140774137">
    <w:abstractNumId w:val="7"/>
  </w:num>
  <w:num w:numId="43" w16cid:durableId="973756952">
    <w:abstractNumId w:val="28"/>
  </w:num>
  <w:num w:numId="44" w16cid:durableId="1354526949">
    <w:abstractNumId w:val="44"/>
  </w:num>
  <w:num w:numId="45" w16cid:durableId="827667741">
    <w:abstractNumId w:val="15"/>
  </w:num>
  <w:num w:numId="46" w16cid:durableId="1760327020">
    <w:abstractNumId w:val="58"/>
  </w:num>
  <w:num w:numId="47" w16cid:durableId="1817916489">
    <w:abstractNumId w:val="14"/>
  </w:num>
  <w:num w:numId="48" w16cid:durableId="291985460">
    <w:abstractNumId w:val="19"/>
  </w:num>
  <w:num w:numId="49" w16cid:durableId="467941983">
    <w:abstractNumId w:val="13"/>
  </w:num>
  <w:num w:numId="50" w16cid:durableId="712996464">
    <w:abstractNumId w:val="20"/>
  </w:num>
  <w:num w:numId="51" w16cid:durableId="1303778653">
    <w:abstractNumId w:val="23"/>
  </w:num>
  <w:num w:numId="52" w16cid:durableId="54810768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78137858">
    <w:abstractNumId w:val="24"/>
  </w:num>
  <w:num w:numId="54" w16cid:durableId="213547446">
    <w:abstractNumId w:val="4"/>
  </w:num>
  <w:num w:numId="55" w16cid:durableId="2103795493">
    <w:abstractNumId w:val="1"/>
  </w:num>
  <w:num w:numId="56" w16cid:durableId="2114350801">
    <w:abstractNumId w:val="37"/>
  </w:num>
  <w:num w:numId="57" w16cid:durableId="1668484085">
    <w:abstractNumId w:val="60"/>
  </w:num>
  <w:num w:numId="58" w16cid:durableId="1526211972">
    <w:abstractNumId w:val="50"/>
  </w:num>
  <w:num w:numId="59" w16cid:durableId="886523968">
    <w:abstractNumId w:val="61"/>
  </w:num>
  <w:num w:numId="60" w16cid:durableId="2079014331">
    <w:abstractNumId w:val="52"/>
  </w:num>
  <w:num w:numId="61" w16cid:durableId="815613697">
    <w:abstractNumId w:val="33"/>
  </w:num>
  <w:num w:numId="62" w16cid:durableId="1110275292">
    <w:abstractNumId w:val="8"/>
  </w:num>
  <w:num w:numId="63" w16cid:durableId="401215670">
    <w:abstractNumId w:val="6"/>
  </w:num>
  <w:num w:numId="64" w16cid:durableId="211966994">
    <w:abstractNumId w:val="48"/>
  </w:num>
  <w:num w:numId="65" w16cid:durableId="346715393">
    <w:abstractNumId w:val="56"/>
  </w:num>
  <w:num w:numId="66" w16cid:durableId="1896549756">
    <w:abstractNumId w:val="5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B7"/>
    <w:rsid w:val="00000482"/>
    <w:rsid w:val="00000484"/>
    <w:rsid w:val="00000F6A"/>
    <w:rsid w:val="000010FC"/>
    <w:rsid w:val="000014DB"/>
    <w:rsid w:val="000017F0"/>
    <w:rsid w:val="00001DA2"/>
    <w:rsid w:val="00002349"/>
    <w:rsid w:val="0000258A"/>
    <w:rsid w:val="00002745"/>
    <w:rsid w:val="000027DB"/>
    <w:rsid w:val="00002B55"/>
    <w:rsid w:val="00002CE9"/>
    <w:rsid w:val="00002D69"/>
    <w:rsid w:val="00002E36"/>
    <w:rsid w:val="0000341A"/>
    <w:rsid w:val="0000355D"/>
    <w:rsid w:val="00003877"/>
    <w:rsid w:val="00003CE4"/>
    <w:rsid w:val="00003D19"/>
    <w:rsid w:val="0000477A"/>
    <w:rsid w:val="00004A4C"/>
    <w:rsid w:val="00004B5A"/>
    <w:rsid w:val="00004C8A"/>
    <w:rsid w:val="00005078"/>
    <w:rsid w:val="00005698"/>
    <w:rsid w:val="00005824"/>
    <w:rsid w:val="000059B4"/>
    <w:rsid w:val="00005A7B"/>
    <w:rsid w:val="00005BF5"/>
    <w:rsid w:val="00005E0F"/>
    <w:rsid w:val="00005F31"/>
    <w:rsid w:val="00005F79"/>
    <w:rsid w:val="0000685B"/>
    <w:rsid w:val="00006AD1"/>
    <w:rsid w:val="00006BD1"/>
    <w:rsid w:val="00006DFA"/>
    <w:rsid w:val="000075C9"/>
    <w:rsid w:val="0000779C"/>
    <w:rsid w:val="0000792E"/>
    <w:rsid w:val="00007A90"/>
    <w:rsid w:val="00007B0C"/>
    <w:rsid w:val="00007DE9"/>
    <w:rsid w:val="00007F60"/>
    <w:rsid w:val="00010195"/>
    <w:rsid w:val="000101D0"/>
    <w:rsid w:val="000103D2"/>
    <w:rsid w:val="00010BCD"/>
    <w:rsid w:val="00010BF3"/>
    <w:rsid w:val="00010E9D"/>
    <w:rsid w:val="00011419"/>
    <w:rsid w:val="00011719"/>
    <w:rsid w:val="00011F0E"/>
    <w:rsid w:val="00012114"/>
    <w:rsid w:val="000122AF"/>
    <w:rsid w:val="00012A68"/>
    <w:rsid w:val="00012ACD"/>
    <w:rsid w:val="00013090"/>
    <w:rsid w:val="0001311F"/>
    <w:rsid w:val="000132E4"/>
    <w:rsid w:val="000138C5"/>
    <w:rsid w:val="000139C9"/>
    <w:rsid w:val="00013DAF"/>
    <w:rsid w:val="00014023"/>
    <w:rsid w:val="0001406F"/>
    <w:rsid w:val="0001409F"/>
    <w:rsid w:val="000143D7"/>
    <w:rsid w:val="00014F64"/>
    <w:rsid w:val="00015044"/>
    <w:rsid w:val="0001508E"/>
    <w:rsid w:val="00015283"/>
    <w:rsid w:val="000152E3"/>
    <w:rsid w:val="00015648"/>
    <w:rsid w:val="0001564B"/>
    <w:rsid w:val="000158F2"/>
    <w:rsid w:val="00015958"/>
    <w:rsid w:val="00015B86"/>
    <w:rsid w:val="0001680F"/>
    <w:rsid w:val="000170F7"/>
    <w:rsid w:val="00017285"/>
    <w:rsid w:val="0001768F"/>
    <w:rsid w:val="00017743"/>
    <w:rsid w:val="00017C3F"/>
    <w:rsid w:val="00020A42"/>
    <w:rsid w:val="00020E40"/>
    <w:rsid w:val="00021345"/>
    <w:rsid w:val="00021377"/>
    <w:rsid w:val="0002147D"/>
    <w:rsid w:val="000216B1"/>
    <w:rsid w:val="00021881"/>
    <w:rsid w:val="00021E01"/>
    <w:rsid w:val="00021FC0"/>
    <w:rsid w:val="00022023"/>
    <w:rsid w:val="000225AE"/>
    <w:rsid w:val="0002260A"/>
    <w:rsid w:val="00022742"/>
    <w:rsid w:val="00022E80"/>
    <w:rsid w:val="00023628"/>
    <w:rsid w:val="000237AC"/>
    <w:rsid w:val="000237CA"/>
    <w:rsid w:val="00024273"/>
    <w:rsid w:val="00024458"/>
    <w:rsid w:val="0002482E"/>
    <w:rsid w:val="00024B97"/>
    <w:rsid w:val="00024CFB"/>
    <w:rsid w:val="00024EF4"/>
    <w:rsid w:val="00024FF9"/>
    <w:rsid w:val="0002566A"/>
    <w:rsid w:val="00025A9B"/>
    <w:rsid w:val="00025AE3"/>
    <w:rsid w:val="00025D72"/>
    <w:rsid w:val="00026011"/>
    <w:rsid w:val="00026858"/>
    <w:rsid w:val="0002692E"/>
    <w:rsid w:val="00026EED"/>
    <w:rsid w:val="00026EF2"/>
    <w:rsid w:val="00027161"/>
    <w:rsid w:val="00027517"/>
    <w:rsid w:val="000275A4"/>
    <w:rsid w:val="0002783C"/>
    <w:rsid w:val="00030005"/>
    <w:rsid w:val="00030024"/>
    <w:rsid w:val="000303EA"/>
    <w:rsid w:val="000307D7"/>
    <w:rsid w:val="00030CC4"/>
    <w:rsid w:val="00031187"/>
    <w:rsid w:val="00031312"/>
    <w:rsid w:val="00031798"/>
    <w:rsid w:val="000319B6"/>
    <w:rsid w:val="0003201D"/>
    <w:rsid w:val="00032038"/>
    <w:rsid w:val="000321F2"/>
    <w:rsid w:val="00032506"/>
    <w:rsid w:val="00032622"/>
    <w:rsid w:val="000328CE"/>
    <w:rsid w:val="000329E0"/>
    <w:rsid w:val="00032D39"/>
    <w:rsid w:val="00032F10"/>
    <w:rsid w:val="0003326C"/>
    <w:rsid w:val="0003352E"/>
    <w:rsid w:val="00033563"/>
    <w:rsid w:val="00033577"/>
    <w:rsid w:val="0003376A"/>
    <w:rsid w:val="00033882"/>
    <w:rsid w:val="000338F3"/>
    <w:rsid w:val="00033A24"/>
    <w:rsid w:val="00033B96"/>
    <w:rsid w:val="00033E79"/>
    <w:rsid w:val="00033ED2"/>
    <w:rsid w:val="00034062"/>
    <w:rsid w:val="0003430D"/>
    <w:rsid w:val="000344FD"/>
    <w:rsid w:val="00034974"/>
    <w:rsid w:val="00034D38"/>
    <w:rsid w:val="0003551B"/>
    <w:rsid w:val="00035A52"/>
    <w:rsid w:val="00035BB3"/>
    <w:rsid w:val="000361A6"/>
    <w:rsid w:val="000361AF"/>
    <w:rsid w:val="00036223"/>
    <w:rsid w:val="0003654F"/>
    <w:rsid w:val="00036B7A"/>
    <w:rsid w:val="00036E54"/>
    <w:rsid w:val="00036FF6"/>
    <w:rsid w:val="00037047"/>
    <w:rsid w:val="00037167"/>
    <w:rsid w:val="000376D9"/>
    <w:rsid w:val="00037803"/>
    <w:rsid w:val="000379FE"/>
    <w:rsid w:val="00037EED"/>
    <w:rsid w:val="0004015D"/>
    <w:rsid w:val="000401D4"/>
    <w:rsid w:val="00040AF5"/>
    <w:rsid w:val="00041012"/>
    <w:rsid w:val="0004125A"/>
    <w:rsid w:val="0004179E"/>
    <w:rsid w:val="000418FA"/>
    <w:rsid w:val="00041C9A"/>
    <w:rsid w:val="00041D93"/>
    <w:rsid w:val="00042075"/>
    <w:rsid w:val="000429B4"/>
    <w:rsid w:val="00042B2E"/>
    <w:rsid w:val="00042E06"/>
    <w:rsid w:val="00042E17"/>
    <w:rsid w:val="00042FAB"/>
    <w:rsid w:val="0004336E"/>
    <w:rsid w:val="000433E5"/>
    <w:rsid w:val="0004388E"/>
    <w:rsid w:val="00043F2A"/>
    <w:rsid w:val="0004414C"/>
    <w:rsid w:val="0004444F"/>
    <w:rsid w:val="000448A0"/>
    <w:rsid w:val="00044FF4"/>
    <w:rsid w:val="0004535A"/>
    <w:rsid w:val="0004546F"/>
    <w:rsid w:val="00045521"/>
    <w:rsid w:val="000457D3"/>
    <w:rsid w:val="000459CA"/>
    <w:rsid w:val="00045BBF"/>
    <w:rsid w:val="00045E33"/>
    <w:rsid w:val="00046409"/>
    <w:rsid w:val="00046C0C"/>
    <w:rsid w:val="00046EED"/>
    <w:rsid w:val="00047403"/>
    <w:rsid w:val="00047702"/>
    <w:rsid w:val="00050574"/>
    <w:rsid w:val="00050643"/>
    <w:rsid w:val="00050861"/>
    <w:rsid w:val="000508F2"/>
    <w:rsid w:val="0005095C"/>
    <w:rsid w:val="00050A34"/>
    <w:rsid w:val="00050B7C"/>
    <w:rsid w:val="00050CA9"/>
    <w:rsid w:val="00051082"/>
    <w:rsid w:val="0005172E"/>
    <w:rsid w:val="00051893"/>
    <w:rsid w:val="0005219E"/>
    <w:rsid w:val="000521A6"/>
    <w:rsid w:val="00052238"/>
    <w:rsid w:val="000523B4"/>
    <w:rsid w:val="00052688"/>
    <w:rsid w:val="000527E6"/>
    <w:rsid w:val="000528F6"/>
    <w:rsid w:val="00052B83"/>
    <w:rsid w:val="00052D2B"/>
    <w:rsid w:val="00052DE0"/>
    <w:rsid w:val="00052E83"/>
    <w:rsid w:val="0005319B"/>
    <w:rsid w:val="00053210"/>
    <w:rsid w:val="00053671"/>
    <w:rsid w:val="00053A8A"/>
    <w:rsid w:val="00053CF3"/>
    <w:rsid w:val="00053DC9"/>
    <w:rsid w:val="0005430C"/>
    <w:rsid w:val="000543B7"/>
    <w:rsid w:val="00054665"/>
    <w:rsid w:val="000547B5"/>
    <w:rsid w:val="00054800"/>
    <w:rsid w:val="000551F3"/>
    <w:rsid w:val="000555E0"/>
    <w:rsid w:val="00055783"/>
    <w:rsid w:val="0005594D"/>
    <w:rsid w:val="00055B7A"/>
    <w:rsid w:val="00055C2F"/>
    <w:rsid w:val="00055D83"/>
    <w:rsid w:val="00056361"/>
    <w:rsid w:val="0005657D"/>
    <w:rsid w:val="00056AD0"/>
    <w:rsid w:val="00057255"/>
    <w:rsid w:val="000573E0"/>
    <w:rsid w:val="0005787F"/>
    <w:rsid w:val="000578ED"/>
    <w:rsid w:val="00057C30"/>
    <w:rsid w:val="00057DC6"/>
    <w:rsid w:val="00057E2C"/>
    <w:rsid w:val="00057EEB"/>
    <w:rsid w:val="00060076"/>
    <w:rsid w:val="00060401"/>
    <w:rsid w:val="00060606"/>
    <w:rsid w:val="0006093B"/>
    <w:rsid w:val="000609EA"/>
    <w:rsid w:val="00060CCC"/>
    <w:rsid w:val="00060CE7"/>
    <w:rsid w:val="00060FB2"/>
    <w:rsid w:val="00060FC8"/>
    <w:rsid w:val="000613D3"/>
    <w:rsid w:val="00061955"/>
    <w:rsid w:val="00061C09"/>
    <w:rsid w:val="00061F58"/>
    <w:rsid w:val="00061FCA"/>
    <w:rsid w:val="0006223C"/>
    <w:rsid w:val="0006242D"/>
    <w:rsid w:val="0006265A"/>
    <w:rsid w:val="00062932"/>
    <w:rsid w:val="0006293F"/>
    <w:rsid w:val="00062AAB"/>
    <w:rsid w:val="00062EEA"/>
    <w:rsid w:val="00062F3D"/>
    <w:rsid w:val="00062F9F"/>
    <w:rsid w:val="00063231"/>
    <w:rsid w:val="000635E2"/>
    <w:rsid w:val="00063640"/>
    <w:rsid w:val="00063746"/>
    <w:rsid w:val="000638B5"/>
    <w:rsid w:val="00063976"/>
    <w:rsid w:val="00063E18"/>
    <w:rsid w:val="00063E80"/>
    <w:rsid w:val="00063EA5"/>
    <w:rsid w:val="00063F4C"/>
    <w:rsid w:val="0006401D"/>
    <w:rsid w:val="00064336"/>
    <w:rsid w:val="0006446C"/>
    <w:rsid w:val="00064AA2"/>
    <w:rsid w:val="00064C43"/>
    <w:rsid w:val="000650D4"/>
    <w:rsid w:val="00065203"/>
    <w:rsid w:val="0006556E"/>
    <w:rsid w:val="000655CD"/>
    <w:rsid w:val="00065B16"/>
    <w:rsid w:val="00065C53"/>
    <w:rsid w:val="00065D8E"/>
    <w:rsid w:val="00065E01"/>
    <w:rsid w:val="00066203"/>
    <w:rsid w:val="000663E7"/>
    <w:rsid w:val="00066E63"/>
    <w:rsid w:val="00066FD2"/>
    <w:rsid w:val="00067106"/>
    <w:rsid w:val="000672AF"/>
    <w:rsid w:val="000678F1"/>
    <w:rsid w:val="0006798B"/>
    <w:rsid w:val="0007008A"/>
    <w:rsid w:val="0007030B"/>
    <w:rsid w:val="00070786"/>
    <w:rsid w:val="00070D5C"/>
    <w:rsid w:val="00070FD2"/>
    <w:rsid w:val="0007108E"/>
    <w:rsid w:val="0007109D"/>
    <w:rsid w:val="0007115A"/>
    <w:rsid w:val="00071365"/>
    <w:rsid w:val="0007162F"/>
    <w:rsid w:val="00071671"/>
    <w:rsid w:val="00071AC0"/>
    <w:rsid w:val="00071B38"/>
    <w:rsid w:val="00071B9D"/>
    <w:rsid w:val="00071C35"/>
    <w:rsid w:val="00071CA4"/>
    <w:rsid w:val="00071FE5"/>
    <w:rsid w:val="00072941"/>
    <w:rsid w:val="00072ECC"/>
    <w:rsid w:val="00072F4A"/>
    <w:rsid w:val="00073305"/>
    <w:rsid w:val="00073439"/>
    <w:rsid w:val="00073780"/>
    <w:rsid w:val="00073A53"/>
    <w:rsid w:val="00073B47"/>
    <w:rsid w:val="00073D62"/>
    <w:rsid w:val="00073E74"/>
    <w:rsid w:val="00074108"/>
    <w:rsid w:val="00074682"/>
    <w:rsid w:val="000746D3"/>
    <w:rsid w:val="00074AB3"/>
    <w:rsid w:val="00074BEF"/>
    <w:rsid w:val="00074F48"/>
    <w:rsid w:val="00074F83"/>
    <w:rsid w:val="00074FD6"/>
    <w:rsid w:val="00075239"/>
    <w:rsid w:val="0007546E"/>
    <w:rsid w:val="000756A7"/>
    <w:rsid w:val="0007570F"/>
    <w:rsid w:val="000757F6"/>
    <w:rsid w:val="00075F90"/>
    <w:rsid w:val="00076184"/>
    <w:rsid w:val="00076976"/>
    <w:rsid w:val="00076A31"/>
    <w:rsid w:val="00076A39"/>
    <w:rsid w:val="00076AE6"/>
    <w:rsid w:val="0007719F"/>
    <w:rsid w:val="00077338"/>
    <w:rsid w:val="00077543"/>
    <w:rsid w:val="0007784D"/>
    <w:rsid w:val="0007785E"/>
    <w:rsid w:val="000801A7"/>
    <w:rsid w:val="00080833"/>
    <w:rsid w:val="00081155"/>
    <w:rsid w:val="0008138F"/>
    <w:rsid w:val="000813D6"/>
    <w:rsid w:val="00081468"/>
    <w:rsid w:val="00081A44"/>
    <w:rsid w:val="0008245F"/>
    <w:rsid w:val="00083074"/>
    <w:rsid w:val="00083E34"/>
    <w:rsid w:val="00083E47"/>
    <w:rsid w:val="000844D8"/>
    <w:rsid w:val="0008464B"/>
    <w:rsid w:val="00084722"/>
    <w:rsid w:val="00085A39"/>
    <w:rsid w:val="00085DD9"/>
    <w:rsid w:val="00086173"/>
    <w:rsid w:val="0008667B"/>
    <w:rsid w:val="00086807"/>
    <w:rsid w:val="00087003"/>
    <w:rsid w:val="0008735B"/>
    <w:rsid w:val="000875B6"/>
    <w:rsid w:val="00087AB0"/>
    <w:rsid w:val="00087E4F"/>
    <w:rsid w:val="00087F11"/>
    <w:rsid w:val="0009061D"/>
    <w:rsid w:val="00090714"/>
    <w:rsid w:val="00090D79"/>
    <w:rsid w:val="00090EB5"/>
    <w:rsid w:val="00091691"/>
    <w:rsid w:val="000917E4"/>
    <w:rsid w:val="000918E1"/>
    <w:rsid w:val="000919E0"/>
    <w:rsid w:val="00091A29"/>
    <w:rsid w:val="00091A8A"/>
    <w:rsid w:val="00091A92"/>
    <w:rsid w:val="00091DF1"/>
    <w:rsid w:val="0009203F"/>
    <w:rsid w:val="00092657"/>
    <w:rsid w:val="00092952"/>
    <w:rsid w:val="00092B4C"/>
    <w:rsid w:val="00092C3C"/>
    <w:rsid w:val="00092F00"/>
    <w:rsid w:val="0009310E"/>
    <w:rsid w:val="00093146"/>
    <w:rsid w:val="0009323D"/>
    <w:rsid w:val="0009329C"/>
    <w:rsid w:val="00093771"/>
    <w:rsid w:val="00093A25"/>
    <w:rsid w:val="00093C95"/>
    <w:rsid w:val="00093DEB"/>
    <w:rsid w:val="0009435F"/>
    <w:rsid w:val="00094484"/>
    <w:rsid w:val="00094487"/>
    <w:rsid w:val="000945F6"/>
    <w:rsid w:val="00094687"/>
    <w:rsid w:val="000949CB"/>
    <w:rsid w:val="00094BBC"/>
    <w:rsid w:val="0009541D"/>
    <w:rsid w:val="000957ED"/>
    <w:rsid w:val="00095A07"/>
    <w:rsid w:val="00095B4D"/>
    <w:rsid w:val="00095ECA"/>
    <w:rsid w:val="00096380"/>
    <w:rsid w:val="00096CE3"/>
    <w:rsid w:val="00096F0C"/>
    <w:rsid w:val="00096FAE"/>
    <w:rsid w:val="00097186"/>
    <w:rsid w:val="000973C8"/>
    <w:rsid w:val="00097672"/>
    <w:rsid w:val="00097721"/>
    <w:rsid w:val="00097C50"/>
    <w:rsid w:val="00097D1B"/>
    <w:rsid w:val="00097DF4"/>
    <w:rsid w:val="00097E5B"/>
    <w:rsid w:val="000A020F"/>
    <w:rsid w:val="000A0281"/>
    <w:rsid w:val="000A02F9"/>
    <w:rsid w:val="000A05B7"/>
    <w:rsid w:val="000A071F"/>
    <w:rsid w:val="000A09A9"/>
    <w:rsid w:val="000A0B69"/>
    <w:rsid w:val="000A0E24"/>
    <w:rsid w:val="000A0FC1"/>
    <w:rsid w:val="000A106D"/>
    <w:rsid w:val="000A1171"/>
    <w:rsid w:val="000A1182"/>
    <w:rsid w:val="000A11F9"/>
    <w:rsid w:val="000A1855"/>
    <w:rsid w:val="000A1BD3"/>
    <w:rsid w:val="000A1D44"/>
    <w:rsid w:val="000A1D6A"/>
    <w:rsid w:val="000A1DED"/>
    <w:rsid w:val="000A2127"/>
    <w:rsid w:val="000A21C3"/>
    <w:rsid w:val="000A26B3"/>
    <w:rsid w:val="000A2AA9"/>
    <w:rsid w:val="000A32B9"/>
    <w:rsid w:val="000A350E"/>
    <w:rsid w:val="000A3524"/>
    <w:rsid w:val="000A35BA"/>
    <w:rsid w:val="000A360C"/>
    <w:rsid w:val="000A3680"/>
    <w:rsid w:val="000A3775"/>
    <w:rsid w:val="000A3EF0"/>
    <w:rsid w:val="000A4286"/>
    <w:rsid w:val="000A42DD"/>
    <w:rsid w:val="000A431B"/>
    <w:rsid w:val="000A4344"/>
    <w:rsid w:val="000A434D"/>
    <w:rsid w:val="000A4370"/>
    <w:rsid w:val="000A473A"/>
    <w:rsid w:val="000A4A31"/>
    <w:rsid w:val="000A4DDB"/>
    <w:rsid w:val="000A4ED9"/>
    <w:rsid w:val="000A5563"/>
    <w:rsid w:val="000A56F2"/>
    <w:rsid w:val="000A5A19"/>
    <w:rsid w:val="000A5BE7"/>
    <w:rsid w:val="000A6067"/>
    <w:rsid w:val="000A6155"/>
    <w:rsid w:val="000A6625"/>
    <w:rsid w:val="000A68D3"/>
    <w:rsid w:val="000A68D7"/>
    <w:rsid w:val="000A6CC5"/>
    <w:rsid w:val="000A6E05"/>
    <w:rsid w:val="000A76F1"/>
    <w:rsid w:val="000A78D5"/>
    <w:rsid w:val="000A7FB6"/>
    <w:rsid w:val="000B01DB"/>
    <w:rsid w:val="000B09CC"/>
    <w:rsid w:val="000B0A1B"/>
    <w:rsid w:val="000B0C4E"/>
    <w:rsid w:val="000B0E3C"/>
    <w:rsid w:val="000B12FA"/>
    <w:rsid w:val="000B1599"/>
    <w:rsid w:val="000B163B"/>
    <w:rsid w:val="000B196D"/>
    <w:rsid w:val="000B1981"/>
    <w:rsid w:val="000B1A3D"/>
    <w:rsid w:val="000B1B33"/>
    <w:rsid w:val="000B1D2F"/>
    <w:rsid w:val="000B1E6D"/>
    <w:rsid w:val="000B1F3C"/>
    <w:rsid w:val="000B2552"/>
    <w:rsid w:val="000B2A0A"/>
    <w:rsid w:val="000B2A4E"/>
    <w:rsid w:val="000B2EC6"/>
    <w:rsid w:val="000B2F66"/>
    <w:rsid w:val="000B314F"/>
    <w:rsid w:val="000B3602"/>
    <w:rsid w:val="000B366A"/>
    <w:rsid w:val="000B3888"/>
    <w:rsid w:val="000B3B06"/>
    <w:rsid w:val="000B4560"/>
    <w:rsid w:val="000B470C"/>
    <w:rsid w:val="000B4910"/>
    <w:rsid w:val="000B4B2C"/>
    <w:rsid w:val="000B525A"/>
    <w:rsid w:val="000B5F65"/>
    <w:rsid w:val="000B6115"/>
    <w:rsid w:val="000B61B6"/>
    <w:rsid w:val="000B636F"/>
    <w:rsid w:val="000B6377"/>
    <w:rsid w:val="000B642F"/>
    <w:rsid w:val="000B7534"/>
    <w:rsid w:val="000B758F"/>
    <w:rsid w:val="000B7B1F"/>
    <w:rsid w:val="000B7B48"/>
    <w:rsid w:val="000B7B88"/>
    <w:rsid w:val="000B7C1D"/>
    <w:rsid w:val="000C004D"/>
    <w:rsid w:val="000C04CA"/>
    <w:rsid w:val="000C08B5"/>
    <w:rsid w:val="000C08BF"/>
    <w:rsid w:val="000C09CD"/>
    <w:rsid w:val="000C0D3B"/>
    <w:rsid w:val="000C0D6E"/>
    <w:rsid w:val="000C1015"/>
    <w:rsid w:val="000C1251"/>
    <w:rsid w:val="000C12DC"/>
    <w:rsid w:val="000C16C2"/>
    <w:rsid w:val="000C1928"/>
    <w:rsid w:val="000C1A26"/>
    <w:rsid w:val="000C1F56"/>
    <w:rsid w:val="000C234F"/>
    <w:rsid w:val="000C2A27"/>
    <w:rsid w:val="000C2A63"/>
    <w:rsid w:val="000C2E59"/>
    <w:rsid w:val="000C33ED"/>
    <w:rsid w:val="000C3678"/>
    <w:rsid w:val="000C3754"/>
    <w:rsid w:val="000C3B9A"/>
    <w:rsid w:val="000C3E94"/>
    <w:rsid w:val="000C3EED"/>
    <w:rsid w:val="000C4023"/>
    <w:rsid w:val="000C4454"/>
    <w:rsid w:val="000C4537"/>
    <w:rsid w:val="000C4592"/>
    <w:rsid w:val="000C4687"/>
    <w:rsid w:val="000C48C0"/>
    <w:rsid w:val="000C4D86"/>
    <w:rsid w:val="000C4EC1"/>
    <w:rsid w:val="000C50FE"/>
    <w:rsid w:val="000C54FE"/>
    <w:rsid w:val="000C556C"/>
    <w:rsid w:val="000C56E7"/>
    <w:rsid w:val="000C5EE5"/>
    <w:rsid w:val="000C6210"/>
    <w:rsid w:val="000C62BC"/>
    <w:rsid w:val="000C67AE"/>
    <w:rsid w:val="000C759A"/>
    <w:rsid w:val="000C75BE"/>
    <w:rsid w:val="000C75FE"/>
    <w:rsid w:val="000C770A"/>
    <w:rsid w:val="000C7918"/>
    <w:rsid w:val="000D0346"/>
    <w:rsid w:val="000D07F5"/>
    <w:rsid w:val="000D09FA"/>
    <w:rsid w:val="000D0B6F"/>
    <w:rsid w:val="000D0B8E"/>
    <w:rsid w:val="000D0DE6"/>
    <w:rsid w:val="000D0E63"/>
    <w:rsid w:val="000D0F4C"/>
    <w:rsid w:val="000D10E9"/>
    <w:rsid w:val="000D11FB"/>
    <w:rsid w:val="000D198A"/>
    <w:rsid w:val="000D1DE6"/>
    <w:rsid w:val="000D1EB5"/>
    <w:rsid w:val="000D20B7"/>
    <w:rsid w:val="000D20DF"/>
    <w:rsid w:val="000D21AE"/>
    <w:rsid w:val="000D2216"/>
    <w:rsid w:val="000D25A8"/>
    <w:rsid w:val="000D2690"/>
    <w:rsid w:val="000D2AEB"/>
    <w:rsid w:val="000D3053"/>
    <w:rsid w:val="000D33D1"/>
    <w:rsid w:val="000D376F"/>
    <w:rsid w:val="000D39B5"/>
    <w:rsid w:val="000D3AF6"/>
    <w:rsid w:val="000D40F7"/>
    <w:rsid w:val="000D4A1F"/>
    <w:rsid w:val="000D4B25"/>
    <w:rsid w:val="000D4B49"/>
    <w:rsid w:val="000D4BB1"/>
    <w:rsid w:val="000D4BE5"/>
    <w:rsid w:val="000D4EC7"/>
    <w:rsid w:val="000D4F14"/>
    <w:rsid w:val="000D509D"/>
    <w:rsid w:val="000D5376"/>
    <w:rsid w:val="000D53A5"/>
    <w:rsid w:val="000D544D"/>
    <w:rsid w:val="000D591E"/>
    <w:rsid w:val="000D596A"/>
    <w:rsid w:val="000D5CD0"/>
    <w:rsid w:val="000D5EE4"/>
    <w:rsid w:val="000D609C"/>
    <w:rsid w:val="000D6211"/>
    <w:rsid w:val="000D6341"/>
    <w:rsid w:val="000D65E6"/>
    <w:rsid w:val="000D6650"/>
    <w:rsid w:val="000D6A4B"/>
    <w:rsid w:val="000D6D9C"/>
    <w:rsid w:val="000D7115"/>
    <w:rsid w:val="000D7961"/>
    <w:rsid w:val="000D7A29"/>
    <w:rsid w:val="000E03D3"/>
    <w:rsid w:val="000E0504"/>
    <w:rsid w:val="000E074B"/>
    <w:rsid w:val="000E08DA"/>
    <w:rsid w:val="000E0EEE"/>
    <w:rsid w:val="000E0FB4"/>
    <w:rsid w:val="000E11F8"/>
    <w:rsid w:val="000E130D"/>
    <w:rsid w:val="000E1408"/>
    <w:rsid w:val="000E15A6"/>
    <w:rsid w:val="000E15F6"/>
    <w:rsid w:val="000E184D"/>
    <w:rsid w:val="000E192B"/>
    <w:rsid w:val="000E1DE1"/>
    <w:rsid w:val="000E1EF7"/>
    <w:rsid w:val="000E1FEB"/>
    <w:rsid w:val="000E220D"/>
    <w:rsid w:val="000E24A4"/>
    <w:rsid w:val="000E251E"/>
    <w:rsid w:val="000E2627"/>
    <w:rsid w:val="000E2653"/>
    <w:rsid w:val="000E270A"/>
    <w:rsid w:val="000E2B40"/>
    <w:rsid w:val="000E2BA8"/>
    <w:rsid w:val="000E2D21"/>
    <w:rsid w:val="000E31EB"/>
    <w:rsid w:val="000E3580"/>
    <w:rsid w:val="000E35F0"/>
    <w:rsid w:val="000E3A11"/>
    <w:rsid w:val="000E3C61"/>
    <w:rsid w:val="000E3D26"/>
    <w:rsid w:val="000E3D41"/>
    <w:rsid w:val="000E3E69"/>
    <w:rsid w:val="000E416F"/>
    <w:rsid w:val="000E4777"/>
    <w:rsid w:val="000E497C"/>
    <w:rsid w:val="000E4C53"/>
    <w:rsid w:val="000E4F22"/>
    <w:rsid w:val="000E53F9"/>
    <w:rsid w:val="000E59E3"/>
    <w:rsid w:val="000E6109"/>
    <w:rsid w:val="000E617D"/>
    <w:rsid w:val="000E68F7"/>
    <w:rsid w:val="000E6927"/>
    <w:rsid w:val="000E69EB"/>
    <w:rsid w:val="000E7501"/>
    <w:rsid w:val="000E769E"/>
    <w:rsid w:val="000F016B"/>
    <w:rsid w:val="000F05E9"/>
    <w:rsid w:val="000F07CE"/>
    <w:rsid w:val="000F0C09"/>
    <w:rsid w:val="000F0C1C"/>
    <w:rsid w:val="000F0DDA"/>
    <w:rsid w:val="000F0F89"/>
    <w:rsid w:val="000F138A"/>
    <w:rsid w:val="000F1664"/>
    <w:rsid w:val="000F189F"/>
    <w:rsid w:val="000F19D8"/>
    <w:rsid w:val="000F1BF2"/>
    <w:rsid w:val="000F1C00"/>
    <w:rsid w:val="000F20DE"/>
    <w:rsid w:val="000F2451"/>
    <w:rsid w:val="000F2593"/>
    <w:rsid w:val="000F2EE9"/>
    <w:rsid w:val="000F359B"/>
    <w:rsid w:val="000F35A2"/>
    <w:rsid w:val="000F35D2"/>
    <w:rsid w:val="000F4044"/>
    <w:rsid w:val="000F443F"/>
    <w:rsid w:val="000F47DE"/>
    <w:rsid w:val="000F48C6"/>
    <w:rsid w:val="000F4928"/>
    <w:rsid w:val="000F4990"/>
    <w:rsid w:val="000F4C99"/>
    <w:rsid w:val="000F52B2"/>
    <w:rsid w:val="000F53F4"/>
    <w:rsid w:val="000F5417"/>
    <w:rsid w:val="000F5B48"/>
    <w:rsid w:val="000F5D05"/>
    <w:rsid w:val="000F5D61"/>
    <w:rsid w:val="000F5DDD"/>
    <w:rsid w:val="000F665F"/>
    <w:rsid w:val="000F6A8B"/>
    <w:rsid w:val="000F6C5A"/>
    <w:rsid w:val="000F6D6B"/>
    <w:rsid w:val="000F707D"/>
    <w:rsid w:val="000F7163"/>
    <w:rsid w:val="000F718C"/>
    <w:rsid w:val="000F71FF"/>
    <w:rsid w:val="000F748E"/>
    <w:rsid w:val="000F77D9"/>
    <w:rsid w:val="000F7865"/>
    <w:rsid w:val="00100124"/>
    <w:rsid w:val="0010021D"/>
    <w:rsid w:val="00100A08"/>
    <w:rsid w:val="00100E7B"/>
    <w:rsid w:val="00101AEA"/>
    <w:rsid w:val="00101BD8"/>
    <w:rsid w:val="00101C9A"/>
    <w:rsid w:val="00101CDE"/>
    <w:rsid w:val="00101DFC"/>
    <w:rsid w:val="0010204A"/>
    <w:rsid w:val="0010218B"/>
    <w:rsid w:val="001023F0"/>
    <w:rsid w:val="001024BF"/>
    <w:rsid w:val="00102518"/>
    <w:rsid w:val="0010281A"/>
    <w:rsid w:val="0010298D"/>
    <w:rsid w:val="00102E41"/>
    <w:rsid w:val="00102EF1"/>
    <w:rsid w:val="00102F84"/>
    <w:rsid w:val="00102FB7"/>
    <w:rsid w:val="00103402"/>
    <w:rsid w:val="00103AC8"/>
    <w:rsid w:val="001040E1"/>
    <w:rsid w:val="0010465A"/>
    <w:rsid w:val="001046A2"/>
    <w:rsid w:val="00104DCB"/>
    <w:rsid w:val="0010502F"/>
    <w:rsid w:val="00105095"/>
    <w:rsid w:val="001050D8"/>
    <w:rsid w:val="00105184"/>
    <w:rsid w:val="0010618C"/>
    <w:rsid w:val="0010649C"/>
    <w:rsid w:val="00106D12"/>
    <w:rsid w:val="00106DD0"/>
    <w:rsid w:val="00107088"/>
    <w:rsid w:val="001076DD"/>
    <w:rsid w:val="00107925"/>
    <w:rsid w:val="00107962"/>
    <w:rsid w:val="001079A0"/>
    <w:rsid w:val="00107A8A"/>
    <w:rsid w:val="00107D38"/>
    <w:rsid w:val="00107D96"/>
    <w:rsid w:val="001108CB"/>
    <w:rsid w:val="00110991"/>
    <w:rsid w:val="00111BB8"/>
    <w:rsid w:val="00111D14"/>
    <w:rsid w:val="001121E6"/>
    <w:rsid w:val="00112368"/>
    <w:rsid w:val="00112715"/>
    <w:rsid w:val="00112AD0"/>
    <w:rsid w:val="00112C01"/>
    <w:rsid w:val="00112CB5"/>
    <w:rsid w:val="00112EE4"/>
    <w:rsid w:val="00112F27"/>
    <w:rsid w:val="001130CB"/>
    <w:rsid w:val="001131D0"/>
    <w:rsid w:val="00113311"/>
    <w:rsid w:val="0011356E"/>
    <w:rsid w:val="00113796"/>
    <w:rsid w:val="001137E4"/>
    <w:rsid w:val="001146BD"/>
    <w:rsid w:val="00114731"/>
    <w:rsid w:val="00114884"/>
    <w:rsid w:val="0011515E"/>
    <w:rsid w:val="00115319"/>
    <w:rsid w:val="00115510"/>
    <w:rsid w:val="0011575A"/>
    <w:rsid w:val="001159E4"/>
    <w:rsid w:val="00115BAD"/>
    <w:rsid w:val="00116345"/>
    <w:rsid w:val="001163E4"/>
    <w:rsid w:val="001164BD"/>
    <w:rsid w:val="00116683"/>
    <w:rsid w:val="00116847"/>
    <w:rsid w:val="00116DF9"/>
    <w:rsid w:val="00116F46"/>
    <w:rsid w:val="001174AD"/>
    <w:rsid w:val="001174F3"/>
    <w:rsid w:val="00117630"/>
    <w:rsid w:val="00117790"/>
    <w:rsid w:val="001179E0"/>
    <w:rsid w:val="00117BAE"/>
    <w:rsid w:val="00117CC6"/>
    <w:rsid w:val="00117D36"/>
    <w:rsid w:val="00117D7E"/>
    <w:rsid w:val="00117FD3"/>
    <w:rsid w:val="00120039"/>
    <w:rsid w:val="00120B8C"/>
    <w:rsid w:val="00121089"/>
    <w:rsid w:val="001213EA"/>
    <w:rsid w:val="00121680"/>
    <w:rsid w:val="001216C7"/>
    <w:rsid w:val="00121914"/>
    <w:rsid w:val="00121BCA"/>
    <w:rsid w:val="00121E1C"/>
    <w:rsid w:val="00121EC9"/>
    <w:rsid w:val="00122542"/>
    <w:rsid w:val="00122557"/>
    <w:rsid w:val="00122AEA"/>
    <w:rsid w:val="00122B21"/>
    <w:rsid w:val="001233A8"/>
    <w:rsid w:val="00123532"/>
    <w:rsid w:val="001235E1"/>
    <w:rsid w:val="001235E2"/>
    <w:rsid w:val="001236AA"/>
    <w:rsid w:val="00123766"/>
    <w:rsid w:val="00123D0F"/>
    <w:rsid w:val="00123ECD"/>
    <w:rsid w:val="0012456E"/>
    <w:rsid w:val="001246EB"/>
    <w:rsid w:val="0012483B"/>
    <w:rsid w:val="00124842"/>
    <w:rsid w:val="00124B70"/>
    <w:rsid w:val="00125379"/>
    <w:rsid w:val="001255AA"/>
    <w:rsid w:val="001256FE"/>
    <w:rsid w:val="00125A7C"/>
    <w:rsid w:val="00126103"/>
    <w:rsid w:val="001262EC"/>
    <w:rsid w:val="00126392"/>
    <w:rsid w:val="00126980"/>
    <w:rsid w:val="00126988"/>
    <w:rsid w:val="00126BB5"/>
    <w:rsid w:val="0012711E"/>
    <w:rsid w:val="0012712D"/>
    <w:rsid w:val="0012718E"/>
    <w:rsid w:val="001271B9"/>
    <w:rsid w:val="001271F4"/>
    <w:rsid w:val="001272CD"/>
    <w:rsid w:val="0012787D"/>
    <w:rsid w:val="00127ADC"/>
    <w:rsid w:val="00127D83"/>
    <w:rsid w:val="00127FEF"/>
    <w:rsid w:val="00130008"/>
    <w:rsid w:val="0013011C"/>
    <w:rsid w:val="00130299"/>
    <w:rsid w:val="001302C3"/>
    <w:rsid w:val="00130457"/>
    <w:rsid w:val="00130573"/>
    <w:rsid w:val="001306DD"/>
    <w:rsid w:val="00130F1B"/>
    <w:rsid w:val="00131E37"/>
    <w:rsid w:val="0013208E"/>
    <w:rsid w:val="00132917"/>
    <w:rsid w:val="00132B52"/>
    <w:rsid w:val="00132C45"/>
    <w:rsid w:val="00132C84"/>
    <w:rsid w:val="00132CB4"/>
    <w:rsid w:val="00132D68"/>
    <w:rsid w:val="00133121"/>
    <w:rsid w:val="001332D6"/>
    <w:rsid w:val="0013334A"/>
    <w:rsid w:val="0013364A"/>
    <w:rsid w:val="00133650"/>
    <w:rsid w:val="00133E9E"/>
    <w:rsid w:val="00133EFE"/>
    <w:rsid w:val="00134271"/>
    <w:rsid w:val="001342B2"/>
    <w:rsid w:val="00134676"/>
    <w:rsid w:val="00134875"/>
    <w:rsid w:val="00134879"/>
    <w:rsid w:val="0013554D"/>
    <w:rsid w:val="001355F9"/>
    <w:rsid w:val="0013564A"/>
    <w:rsid w:val="00135EA8"/>
    <w:rsid w:val="00135FBC"/>
    <w:rsid w:val="001361BA"/>
    <w:rsid w:val="001364E5"/>
    <w:rsid w:val="00136B2B"/>
    <w:rsid w:val="00136FB4"/>
    <w:rsid w:val="00136FC4"/>
    <w:rsid w:val="001370F3"/>
    <w:rsid w:val="001375D0"/>
    <w:rsid w:val="00137942"/>
    <w:rsid w:val="00137DD9"/>
    <w:rsid w:val="001403F4"/>
    <w:rsid w:val="00140616"/>
    <w:rsid w:val="0014061C"/>
    <w:rsid w:val="0014078C"/>
    <w:rsid w:val="00140A5B"/>
    <w:rsid w:val="00140BD2"/>
    <w:rsid w:val="0014142C"/>
    <w:rsid w:val="001415C2"/>
    <w:rsid w:val="00141646"/>
    <w:rsid w:val="001416C9"/>
    <w:rsid w:val="00141721"/>
    <w:rsid w:val="00141A3A"/>
    <w:rsid w:val="00141F21"/>
    <w:rsid w:val="00141F4D"/>
    <w:rsid w:val="00142134"/>
    <w:rsid w:val="001425BC"/>
    <w:rsid w:val="00142632"/>
    <w:rsid w:val="001426F9"/>
    <w:rsid w:val="001427EB"/>
    <w:rsid w:val="001428DA"/>
    <w:rsid w:val="00142D30"/>
    <w:rsid w:val="00143129"/>
    <w:rsid w:val="00143478"/>
    <w:rsid w:val="00143BE6"/>
    <w:rsid w:val="00143CCC"/>
    <w:rsid w:val="00144593"/>
    <w:rsid w:val="001447FD"/>
    <w:rsid w:val="00144D16"/>
    <w:rsid w:val="00144D34"/>
    <w:rsid w:val="00145117"/>
    <w:rsid w:val="001451C3"/>
    <w:rsid w:val="00145444"/>
    <w:rsid w:val="001459DF"/>
    <w:rsid w:val="00145B66"/>
    <w:rsid w:val="00145BE9"/>
    <w:rsid w:val="00145C9C"/>
    <w:rsid w:val="00145F4B"/>
    <w:rsid w:val="001467F9"/>
    <w:rsid w:val="00146A4B"/>
    <w:rsid w:val="001473C1"/>
    <w:rsid w:val="00147627"/>
    <w:rsid w:val="00147702"/>
    <w:rsid w:val="00147B71"/>
    <w:rsid w:val="00147D42"/>
    <w:rsid w:val="00150085"/>
    <w:rsid w:val="0015016C"/>
    <w:rsid w:val="00150464"/>
    <w:rsid w:val="00150467"/>
    <w:rsid w:val="00150601"/>
    <w:rsid w:val="00150992"/>
    <w:rsid w:val="00150E2D"/>
    <w:rsid w:val="00151768"/>
    <w:rsid w:val="00151AED"/>
    <w:rsid w:val="00151EC9"/>
    <w:rsid w:val="0015204A"/>
    <w:rsid w:val="001520C2"/>
    <w:rsid w:val="001521C1"/>
    <w:rsid w:val="001521CB"/>
    <w:rsid w:val="00152476"/>
    <w:rsid w:val="00152527"/>
    <w:rsid w:val="001529CF"/>
    <w:rsid w:val="00152D7D"/>
    <w:rsid w:val="00152F39"/>
    <w:rsid w:val="0015310B"/>
    <w:rsid w:val="001532F1"/>
    <w:rsid w:val="001532F3"/>
    <w:rsid w:val="0015349E"/>
    <w:rsid w:val="00153752"/>
    <w:rsid w:val="0015377F"/>
    <w:rsid w:val="00153F54"/>
    <w:rsid w:val="00154255"/>
    <w:rsid w:val="001542A7"/>
    <w:rsid w:val="00154730"/>
    <w:rsid w:val="00154765"/>
    <w:rsid w:val="0015497B"/>
    <w:rsid w:val="00154BF9"/>
    <w:rsid w:val="00154F05"/>
    <w:rsid w:val="00154F5D"/>
    <w:rsid w:val="00155110"/>
    <w:rsid w:val="0015536E"/>
    <w:rsid w:val="001556D4"/>
    <w:rsid w:val="00155C3D"/>
    <w:rsid w:val="00155CAD"/>
    <w:rsid w:val="00155CF8"/>
    <w:rsid w:val="00155D36"/>
    <w:rsid w:val="00155D47"/>
    <w:rsid w:val="0015634A"/>
    <w:rsid w:val="0015638B"/>
    <w:rsid w:val="00156423"/>
    <w:rsid w:val="00156A84"/>
    <w:rsid w:val="00156CD7"/>
    <w:rsid w:val="00157A74"/>
    <w:rsid w:val="00157AA5"/>
    <w:rsid w:val="00157B8B"/>
    <w:rsid w:val="00157BA7"/>
    <w:rsid w:val="00160026"/>
    <w:rsid w:val="00160236"/>
    <w:rsid w:val="001603AA"/>
    <w:rsid w:val="001608CB"/>
    <w:rsid w:val="00160CF2"/>
    <w:rsid w:val="00161851"/>
    <w:rsid w:val="00161858"/>
    <w:rsid w:val="00161997"/>
    <w:rsid w:val="00161AF3"/>
    <w:rsid w:val="001621A4"/>
    <w:rsid w:val="0016285E"/>
    <w:rsid w:val="001631EF"/>
    <w:rsid w:val="001632C2"/>
    <w:rsid w:val="0016343B"/>
    <w:rsid w:val="00163546"/>
    <w:rsid w:val="00163A69"/>
    <w:rsid w:val="00163B0C"/>
    <w:rsid w:val="00163BB1"/>
    <w:rsid w:val="00163BE5"/>
    <w:rsid w:val="00164006"/>
    <w:rsid w:val="00164239"/>
    <w:rsid w:val="00164C90"/>
    <w:rsid w:val="00164DF9"/>
    <w:rsid w:val="00165066"/>
    <w:rsid w:val="0016551E"/>
    <w:rsid w:val="00165756"/>
    <w:rsid w:val="001657C4"/>
    <w:rsid w:val="001659A9"/>
    <w:rsid w:val="00166023"/>
    <w:rsid w:val="00166148"/>
    <w:rsid w:val="00166549"/>
    <w:rsid w:val="0016690D"/>
    <w:rsid w:val="00166954"/>
    <w:rsid w:val="00167582"/>
    <w:rsid w:val="00167942"/>
    <w:rsid w:val="0016795A"/>
    <w:rsid w:val="0016798C"/>
    <w:rsid w:val="00167BC9"/>
    <w:rsid w:val="00167F81"/>
    <w:rsid w:val="0017021B"/>
    <w:rsid w:val="001705F3"/>
    <w:rsid w:val="00170A0C"/>
    <w:rsid w:val="00170D82"/>
    <w:rsid w:val="0017121D"/>
    <w:rsid w:val="0017172A"/>
    <w:rsid w:val="0017194A"/>
    <w:rsid w:val="00171B97"/>
    <w:rsid w:val="00172203"/>
    <w:rsid w:val="00172215"/>
    <w:rsid w:val="00172F02"/>
    <w:rsid w:val="001731B5"/>
    <w:rsid w:val="0017342E"/>
    <w:rsid w:val="0017356F"/>
    <w:rsid w:val="00173590"/>
    <w:rsid w:val="0017390D"/>
    <w:rsid w:val="00173B98"/>
    <w:rsid w:val="00173D76"/>
    <w:rsid w:val="00174041"/>
    <w:rsid w:val="00174264"/>
    <w:rsid w:val="001744FB"/>
    <w:rsid w:val="00174735"/>
    <w:rsid w:val="001749E8"/>
    <w:rsid w:val="00174BE7"/>
    <w:rsid w:val="00175055"/>
    <w:rsid w:val="0017521A"/>
    <w:rsid w:val="001754BA"/>
    <w:rsid w:val="0017563E"/>
    <w:rsid w:val="001758B1"/>
    <w:rsid w:val="00175BFE"/>
    <w:rsid w:val="00175FBE"/>
    <w:rsid w:val="001760D4"/>
    <w:rsid w:val="0017625D"/>
    <w:rsid w:val="00176271"/>
    <w:rsid w:val="001762E6"/>
    <w:rsid w:val="00176586"/>
    <w:rsid w:val="001770C3"/>
    <w:rsid w:val="001772B3"/>
    <w:rsid w:val="00177592"/>
    <w:rsid w:val="001775CE"/>
    <w:rsid w:val="00177BCA"/>
    <w:rsid w:val="00177DAE"/>
    <w:rsid w:val="00177FB5"/>
    <w:rsid w:val="00180319"/>
    <w:rsid w:val="00180903"/>
    <w:rsid w:val="00180DA0"/>
    <w:rsid w:val="00180E38"/>
    <w:rsid w:val="0018107D"/>
    <w:rsid w:val="001810E4"/>
    <w:rsid w:val="001811AF"/>
    <w:rsid w:val="0018141A"/>
    <w:rsid w:val="001815DF"/>
    <w:rsid w:val="00181654"/>
    <w:rsid w:val="001816C9"/>
    <w:rsid w:val="00181B26"/>
    <w:rsid w:val="00181D0A"/>
    <w:rsid w:val="00181DEA"/>
    <w:rsid w:val="00181FF2"/>
    <w:rsid w:val="00182134"/>
    <w:rsid w:val="00182427"/>
    <w:rsid w:val="0018258F"/>
    <w:rsid w:val="0018295E"/>
    <w:rsid w:val="00182A25"/>
    <w:rsid w:val="00182BF2"/>
    <w:rsid w:val="00182DA6"/>
    <w:rsid w:val="00182F1C"/>
    <w:rsid w:val="00182F5F"/>
    <w:rsid w:val="00183021"/>
    <w:rsid w:val="00183047"/>
    <w:rsid w:val="001830D0"/>
    <w:rsid w:val="0018342A"/>
    <w:rsid w:val="0018366A"/>
    <w:rsid w:val="00183ABE"/>
    <w:rsid w:val="00183C4A"/>
    <w:rsid w:val="00183F2B"/>
    <w:rsid w:val="00183FEC"/>
    <w:rsid w:val="001844EF"/>
    <w:rsid w:val="001845C1"/>
    <w:rsid w:val="001846E0"/>
    <w:rsid w:val="001846E2"/>
    <w:rsid w:val="00184A8F"/>
    <w:rsid w:val="00184BAC"/>
    <w:rsid w:val="00184FED"/>
    <w:rsid w:val="001851AD"/>
    <w:rsid w:val="001851C4"/>
    <w:rsid w:val="00185701"/>
    <w:rsid w:val="00186086"/>
    <w:rsid w:val="0018610A"/>
    <w:rsid w:val="00186363"/>
    <w:rsid w:val="00186959"/>
    <w:rsid w:val="00186D3D"/>
    <w:rsid w:val="0018702D"/>
    <w:rsid w:val="001876AA"/>
    <w:rsid w:val="00187743"/>
    <w:rsid w:val="001879DB"/>
    <w:rsid w:val="00187C25"/>
    <w:rsid w:val="00187DB2"/>
    <w:rsid w:val="00187E53"/>
    <w:rsid w:val="00187E97"/>
    <w:rsid w:val="001900A7"/>
    <w:rsid w:val="001901D5"/>
    <w:rsid w:val="00190E42"/>
    <w:rsid w:val="00190F87"/>
    <w:rsid w:val="001912D4"/>
    <w:rsid w:val="00191617"/>
    <w:rsid w:val="00191A26"/>
    <w:rsid w:val="00191A70"/>
    <w:rsid w:val="00191A91"/>
    <w:rsid w:val="00191E7A"/>
    <w:rsid w:val="0019226F"/>
    <w:rsid w:val="001922EA"/>
    <w:rsid w:val="00192716"/>
    <w:rsid w:val="00192B13"/>
    <w:rsid w:val="00192CE2"/>
    <w:rsid w:val="0019314B"/>
    <w:rsid w:val="00193384"/>
    <w:rsid w:val="00193478"/>
    <w:rsid w:val="0019353C"/>
    <w:rsid w:val="0019387C"/>
    <w:rsid w:val="00193D47"/>
    <w:rsid w:val="00193D5A"/>
    <w:rsid w:val="00194457"/>
    <w:rsid w:val="001945D1"/>
    <w:rsid w:val="00194614"/>
    <w:rsid w:val="00194947"/>
    <w:rsid w:val="00194ADA"/>
    <w:rsid w:val="00194C9B"/>
    <w:rsid w:val="001952EF"/>
    <w:rsid w:val="001956A1"/>
    <w:rsid w:val="00195872"/>
    <w:rsid w:val="00195980"/>
    <w:rsid w:val="00195D57"/>
    <w:rsid w:val="00195E1B"/>
    <w:rsid w:val="00195E62"/>
    <w:rsid w:val="0019611B"/>
    <w:rsid w:val="001961CE"/>
    <w:rsid w:val="001964A5"/>
    <w:rsid w:val="00196587"/>
    <w:rsid w:val="00196E0D"/>
    <w:rsid w:val="00196EA9"/>
    <w:rsid w:val="00197376"/>
    <w:rsid w:val="0019764B"/>
    <w:rsid w:val="0019784E"/>
    <w:rsid w:val="00197CA3"/>
    <w:rsid w:val="001A02EA"/>
    <w:rsid w:val="001A055E"/>
    <w:rsid w:val="001A07BF"/>
    <w:rsid w:val="001A0B54"/>
    <w:rsid w:val="001A1523"/>
    <w:rsid w:val="001A1981"/>
    <w:rsid w:val="001A1B2E"/>
    <w:rsid w:val="001A27EE"/>
    <w:rsid w:val="001A2F1D"/>
    <w:rsid w:val="001A3334"/>
    <w:rsid w:val="001A3551"/>
    <w:rsid w:val="001A39E7"/>
    <w:rsid w:val="001A3FF9"/>
    <w:rsid w:val="001A439B"/>
    <w:rsid w:val="001A444D"/>
    <w:rsid w:val="001A46C4"/>
    <w:rsid w:val="001A49A4"/>
    <w:rsid w:val="001A519E"/>
    <w:rsid w:val="001A51AE"/>
    <w:rsid w:val="001A54D5"/>
    <w:rsid w:val="001A5527"/>
    <w:rsid w:val="001A5D5A"/>
    <w:rsid w:val="001A5F6B"/>
    <w:rsid w:val="001A613C"/>
    <w:rsid w:val="001A6248"/>
    <w:rsid w:val="001A635C"/>
    <w:rsid w:val="001A6BCA"/>
    <w:rsid w:val="001A6C34"/>
    <w:rsid w:val="001A6CB3"/>
    <w:rsid w:val="001A78A7"/>
    <w:rsid w:val="001A7C16"/>
    <w:rsid w:val="001B0205"/>
    <w:rsid w:val="001B05CA"/>
    <w:rsid w:val="001B05CD"/>
    <w:rsid w:val="001B0695"/>
    <w:rsid w:val="001B0734"/>
    <w:rsid w:val="001B08E3"/>
    <w:rsid w:val="001B0C17"/>
    <w:rsid w:val="001B0D5D"/>
    <w:rsid w:val="001B0E63"/>
    <w:rsid w:val="001B0EBB"/>
    <w:rsid w:val="001B0F6B"/>
    <w:rsid w:val="001B107D"/>
    <w:rsid w:val="001B1985"/>
    <w:rsid w:val="001B1ACF"/>
    <w:rsid w:val="001B1B07"/>
    <w:rsid w:val="001B235A"/>
    <w:rsid w:val="001B28D2"/>
    <w:rsid w:val="001B3EDF"/>
    <w:rsid w:val="001B4063"/>
    <w:rsid w:val="001B4289"/>
    <w:rsid w:val="001B448E"/>
    <w:rsid w:val="001B44D0"/>
    <w:rsid w:val="001B4CE7"/>
    <w:rsid w:val="001B526A"/>
    <w:rsid w:val="001B5303"/>
    <w:rsid w:val="001B53CD"/>
    <w:rsid w:val="001B5493"/>
    <w:rsid w:val="001B568D"/>
    <w:rsid w:val="001B5960"/>
    <w:rsid w:val="001B5AFE"/>
    <w:rsid w:val="001B5F1A"/>
    <w:rsid w:val="001B645B"/>
    <w:rsid w:val="001B6596"/>
    <w:rsid w:val="001B6931"/>
    <w:rsid w:val="001B6CBE"/>
    <w:rsid w:val="001B6F43"/>
    <w:rsid w:val="001B744A"/>
    <w:rsid w:val="001B746E"/>
    <w:rsid w:val="001B764A"/>
    <w:rsid w:val="001B76B7"/>
    <w:rsid w:val="001B7A9D"/>
    <w:rsid w:val="001B7F27"/>
    <w:rsid w:val="001C03B4"/>
    <w:rsid w:val="001C0C51"/>
    <w:rsid w:val="001C1187"/>
    <w:rsid w:val="001C142B"/>
    <w:rsid w:val="001C1582"/>
    <w:rsid w:val="001C1816"/>
    <w:rsid w:val="001C1C29"/>
    <w:rsid w:val="001C1DF0"/>
    <w:rsid w:val="001C2027"/>
    <w:rsid w:val="001C25BB"/>
    <w:rsid w:val="001C2DB4"/>
    <w:rsid w:val="001C2DFC"/>
    <w:rsid w:val="001C2F62"/>
    <w:rsid w:val="001C3373"/>
    <w:rsid w:val="001C353E"/>
    <w:rsid w:val="001C363F"/>
    <w:rsid w:val="001C3881"/>
    <w:rsid w:val="001C3A10"/>
    <w:rsid w:val="001C3C09"/>
    <w:rsid w:val="001C3C0A"/>
    <w:rsid w:val="001C3D63"/>
    <w:rsid w:val="001C3E3E"/>
    <w:rsid w:val="001C432E"/>
    <w:rsid w:val="001C486F"/>
    <w:rsid w:val="001C49A2"/>
    <w:rsid w:val="001C4A3F"/>
    <w:rsid w:val="001C4CAF"/>
    <w:rsid w:val="001C4DBE"/>
    <w:rsid w:val="001C55B3"/>
    <w:rsid w:val="001C5B0C"/>
    <w:rsid w:val="001C5F50"/>
    <w:rsid w:val="001C604B"/>
    <w:rsid w:val="001C611E"/>
    <w:rsid w:val="001C6135"/>
    <w:rsid w:val="001C61BF"/>
    <w:rsid w:val="001C62E1"/>
    <w:rsid w:val="001C645C"/>
    <w:rsid w:val="001C64AB"/>
    <w:rsid w:val="001C6927"/>
    <w:rsid w:val="001C6A00"/>
    <w:rsid w:val="001C7030"/>
    <w:rsid w:val="001C74EA"/>
    <w:rsid w:val="001C76A9"/>
    <w:rsid w:val="001C7845"/>
    <w:rsid w:val="001C7970"/>
    <w:rsid w:val="001C797A"/>
    <w:rsid w:val="001C79BE"/>
    <w:rsid w:val="001D02B1"/>
    <w:rsid w:val="001D05CE"/>
    <w:rsid w:val="001D0A44"/>
    <w:rsid w:val="001D0AB3"/>
    <w:rsid w:val="001D0EEB"/>
    <w:rsid w:val="001D0F5F"/>
    <w:rsid w:val="001D15C3"/>
    <w:rsid w:val="001D1D18"/>
    <w:rsid w:val="001D2054"/>
    <w:rsid w:val="001D2159"/>
    <w:rsid w:val="001D21B4"/>
    <w:rsid w:val="001D2422"/>
    <w:rsid w:val="001D272F"/>
    <w:rsid w:val="001D276A"/>
    <w:rsid w:val="001D27BB"/>
    <w:rsid w:val="001D2860"/>
    <w:rsid w:val="001D2992"/>
    <w:rsid w:val="001D2FBA"/>
    <w:rsid w:val="001D3091"/>
    <w:rsid w:val="001D390B"/>
    <w:rsid w:val="001D3964"/>
    <w:rsid w:val="001D3AA2"/>
    <w:rsid w:val="001D3F32"/>
    <w:rsid w:val="001D434F"/>
    <w:rsid w:val="001D480D"/>
    <w:rsid w:val="001D4DD6"/>
    <w:rsid w:val="001D4E4D"/>
    <w:rsid w:val="001D5086"/>
    <w:rsid w:val="001D56D8"/>
    <w:rsid w:val="001D5AFC"/>
    <w:rsid w:val="001D5B9E"/>
    <w:rsid w:val="001D5E22"/>
    <w:rsid w:val="001D604C"/>
    <w:rsid w:val="001D6353"/>
    <w:rsid w:val="001D65FC"/>
    <w:rsid w:val="001D671F"/>
    <w:rsid w:val="001D67BD"/>
    <w:rsid w:val="001D6A53"/>
    <w:rsid w:val="001D6CC3"/>
    <w:rsid w:val="001D6D1E"/>
    <w:rsid w:val="001D6EC6"/>
    <w:rsid w:val="001D7184"/>
    <w:rsid w:val="001D745B"/>
    <w:rsid w:val="001D767A"/>
    <w:rsid w:val="001D7879"/>
    <w:rsid w:val="001E006E"/>
    <w:rsid w:val="001E0144"/>
    <w:rsid w:val="001E0253"/>
    <w:rsid w:val="001E02D8"/>
    <w:rsid w:val="001E0780"/>
    <w:rsid w:val="001E0ACD"/>
    <w:rsid w:val="001E0B75"/>
    <w:rsid w:val="001E0E44"/>
    <w:rsid w:val="001E1370"/>
    <w:rsid w:val="001E13E8"/>
    <w:rsid w:val="001E15D0"/>
    <w:rsid w:val="001E1807"/>
    <w:rsid w:val="001E1A2A"/>
    <w:rsid w:val="001E1EEA"/>
    <w:rsid w:val="001E1F27"/>
    <w:rsid w:val="001E215B"/>
    <w:rsid w:val="001E247C"/>
    <w:rsid w:val="001E26A9"/>
    <w:rsid w:val="001E2A62"/>
    <w:rsid w:val="001E2C6B"/>
    <w:rsid w:val="001E334F"/>
    <w:rsid w:val="001E352C"/>
    <w:rsid w:val="001E3A74"/>
    <w:rsid w:val="001E3B70"/>
    <w:rsid w:val="001E40B9"/>
    <w:rsid w:val="001E50E8"/>
    <w:rsid w:val="001E5255"/>
    <w:rsid w:val="001E5310"/>
    <w:rsid w:val="001E56BD"/>
    <w:rsid w:val="001E5A47"/>
    <w:rsid w:val="001E5E81"/>
    <w:rsid w:val="001E6077"/>
    <w:rsid w:val="001E62CE"/>
    <w:rsid w:val="001E6436"/>
    <w:rsid w:val="001E6D18"/>
    <w:rsid w:val="001E6E6E"/>
    <w:rsid w:val="001E6FF4"/>
    <w:rsid w:val="001E76C2"/>
    <w:rsid w:val="001E7D7B"/>
    <w:rsid w:val="001E7E2E"/>
    <w:rsid w:val="001F0958"/>
    <w:rsid w:val="001F0BEE"/>
    <w:rsid w:val="001F0D89"/>
    <w:rsid w:val="001F1508"/>
    <w:rsid w:val="001F1AF0"/>
    <w:rsid w:val="001F1B19"/>
    <w:rsid w:val="001F1B96"/>
    <w:rsid w:val="001F1CAE"/>
    <w:rsid w:val="001F1F3E"/>
    <w:rsid w:val="001F1FEA"/>
    <w:rsid w:val="001F2008"/>
    <w:rsid w:val="001F2096"/>
    <w:rsid w:val="001F2220"/>
    <w:rsid w:val="001F2225"/>
    <w:rsid w:val="001F22C8"/>
    <w:rsid w:val="001F2654"/>
    <w:rsid w:val="001F2819"/>
    <w:rsid w:val="001F2A22"/>
    <w:rsid w:val="001F2AAF"/>
    <w:rsid w:val="001F2DE7"/>
    <w:rsid w:val="001F309C"/>
    <w:rsid w:val="001F30D5"/>
    <w:rsid w:val="001F35E5"/>
    <w:rsid w:val="001F37BD"/>
    <w:rsid w:val="001F37E8"/>
    <w:rsid w:val="001F424C"/>
    <w:rsid w:val="001F4352"/>
    <w:rsid w:val="001F4800"/>
    <w:rsid w:val="001F4979"/>
    <w:rsid w:val="001F4AC6"/>
    <w:rsid w:val="001F4EF4"/>
    <w:rsid w:val="001F53E4"/>
    <w:rsid w:val="001F5420"/>
    <w:rsid w:val="001F5CB2"/>
    <w:rsid w:val="001F6130"/>
    <w:rsid w:val="001F6475"/>
    <w:rsid w:val="001F658A"/>
    <w:rsid w:val="001F65AC"/>
    <w:rsid w:val="001F6637"/>
    <w:rsid w:val="001F66FD"/>
    <w:rsid w:val="001F6E01"/>
    <w:rsid w:val="001F7065"/>
    <w:rsid w:val="001F717E"/>
    <w:rsid w:val="001F762D"/>
    <w:rsid w:val="001F770A"/>
    <w:rsid w:val="001F7821"/>
    <w:rsid w:val="001F788F"/>
    <w:rsid w:val="001F7929"/>
    <w:rsid w:val="001F7945"/>
    <w:rsid w:val="001F79BA"/>
    <w:rsid w:val="00200336"/>
    <w:rsid w:val="0020043E"/>
    <w:rsid w:val="002005CD"/>
    <w:rsid w:val="00200651"/>
    <w:rsid w:val="00200B1D"/>
    <w:rsid w:val="00200D83"/>
    <w:rsid w:val="00201206"/>
    <w:rsid w:val="00201356"/>
    <w:rsid w:val="002013E4"/>
    <w:rsid w:val="002019B9"/>
    <w:rsid w:val="00201CD5"/>
    <w:rsid w:val="00201DC8"/>
    <w:rsid w:val="00201EE1"/>
    <w:rsid w:val="002021C2"/>
    <w:rsid w:val="002021FD"/>
    <w:rsid w:val="00202477"/>
    <w:rsid w:val="00202510"/>
    <w:rsid w:val="00202EF5"/>
    <w:rsid w:val="00203359"/>
    <w:rsid w:val="00203377"/>
    <w:rsid w:val="002033BE"/>
    <w:rsid w:val="0020347D"/>
    <w:rsid w:val="00203731"/>
    <w:rsid w:val="00203851"/>
    <w:rsid w:val="002043A6"/>
    <w:rsid w:val="002043EC"/>
    <w:rsid w:val="00204903"/>
    <w:rsid w:val="00204DE2"/>
    <w:rsid w:val="0020539D"/>
    <w:rsid w:val="00205491"/>
    <w:rsid w:val="00205552"/>
    <w:rsid w:val="0020597D"/>
    <w:rsid w:val="00205E25"/>
    <w:rsid w:val="002061E8"/>
    <w:rsid w:val="00206283"/>
    <w:rsid w:val="002062FB"/>
    <w:rsid w:val="0020646E"/>
    <w:rsid w:val="002069CD"/>
    <w:rsid w:val="00206DB4"/>
    <w:rsid w:val="00206E7A"/>
    <w:rsid w:val="00206EE9"/>
    <w:rsid w:val="00206F39"/>
    <w:rsid w:val="002070C4"/>
    <w:rsid w:val="00207139"/>
    <w:rsid w:val="0020764C"/>
    <w:rsid w:val="00207676"/>
    <w:rsid w:val="002076D9"/>
    <w:rsid w:val="002077E6"/>
    <w:rsid w:val="002078FE"/>
    <w:rsid w:val="00207EAD"/>
    <w:rsid w:val="0021014A"/>
    <w:rsid w:val="00210562"/>
    <w:rsid w:val="002109A6"/>
    <w:rsid w:val="002109AE"/>
    <w:rsid w:val="00210A34"/>
    <w:rsid w:val="00210C14"/>
    <w:rsid w:val="00211453"/>
    <w:rsid w:val="002115A4"/>
    <w:rsid w:val="002115DD"/>
    <w:rsid w:val="00211671"/>
    <w:rsid w:val="002116C8"/>
    <w:rsid w:val="002117B4"/>
    <w:rsid w:val="002117E3"/>
    <w:rsid w:val="00211C27"/>
    <w:rsid w:val="00211D2D"/>
    <w:rsid w:val="00211D9D"/>
    <w:rsid w:val="0021213F"/>
    <w:rsid w:val="002126DB"/>
    <w:rsid w:val="0021292C"/>
    <w:rsid w:val="00212D49"/>
    <w:rsid w:val="00212DF1"/>
    <w:rsid w:val="00212E7A"/>
    <w:rsid w:val="00213224"/>
    <w:rsid w:val="00213335"/>
    <w:rsid w:val="0021368B"/>
    <w:rsid w:val="002137DA"/>
    <w:rsid w:val="002139A2"/>
    <w:rsid w:val="00213C63"/>
    <w:rsid w:val="00213C95"/>
    <w:rsid w:val="002148DF"/>
    <w:rsid w:val="00214931"/>
    <w:rsid w:val="00214A5F"/>
    <w:rsid w:val="00214C4E"/>
    <w:rsid w:val="00214D1E"/>
    <w:rsid w:val="00215094"/>
    <w:rsid w:val="002150C9"/>
    <w:rsid w:val="002158E0"/>
    <w:rsid w:val="00215ECF"/>
    <w:rsid w:val="00215FC2"/>
    <w:rsid w:val="002165B5"/>
    <w:rsid w:val="00216856"/>
    <w:rsid w:val="00216A28"/>
    <w:rsid w:val="00216C9D"/>
    <w:rsid w:val="00216F1F"/>
    <w:rsid w:val="00217021"/>
    <w:rsid w:val="002170F6"/>
    <w:rsid w:val="00217320"/>
    <w:rsid w:val="00217670"/>
    <w:rsid w:val="00217671"/>
    <w:rsid w:val="002177B2"/>
    <w:rsid w:val="00217C28"/>
    <w:rsid w:val="00220394"/>
    <w:rsid w:val="00220486"/>
    <w:rsid w:val="00220500"/>
    <w:rsid w:val="0022069D"/>
    <w:rsid w:val="00220B05"/>
    <w:rsid w:val="00220F32"/>
    <w:rsid w:val="0022151D"/>
    <w:rsid w:val="00221619"/>
    <w:rsid w:val="002216F1"/>
    <w:rsid w:val="00221B1E"/>
    <w:rsid w:val="00221D26"/>
    <w:rsid w:val="00222192"/>
    <w:rsid w:val="002225CA"/>
    <w:rsid w:val="0022261F"/>
    <w:rsid w:val="00222881"/>
    <w:rsid w:val="00222945"/>
    <w:rsid w:val="00222A26"/>
    <w:rsid w:val="00222BB8"/>
    <w:rsid w:val="00222F52"/>
    <w:rsid w:val="00223137"/>
    <w:rsid w:val="0022321F"/>
    <w:rsid w:val="00223BBB"/>
    <w:rsid w:val="00223E49"/>
    <w:rsid w:val="00223EC8"/>
    <w:rsid w:val="0022450C"/>
    <w:rsid w:val="00224D99"/>
    <w:rsid w:val="00224F08"/>
    <w:rsid w:val="002251EF"/>
    <w:rsid w:val="0022583D"/>
    <w:rsid w:val="00225970"/>
    <w:rsid w:val="002259FD"/>
    <w:rsid w:val="00226287"/>
    <w:rsid w:val="002263D7"/>
    <w:rsid w:val="00226532"/>
    <w:rsid w:val="00226E16"/>
    <w:rsid w:val="00227405"/>
    <w:rsid w:val="002279D3"/>
    <w:rsid w:val="002302E1"/>
    <w:rsid w:val="002304F3"/>
    <w:rsid w:val="00230761"/>
    <w:rsid w:val="00230982"/>
    <w:rsid w:val="0023110E"/>
    <w:rsid w:val="00231286"/>
    <w:rsid w:val="002312A0"/>
    <w:rsid w:val="0023180F"/>
    <w:rsid w:val="00231889"/>
    <w:rsid w:val="00231D58"/>
    <w:rsid w:val="00231E11"/>
    <w:rsid w:val="00232185"/>
    <w:rsid w:val="002322CC"/>
    <w:rsid w:val="00232496"/>
    <w:rsid w:val="00232779"/>
    <w:rsid w:val="00232852"/>
    <w:rsid w:val="00232980"/>
    <w:rsid w:val="00232DDC"/>
    <w:rsid w:val="00232F13"/>
    <w:rsid w:val="00232F1D"/>
    <w:rsid w:val="00233194"/>
    <w:rsid w:val="002334E2"/>
    <w:rsid w:val="00233742"/>
    <w:rsid w:val="0023378D"/>
    <w:rsid w:val="00233854"/>
    <w:rsid w:val="002338B0"/>
    <w:rsid w:val="00233E4E"/>
    <w:rsid w:val="00233F34"/>
    <w:rsid w:val="002344BC"/>
    <w:rsid w:val="00234815"/>
    <w:rsid w:val="00234839"/>
    <w:rsid w:val="00234ACB"/>
    <w:rsid w:val="0023546C"/>
    <w:rsid w:val="00235803"/>
    <w:rsid w:val="00235E91"/>
    <w:rsid w:val="00236487"/>
    <w:rsid w:val="0023650C"/>
    <w:rsid w:val="00236892"/>
    <w:rsid w:val="00236CCC"/>
    <w:rsid w:val="00236CF8"/>
    <w:rsid w:val="00237320"/>
    <w:rsid w:val="0023739F"/>
    <w:rsid w:val="00237413"/>
    <w:rsid w:val="00237586"/>
    <w:rsid w:val="0023796E"/>
    <w:rsid w:val="002379B4"/>
    <w:rsid w:val="00237C0C"/>
    <w:rsid w:val="00237EA0"/>
    <w:rsid w:val="002400D2"/>
    <w:rsid w:val="002401A9"/>
    <w:rsid w:val="00240317"/>
    <w:rsid w:val="00240372"/>
    <w:rsid w:val="00240576"/>
    <w:rsid w:val="00240999"/>
    <w:rsid w:val="002409C7"/>
    <w:rsid w:val="00240A8E"/>
    <w:rsid w:val="00240C20"/>
    <w:rsid w:val="00240DB9"/>
    <w:rsid w:val="00240FE5"/>
    <w:rsid w:val="00241014"/>
    <w:rsid w:val="002414A6"/>
    <w:rsid w:val="00241A1A"/>
    <w:rsid w:val="00241D9A"/>
    <w:rsid w:val="00241DDE"/>
    <w:rsid w:val="002420BB"/>
    <w:rsid w:val="002426D2"/>
    <w:rsid w:val="002426EC"/>
    <w:rsid w:val="002427FB"/>
    <w:rsid w:val="00242EEE"/>
    <w:rsid w:val="0024381B"/>
    <w:rsid w:val="00243A4A"/>
    <w:rsid w:val="00243AA7"/>
    <w:rsid w:val="00243DC0"/>
    <w:rsid w:val="00244167"/>
    <w:rsid w:val="00244694"/>
    <w:rsid w:val="00244900"/>
    <w:rsid w:val="00244B46"/>
    <w:rsid w:val="00244D89"/>
    <w:rsid w:val="00244F2D"/>
    <w:rsid w:val="0024510A"/>
    <w:rsid w:val="0024548B"/>
    <w:rsid w:val="002454BF"/>
    <w:rsid w:val="002464A7"/>
    <w:rsid w:val="002466D8"/>
    <w:rsid w:val="0024674B"/>
    <w:rsid w:val="00246BEA"/>
    <w:rsid w:val="00247477"/>
    <w:rsid w:val="00247B21"/>
    <w:rsid w:val="00247DE8"/>
    <w:rsid w:val="00247E3F"/>
    <w:rsid w:val="00247E97"/>
    <w:rsid w:val="002504EB"/>
    <w:rsid w:val="00250509"/>
    <w:rsid w:val="0025059B"/>
    <w:rsid w:val="00250996"/>
    <w:rsid w:val="002509C7"/>
    <w:rsid w:val="00250D05"/>
    <w:rsid w:val="00250DCF"/>
    <w:rsid w:val="002511DD"/>
    <w:rsid w:val="00251244"/>
    <w:rsid w:val="0025128E"/>
    <w:rsid w:val="0025134E"/>
    <w:rsid w:val="002514BE"/>
    <w:rsid w:val="002519A0"/>
    <w:rsid w:val="00251AD4"/>
    <w:rsid w:val="00251B5C"/>
    <w:rsid w:val="0025201B"/>
    <w:rsid w:val="0025248E"/>
    <w:rsid w:val="00252926"/>
    <w:rsid w:val="00252B5D"/>
    <w:rsid w:val="002531A8"/>
    <w:rsid w:val="00253666"/>
    <w:rsid w:val="00253685"/>
    <w:rsid w:val="0025372F"/>
    <w:rsid w:val="00253919"/>
    <w:rsid w:val="00253BB4"/>
    <w:rsid w:val="00254225"/>
    <w:rsid w:val="002543BD"/>
    <w:rsid w:val="00254600"/>
    <w:rsid w:val="00254C81"/>
    <w:rsid w:val="002550CD"/>
    <w:rsid w:val="002554AA"/>
    <w:rsid w:val="00255952"/>
    <w:rsid w:val="0025598B"/>
    <w:rsid w:val="00255D36"/>
    <w:rsid w:val="0025626E"/>
    <w:rsid w:val="00256451"/>
    <w:rsid w:val="002567E4"/>
    <w:rsid w:val="0025691F"/>
    <w:rsid w:val="00256CC5"/>
    <w:rsid w:val="00256D28"/>
    <w:rsid w:val="00256E69"/>
    <w:rsid w:val="00256F71"/>
    <w:rsid w:val="002575CE"/>
    <w:rsid w:val="00257A6C"/>
    <w:rsid w:val="00257B8C"/>
    <w:rsid w:val="00257C82"/>
    <w:rsid w:val="00260103"/>
    <w:rsid w:val="00260298"/>
    <w:rsid w:val="00260B0B"/>
    <w:rsid w:val="00260C27"/>
    <w:rsid w:val="00260CEE"/>
    <w:rsid w:val="00260D54"/>
    <w:rsid w:val="00260F79"/>
    <w:rsid w:val="00261051"/>
    <w:rsid w:val="002613BD"/>
    <w:rsid w:val="00262397"/>
    <w:rsid w:val="00262948"/>
    <w:rsid w:val="00262A5E"/>
    <w:rsid w:val="00262C6E"/>
    <w:rsid w:val="00262DA2"/>
    <w:rsid w:val="00262DEA"/>
    <w:rsid w:val="002633A0"/>
    <w:rsid w:val="002637FB"/>
    <w:rsid w:val="0026384E"/>
    <w:rsid w:val="00264293"/>
    <w:rsid w:val="00264877"/>
    <w:rsid w:val="00264898"/>
    <w:rsid w:val="00264F17"/>
    <w:rsid w:val="00265150"/>
    <w:rsid w:val="00265292"/>
    <w:rsid w:val="002655AF"/>
    <w:rsid w:val="00265770"/>
    <w:rsid w:val="002660C8"/>
    <w:rsid w:val="00266167"/>
    <w:rsid w:val="00266749"/>
    <w:rsid w:val="002667B8"/>
    <w:rsid w:val="0026693D"/>
    <w:rsid w:val="00266E9B"/>
    <w:rsid w:val="00266F99"/>
    <w:rsid w:val="00267A21"/>
    <w:rsid w:val="00267C28"/>
    <w:rsid w:val="00267D1E"/>
    <w:rsid w:val="00267E37"/>
    <w:rsid w:val="00270155"/>
    <w:rsid w:val="00270440"/>
    <w:rsid w:val="0027062F"/>
    <w:rsid w:val="00270BE9"/>
    <w:rsid w:val="00270CE4"/>
    <w:rsid w:val="00271003"/>
    <w:rsid w:val="0027106D"/>
    <w:rsid w:val="002714D3"/>
    <w:rsid w:val="00271EDC"/>
    <w:rsid w:val="00271F12"/>
    <w:rsid w:val="0027205E"/>
    <w:rsid w:val="0027233C"/>
    <w:rsid w:val="002724A8"/>
    <w:rsid w:val="00272833"/>
    <w:rsid w:val="002729EE"/>
    <w:rsid w:val="00272A51"/>
    <w:rsid w:val="00272B9E"/>
    <w:rsid w:val="00272D3E"/>
    <w:rsid w:val="00272E62"/>
    <w:rsid w:val="00272E64"/>
    <w:rsid w:val="00273480"/>
    <w:rsid w:val="0027392A"/>
    <w:rsid w:val="00273A51"/>
    <w:rsid w:val="00274772"/>
    <w:rsid w:val="00274AEB"/>
    <w:rsid w:val="00274C3D"/>
    <w:rsid w:val="00274DF7"/>
    <w:rsid w:val="00275135"/>
    <w:rsid w:val="00275326"/>
    <w:rsid w:val="00275774"/>
    <w:rsid w:val="00275860"/>
    <w:rsid w:val="00276218"/>
    <w:rsid w:val="002763F0"/>
    <w:rsid w:val="002764AA"/>
    <w:rsid w:val="002766CE"/>
    <w:rsid w:val="00276A75"/>
    <w:rsid w:val="00276ED4"/>
    <w:rsid w:val="00277335"/>
    <w:rsid w:val="002773BF"/>
    <w:rsid w:val="00277473"/>
    <w:rsid w:val="0027791E"/>
    <w:rsid w:val="00277930"/>
    <w:rsid w:val="00277952"/>
    <w:rsid w:val="0027796A"/>
    <w:rsid w:val="002803C2"/>
    <w:rsid w:val="002805A3"/>
    <w:rsid w:val="00280764"/>
    <w:rsid w:val="00280E19"/>
    <w:rsid w:val="00281487"/>
    <w:rsid w:val="002818A4"/>
    <w:rsid w:val="002818E1"/>
    <w:rsid w:val="00281922"/>
    <w:rsid w:val="00281A08"/>
    <w:rsid w:val="00281B9E"/>
    <w:rsid w:val="00281EEE"/>
    <w:rsid w:val="00281FC4"/>
    <w:rsid w:val="0028262F"/>
    <w:rsid w:val="00282889"/>
    <w:rsid w:val="00282A76"/>
    <w:rsid w:val="00282B56"/>
    <w:rsid w:val="00282C01"/>
    <w:rsid w:val="0028315F"/>
    <w:rsid w:val="00283DE6"/>
    <w:rsid w:val="00283ED7"/>
    <w:rsid w:val="00283FEF"/>
    <w:rsid w:val="002844F0"/>
    <w:rsid w:val="00284BCA"/>
    <w:rsid w:val="00284D8D"/>
    <w:rsid w:val="00284E6F"/>
    <w:rsid w:val="00285132"/>
    <w:rsid w:val="00285290"/>
    <w:rsid w:val="00285315"/>
    <w:rsid w:val="002855E1"/>
    <w:rsid w:val="00285ABA"/>
    <w:rsid w:val="0028639C"/>
    <w:rsid w:val="002863F1"/>
    <w:rsid w:val="0028677F"/>
    <w:rsid w:val="00286B64"/>
    <w:rsid w:val="002872B7"/>
    <w:rsid w:val="00287330"/>
    <w:rsid w:val="00287735"/>
    <w:rsid w:val="00287A67"/>
    <w:rsid w:val="00287BC5"/>
    <w:rsid w:val="00290237"/>
    <w:rsid w:val="00290867"/>
    <w:rsid w:val="00290CC2"/>
    <w:rsid w:val="00291022"/>
    <w:rsid w:val="002914DB"/>
    <w:rsid w:val="0029173D"/>
    <w:rsid w:val="00292165"/>
    <w:rsid w:val="002922DE"/>
    <w:rsid w:val="0029266E"/>
    <w:rsid w:val="002926D9"/>
    <w:rsid w:val="00292A01"/>
    <w:rsid w:val="00292DF3"/>
    <w:rsid w:val="0029329C"/>
    <w:rsid w:val="0029335B"/>
    <w:rsid w:val="00293424"/>
    <w:rsid w:val="00293454"/>
    <w:rsid w:val="002937F1"/>
    <w:rsid w:val="00293889"/>
    <w:rsid w:val="00293956"/>
    <w:rsid w:val="00293CEC"/>
    <w:rsid w:val="00293DEE"/>
    <w:rsid w:val="00293FC6"/>
    <w:rsid w:val="002940CE"/>
    <w:rsid w:val="0029445A"/>
    <w:rsid w:val="002948C3"/>
    <w:rsid w:val="002949FB"/>
    <w:rsid w:val="00294D9D"/>
    <w:rsid w:val="0029586F"/>
    <w:rsid w:val="00295BF3"/>
    <w:rsid w:val="00295EB6"/>
    <w:rsid w:val="00296260"/>
    <w:rsid w:val="0029639D"/>
    <w:rsid w:val="00296A3B"/>
    <w:rsid w:val="00296C6A"/>
    <w:rsid w:val="00296FA0"/>
    <w:rsid w:val="0029712E"/>
    <w:rsid w:val="002972EA"/>
    <w:rsid w:val="0029733C"/>
    <w:rsid w:val="0029734A"/>
    <w:rsid w:val="002976FF"/>
    <w:rsid w:val="0029776A"/>
    <w:rsid w:val="00297EA0"/>
    <w:rsid w:val="00297EAB"/>
    <w:rsid w:val="002A0478"/>
    <w:rsid w:val="002A05F6"/>
    <w:rsid w:val="002A0715"/>
    <w:rsid w:val="002A07CA"/>
    <w:rsid w:val="002A0830"/>
    <w:rsid w:val="002A08FB"/>
    <w:rsid w:val="002A0A33"/>
    <w:rsid w:val="002A0AE9"/>
    <w:rsid w:val="002A0B5D"/>
    <w:rsid w:val="002A0B6F"/>
    <w:rsid w:val="002A0C09"/>
    <w:rsid w:val="002A133A"/>
    <w:rsid w:val="002A13F5"/>
    <w:rsid w:val="002A15FB"/>
    <w:rsid w:val="002A16CB"/>
    <w:rsid w:val="002A1839"/>
    <w:rsid w:val="002A18BC"/>
    <w:rsid w:val="002A18C8"/>
    <w:rsid w:val="002A27F7"/>
    <w:rsid w:val="002A2F1C"/>
    <w:rsid w:val="002A31C9"/>
    <w:rsid w:val="002A35E2"/>
    <w:rsid w:val="002A3AFB"/>
    <w:rsid w:val="002A3B49"/>
    <w:rsid w:val="002A3B65"/>
    <w:rsid w:val="002A3CD0"/>
    <w:rsid w:val="002A446E"/>
    <w:rsid w:val="002A4807"/>
    <w:rsid w:val="002A4BF6"/>
    <w:rsid w:val="002A4C23"/>
    <w:rsid w:val="002A4D62"/>
    <w:rsid w:val="002A4E42"/>
    <w:rsid w:val="002A5002"/>
    <w:rsid w:val="002A51E9"/>
    <w:rsid w:val="002A5308"/>
    <w:rsid w:val="002A549B"/>
    <w:rsid w:val="002A5ACA"/>
    <w:rsid w:val="002A5C73"/>
    <w:rsid w:val="002A60AC"/>
    <w:rsid w:val="002A6313"/>
    <w:rsid w:val="002A648F"/>
    <w:rsid w:val="002A6A3D"/>
    <w:rsid w:val="002A6B64"/>
    <w:rsid w:val="002A6FAE"/>
    <w:rsid w:val="002A706D"/>
    <w:rsid w:val="002A71B8"/>
    <w:rsid w:val="002A7243"/>
    <w:rsid w:val="002A7317"/>
    <w:rsid w:val="002A732A"/>
    <w:rsid w:val="002A73C0"/>
    <w:rsid w:val="002A74D1"/>
    <w:rsid w:val="002A7687"/>
    <w:rsid w:val="002A796D"/>
    <w:rsid w:val="002A7BBF"/>
    <w:rsid w:val="002A7CCE"/>
    <w:rsid w:val="002A7DF2"/>
    <w:rsid w:val="002A7E57"/>
    <w:rsid w:val="002B05C1"/>
    <w:rsid w:val="002B06E8"/>
    <w:rsid w:val="002B0B42"/>
    <w:rsid w:val="002B1181"/>
    <w:rsid w:val="002B1337"/>
    <w:rsid w:val="002B155D"/>
    <w:rsid w:val="002B1784"/>
    <w:rsid w:val="002B17AE"/>
    <w:rsid w:val="002B1D6F"/>
    <w:rsid w:val="002B24F0"/>
    <w:rsid w:val="002B2DBD"/>
    <w:rsid w:val="002B3158"/>
    <w:rsid w:val="002B36C4"/>
    <w:rsid w:val="002B3D5C"/>
    <w:rsid w:val="002B4141"/>
    <w:rsid w:val="002B42A2"/>
    <w:rsid w:val="002B4318"/>
    <w:rsid w:val="002B43BC"/>
    <w:rsid w:val="002B44FF"/>
    <w:rsid w:val="002B458E"/>
    <w:rsid w:val="002B4621"/>
    <w:rsid w:val="002B4859"/>
    <w:rsid w:val="002B49D9"/>
    <w:rsid w:val="002B4AE0"/>
    <w:rsid w:val="002B5496"/>
    <w:rsid w:val="002B56F2"/>
    <w:rsid w:val="002B596B"/>
    <w:rsid w:val="002B5EDD"/>
    <w:rsid w:val="002B5FBE"/>
    <w:rsid w:val="002B615E"/>
    <w:rsid w:val="002B6223"/>
    <w:rsid w:val="002B630A"/>
    <w:rsid w:val="002B7056"/>
    <w:rsid w:val="002B719A"/>
    <w:rsid w:val="002B7219"/>
    <w:rsid w:val="002B7984"/>
    <w:rsid w:val="002B7AF9"/>
    <w:rsid w:val="002C02C3"/>
    <w:rsid w:val="002C06A4"/>
    <w:rsid w:val="002C06BB"/>
    <w:rsid w:val="002C0E23"/>
    <w:rsid w:val="002C0F67"/>
    <w:rsid w:val="002C14FE"/>
    <w:rsid w:val="002C21F7"/>
    <w:rsid w:val="002C2518"/>
    <w:rsid w:val="002C26BD"/>
    <w:rsid w:val="002C288B"/>
    <w:rsid w:val="002C2E43"/>
    <w:rsid w:val="002C31F9"/>
    <w:rsid w:val="002C3224"/>
    <w:rsid w:val="002C32C5"/>
    <w:rsid w:val="002C3CDA"/>
    <w:rsid w:val="002C3EC2"/>
    <w:rsid w:val="002C3EE4"/>
    <w:rsid w:val="002C3FE2"/>
    <w:rsid w:val="002C4843"/>
    <w:rsid w:val="002C4AB4"/>
    <w:rsid w:val="002C4C82"/>
    <w:rsid w:val="002C4C8B"/>
    <w:rsid w:val="002C5003"/>
    <w:rsid w:val="002C50DD"/>
    <w:rsid w:val="002C52B6"/>
    <w:rsid w:val="002C53AE"/>
    <w:rsid w:val="002C54C6"/>
    <w:rsid w:val="002C56BA"/>
    <w:rsid w:val="002C5A52"/>
    <w:rsid w:val="002C5B69"/>
    <w:rsid w:val="002C62A0"/>
    <w:rsid w:val="002C6460"/>
    <w:rsid w:val="002C64FE"/>
    <w:rsid w:val="002C6732"/>
    <w:rsid w:val="002C69CC"/>
    <w:rsid w:val="002C6B2F"/>
    <w:rsid w:val="002C6DD9"/>
    <w:rsid w:val="002C742D"/>
    <w:rsid w:val="002C79B1"/>
    <w:rsid w:val="002C7B8F"/>
    <w:rsid w:val="002C7C66"/>
    <w:rsid w:val="002C7F15"/>
    <w:rsid w:val="002C7FE9"/>
    <w:rsid w:val="002D00AA"/>
    <w:rsid w:val="002D03B5"/>
    <w:rsid w:val="002D050C"/>
    <w:rsid w:val="002D075E"/>
    <w:rsid w:val="002D07D2"/>
    <w:rsid w:val="002D0DC5"/>
    <w:rsid w:val="002D0DE0"/>
    <w:rsid w:val="002D147A"/>
    <w:rsid w:val="002D196C"/>
    <w:rsid w:val="002D1DA5"/>
    <w:rsid w:val="002D1F99"/>
    <w:rsid w:val="002D2307"/>
    <w:rsid w:val="002D2ACA"/>
    <w:rsid w:val="002D2F83"/>
    <w:rsid w:val="002D304B"/>
    <w:rsid w:val="002D339F"/>
    <w:rsid w:val="002D3526"/>
    <w:rsid w:val="002D35F6"/>
    <w:rsid w:val="002D365E"/>
    <w:rsid w:val="002D3E3D"/>
    <w:rsid w:val="002D4117"/>
    <w:rsid w:val="002D4339"/>
    <w:rsid w:val="002D4832"/>
    <w:rsid w:val="002D48D9"/>
    <w:rsid w:val="002D4EFD"/>
    <w:rsid w:val="002D503C"/>
    <w:rsid w:val="002D54FD"/>
    <w:rsid w:val="002D5B38"/>
    <w:rsid w:val="002D5B9E"/>
    <w:rsid w:val="002D5DE2"/>
    <w:rsid w:val="002D6649"/>
    <w:rsid w:val="002D6789"/>
    <w:rsid w:val="002D6F5E"/>
    <w:rsid w:val="002D75C1"/>
    <w:rsid w:val="002D796B"/>
    <w:rsid w:val="002D7DBE"/>
    <w:rsid w:val="002D7EA9"/>
    <w:rsid w:val="002D7EEC"/>
    <w:rsid w:val="002E0143"/>
    <w:rsid w:val="002E014F"/>
    <w:rsid w:val="002E1198"/>
    <w:rsid w:val="002E1319"/>
    <w:rsid w:val="002E15E8"/>
    <w:rsid w:val="002E1BEC"/>
    <w:rsid w:val="002E1D34"/>
    <w:rsid w:val="002E1DED"/>
    <w:rsid w:val="002E1F29"/>
    <w:rsid w:val="002E1FD4"/>
    <w:rsid w:val="002E2006"/>
    <w:rsid w:val="002E216B"/>
    <w:rsid w:val="002E22E1"/>
    <w:rsid w:val="002E273E"/>
    <w:rsid w:val="002E282A"/>
    <w:rsid w:val="002E2962"/>
    <w:rsid w:val="002E29CE"/>
    <w:rsid w:val="002E2D3B"/>
    <w:rsid w:val="002E2E71"/>
    <w:rsid w:val="002E3017"/>
    <w:rsid w:val="002E3649"/>
    <w:rsid w:val="002E3933"/>
    <w:rsid w:val="002E3A66"/>
    <w:rsid w:val="002E3CE6"/>
    <w:rsid w:val="002E3F13"/>
    <w:rsid w:val="002E4485"/>
    <w:rsid w:val="002E459A"/>
    <w:rsid w:val="002E462F"/>
    <w:rsid w:val="002E4679"/>
    <w:rsid w:val="002E4E61"/>
    <w:rsid w:val="002E4EF8"/>
    <w:rsid w:val="002E504C"/>
    <w:rsid w:val="002E514C"/>
    <w:rsid w:val="002E55E4"/>
    <w:rsid w:val="002E575E"/>
    <w:rsid w:val="002E58FA"/>
    <w:rsid w:val="002E59D0"/>
    <w:rsid w:val="002E5A88"/>
    <w:rsid w:val="002E613C"/>
    <w:rsid w:val="002E6184"/>
    <w:rsid w:val="002E64CE"/>
    <w:rsid w:val="002E64D1"/>
    <w:rsid w:val="002E6691"/>
    <w:rsid w:val="002E68E1"/>
    <w:rsid w:val="002E697B"/>
    <w:rsid w:val="002E6A76"/>
    <w:rsid w:val="002E7305"/>
    <w:rsid w:val="002E73D0"/>
    <w:rsid w:val="002E783D"/>
    <w:rsid w:val="002E7AE3"/>
    <w:rsid w:val="002E7FD1"/>
    <w:rsid w:val="002F0416"/>
    <w:rsid w:val="002F0747"/>
    <w:rsid w:val="002F096D"/>
    <w:rsid w:val="002F09DE"/>
    <w:rsid w:val="002F09F1"/>
    <w:rsid w:val="002F0F01"/>
    <w:rsid w:val="002F0F0D"/>
    <w:rsid w:val="002F13F4"/>
    <w:rsid w:val="002F1766"/>
    <w:rsid w:val="002F1853"/>
    <w:rsid w:val="002F1AFA"/>
    <w:rsid w:val="002F1B63"/>
    <w:rsid w:val="002F27E6"/>
    <w:rsid w:val="002F28A8"/>
    <w:rsid w:val="002F2B66"/>
    <w:rsid w:val="002F2B78"/>
    <w:rsid w:val="002F2CCC"/>
    <w:rsid w:val="002F3082"/>
    <w:rsid w:val="002F33C0"/>
    <w:rsid w:val="002F3406"/>
    <w:rsid w:val="002F3723"/>
    <w:rsid w:val="002F38D2"/>
    <w:rsid w:val="002F3988"/>
    <w:rsid w:val="002F3A8D"/>
    <w:rsid w:val="002F3CD1"/>
    <w:rsid w:val="002F3F2A"/>
    <w:rsid w:val="002F414C"/>
    <w:rsid w:val="002F4396"/>
    <w:rsid w:val="002F4483"/>
    <w:rsid w:val="002F4E6E"/>
    <w:rsid w:val="002F5370"/>
    <w:rsid w:val="002F5473"/>
    <w:rsid w:val="002F58DA"/>
    <w:rsid w:val="002F5E0E"/>
    <w:rsid w:val="002F5EA7"/>
    <w:rsid w:val="002F5F31"/>
    <w:rsid w:val="002F5F6D"/>
    <w:rsid w:val="002F63BF"/>
    <w:rsid w:val="002F66A9"/>
    <w:rsid w:val="002F6B35"/>
    <w:rsid w:val="002F6EE5"/>
    <w:rsid w:val="002F711F"/>
    <w:rsid w:val="002F723C"/>
    <w:rsid w:val="002F7692"/>
    <w:rsid w:val="002F786E"/>
    <w:rsid w:val="002F7998"/>
    <w:rsid w:val="002F7B43"/>
    <w:rsid w:val="002F7C29"/>
    <w:rsid w:val="002F7EFE"/>
    <w:rsid w:val="00300598"/>
    <w:rsid w:val="003005D8"/>
    <w:rsid w:val="0030061E"/>
    <w:rsid w:val="0030085D"/>
    <w:rsid w:val="00300E3A"/>
    <w:rsid w:val="00300F3A"/>
    <w:rsid w:val="00300FF7"/>
    <w:rsid w:val="00301557"/>
    <w:rsid w:val="003016CC"/>
    <w:rsid w:val="00301707"/>
    <w:rsid w:val="003017C0"/>
    <w:rsid w:val="00301FE1"/>
    <w:rsid w:val="003021DA"/>
    <w:rsid w:val="0030231A"/>
    <w:rsid w:val="00302562"/>
    <w:rsid w:val="00302B74"/>
    <w:rsid w:val="00302B85"/>
    <w:rsid w:val="00302D8D"/>
    <w:rsid w:val="0030329E"/>
    <w:rsid w:val="00303BD6"/>
    <w:rsid w:val="00303CCD"/>
    <w:rsid w:val="003049C0"/>
    <w:rsid w:val="00304BB1"/>
    <w:rsid w:val="00304E77"/>
    <w:rsid w:val="00305455"/>
    <w:rsid w:val="0030561B"/>
    <w:rsid w:val="00305B76"/>
    <w:rsid w:val="00305F31"/>
    <w:rsid w:val="00306FF6"/>
    <w:rsid w:val="00307168"/>
    <w:rsid w:val="00307471"/>
    <w:rsid w:val="0030769B"/>
    <w:rsid w:val="0030781F"/>
    <w:rsid w:val="003079BB"/>
    <w:rsid w:val="00307DE6"/>
    <w:rsid w:val="00307DF0"/>
    <w:rsid w:val="00307E1B"/>
    <w:rsid w:val="00310170"/>
    <w:rsid w:val="0031026B"/>
    <w:rsid w:val="0031044F"/>
    <w:rsid w:val="0031099B"/>
    <w:rsid w:val="00310A07"/>
    <w:rsid w:val="00310CFD"/>
    <w:rsid w:val="00310D97"/>
    <w:rsid w:val="00310F25"/>
    <w:rsid w:val="003113FA"/>
    <w:rsid w:val="00311443"/>
    <w:rsid w:val="00311B16"/>
    <w:rsid w:val="00311F80"/>
    <w:rsid w:val="00312028"/>
    <w:rsid w:val="003124B4"/>
    <w:rsid w:val="003127CD"/>
    <w:rsid w:val="00312E65"/>
    <w:rsid w:val="00312EB4"/>
    <w:rsid w:val="0031338B"/>
    <w:rsid w:val="00313396"/>
    <w:rsid w:val="00313AA3"/>
    <w:rsid w:val="00314001"/>
    <w:rsid w:val="003142F0"/>
    <w:rsid w:val="0031444A"/>
    <w:rsid w:val="00315166"/>
    <w:rsid w:val="00315524"/>
    <w:rsid w:val="00315546"/>
    <w:rsid w:val="00315A2F"/>
    <w:rsid w:val="00315A97"/>
    <w:rsid w:val="00315B74"/>
    <w:rsid w:val="00315BF5"/>
    <w:rsid w:val="00316071"/>
    <w:rsid w:val="003161CD"/>
    <w:rsid w:val="0031641C"/>
    <w:rsid w:val="00316497"/>
    <w:rsid w:val="00316BF0"/>
    <w:rsid w:val="00316CEA"/>
    <w:rsid w:val="00317150"/>
    <w:rsid w:val="0031719A"/>
    <w:rsid w:val="003171BB"/>
    <w:rsid w:val="003173EC"/>
    <w:rsid w:val="003175BC"/>
    <w:rsid w:val="003176C3"/>
    <w:rsid w:val="003176D4"/>
    <w:rsid w:val="003177A7"/>
    <w:rsid w:val="003179C6"/>
    <w:rsid w:val="00317A22"/>
    <w:rsid w:val="00317BCA"/>
    <w:rsid w:val="00317D71"/>
    <w:rsid w:val="00317E60"/>
    <w:rsid w:val="00320194"/>
    <w:rsid w:val="003202A9"/>
    <w:rsid w:val="003205DF"/>
    <w:rsid w:val="00320D5D"/>
    <w:rsid w:val="00320E0A"/>
    <w:rsid w:val="00321283"/>
    <w:rsid w:val="003215D2"/>
    <w:rsid w:val="0032172A"/>
    <w:rsid w:val="00321B24"/>
    <w:rsid w:val="00321D90"/>
    <w:rsid w:val="00322165"/>
    <w:rsid w:val="003221A4"/>
    <w:rsid w:val="003221D0"/>
    <w:rsid w:val="003221D5"/>
    <w:rsid w:val="003225D2"/>
    <w:rsid w:val="00322611"/>
    <w:rsid w:val="00322B91"/>
    <w:rsid w:val="00322E48"/>
    <w:rsid w:val="00322E52"/>
    <w:rsid w:val="00322F02"/>
    <w:rsid w:val="003230DF"/>
    <w:rsid w:val="003232E7"/>
    <w:rsid w:val="0032356F"/>
    <w:rsid w:val="00323601"/>
    <w:rsid w:val="003238A8"/>
    <w:rsid w:val="00323B1A"/>
    <w:rsid w:val="00323D04"/>
    <w:rsid w:val="00323FE9"/>
    <w:rsid w:val="003240EB"/>
    <w:rsid w:val="0032429A"/>
    <w:rsid w:val="00324919"/>
    <w:rsid w:val="00324D56"/>
    <w:rsid w:val="00325153"/>
    <w:rsid w:val="0032653F"/>
    <w:rsid w:val="00326578"/>
    <w:rsid w:val="00326595"/>
    <w:rsid w:val="003267F3"/>
    <w:rsid w:val="00326ED9"/>
    <w:rsid w:val="00327118"/>
    <w:rsid w:val="0032734C"/>
    <w:rsid w:val="003274FB"/>
    <w:rsid w:val="00327597"/>
    <w:rsid w:val="003279B1"/>
    <w:rsid w:val="00327B15"/>
    <w:rsid w:val="00327C0B"/>
    <w:rsid w:val="00327C29"/>
    <w:rsid w:val="00330288"/>
    <w:rsid w:val="0033063E"/>
    <w:rsid w:val="00330A38"/>
    <w:rsid w:val="00330C8E"/>
    <w:rsid w:val="00330E73"/>
    <w:rsid w:val="0033122E"/>
    <w:rsid w:val="00331884"/>
    <w:rsid w:val="003321BC"/>
    <w:rsid w:val="00332297"/>
    <w:rsid w:val="003325D2"/>
    <w:rsid w:val="003326C9"/>
    <w:rsid w:val="00332A69"/>
    <w:rsid w:val="00332FA4"/>
    <w:rsid w:val="003334CD"/>
    <w:rsid w:val="0033359B"/>
    <w:rsid w:val="003335E4"/>
    <w:rsid w:val="0033455C"/>
    <w:rsid w:val="003349A4"/>
    <w:rsid w:val="00334E2A"/>
    <w:rsid w:val="00334E7E"/>
    <w:rsid w:val="00334F47"/>
    <w:rsid w:val="00334FBC"/>
    <w:rsid w:val="0033550A"/>
    <w:rsid w:val="003356B4"/>
    <w:rsid w:val="0033572E"/>
    <w:rsid w:val="00335C87"/>
    <w:rsid w:val="00336339"/>
    <w:rsid w:val="003365D4"/>
    <w:rsid w:val="003365F2"/>
    <w:rsid w:val="003366B1"/>
    <w:rsid w:val="003366D4"/>
    <w:rsid w:val="00336744"/>
    <w:rsid w:val="0033693F"/>
    <w:rsid w:val="00336BAF"/>
    <w:rsid w:val="00336F6A"/>
    <w:rsid w:val="0033712E"/>
    <w:rsid w:val="003371EA"/>
    <w:rsid w:val="00337327"/>
    <w:rsid w:val="0033744E"/>
    <w:rsid w:val="00337ADE"/>
    <w:rsid w:val="00340374"/>
    <w:rsid w:val="0034093C"/>
    <w:rsid w:val="00340A8D"/>
    <w:rsid w:val="00340B8F"/>
    <w:rsid w:val="00340BB8"/>
    <w:rsid w:val="00340D2C"/>
    <w:rsid w:val="00340E2C"/>
    <w:rsid w:val="00340EAE"/>
    <w:rsid w:val="003421A8"/>
    <w:rsid w:val="003424F8"/>
    <w:rsid w:val="00342683"/>
    <w:rsid w:val="00342782"/>
    <w:rsid w:val="003429F3"/>
    <w:rsid w:val="003432A8"/>
    <w:rsid w:val="003432EF"/>
    <w:rsid w:val="00343323"/>
    <w:rsid w:val="00343E5C"/>
    <w:rsid w:val="00343ECB"/>
    <w:rsid w:val="003445B9"/>
    <w:rsid w:val="00344737"/>
    <w:rsid w:val="00344FB8"/>
    <w:rsid w:val="00345326"/>
    <w:rsid w:val="00345537"/>
    <w:rsid w:val="0034555A"/>
    <w:rsid w:val="0034566F"/>
    <w:rsid w:val="00345943"/>
    <w:rsid w:val="00345A13"/>
    <w:rsid w:val="00345CA6"/>
    <w:rsid w:val="00345CBF"/>
    <w:rsid w:val="00345E7B"/>
    <w:rsid w:val="00345EC2"/>
    <w:rsid w:val="0034605D"/>
    <w:rsid w:val="0034625D"/>
    <w:rsid w:val="003464D5"/>
    <w:rsid w:val="00346531"/>
    <w:rsid w:val="003465F3"/>
    <w:rsid w:val="00346862"/>
    <w:rsid w:val="00346C2F"/>
    <w:rsid w:val="00346DD6"/>
    <w:rsid w:val="00346E73"/>
    <w:rsid w:val="00347146"/>
    <w:rsid w:val="003471BC"/>
    <w:rsid w:val="003473C4"/>
    <w:rsid w:val="003475CE"/>
    <w:rsid w:val="003476B9"/>
    <w:rsid w:val="0034780A"/>
    <w:rsid w:val="00347BF9"/>
    <w:rsid w:val="00347EDD"/>
    <w:rsid w:val="0035077B"/>
    <w:rsid w:val="00350A1F"/>
    <w:rsid w:val="00350E36"/>
    <w:rsid w:val="00351043"/>
    <w:rsid w:val="00351264"/>
    <w:rsid w:val="00351380"/>
    <w:rsid w:val="003515CE"/>
    <w:rsid w:val="00352B3A"/>
    <w:rsid w:val="00352F5F"/>
    <w:rsid w:val="00353353"/>
    <w:rsid w:val="003536DB"/>
    <w:rsid w:val="00353829"/>
    <w:rsid w:val="00353B3E"/>
    <w:rsid w:val="00353CD5"/>
    <w:rsid w:val="00353CE2"/>
    <w:rsid w:val="00353DED"/>
    <w:rsid w:val="003546CD"/>
    <w:rsid w:val="003547FC"/>
    <w:rsid w:val="00354C0A"/>
    <w:rsid w:val="00354C3E"/>
    <w:rsid w:val="00354FC3"/>
    <w:rsid w:val="00355169"/>
    <w:rsid w:val="003551D0"/>
    <w:rsid w:val="003551EB"/>
    <w:rsid w:val="003553D2"/>
    <w:rsid w:val="003554E9"/>
    <w:rsid w:val="00355544"/>
    <w:rsid w:val="00355C62"/>
    <w:rsid w:val="00355EAF"/>
    <w:rsid w:val="003560E6"/>
    <w:rsid w:val="003560E7"/>
    <w:rsid w:val="003565BF"/>
    <w:rsid w:val="00356894"/>
    <w:rsid w:val="00356AD0"/>
    <w:rsid w:val="00357350"/>
    <w:rsid w:val="0035736B"/>
    <w:rsid w:val="003577BB"/>
    <w:rsid w:val="00357A1C"/>
    <w:rsid w:val="00357E4D"/>
    <w:rsid w:val="0036017B"/>
    <w:rsid w:val="003601A3"/>
    <w:rsid w:val="00360497"/>
    <w:rsid w:val="0036084B"/>
    <w:rsid w:val="003608BB"/>
    <w:rsid w:val="003609C4"/>
    <w:rsid w:val="00360A4E"/>
    <w:rsid w:val="00360AC9"/>
    <w:rsid w:val="00360ADF"/>
    <w:rsid w:val="00360B31"/>
    <w:rsid w:val="0036137E"/>
    <w:rsid w:val="0036174C"/>
    <w:rsid w:val="003617C0"/>
    <w:rsid w:val="00361EA6"/>
    <w:rsid w:val="003622D4"/>
    <w:rsid w:val="00362727"/>
    <w:rsid w:val="00362755"/>
    <w:rsid w:val="0036308A"/>
    <w:rsid w:val="00363409"/>
    <w:rsid w:val="003635FA"/>
    <w:rsid w:val="003637B5"/>
    <w:rsid w:val="00363892"/>
    <w:rsid w:val="00363D22"/>
    <w:rsid w:val="00363D31"/>
    <w:rsid w:val="00363EC3"/>
    <w:rsid w:val="003645FB"/>
    <w:rsid w:val="0036484C"/>
    <w:rsid w:val="00364964"/>
    <w:rsid w:val="00364D2E"/>
    <w:rsid w:val="00364E70"/>
    <w:rsid w:val="00365DDB"/>
    <w:rsid w:val="003667DB"/>
    <w:rsid w:val="00366860"/>
    <w:rsid w:val="0036689E"/>
    <w:rsid w:val="00366F86"/>
    <w:rsid w:val="003670C6"/>
    <w:rsid w:val="003672E6"/>
    <w:rsid w:val="00367489"/>
    <w:rsid w:val="003676FC"/>
    <w:rsid w:val="00367730"/>
    <w:rsid w:val="0037079B"/>
    <w:rsid w:val="00370896"/>
    <w:rsid w:val="003709E6"/>
    <w:rsid w:val="00370BA7"/>
    <w:rsid w:val="00370C0D"/>
    <w:rsid w:val="00370C18"/>
    <w:rsid w:val="00370E06"/>
    <w:rsid w:val="00370E0F"/>
    <w:rsid w:val="00370F3D"/>
    <w:rsid w:val="00371495"/>
    <w:rsid w:val="0037157F"/>
    <w:rsid w:val="00371694"/>
    <w:rsid w:val="00371B77"/>
    <w:rsid w:val="00371DE1"/>
    <w:rsid w:val="00372042"/>
    <w:rsid w:val="00372303"/>
    <w:rsid w:val="0037242E"/>
    <w:rsid w:val="00372651"/>
    <w:rsid w:val="00372EAD"/>
    <w:rsid w:val="0037344D"/>
    <w:rsid w:val="00373544"/>
    <w:rsid w:val="0037367E"/>
    <w:rsid w:val="0037376D"/>
    <w:rsid w:val="00373779"/>
    <w:rsid w:val="00373869"/>
    <w:rsid w:val="00373B93"/>
    <w:rsid w:val="00373C69"/>
    <w:rsid w:val="003741BA"/>
    <w:rsid w:val="0037463B"/>
    <w:rsid w:val="00374AEE"/>
    <w:rsid w:val="00375475"/>
    <w:rsid w:val="003756C3"/>
    <w:rsid w:val="003757F7"/>
    <w:rsid w:val="003758CB"/>
    <w:rsid w:val="003759CA"/>
    <w:rsid w:val="00375EBA"/>
    <w:rsid w:val="00375FC8"/>
    <w:rsid w:val="003762A3"/>
    <w:rsid w:val="00376E07"/>
    <w:rsid w:val="00377133"/>
    <w:rsid w:val="003771D3"/>
    <w:rsid w:val="003772BA"/>
    <w:rsid w:val="00377609"/>
    <w:rsid w:val="00377785"/>
    <w:rsid w:val="003779EF"/>
    <w:rsid w:val="00377CEA"/>
    <w:rsid w:val="00377F52"/>
    <w:rsid w:val="00380015"/>
    <w:rsid w:val="00380269"/>
    <w:rsid w:val="003803CE"/>
    <w:rsid w:val="0038055D"/>
    <w:rsid w:val="00380775"/>
    <w:rsid w:val="003809FF"/>
    <w:rsid w:val="00380CD1"/>
    <w:rsid w:val="00381597"/>
    <w:rsid w:val="0038195A"/>
    <w:rsid w:val="00381A3B"/>
    <w:rsid w:val="00381ABA"/>
    <w:rsid w:val="00381B4B"/>
    <w:rsid w:val="00381BCE"/>
    <w:rsid w:val="00382396"/>
    <w:rsid w:val="003825F0"/>
    <w:rsid w:val="00382870"/>
    <w:rsid w:val="00382A1B"/>
    <w:rsid w:val="0038349B"/>
    <w:rsid w:val="0038376C"/>
    <w:rsid w:val="0038389E"/>
    <w:rsid w:val="00383927"/>
    <w:rsid w:val="00383B9F"/>
    <w:rsid w:val="00383BBD"/>
    <w:rsid w:val="00383D5B"/>
    <w:rsid w:val="00383E89"/>
    <w:rsid w:val="00383FB2"/>
    <w:rsid w:val="00384303"/>
    <w:rsid w:val="003845EF"/>
    <w:rsid w:val="00384A02"/>
    <w:rsid w:val="00384F64"/>
    <w:rsid w:val="0038521A"/>
    <w:rsid w:val="003852F5"/>
    <w:rsid w:val="0038569F"/>
    <w:rsid w:val="00385E99"/>
    <w:rsid w:val="00385FE1"/>
    <w:rsid w:val="0038611D"/>
    <w:rsid w:val="0038679E"/>
    <w:rsid w:val="0038684F"/>
    <w:rsid w:val="00386B97"/>
    <w:rsid w:val="003870BD"/>
    <w:rsid w:val="00387122"/>
    <w:rsid w:val="00387137"/>
    <w:rsid w:val="00387179"/>
    <w:rsid w:val="00387302"/>
    <w:rsid w:val="003874E2"/>
    <w:rsid w:val="0038755D"/>
    <w:rsid w:val="00387BE9"/>
    <w:rsid w:val="00387E9D"/>
    <w:rsid w:val="00387FE8"/>
    <w:rsid w:val="00390242"/>
    <w:rsid w:val="003902A4"/>
    <w:rsid w:val="00390608"/>
    <w:rsid w:val="00390713"/>
    <w:rsid w:val="00390C70"/>
    <w:rsid w:val="00390E88"/>
    <w:rsid w:val="00391404"/>
    <w:rsid w:val="00391415"/>
    <w:rsid w:val="00391638"/>
    <w:rsid w:val="0039168A"/>
    <w:rsid w:val="00391772"/>
    <w:rsid w:val="00391A37"/>
    <w:rsid w:val="00391AC2"/>
    <w:rsid w:val="00392738"/>
    <w:rsid w:val="00392D80"/>
    <w:rsid w:val="00392DDA"/>
    <w:rsid w:val="00392E18"/>
    <w:rsid w:val="00393466"/>
    <w:rsid w:val="003934CF"/>
    <w:rsid w:val="0039380D"/>
    <w:rsid w:val="00393949"/>
    <w:rsid w:val="00393CF2"/>
    <w:rsid w:val="00393F67"/>
    <w:rsid w:val="003942FA"/>
    <w:rsid w:val="00394448"/>
    <w:rsid w:val="0039456E"/>
    <w:rsid w:val="003946CB"/>
    <w:rsid w:val="00394834"/>
    <w:rsid w:val="00394AB2"/>
    <w:rsid w:val="00394C85"/>
    <w:rsid w:val="00394C9A"/>
    <w:rsid w:val="00394F57"/>
    <w:rsid w:val="00394FCC"/>
    <w:rsid w:val="00395186"/>
    <w:rsid w:val="00395870"/>
    <w:rsid w:val="003960B3"/>
    <w:rsid w:val="00396103"/>
    <w:rsid w:val="003962D1"/>
    <w:rsid w:val="003962D4"/>
    <w:rsid w:val="0039656B"/>
    <w:rsid w:val="00396CA7"/>
    <w:rsid w:val="00396EFA"/>
    <w:rsid w:val="00396F5E"/>
    <w:rsid w:val="00396FB1"/>
    <w:rsid w:val="0039705B"/>
    <w:rsid w:val="00397465"/>
    <w:rsid w:val="003977EF"/>
    <w:rsid w:val="00397833"/>
    <w:rsid w:val="003979A0"/>
    <w:rsid w:val="00397B57"/>
    <w:rsid w:val="00397FE7"/>
    <w:rsid w:val="003A01FF"/>
    <w:rsid w:val="003A02CA"/>
    <w:rsid w:val="003A0390"/>
    <w:rsid w:val="003A03A8"/>
    <w:rsid w:val="003A077F"/>
    <w:rsid w:val="003A0E58"/>
    <w:rsid w:val="003A144C"/>
    <w:rsid w:val="003A1796"/>
    <w:rsid w:val="003A17D4"/>
    <w:rsid w:val="003A21F7"/>
    <w:rsid w:val="003A27B9"/>
    <w:rsid w:val="003A27CF"/>
    <w:rsid w:val="003A2A0D"/>
    <w:rsid w:val="003A2ADB"/>
    <w:rsid w:val="003A2DF4"/>
    <w:rsid w:val="003A2E37"/>
    <w:rsid w:val="003A308B"/>
    <w:rsid w:val="003A3446"/>
    <w:rsid w:val="003A34B6"/>
    <w:rsid w:val="003A35A0"/>
    <w:rsid w:val="003A3872"/>
    <w:rsid w:val="003A38F0"/>
    <w:rsid w:val="003A39E7"/>
    <w:rsid w:val="003A3BFF"/>
    <w:rsid w:val="003A3CD1"/>
    <w:rsid w:val="003A3D13"/>
    <w:rsid w:val="003A416A"/>
    <w:rsid w:val="003A4483"/>
    <w:rsid w:val="003A4568"/>
    <w:rsid w:val="003A4AB9"/>
    <w:rsid w:val="003A4B5A"/>
    <w:rsid w:val="003A52BA"/>
    <w:rsid w:val="003A562A"/>
    <w:rsid w:val="003A57B3"/>
    <w:rsid w:val="003A5E96"/>
    <w:rsid w:val="003A6AEE"/>
    <w:rsid w:val="003A6E79"/>
    <w:rsid w:val="003A7198"/>
    <w:rsid w:val="003A770D"/>
    <w:rsid w:val="003A7BE4"/>
    <w:rsid w:val="003A7FE1"/>
    <w:rsid w:val="003B04B3"/>
    <w:rsid w:val="003B0934"/>
    <w:rsid w:val="003B0C80"/>
    <w:rsid w:val="003B0FA7"/>
    <w:rsid w:val="003B0FCA"/>
    <w:rsid w:val="003B119D"/>
    <w:rsid w:val="003B138C"/>
    <w:rsid w:val="003B1541"/>
    <w:rsid w:val="003B1634"/>
    <w:rsid w:val="003B166F"/>
    <w:rsid w:val="003B17F0"/>
    <w:rsid w:val="003B181C"/>
    <w:rsid w:val="003B1B1A"/>
    <w:rsid w:val="003B1E2F"/>
    <w:rsid w:val="003B1F07"/>
    <w:rsid w:val="003B22DB"/>
    <w:rsid w:val="003B24FB"/>
    <w:rsid w:val="003B2C3F"/>
    <w:rsid w:val="003B2E67"/>
    <w:rsid w:val="003B2FA1"/>
    <w:rsid w:val="003B2FD8"/>
    <w:rsid w:val="003B3140"/>
    <w:rsid w:val="003B35E2"/>
    <w:rsid w:val="003B364C"/>
    <w:rsid w:val="003B367D"/>
    <w:rsid w:val="003B3D39"/>
    <w:rsid w:val="003B3F94"/>
    <w:rsid w:val="003B3FE0"/>
    <w:rsid w:val="003B469C"/>
    <w:rsid w:val="003B477F"/>
    <w:rsid w:val="003B49B0"/>
    <w:rsid w:val="003B4C73"/>
    <w:rsid w:val="003B4E56"/>
    <w:rsid w:val="003B4F96"/>
    <w:rsid w:val="003B53AB"/>
    <w:rsid w:val="003B55A5"/>
    <w:rsid w:val="003B57F6"/>
    <w:rsid w:val="003B5899"/>
    <w:rsid w:val="003B5D88"/>
    <w:rsid w:val="003B5D8D"/>
    <w:rsid w:val="003B6283"/>
    <w:rsid w:val="003B6A48"/>
    <w:rsid w:val="003B6FB2"/>
    <w:rsid w:val="003B75A1"/>
    <w:rsid w:val="003B773B"/>
    <w:rsid w:val="003B79CC"/>
    <w:rsid w:val="003B7EB3"/>
    <w:rsid w:val="003B7FEB"/>
    <w:rsid w:val="003C0882"/>
    <w:rsid w:val="003C0EFA"/>
    <w:rsid w:val="003C0F1C"/>
    <w:rsid w:val="003C105E"/>
    <w:rsid w:val="003C1178"/>
    <w:rsid w:val="003C1284"/>
    <w:rsid w:val="003C1E33"/>
    <w:rsid w:val="003C1F09"/>
    <w:rsid w:val="003C299C"/>
    <w:rsid w:val="003C2C84"/>
    <w:rsid w:val="003C2E21"/>
    <w:rsid w:val="003C2F83"/>
    <w:rsid w:val="003C3032"/>
    <w:rsid w:val="003C327C"/>
    <w:rsid w:val="003C3496"/>
    <w:rsid w:val="003C355D"/>
    <w:rsid w:val="003C3C6C"/>
    <w:rsid w:val="003C3CC5"/>
    <w:rsid w:val="003C3E07"/>
    <w:rsid w:val="003C3FBE"/>
    <w:rsid w:val="003C45AD"/>
    <w:rsid w:val="003C53A4"/>
    <w:rsid w:val="003C547D"/>
    <w:rsid w:val="003C5841"/>
    <w:rsid w:val="003C584C"/>
    <w:rsid w:val="003C5934"/>
    <w:rsid w:val="003C5E01"/>
    <w:rsid w:val="003C5E93"/>
    <w:rsid w:val="003C5EB8"/>
    <w:rsid w:val="003C633B"/>
    <w:rsid w:val="003C6465"/>
    <w:rsid w:val="003C6545"/>
    <w:rsid w:val="003C6D85"/>
    <w:rsid w:val="003C715A"/>
    <w:rsid w:val="003C715E"/>
    <w:rsid w:val="003C71B4"/>
    <w:rsid w:val="003C71D5"/>
    <w:rsid w:val="003C7D42"/>
    <w:rsid w:val="003C7FDF"/>
    <w:rsid w:val="003D0A3F"/>
    <w:rsid w:val="003D0A81"/>
    <w:rsid w:val="003D0C6B"/>
    <w:rsid w:val="003D10AE"/>
    <w:rsid w:val="003D13B3"/>
    <w:rsid w:val="003D1414"/>
    <w:rsid w:val="003D1571"/>
    <w:rsid w:val="003D15D0"/>
    <w:rsid w:val="003D1602"/>
    <w:rsid w:val="003D166D"/>
    <w:rsid w:val="003D17D9"/>
    <w:rsid w:val="003D2293"/>
    <w:rsid w:val="003D2370"/>
    <w:rsid w:val="003D29D2"/>
    <w:rsid w:val="003D2D04"/>
    <w:rsid w:val="003D3538"/>
    <w:rsid w:val="003D38AB"/>
    <w:rsid w:val="003D394D"/>
    <w:rsid w:val="003D3B2F"/>
    <w:rsid w:val="003D3E6B"/>
    <w:rsid w:val="003D438A"/>
    <w:rsid w:val="003D48D7"/>
    <w:rsid w:val="003D53D9"/>
    <w:rsid w:val="003D5793"/>
    <w:rsid w:val="003D5C04"/>
    <w:rsid w:val="003D5D7D"/>
    <w:rsid w:val="003D5E28"/>
    <w:rsid w:val="003D6106"/>
    <w:rsid w:val="003D67CA"/>
    <w:rsid w:val="003D67FD"/>
    <w:rsid w:val="003D6C2A"/>
    <w:rsid w:val="003D6E51"/>
    <w:rsid w:val="003D6F18"/>
    <w:rsid w:val="003D72C2"/>
    <w:rsid w:val="003D7329"/>
    <w:rsid w:val="003D7704"/>
    <w:rsid w:val="003D7C5B"/>
    <w:rsid w:val="003E00B4"/>
    <w:rsid w:val="003E048B"/>
    <w:rsid w:val="003E04F2"/>
    <w:rsid w:val="003E0695"/>
    <w:rsid w:val="003E0779"/>
    <w:rsid w:val="003E0A65"/>
    <w:rsid w:val="003E0F88"/>
    <w:rsid w:val="003E1195"/>
    <w:rsid w:val="003E1A6B"/>
    <w:rsid w:val="003E21D2"/>
    <w:rsid w:val="003E2207"/>
    <w:rsid w:val="003E2329"/>
    <w:rsid w:val="003E23ED"/>
    <w:rsid w:val="003E2C1B"/>
    <w:rsid w:val="003E2CAE"/>
    <w:rsid w:val="003E2EE8"/>
    <w:rsid w:val="003E2FA3"/>
    <w:rsid w:val="003E31BC"/>
    <w:rsid w:val="003E3516"/>
    <w:rsid w:val="003E368C"/>
    <w:rsid w:val="003E39B6"/>
    <w:rsid w:val="003E3BB6"/>
    <w:rsid w:val="003E448D"/>
    <w:rsid w:val="003E44B6"/>
    <w:rsid w:val="003E4641"/>
    <w:rsid w:val="003E4777"/>
    <w:rsid w:val="003E4829"/>
    <w:rsid w:val="003E48E5"/>
    <w:rsid w:val="003E4A29"/>
    <w:rsid w:val="003E4B05"/>
    <w:rsid w:val="003E4E28"/>
    <w:rsid w:val="003E5E0E"/>
    <w:rsid w:val="003E5F98"/>
    <w:rsid w:val="003E625D"/>
    <w:rsid w:val="003E6416"/>
    <w:rsid w:val="003E6B21"/>
    <w:rsid w:val="003E7471"/>
    <w:rsid w:val="003E75B0"/>
    <w:rsid w:val="003E760A"/>
    <w:rsid w:val="003E77E5"/>
    <w:rsid w:val="003E7B05"/>
    <w:rsid w:val="003E7B4D"/>
    <w:rsid w:val="003F01A8"/>
    <w:rsid w:val="003F03D2"/>
    <w:rsid w:val="003F04FD"/>
    <w:rsid w:val="003F069A"/>
    <w:rsid w:val="003F0BD2"/>
    <w:rsid w:val="003F0D9D"/>
    <w:rsid w:val="003F0E28"/>
    <w:rsid w:val="003F190E"/>
    <w:rsid w:val="003F1A80"/>
    <w:rsid w:val="003F1BF3"/>
    <w:rsid w:val="003F1E3A"/>
    <w:rsid w:val="003F23AD"/>
    <w:rsid w:val="003F2680"/>
    <w:rsid w:val="003F26D7"/>
    <w:rsid w:val="003F2916"/>
    <w:rsid w:val="003F2996"/>
    <w:rsid w:val="003F2A50"/>
    <w:rsid w:val="003F2C9A"/>
    <w:rsid w:val="003F2E84"/>
    <w:rsid w:val="003F2FBE"/>
    <w:rsid w:val="003F3015"/>
    <w:rsid w:val="003F3130"/>
    <w:rsid w:val="003F31A3"/>
    <w:rsid w:val="003F3386"/>
    <w:rsid w:val="003F364F"/>
    <w:rsid w:val="003F3732"/>
    <w:rsid w:val="003F37DF"/>
    <w:rsid w:val="003F3CFB"/>
    <w:rsid w:val="003F40FA"/>
    <w:rsid w:val="003F4303"/>
    <w:rsid w:val="003F4329"/>
    <w:rsid w:val="003F4A36"/>
    <w:rsid w:val="003F4B63"/>
    <w:rsid w:val="003F4C16"/>
    <w:rsid w:val="003F4F0B"/>
    <w:rsid w:val="003F5284"/>
    <w:rsid w:val="003F529C"/>
    <w:rsid w:val="003F53D2"/>
    <w:rsid w:val="003F548F"/>
    <w:rsid w:val="003F5C2C"/>
    <w:rsid w:val="003F6AAD"/>
    <w:rsid w:val="003F6DD1"/>
    <w:rsid w:val="003F731E"/>
    <w:rsid w:val="003F7755"/>
    <w:rsid w:val="003F7A57"/>
    <w:rsid w:val="003F7E0A"/>
    <w:rsid w:val="003F7E9C"/>
    <w:rsid w:val="00400231"/>
    <w:rsid w:val="004002BF"/>
    <w:rsid w:val="00400511"/>
    <w:rsid w:val="004006BF"/>
    <w:rsid w:val="00400BF9"/>
    <w:rsid w:val="00400D0A"/>
    <w:rsid w:val="0040130A"/>
    <w:rsid w:val="004016BC"/>
    <w:rsid w:val="004016C6"/>
    <w:rsid w:val="00401844"/>
    <w:rsid w:val="0040187D"/>
    <w:rsid w:val="00401D5D"/>
    <w:rsid w:val="0040236F"/>
    <w:rsid w:val="0040279F"/>
    <w:rsid w:val="00402A5C"/>
    <w:rsid w:val="00402CC4"/>
    <w:rsid w:val="00402D85"/>
    <w:rsid w:val="00403283"/>
    <w:rsid w:val="004039D1"/>
    <w:rsid w:val="00403A3D"/>
    <w:rsid w:val="00403FC8"/>
    <w:rsid w:val="004040CB"/>
    <w:rsid w:val="004040F6"/>
    <w:rsid w:val="00404330"/>
    <w:rsid w:val="004043BD"/>
    <w:rsid w:val="0040477B"/>
    <w:rsid w:val="00404D6A"/>
    <w:rsid w:val="00404D71"/>
    <w:rsid w:val="004052A4"/>
    <w:rsid w:val="00405640"/>
    <w:rsid w:val="004059AD"/>
    <w:rsid w:val="00405B8A"/>
    <w:rsid w:val="00405EB6"/>
    <w:rsid w:val="00405F86"/>
    <w:rsid w:val="00406422"/>
    <w:rsid w:val="0040654D"/>
    <w:rsid w:val="00406EC5"/>
    <w:rsid w:val="004071B0"/>
    <w:rsid w:val="004073E0"/>
    <w:rsid w:val="0040749E"/>
    <w:rsid w:val="0040761E"/>
    <w:rsid w:val="00407658"/>
    <w:rsid w:val="00407D85"/>
    <w:rsid w:val="00407E8B"/>
    <w:rsid w:val="004103CD"/>
    <w:rsid w:val="004103D1"/>
    <w:rsid w:val="00411081"/>
    <w:rsid w:val="004110A2"/>
    <w:rsid w:val="00411105"/>
    <w:rsid w:val="004112D5"/>
    <w:rsid w:val="004112EC"/>
    <w:rsid w:val="0041144A"/>
    <w:rsid w:val="00411617"/>
    <w:rsid w:val="00411BE4"/>
    <w:rsid w:val="00411DA8"/>
    <w:rsid w:val="00412534"/>
    <w:rsid w:val="0041268B"/>
    <w:rsid w:val="00412B3D"/>
    <w:rsid w:val="00412C83"/>
    <w:rsid w:val="00412D34"/>
    <w:rsid w:val="00412E9D"/>
    <w:rsid w:val="004130B6"/>
    <w:rsid w:val="004130E1"/>
    <w:rsid w:val="00413393"/>
    <w:rsid w:val="00413399"/>
    <w:rsid w:val="004137C8"/>
    <w:rsid w:val="00413A3E"/>
    <w:rsid w:val="00413E25"/>
    <w:rsid w:val="00414AD8"/>
    <w:rsid w:val="00414B22"/>
    <w:rsid w:val="00414EAB"/>
    <w:rsid w:val="00414FFC"/>
    <w:rsid w:val="004151D4"/>
    <w:rsid w:val="00415815"/>
    <w:rsid w:val="00415A79"/>
    <w:rsid w:val="00415C29"/>
    <w:rsid w:val="00415DA1"/>
    <w:rsid w:val="00415F8E"/>
    <w:rsid w:val="00416040"/>
    <w:rsid w:val="00416658"/>
    <w:rsid w:val="0041692B"/>
    <w:rsid w:val="00416B09"/>
    <w:rsid w:val="00416B71"/>
    <w:rsid w:val="00416C7C"/>
    <w:rsid w:val="00416E78"/>
    <w:rsid w:val="00416EB3"/>
    <w:rsid w:val="004170CD"/>
    <w:rsid w:val="004172C5"/>
    <w:rsid w:val="00417367"/>
    <w:rsid w:val="0041742D"/>
    <w:rsid w:val="0041793A"/>
    <w:rsid w:val="00417B29"/>
    <w:rsid w:val="00417F98"/>
    <w:rsid w:val="0042005E"/>
    <w:rsid w:val="0042028E"/>
    <w:rsid w:val="00420439"/>
    <w:rsid w:val="004206DD"/>
    <w:rsid w:val="004208DC"/>
    <w:rsid w:val="00420CBD"/>
    <w:rsid w:val="00420E92"/>
    <w:rsid w:val="00421019"/>
    <w:rsid w:val="00421205"/>
    <w:rsid w:val="004216A4"/>
    <w:rsid w:val="0042186E"/>
    <w:rsid w:val="004219A0"/>
    <w:rsid w:val="00421EA9"/>
    <w:rsid w:val="00422AE2"/>
    <w:rsid w:val="00422D35"/>
    <w:rsid w:val="0042398A"/>
    <w:rsid w:val="004242C0"/>
    <w:rsid w:val="004244C3"/>
    <w:rsid w:val="00424639"/>
    <w:rsid w:val="00424B7D"/>
    <w:rsid w:val="00424BB5"/>
    <w:rsid w:val="00424E11"/>
    <w:rsid w:val="00424EB8"/>
    <w:rsid w:val="0042529A"/>
    <w:rsid w:val="00425907"/>
    <w:rsid w:val="00425FB2"/>
    <w:rsid w:val="00426014"/>
    <w:rsid w:val="0042610F"/>
    <w:rsid w:val="0042614C"/>
    <w:rsid w:val="004261FD"/>
    <w:rsid w:val="0042625E"/>
    <w:rsid w:val="004264A5"/>
    <w:rsid w:val="00426956"/>
    <w:rsid w:val="00426F72"/>
    <w:rsid w:val="004270A0"/>
    <w:rsid w:val="004278BB"/>
    <w:rsid w:val="00430239"/>
    <w:rsid w:val="0043046B"/>
    <w:rsid w:val="0043065E"/>
    <w:rsid w:val="00430AB6"/>
    <w:rsid w:val="00430F14"/>
    <w:rsid w:val="00431658"/>
    <w:rsid w:val="00431711"/>
    <w:rsid w:val="004318EE"/>
    <w:rsid w:val="00432291"/>
    <w:rsid w:val="004323E2"/>
    <w:rsid w:val="0043253B"/>
    <w:rsid w:val="00432733"/>
    <w:rsid w:val="0043292E"/>
    <w:rsid w:val="00432E3A"/>
    <w:rsid w:val="00432E3C"/>
    <w:rsid w:val="00432FF6"/>
    <w:rsid w:val="00433065"/>
    <w:rsid w:val="00433AD0"/>
    <w:rsid w:val="00433CA4"/>
    <w:rsid w:val="00433EDA"/>
    <w:rsid w:val="00433F69"/>
    <w:rsid w:val="00433FE6"/>
    <w:rsid w:val="004343B3"/>
    <w:rsid w:val="0043447D"/>
    <w:rsid w:val="004345DE"/>
    <w:rsid w:val="004349D0"/>
    <w:rsid w:val="00434ED9"/>
    <w:rsid w:val="00434FAE"/>
    <w:rsid w:val="004353C6"/>
    <w:rsid w:val="00435675"/>
    <w:rsid w:val="004357A2"/>
    <w:rsid w:val="0043581A"/>
    <w:rsid w:val="00435BB5"/>
    <w:rsid w:val="00436F89"/>
    <w:rsid w:val="0043724E"/>
    <w:rsid w:val="00437660"/>
    <w:rsid w:val="00437A88"/>
    <w:rsid w:val="00437D82"/>
    <w:rsid w:val="00437DF5"/>
    <w:rsid w:val="0044039F"/>
    <w:rsid w:val="00440510"/>
    <w:rsid w:val="004406F5"/>
    <w:rsid w:val="004407AD"/>
    <w:rsid w:val="00441070"/>
    <w:rsid w:val="00441285"/>
    <w:rsid w:val="004414B8"/>
    <w:rsid w:val="00441B40"/>
    <w:rsid w:val="00442308"/>
    <w:rsid w:val="004426E3"/>
    <w:rsid w:val="00442871"/>
    <w:rsid w:val="004429EE"/>
    <w:rsid w:val="00442C34"/>
    <w:rsid w:val="00442C78"/>
    <w:rsid w:val="00442C9A"/>
    <w:rsid w:val="00442CD2"/>
    <w:rsid w:val="00442D2E"/>
    <w:rsid w:val="00442E16"/>
    <w:rsid w:val="00442E1D"/>
    <w:rsid w:val="00443128"/>
    <w:rsid w:val="004432CE"/>
    <w:rsid w:val="0044353A"/>
    <w:rsid w:val="004438CF"/>
    <w:rsid w:val="00443966"/>
    <w:rsid w:val="00443F68"/>
    <w:rsid w:val="00443F70"/>
    <w:rsid w:val="0044440A"/>
    <w:rsid w:val="004445A8"/>
    <w:rsid w:val="00444A65"/>
    <w:rsid w:val="00444ED8"/>
    <w:rsid w:val="0044520B"/>
    <w:rsid w:val="00445438"/>
    <w:rsid w:val="00445446"/>
    <w:rsid w:val="00445818"/>
    <w:rsid w:val="004459CE"/>
    <w:rsid w:val="00445AA0"/>
    <w:rsid w:val="00445EE0"/>
    <w:rsid w:val="0044617E"/>
    <w:rsid w:val="0044619C"/>
    <w:rsid w:val="0044681F"/>
    <w:rsid w:val="00446C1A"/>
    <w:rsid w:val="00446DE4"/>
    <w:rsid w:val="00447366"/>
    <w:rsid w:val="00447608"/>
    <w:rsid w:val="00447BA1"/>
    <w:rsid w:val="00447BE5"/>
    <w:rsid w:val="00447E14"/>
    <w:rsid w:val="00450008"/>
    <w:rsid w:val="004501A9"/>
    <w:rsid w:val="00450337"/>
    <w:rsid w:val="0045041B"/>
    <w:rsid w:val="00450902"/>
    <w:rsid w:val="004520BD"/>
    <w:rsid w:val="0045214B"/>
    <w:rsid w:val="0045251D"/>
    <w:rsid w:val="004525C8"/>
    <w:rsid w:val="0045262A"/>
    <w:rsid w:val="004526DF"/>
    <w:rsid w:val="00452CC7"/>
    <w:rsid w:val="00452CED"/>
    <w:rsid w:val="00452D22"/>
    <w:rsid w:val="00452F98"/>
    <w:rsid w:val="00453515"/>
    <w:rsid w:val="0045362B"/>
    <w:rsid w:val="0045375B"/>
    <w:rsid w:val="00453E48"/>
    <w:rsid w:val="0045404F"/>
    <w:rsid w:val="004540F3"/>
    <w:rsid w:val="00454183"/>
    <w:rsid w:val="004542A7"/>
    <w:rsid w:val="0045435B"/>
    <w:rsid w:val="0045477E"/>
    <w:rsid w:val="0045508B"/>
    <w:rsid w:val="00455520"/>
    <w:rsid w:val="004555EA"/>
    <w:rsid w:val="00455720"/>
    <w:rsid w:val="004557CE"/>
    <w:rsid w:val="00455820"/>
    <w:rsid w:val="00455894"/>
    <w:rsid w:val="00455FC1"/>
    <w:rsid w:val="00456057"/>
    <w:rsid w:val="00456313"/>
    <w:rsid w:val="004565D8"/>
    <w:rsid w:val="00456C5C"/>
    <w:rsid w:val="00456DEA"/>
    <w:rsid w:val="004574B2"/>
    <w:rsid w:val="004579E0"/>
    <w:rsid w:val="00457A3A"/>
    <w:rsid w:val="00457B98"/>
    <w:rsid w:val="0046078B"/>
    <w:rsid w:val="0046083F"/>
    <w:rsid w:val="00460B7D"/>
    <w:rsid w:val="00460F9B"/>
    <w:rsid w:val="004613F8"/>
    <w:rsid w:val="00461668"/>
    <w:rsid w:val="004617D6"/>
    <w:rsid w:val="0046197A"/>
    <w:rsid w:val="00461B3E"/>
    <w:rsid w:val="00461D76"/>
    <w:rsid w:val="004623AC"/>
    <w:rsid w:val="004624E8"/>
    <w:rsid w:val="004624EC"/>
    <w:rsid w:val="004628F8"/>
    <w:rsid w:val="00462AD9"/>
    <w:rsid w:val="00462E48"/>
    <w:rsid w:val="00462F8E"/>
    <w:rsid w:val="00462FDA"/>
    <w:rsid w:val="0046363B"/>
    <w:rsid w:val="0046379B"/>
    <w:rsid w:val="00463952"/>
    <w:rsid w:val="00463CE2"/>
    <w:rsid w:val="0046487E"/>
    <w:rsid w:val="00464BF6"/>
    <w:rsid w:val="00465644"/>
    <w:rsid w:val="004658C0"/>
    <w:rsid w:val="00465AB7"/>
    <w:rsid w:val="00465B77"/>
    <w:rsid w:val="00465BEC"/>
    <w:rsid w:val="00466618"/>
    <w:rsid w:val="00466CB1"/>
    <w:rsid w:val="00466F68"/>
    <w:rsid w:val="0046731B"/>
    <w:rsid w:val="00467675"/>
    <w:rsid w:val="00467864"/>
    <w:rsid w:val="0047037F"/>
    <w:rsid w:val="0047047F"/>
    <w:rsid w:val="0047054E"/>
    <w:rsid w:val="00470759"/>
    <w:rsid w:val="004708D5"/>
    <w:rsid w:val="00470E62"/>
    <w:rsid w:val="004713C6"/>
    <w:rsid w:val="004716DA"/>
    <w:rsid w:val="00471B25"/>
    <w:rsid w:val="00471BEE"/>
    <w:rsid w:val="00471D3F"/>
    <w:rsid w:val="004722B7"/>
    <w:rsid w:val="004722CB"/>
    <w:rsid w:val="004724A6"/>
    <w:rsid w:val="004726AD"/>
    <w:rsid w:val="0047284C"/>
    <w:rsid w:val="00472B7E"/>
    <w:rsid w:val="00472D2B"/>
    <w:rsid w:val="00472E47"/>
    <w:rsid w:val="00472F9C"/>
    <w:rsid w:val="00473BD2"/>
    <w:rsid w:val="00473FB4"/>
    <w:rsid w:val="004740E9"/>
    <w:rsid w:val="00474279"/>
    <w:rsid w:val="004743CE"/>
    <w:rsid w:val="004749C8"/>
    <w:rsid w:val="00474C1B"/>
    <w:rsid w:val="00474F9D"/>
    <w:rsid w:val="004756A7"/>
    <w:rsid w:val="00475C0A"/>
    <w:rsid w:val="00475D8D"/>
    <w:rsid w:val="004763F8"/>
    <w:rsid w:val="00476696"/>
    <w:rsid w:val="00476C46"/>
    <w:rsid w:val="00476D89"/>
    <w:rsid w:val="00476EBE"/>
    <w:rsid w:val="0047711D"/>
    <w:rsid w:val="0047719B"/>
    <w:rsid w:val="004776FB"/>
    <w:rsid w:val="004777DA"/>
    <w:rsid w:val="00477A60"/>
    <w:rsid w:val="00477AB6"/>
    <w:rsid w:val="00477E1C"/>
    <w:rsid w:val="00480011"/>
    <w:rsid w:val="00480116"/>
    <w:rsid w:val="00480221"/>
    <w:rsid w:val="00480244"/>
    <w:rsid w:val="004802A6"/>
    <w:rsid w:val="0048054B"/>
    <w:rsid w:val="00480CB0"/>
    <w:rsid w:val="00480DE4"/>
    <w:rsid w:val="004817F2"/>
    <w:rsid w:val="00481A96"/>
    <w:rsid w:val="00481DA7"/>
    <w:rsid w:val="00481E70"/>
    <w:rsid w:val="00481E9C"/>
    <w:rsid w:val="00481EAF"/>
    <w:rsid w:val="00481EC8"/>
    <w:rsid w:val="0048200E"/>
    <w:rsid w:val="0048228D"/>
    <w:rsid w:val="00482380"/>
    <w:rsid w:val="004824FD"/>
    <w:rsid w:val="0048261B"/>
    <w:rsid w:val="004826E0"/>
    <w:rsid w:val="004828E9"/>
    <w:rsid w:val="00482E1D"/>
    <w:rsid w:val="00482F6E"/>
    <w:rsid w:val="004832DB"/>
    <w:rsid w:val="00483603"/>
    <w:rsid w:val="00484059"/>
    <w:rsid w:val="0048444B"/>
    <w:rsid w:val="00484498"/>
    <w:rsid w:val="00484610"/>
    <w:rsid w:val="004847BF"/>
    <w:rsid w:val="004847CB"/>
    <w:rsid w:val="00484B46"/>
    <w:rsid w:val="00484E89"/>
    <w:rsid w:val="00484F42"/>
    <w:rsid w:val="00484FD7"/>
    <w:rsid w:val="00485082"/>
    <w:rsid w:val="00485103"/>
    <w:rsid w:val="0048517A"/>
    <w:rsid w:val="004851DC"/>
    <w:rsid w:val="004855DA"/>
    <w:rsid w:val="00485629"/>
    <w:rsid w:val="00485662"/>
    <w:rsid w:val="0048597B"/>
    <w:rsid w:val="00485D4D"/>
    <w:rsid w:val="00485D6A"/>
    <w:rsid w:val="00485EA1"/>
    <w:rsid w:val="004860BD"/>
    <w:rsid w:val="004865E4"/>
    <w:rsid w:val="00486919"/>
    <w:rsid w:val="004869FB"/>
    <w:rsid w:val="0048707E"/>
    <w:rsid w:val="00487364"/>
    <w:rsid w:val="00487430"/>
    <w:rsid w:val="0048743B"/>
    <w:rsid w:val="004877D4"/>
    <w:rsid w:val="00487A0C"/>
    <w:rsid w:val="00487E05"/>
    <w:rsid w:val="00490358"/>
    <w:rsid w:val="0049054A"/>
    <w:rsid w:val="00490694"/>
    <w:rsid w:val="00490C89"/>
    <w:rsid w:val="00490D3D"/>
    <w:rsid w:val="00491346"/>
    <w:rsid w:val="00491424"/>
    <w:rsid w:val="00491575"/>
    <w:rsid w:val="004915E3"/>
    <w:rsid w:val="00492122"/>
    <w:rsid w:val="004925CA"/>
    <w:rsid w:val="0049288D"/>
    <w:rsid w:val="00492A0F"/>
    <w:rsid w:val="00492B58"/>
    <w:rsid w:val="00493768"/>
    <w:rsid w:val="0049380C"/>
    <w:rsid w:val="00493A8E"/>
    <w:rsid w:val="00493C0E"/>
    <w:rsid w:val="00493D7E"/>
    <w:rsid w:val="00493E1F"/>
    <w:rsid w:val="00493E76"/>
    <w:rsid w:val="00494576"/>
    <w:rsid w:val="004949A0"/>
    <w:rsid w:val="00494B1B"/>
    <w:rsid w:val="00494E38"/>
    <w:rsid w:val="004957D2"/>
    <w:rsid w:val="00495A58"/>
    <w:rsid w:val="00495ABB"/>
    <w:rsid w:val="00495C47"/>
    <w:rsid w:val="00495F6A"/>
    <w:rsid w:val="00495FBC"/>
    <w:rsid w:val="0049601B"/>
    <w:rsid w:val="00496132"/>
    <w:rsid w:val="00496264"/>
    <w:rsid w:val="004964A1"/>
    <w:rsid w:val="00496CF8"/>
    <w:rsid w:val="00496F79"/>
    <w:rsid w:val="00497740"/>
    <w:rsid w:val="0049799A"/>
    <w:rsid w:val="00497A35"/>
    <w:rsid w:val="00497B72"/>
    <w:rsid w:val="00497E92"/>
    <w:rsid w:val="004A01EF"/>
    <w:rsid w:val="004A0BDA"/>
    <w:rsid w:val="004A0D07"/>
    <w:rsid w:val="004A0D4F"/>
    <w:rsid w:val="004A0DE3"/>
    <w:rsid w:val="004A0E56"/>
    <w:rsid w:val="004A118F"/>
    <w:rsid w:val="004A1389"/>
    <w:rsid w:val="004A145E"/>
    <w:rsid w:val="004A157D"/>
    <w:rsid w:val="004A158D"/>
    <w:rsid w:val="004A1944"/>
    <w:rsid w:val="004A1B27"/>
    <w:rsid w:val="004A1EAD"/>
    <w:rsid w:val="004A21A4"/>
    <w:rsid w:val="004A2733"/>
    <w:rsid w:val="004A290E"/>
    <w:rsid w:val="004A2BBA"/>
    <w:rsid w:val="004A2E51"/>
    <w:rsid w:val="004A2E65"/>
    <w:rsid w:val="004A31CF"/>
    <w:rsid w:val="004A337D"/>
    <w:rsid w:val="004A39EF"/>
    <w:rsid w:val="004A39F8"/>
    <w:rsid w:val="004A3C21"/>
    <w:rsid w:val="004A3C9F"/>
    <w:rsid w:val="004A3DD5"/>
    <w:rsid w:val="004A4005"/>
    <w:rsid w:val="004A47BE"/>
    <w:rsid w:val="004A4922"/>
    <w:rsid w:val="004A499F"/>
    <w:rsid w:val="004A4BBA"/>
    <w:rsid w:val="004A4EFF"/>
    <w:rsid w:val="004A5A47"/>
    <w:rsid w:val="004A644A"/>
    <w:rsid w:val="004A64B2"/>
    <w:rsid w:val="004A66F5"/>
    <w:rsid w:val="004A6864"/>
    <w:rsid w:val="004A6BDC"/>
    <w:rsid w:val="004A6CB8"/>
    <w:rsid w:val="004A6CD4"/>
    <w:rsid w:val="004A6E0F"/>
    <w:rsid w:val="004A6E99"/>
    <w:rsid w:val="004A6F06"/>
    <w:rsid w:val="004A7094"/>
    <w:rsid w:val="004A76D0"/>
    <w:rsid w:val="004A78F9"/>
    <w:rsid w:val="004A797C"/>
    <w:rsid w:val="004A7B2C"/>
    <w:rsid w:val="004A7B4C"/>
    <w:rsid w:val="004A7F01"/>
    <w:rsid w:val="004B03D6"/>
    <w:rsid w:val="004B0636"/>
    <w:rsid w:val="004B0EDA"/>
    <w:rsid w:val="004B0F94"/>
    <w:rsid w:val="004B12A6"/>
    <w:rsid w:val="004B139A"/>
    <w:rsid w:val="004B13FA"/>
    <w:rsid w:val="004B1574"/>
    <w:rsid w:val="004B197A"/>
    <w:rsid w:val="004B19E8"/>
    <w:rsid w:val="004B1B46"/>
    <w:rsid w:val="004B1CB8"/>
    <w:rsid w:val="004B1DE3"/>
    <w:rsid w:val="004B20DB"/>
    <w:rsid w:val="004B21A6"/>
    <w:rsid w:val="004B2243"/>
    <w:rsid w:val="004B24B5"/>
    <w:rsid w:val="004B268B"/>
    <w:rsid w:val="004B2A0A"/>
    <w:rsid w:val="004B2C6C"/>
    <w:rsid w:val="004B2E29"/>
    <w:rsid w:val="004B2F5F"/>
    <w:rsid w:val="004B34EA"/>
    <w:rsid w:val="004B365B"/>
    <w:rsid w:val="004B36C2"/>
    <w:rsid w:val="004B36DA"/>
    <w:rsid w:val="004B385E"/>
    <w:rsid w:val="004B3B4A"/>
    <w:rsid w:val="004B3E5F"/>
    <w:rsid w:val="004B3F1E"/>
    <w:rsid w:val="004B426D"/>
    <w:rsid w:val="004B4365"/>
    <w:rsid w:val="004B4C22"/>
    <w:rsid w:val="004B5064"/>
    <w:rsid w:val="004B5331"/>
    <w:rsid w:val="004B545E"/>
    <w:rsid w:val="004B5471"/>
    <w:rsid w:val="004B5494"/>
    <w:rsid w:val="004B59D6"/>
    <w:rsid w:val="004B5F36"/>
    <w:rsid w:val="004B622D"/>
    <w:rsid w:val="004B6231"/>
    <w:rsid w:val="004B6258"/>
    <w:rsid w:val="004B64CE"/>
    <w:rsid w:val="004B6B30"/>
    <w:rsid w:val="004B6C29"/>
    <w:rsid w:val="004B6C31"/>
    <w:rsid w:val="004B6CAD"/>
    <w:rsid w:val="004B6D0D"/>
    <w:rsid w:val="004B766C"/>
    <w:rsid w:val="004B771C"/>
    <w:rsid w:val="004B7A78"/>
    <w:rsid w:val="004C0139"/>
    <w:rsid w:val="004C0285"/>
    <w:rsid w:val="004C02DB"/>
    <w:rsid w:val="004C1124"/>
    <w:rsid w:val="004C13F9"/>
    <w:rsid w:val="004C1533"/>
    <w:rsid w:val="004C18AD"/>
    <w:rsid w:val="004C1946"/>
    <w:rsid w:val="004C1965"/>
    <w:rsid w:val="004C19F3"/>
    <w:rsid w:val="004C1DDF"/>
    <w:rsid w:val="004C20C1"/>
    <w:rsid w:val="004C20D7"/>
    <w:rsid w:val="004C247B"/>
    <w:rsid w:val="004C274C"/>
    <w:rsid w:val="004C27C4"/>
    <w:rsid w:val="004C2A38"/>
    <w:rsid w:val="004C2A5E"/>
    <w:rsid w:val="004C311D"/>
    <w:rsid w:val="004C31B0"/>
    <w:rsid w:val="004C3459"/>
    <w:rsid w:val="004C354C"/>
    <w:rsid w:val="004C3868"/>
    <w:rsid w:val="004C3A44"/>
    <w:rsid w:val="004C3A88"/>
    <w:rsid w:val="004C3D9A"/>
    <w:rsid w:val="004C3EEA"/>
    <w:rsid w:val="004C46A9"/>
    <w:rsid w:val="004C497F"/>
    <w:rsid w:val="004C499D"/>
    <w:rsid w:val="004C4A79"/>
    <w:rsid w:val="004C4B0E"/>
    <w:rsid w:val="004C4E31"/>
    <w:rsid w:val="004C4EDE"/>
    <w:rsid w:val="004C4F81"/>
    <w:rsid w:val="004C515C"/>
    <w:rsid w:val="004C58BD"/>
    <w:rsid w:val="004C5934"/>
    <w:rsid w:val="004C5DEA"/>
    <w:rsid w:val="004C6258"/>
    <w:rsid w:val="004C67C1"/>
    <w:rsid w:val="004C6C1A"/>
    <w:rsid w:val="004C6F93"/>
    <w:rsid w:val="004C782F"/>
    <w:rsid w:val="004C7A2B"/>
    <w:rsid w:val="004C7D3A"/>
    <w:rsid w:val="004C7F1E"/>
    <w:rsid w:val="004D014E"/>
    <w:rsid w:val="004D01F4"/>
    <w:rsid w:val="004D0734"/>
    <w:rsid w:val="004D0814"/>
    <w:rsid w:val="004D0DC9"/>
    <w:rsid w:val="004D1119"/>
    <w:rsid w:val="004D11D6"/>
    <w:rsid w:val="004D166B"/>
    <w:rsid w:val="004D17F2"/>
    <w:rsid w:val="004D1A63"/>
    <w:rsid w:val="004D1DB5"/>
    <w:rsid w:val="004D1E30"/>
    <w:rsid w:val="004D266A"/>
    <w:rsid w:val="004D2B90"/>
    <w:rsid w:val="004D2D55"/>
    <w:rsid w:val="004D2D66"/>
    <w:rsid w:val="004D2F14"/>
    <w:rsid w:val="004D3419"/>
    <w:rsid w:val="004D34C4"/>
    <w:rsid w:val="004D36D0"/>
    <w:rsid w:val="004D3878"/>
    <w:rsid w:val="004D3A5A"/>
    <w:rsid w:val="004D3B3C"/>
    <w:rsid w:val="004D3F10"/>
    <w:rsid w:val="004D4199"/>
    <w:rsid w:val="004D43E2"/>
    <w:rsid w:val="004D4581"/>
    <w:rsid w:val="004D4933"/>
    <w:rsid w:val="004D4AC1"/>
    <w:rsid w:val="004D4C3C"/>
    <w:rsid w:val="004D4FF1"/>
    <w:rsid w:val="004D5247"/>
    <w:rsid w:val="004D531B"/>
    <w:rsid w:val="004D59C3"/>
    <w:rsid w:val="004D5AA3"/>
    <w:rsid w:val="004D5AA5"/>
    <w:rsid w:val="004D5F57"/>
    <w:rsid w:val="004D6107"/>
    <w:rsid w:val="004D6C47"/>
    <w:rsid w:val="004D73B7"/>
    <w:rsid w:val="004D753B"/>
    <w:rsid w:val="004D75BF"/>
    <w:rsid w:val="004D7663"/>
    <w:rsid w:val="004E0275"/>
    <w:rsid w:val="004E029F"/>
    <w:rsid w:val="004E07F1"/>
    <w:rsid w:val="004E0934"/>
    <w:rsid w:val="004E0B10"/>
    <w:rsid w:val="004E0B11"/>
    <w:rsid w:val="004E0B8B"/>
    <w:rsid w:val="004E0C18"/>
    <w:rsid w:val="004E1049"/>
    <w:rsid w:val="004E1519"/>
    <w:rsid w:val="004E17F1"/>
    <w:rsid w:val="004E18BC"/>
    <w:rsid w:val="004E1C45"/>
    <w:rsid w:val="004E1E4E"/>
    <w:rsid w:val="004E1FAA"/>
    <w:rsid w:val="004E2076"/>
    <w:rsid w:val="004E22BD"/>
    <w:rsid w:val="004E22E8"/>
    <w:rsid w:val="004E26BB"/>
    <w:rsid w:val="004E2A6D"/>
    <w:rsid w:val="004E2BE9"/>
    <w:rsid w:val="004E30F2"/>
    <w:rsid w:val="004E3FD7"/>
    <w:rsid w:val="004E4117"/>
    <w:rsid w:val="004E4459"/>
    <w:rsid w:val="004E454B"/>
    <w:rsid w:val="004E46F5"/>
    <w:rsid w:val="004E50D3"/>
    <w:rsid w:val="004E5432"/>
    <w:rsid w:val="004E56BD"/>
    <w:rsid w:val="004E57F8"/>
    <w:rsid w:val="004E5A66"/>
    <w:rsid w:val="004E5CF5"/>
    <w:rsid w:val="004E5D04"/>
    <w:rsid w:val="004E5F0D"/>
    <w:rsid w:val="004E5F92"/>
    <w:rsid w:val="004E614C"/>
    <w:rsid w:val="004E6622"/>
    <w:rsid w:val="004E675C"/>
    <w:rsid w:val="004E6838"/>
    <w:rsid w:val="004E6B85"/>
    <w:rsid w:val="004E6BE4"/>
    <w:rsid w:val="004E6CC6"/>
    <w:rsid w:val="004E6F4B"/>
    <w:rsid w:val="004E6F4F"/>
    <w:rsid w:val="004E714F"/>
    <w:rsid w:val="004E727B"/>
    <w:rsid w:val="004E74A0"/>
    <w:rsid w:val="004E7AD6"/>
    <w:rsid w:val="004E7DD1"/>
    <w:rsid w:val="004E7E40"/>
    <w:rsid w:val="004F0089"/>
    <w:rsid w:val="004F00F8"/>
    <w:rsid w:val="004F057B"/>
    <w:rsid w:val="004F058D"/>
    <w:rsid w:val="004F071D"/>
    <w:rsid w:val="004F0A0F"/>
    <w:rsid w:val="004F0CDB"/>
    <w:rsid w:val="004F0DB0"/>
    <w:rsid w:val="004F1070"/>
    <w:rsid w:val="004F1556"/>
    <w:rsid w:val="004F1787"/>
    <w:rsid w:val="004F1C14"/>
    <w:rsid w:val="004F1C1C"/>
    <w:rsid w:val="004F1D63"/>
    <w:rsid w:val="004F1F2C"/>
    <w:rsid w:val="004F2005"/>
    <w:rsid w:val="004F21F0"/>
    <w:rsid w:val="004F2472"/>
    <w:rsid w:val="004F24FF"/>
    <w:rsid w:val="004F276A"/>
    <w:rsid w:val="004F2AAF"/>
    <w:rsid w:val="004F2DED"/>
    <w:rsid w:val="004F329C"/>
    <w:rsid w:val="004F3BA8"/>
    <w:rsid w:val="004F3BF0"/>
    <w:rsid w:val="004F3E53"/>
    <w:rsid w:val="004F3EEA"/>
    <w:rsid w:val="004F40E9"/>
    <w:rsid w:val="004F4173"/>
    <w:rsid w:val="004F45DC"/>
    <w:rsid w:val="004F4611"/>
    <w:rsid w:val="004F4772"/>
    <w:rsid w:val="004F4908"/>
    <w:rsid w:val="004F4973"/>
    <w:rsid w:val="004F4BCB"/>
    <w:rsid w:val="004F4CBB"/>
    <w:rsid w:val="004F4D4C"/>
    <w:rsid w:val="004F4DAF"/>
    <w:rsid w:val="004F4EAE"/>
    <w:rsid w:val="004F520D"/>
    <w:rsid w:val="004F53D3"/>
    <w:rsid w:val="004F5804"/>
    <w:rsid w:val="004F5861"/>
    <w:rsid w:val="004F59DA"/>
    <w:rsid w:val="004F59E2"/>
    <w:rsid w:val="004F5DDE"/>
    <w:rsid w:val="004F5FDE"/>
    <w:rsid w:val="004F61D1"/>
    <w:rsid w:val="004F6394"/>
    <w:rsid w:val="004F639C"/>
    <w:rsid w:val="004F64F8"/>
    <w:rsid w:val="004F6C42"/>
    <w:rsid w:val="004F6EDB"/>
    <w:rsid w:val="004F78CE"/>
    <w:rsid w:val="004F78D3"/>
    <w:rsid w:val="004F79E2"/>
    <w:rsid w:val="005001A0"/>
    <w:rsid w:val="0050086C"/>
    <w:rsid w:val="0050097E"/>
    <w:rsid w:val="00500AC8"/>
    <w:rsid w:val="00500C94"/>
    <w:rsid w:val="0050108F"/>
    <w:rsid w:val="005017A8"/>
    <w:rsid w:val="005018A8"/>
    <w:rsid w:val="00501B52"/>
    <w:rsid w:val="00501E92"/>
    <w:rsid w:val="00501FA1"/>
    <w:rsid w:val="00502099"/>
    <w:rsid w:val="00502634"/>
    <w:rsid w:val="0050264A"/>
    <w:rsid w:val="005027DD"/>
    <w:rsid w:val="00502A78"/>
    <w:rsid w:val="00502E45"/>
    <w:rsid w:val="005031F1"/>
    <w:rsid w:val="00503410"/>
    <w:rsid w:val="00503720"/>
    <w:rsid w:val="005037DD"/>
    <w:rsid w:val="00503E4C"/>
    <w:rsid w:val="0050466B"/>
    <w:rsid w:val="0050498D"/>
    <w:rsid w:val="00504BCA"/>
    <w:rsid w:val="00504C09"/>
    <w:rsid w:val="00504CFF"/>
    <w:rsid w:val="00504D0E"/>
    <w:rsid w:val="00505152"/>
    <w:rsid w:val="0050569F"/>
    <w:rsid w:val="0050578A"/>
    <w:rsid w:val="00505968"/>
    <w:rsid w:val="00505A39"/>
    <w:rsid w:val="005060F6"/>
    <w:rsid w:val="00506108"/>
    <w:rsid w:val="0050626B"/>
    <w:rsid w:val="00507516"/>
    <w:rsid w:val="00507A28"/>
    <w:rsid w:val="00507BC8"/>
    <w:rsid w:val="00507E60"/>
    <w:rsid w:val="00507F9D"/>
    <w:rsid w:val="00510192"/>
    <w:rsid w:val="0051065A"/>
    <w:rsid w:val="00510C6B"/>
    <w:rsid w:val="00510DB5"/>
    <w:rsid w:val="005112CA"/>
    <w:rsid w:val="00511415"/>
    <w:rsid w:val="0051151D"/>
    <w:rsid w:val="005115FB"/>
    <w:rsid w:val="005119DD"/>
    <w:rsid w:val="00511A78"/>
    <w:rsid w:val="005122CC"/>
    <w:rsid w:val="00512431"/>
    <w:rsid w:val="005126C4"/>
    <w:rsid w:val="00512A61"/>
    <w:rsid w:val="00512ECA"/>
    <w:rsid w:val="005132FF"/>
    <w:rsid w:val="005134A4"/>
    <w:rsid w:val="00513805"/>
    <w:rsid w:val="005139DA"/>
    <w:rsid w:val="00513EA4"/>
    <w:rsid w:val="00513FDD"/>
    <w:rsid w:val="0051408A"/>
    <w:rsid w:val="005145C9"/>
    <w:rsid w:val="005152FC"/>
    <w:rsid w:val="005156B5"/>
    <w:rsid w:val="00515817"/>
    <w:rsid w:val="00515BD4"/>
    <w:rsid w:val="00515D06"/>
    <w:rsid w:val="00515DD2"/>
    <w:rsid w:val="005160E6"/>
    <w:rsid w:val="00516298"/>
    <w:rsid w:val="005162FB"/>
    <w:rsid w:val="00516446"/>
    <w:rsid w:val="0051658D"/>
    <w:rsid w:val="005166BE"/>
    <w:rsid w:val="00516749"/>
    <w:rsid w:val="005168C9"/>
    <w:rsid w:val="00516ADD"/>
    <w:rsid w:val="00517101"/>
    <w:rsid w:val="005179D6"/>
    <w:rsid w:val="00517E52"/>
    <w:rsid w:val="00517EEE"/>
    <w:rsid w:val="005200A4"/>
    <w:rsid w:val="00520208"/>
    <w:rsid w:val="0052027F"/>
    <w:rsid w:val="00520695"/>
    <w:rsid w:val="005208CC"/>
    <w:rsid w:val="00520E44"/>
    <w:rsid w:val="00521094"/>
    <w:rsid w:val="005214B7"/>
    <w:rsid w:val="005215F0"/>
    <w:rsid w:val="00521777"/>
    <w:rsid w:val="00521A1F"/>
    <w:rsid w:val="00521C82"/>
    <w:rsid w:val="00521CC5"/>
    <w:rsid w:val="00521F1B"/>
    <w:rsid w:val="0052211E"/>
    <w:rsid w:val="0052285C"/>
    <w:rsid w:val="00522B2B"/>
    <w:rsid w:val="0052331C"/>
    <w:rsid w:val="005233C5"/>
    <w:rsid w:val="00523412"/>
    <w:rsid w:val="0052356D"/>
    <w:rsid w:val="00523691"/>
    <w:rsid w:val="00523CF9"/>
    <w:rsid w:val="005240B4"/>
    <w:rsid w:val="005240BF"/>
    <w:rsid w:val="0052415D"/>
    <w:rsid w:val="00524324"/>
    <w:rsid w:val="0052443C"/>
    <w:rsid w:val="0052456A"/>
    <w:rsid w:val="0052495A"/>
    <w:rsid w:val="005250DB"/>
    <w:rsid w:val="005255AE"/>
    <w:rsid w:val="00525A66"/>
    <w:rsid w:val="00525BA3"/>
    <w:rsid w:val="00525E6B"/>
    <w:rsid w:val="00525F9B"/>
    <w:rsid w:val="00526393"/>
    <w:rsid w:val="00526474"/>
    <w:rsid w:val="00526776"/>
    <w:rsid w:val="00526937"/>
    <w:rsid w:val="005269CC"/>
    <w:rsid w:val="005269FE"/>
    <w:rsid w:val="00526D03"/>
    <w:rsid w:val="00526EEF"/>
    <w:rsid w:val="0052780C"/>
    <w:rsid w:val="005278A7"/>
    <w:rsid w:val="00527948"/>
    <w:rsid w:val="00527D8E"/>
    <w:rsid w:val="0053051E"/>
    <w:rsid w:val="005306B1"/>
    <w:rsid w:val="0053071B"/>
    <w:rsid w:val="005308AA"/>
    <w:rsid w:val="005309CB"/>
    <w:rsid w:val="00530A03"/>
    <w:rsid w:val="00530D81"/>
    <w:rsid w:val="00530DDA"/>
    <w:rsid w:val="005312B2"/>
    <w:rsid w:val="0053184F"/>
    <w:rsid w:val="00531930"/>
    <w:rsid w:val="00531DB2"/>
    <w:rsid w:val="005320EB"/>
    <w:rsid w:val="005324D7"/>
    <w:rsid w:val="00532583"/>
    <w:rsid w:val="00532644"/>
    <w:rsid w:val="005327A4"/>
    <w:rsid w:val="005336B1"/>
    <w:rsid w:val="00533D21"/>
    <w:rsid w:val="00534099"/>
    <w:rsid w:val="005340D9"/>
    <w:rsid w:val="0053438B"/>
    <w:rsid w:val="005345B8"/>
    <w:rsid w:val="0053497B"/>
    <w:rsid w:val="00534B20"/>
    <w:rsid w:val="00534BF1"/>
    <w:rsid w:val="00534C6B"/>
    <w:rsid w:val="0053524C"/>
    <w:rsid w:val="00535451"/>
    <w:rsid w:val="0053580F"/>
    <w:rsid w:val="00536093"/>
    <w:rsid w:val="0053617E"/>
    <w:rsid w:val="00536243"/>
    <w:rsid w:val="0053672C"/>
    <w:rsid w:val="005367FB"/>
    <w:rsid w:val="00537001"/>
    <w:rsid w:val="0053701C"/>
    <w:rsid w:val="0053701F"/>
    <w:rsid w:val="00537489"/>
    <w:rsid w:val="005374EC"/>
    <w:rsid w:val="00537B35"/>
    <w:rsid w:val="00537D5E"/>
    <w:rsid w:val="00537FAC"/>
    <w:rsid w:val="00540640"/>
    <w:rsid w:val="00540877"/>
    <w:rsid w:val="00541011"/>
    <w:rsid w:val="0054171D"/>
    <w:rsid w:val="00541808"/>
    <w:rsid w:val="00541B83"/>
    <w:rsid w:val="00541D9B"/>
    <w:rsid w:val="0054223D"/>
    <w:rsid w:val="00542658"/>
    <w:rsid w:val="0054271B"/>
    <w:rsid w:val="00542B57"/>
    <w:rsid w:val="00542DE7"/>
    <w:rsid w:val="00543183"/>
    <w:rsid w:val="00543428"/>
    <w:rsid w:val="005436E4"/>
    <w:rsid w:val="00543E39"/>
    <w:rsid w:val="00543EE3"/>
    <w:rsid w:val="0054479A"/>
    <w:rsid w:val="00544935"/>
    <w:rsid w:val="00544B95"/>
    <w:rsid w:val="00544E67"/>
    <w:rsid w:val="0054505A"/>
    <w:rsid w:val="005450BC"/>
    <w:rsid w:val="0054511E"/>
    <w:rsid w:val="005452BF"/>
    <w:rsid w:val="0054540D"/>
    <w:rsid w:val="00545781"/>
    <w:rsid w:val="0054597D"/>
    <w:rsid w:val="005459A9"/>
    <w:rsid w:val="0054611C"/>
    <w:rsid w:val="005462B3"/>
    <w:rsid w:val="0054633E"/>
    <w:rsid w:val="005467B6"/>
    <w:rsid w:val="00546849"/>
    <w:rsid w:val="00546923"/>
    <w:rsid w:val="00546C20"/>
    <w:rsid w:val="00546E10"/>
    <w:rsid w:val="00547028"/>
    <w:rsid w:val="00547343"/>
    <w:rsid w:val="0054796E"/>
    <w:rsid w:val="005507E0"/>
    <w:rsid w:val="0055083B"/>
    <w:rsid w:val="0055099F"/>
    <w:rsid w:val="00550C8A"/>
    <w:rsid w:val="00550FBD"/>
    <w:rsid w:val="00551071"/>
    <w:rsid w:val="005515A1"/>
    <w:rsid w:val="00551710"/>
    <w:rsid w:val="00551729"/>
    <w:rsid w:val="00551A3E"/>
    <w:rsid w:val="00551A89"/>
    <w:rsid w:val="00551AE9"/>
    <w:rsid w:val="00551F77"/>
    <w:rsid w:val="00552756"/>
    <w:rsid w:val="00552AE3"/>
    <w:rsid w:val="00552C16"/>
    <w:rsid w:val="00553165"/>
    <w:rsid w:val="0055323A"/>
    <w:rsid w:val="00553759"/>
    <w:rsid w:val="005537AB"/>
    <w:rsid w:val="00553981"/>
    <w:rsid w:val="00553D2B"/>
    <w:rsid w:val="00554059"/>
    <w:rsid w:val="00554292"/>
    <w:rsid w:val="00554500"/>
    <w:rsid w:val="00554868"/>
    <w:rsid w:val="005548A6"/>
    <w:rsid w:val="00554C60"/>
    <w:rsid w:val="00554CAE"/>
    <w:rsid w:val="00554D6B"/>
    <w:rsid w:val="00554EA9"/>
    <w:rsid w:val="0055511B"/>
    <w:rsid w:val="00555297"/>
    <w:rsid w:val="005552EE"/>
    <w:rsid w:val="005556A3"/>
    <w:rsid w:val="0055592A"/>
    <w:rsid w:val="00555A3F"/>
    <w:rsid w:val="00555D98"/>
    <w:rsid w:val="005562CC"/>
    <w:rsid w:val="00556F64"/>
    <w:rsid w:val="005571FE"/>
    <w:rsid w:val="005574B4"/>
    <w:rsid w:val="005576CE"/>
    <w:rsid w:val="0055775E"/>
    <w:rsid w:val="00557A97"/>
    <w:rsid w:val="00557C39"/>
    <w:rsid w:val="0056037D"/>
    <w:rsid w:val="005603C8"/>
    <w:rsid w:val="00560431"/>
    <w:rsid w:val="0056056B"/>
    <w:rsid w:val="005608E4"/>
    <w:rsid w:val="00560AC0"/>
    <w:rsid w:val="00560CBA"/>
    <w:rsid w:val="00561001"/>
    <w:rsid w:val="0056165E"/>
    <w:rsid w:val="005618AF"/>
    <w:rsid w:val="00561E64"/>
    <w:rsid w:val="00561FC4"/>
    <w:rsid w:val="005623D3"/>
    <w:rsid w:val="005625CD"/>
    <w:rsid w:val="005632DC"/>
    <w:rsid w:val="00563473"/>
    <w:rsid w:val="005634AE"/>
    <w:rsid w:val="00563535"/>
    <w:rsid w:val="00563681"/>
    <w:rsid w:val="005636C1"/>
    <w:rsid w:val="00563748"/>
    <w:rsid w:val="00563861"/>
    <w:rsid w:val="005640DD"/>
    <w:rsid w:val="00564379"/>
    <w:rsid w:val="00564613"/>
    <w:rsid w:val="005647BD"/>
    <w:rsid w:val="00564909"/>
    <w:rsid w:val="00564CBB"/>
    <w:rsid w:val="00564F62"/>
    <w:rsid w:val="00565006"/>
    <w:rsid w:val="005652FD"/>
    <w:rsid w:val="005653BC"/>
    <w:rsid w:val="0056558C"/>
    <w:rsid w:val="00565624"/>
    <w:rsid w:val="00565A8B"/>
    <w:rsid w:val="00565C7C"/>
    <w:rsid w:val="00565E16"/>
    <w:rsid w:val="00566715"/>
    <w:rsid w:val="0056699B"/>
    <w:rsid w:val="00566CCC"/>
    <w:rsid w:val="00566E3A"/>
    <w:rsid w:val="00566EDF"/>
    <w:rsid w:val="00567385"/>
    <w:rsid w:val="005675EB"/>
    <w:rsid w:val="005676C3"/>
    <w:rsid w:val="005676D4"/>
    <w:rsid w:val="005676DE"/>
    <w:rsid w:val="00567756"/>
    <w:rsid w:val="005679CC"/>
    <w:rsid w:val="00567B10"/>
    <w:rsid w:val="00567B5D"/>
    <w:rsid w:val="00567CBC"/>
    <w:rsid w:val="00567D17"/>
    <w:rsid w:val="005700C6"/>
    <w:rsid w:val="0057047C"/>
    <w:rsid w:val="005704F5"/>
    <w:rsid w:val="0057054F"/>
    <w:rsid w:val="00570704"/>
    <w:rsid w:val="00570A2C"/>
    <w:rsid w:val="00570A2F"/>
    <w:rsid w:val="00570B5A"/>
    <w:rsid w:val="0057107A"/>
    <w:rsid w:val="00571324"/>
    <w:rsid w:val="00571BE6"/>
    <w:rsid w:val="00572052"/>
    <w:rsid w:val="0057235F"/>
    <w:rsid w:val="005726EB"/>
    <w:rsid w:val="00573175"/>
    <w:rsid w:val="005731B2"/>
    <w:rsid w:val="0057328F"/>
    <w:rsid w:val="00573466"/>
    <w:rsid w:val="00573476"/>
    <w:rsid w:val="00573D6C"/>
    <w:rsid w:val="005741F2"/>
    <w:rsid w:val="00574281"/>
    <w:rsid w:val="0057435F"/>
    <w:rsid w:val="00574F1D"/>
    <w:rsid w:val="00574FD3"/>
    <w:rsid w:val="005755E4"/>
    <w:rsid w:val="005756BD"/>
    <w:rsid w:val="00575D5C"/>
    <w:rsid w:val="00575ED5"/>
    <w:rsid w:val="00576293"/>
    <w:rsid w:val="005763AA"/>
    <w:rsid w:val="005764B1"/>
    <w:rsid w:val="005767EF"/>
    <w:rsid w:val="00576AD6"/>
    <w:rsid w:val="00576BF5"/>
    <w:rsid w:val="005776A4"/>
    <w:rsid w:val="005778A9"/>
    <w:rsid w:val="005778C5"/>
    <w:rsid w:val="00577ED1"/>
    <w:rsid w:val="005802C3"/>
    <w:rsid w:val="00580496"/>
    <w:rsid w:val="00580635"/>
    <w:rsid w:val="005807C3"/>
    <w:rsid w:val="00580BBE"/>
    <w:rsid w:val="00581162"/>
    <w:rsid w:val="0058119B"/>
    <w:rsid w:val="005817CC"/>
    <w:rsid w:val="00581E0F"/>
    <w:rsid w:val="00582284"/>
    <w:rsid w:val="005824EC"/>
    <w:rsid w:val="0058268F"/>
    <w:rsid w:val="0058287C"/>
    <w:rsid w:val="00582BCD"/>
    <w:rsid w:val="00582C1C"/>
    <w:rsid w:val="00582D39"/>
    <w:rsid w:val="00582F82"/>
    <w:rsid w:val="00582F8E"/>
    <w:rsid w:val="00583259"/>
    <w:rsid w:val="00583585"/>
    <w:rsid w:val="00584043"/>
    <w:rsid w:val="005842F1"/>
    <w:rsid w:val="005843C3"/>
    <w:rsid w:val="00584651"/>
    <w:rsid w:val="00584789"/>
    <w:rsid w:val="00584A04"/>
    <w:rsid w:val="0058518F"/>
    <w:rsid w:val="00585191"/>
    <w:rsid w:val="005852F0"/>
    <w:rsid w:val="00585390"/>
    <w:rsid w:val="00585B5D"/>
    <w:rsid w:val="00585D18"/>
    <w:rsid w:val="00585EE5"/>
    <w:rsid w:val="00586183"/>
    <w:rsid w:val="00586259"/>
    <w:rsid w:val="005865D7"/>
    <w:rsid w:val="00586657"/>
    <w:rsid w:val="00586713"/>
    <w:rsid w:val="005867EA"/>
    <w:rsid w:val="00586A0E"/>
    <w:rsid w:val="00586BB2"/>
    <w:rsid w:val="005870AC"/>
    <w:rsid w:val="005870BD"/>
    <w:rsid w:val="0058743F"/>
    <w:rsid w:val="00587AF2"/>
    <w:rsid w:val="00590ED8"/>
    <w:rsid w:val="00590F1E"/>
    <w:rsid w:val="00591111"/>
    <w:rsid w:val="005913E2"/>
    <w:rsid w:val="00591594"/>
    <w:rsid w:val="005915BA"/>
    <w:rsid w:val="00591657"/>
    <w:rsid w:val="00591758"/>
    <w:rsid w:val="00591781"/>
    <w:rsid w:val="00591891"/>
    <w:rsid w:val="00591A44"/>
    <w:rsid w:val="00591AFD"/>
    <w:rsid w:val="00591FB4"/>
    <w:rsid w:val="00592399"/>
    <w:rsid w:val="00592BD0"/>
    <w:rsid w:val="00592C05"/>
    <w:rsid w:val="00592F1A"/>
    <w:rsid w:val="005932DE"/>
    <w:rsid w:val="0059335B"/>
    <w:rsid w:val="005934B6"/>
    <w:rsid w:val="005939A5"/>
    <w:rsid w:val="005939E5"/>
    <w:rsid w:val="00593AA2"/>
    <w:rsid w:val="00593AF8"/>
    <w:rsid w:val="00593D84"/>
    <w:rsid w:val="00593DBF"/>
    <w:rsid w:val="00594094"/>
    <w:rsid w:val="005943DB"/>
    <w:rsid w:val="005944BF"/>
    <w:rsid w:val="00594905"/>
    <w:rsid w:val="00594AFE"/>
    <w:rsid w:val="00594B36"/>
    <w:rsid w:val="00594E3B"/>
    <w:rsid w:val="00594F0B"/>
    <w:rsid w:val="005954D2"/>
    <w:rsid w:val="00595788"/>
    <w:rsid w:val="00595898"/>
    <w:rsid w:val="00595953"/>
    <w:rsid w:val="00595AD9"/>
    <w:rsid w:val="00596751"/>
    <w:rsid w:val="005968D6"/>
    <w:rsid w:val="005968EF"/>
    <w:rsid w:val="00596A95"/>
    <w:rsid w:val="00596C0B"/>
    <w:rsid w:val="00597020"/>
    <w:rsid w:val="00597412"/>
    <w:rsid w:val="00597823"/>
    <w:rsid w:val="005978E5"/>
    <w:rsid w:val="00597B1F"/>
    <w:rsid w:val="00597D4B"/>
    <w:rsid w:val="00597FD8"/>
    <w:rsid w:val="005A0076"/>
    <w:rsid w:val="005A041F"/>
    <w:rsid w:val="005A04A2"/>
    <w:rsid w:val="005A109F"/>
    <w:rsid w:val="005A148C"/>
    <w:rsid w:val="005A215C"/>
    <w:rsid w:val="005A21B2"/>
    <w:rsid w:val="005A2324"/>
    <w:rsid w:val="005A23F9"/>
    <w:rsid w:val="005A2E26"/>
    <w:rsid w:val="005A38DB"/>
    <w:rsid w:val="005A40D6"/>
    <w:rsid w:val="005A4279"/>
    <w:rsid w:val="005A4439"/>
    <w:rsid w:val="005A455B"/>
    <w:rsid w:val="005A45A9"/>
    <w:rsid w:val="005A478B"/>
    <w:rsid w:val="005A491D"/>
    <w:rsid w:val="005A4B23"/>
    <w:rsid w:val="005A4BD3"/>
    <w:rsid w:val="005A4C41"/>
    <w:rsid w:val="005A4C7A"/>
    <w:rsid w:val="005A4CE4"/>
    <w:rsid w:val="005A5169"/>
    <w:rsid w:val="005A543E"/>
    <w:rsid w:val="005A56A8"/>
    <w:rsid w:val="005A5E0D"/>
    <w:rsid w:val="005A5F03"/>
    <w:rsid w:val="005A6053"/>
    <w:rsid w:val="005A6570"/>
    <w:rsid w:val="005A6659"/>
    <w:rsid w:val="005A68EB"/>
    <w:rsid w:val="005A6AC0"/>
    <w:rsid w:val="005A6B10"/>
    <w:rsid w:val="005A6EBB"/>
    <w:rsid w:val="005A7560"/>
    <w:rsid w:val="005A77E0"/>
    <w:rsid w:val="005A78DB"/>
    <w:rsid w:val="005A7A14"/>
    <w:rsid w:val="005A7C28"/>
    <w:rsid w:val="005A7E52"/>
    <w:rsid w:val="005B02FA"/>
    <w:rsid w:val="005B0385"/>
    <w:rsid w:val="005B092F"/>
    <w:rsid w:val="005B0F20"/>
    <w:rsid w:val="005B1AF2"/>
    <w:rsid w:val="005B1C21"/>
    <w:rsid w:val="005B1D07"/>
    <w:rsid w:val="005B1E0D"/>
    <w:rsid w:val="005B3057"/>
    <w:rsid w:val="005B32C3"/>
    <w:rsid w:val="005B3638"/>
    <w:rsid w:val="005B3F95"/>
    <w:rsid w:val="005B3FAA"/>
    <w:rsid w:val="005B4347"/>
    <w:rsid w:val="005B436C"/>
    <w:rsid w:val="005B46E5"/>
    <w:rsid w:val="005B4858"/>
    <w:rsid w:val="005B4975"/>
    <w:rsid w:val="005B4B3A"/>
    <w:rsid w:val="005B4DB7"/>
    <w:rsid w:val="005B5111"/>
    <w:rsid w:val="005B5127"/>
    <w:rsid w:val="005B512F"/>
    <w:rsid w:val="005B5421"/>
    <w:rsid w:val="005B54AA"/>
    <w:rsid w:val="005B56B9"/>
    <w:rsid w:val="005B5756"/>
    <w:rsid w:val="005B5F28"/>
    <w:rsid w:val="005B6019"/>
    <w:rsid w:val="005B61EF"/>
    <w:rsid w:val="005B67CE"/>
    <w:rsid w:val="005B68C2"/>
    <w:rsid w:val="005B6B04"/>
    <w:rsid w:val="005B6BB3"/>
    <w:rsid w:val="005B718E"/>
    <w:rsid w:val="005B7457"/>
    <w:rsid w:val="005B79B7"/>
    <w:rsid w:val="005B7DB2"/>
    <w:rsid w:val="005B7E95"/>
    <w:rsid w:val="005B7FB0"/>
    <w:rsid w:val="005C0509"/>
    <w:rsid w:val="005C056A"/>
    <w:rsid w:val="005C0620"/>
    <w:rsid w:val="005C0798"/>
    <w:rsid w:val="005C0AA6"/>
    <w:rsid w:val="005C0F45"/>
    <w:rsid w:val="005C1139"/>
    <w:rsid w:val="005C134E"/>
    <w:rsid w:val="005C1CB6"/>
    <w:rsid w:val="005C1E16"/>
    <w:rsid w:val="005C2031"/>
    <w:rsid w:val="005C21AC"/>
    <w:rsid w:val="005C26DF"/>
    <w:rsid w:val="005C28B2"/>
    <w:rsid w:val="005C2ABA"/>
    <w:rsid w:val="005C3594"/>
    <w:rsid w:val="005C379B"/>
    <w:rsid w:val="005C3968"/>
    <w:rsid w:val="005C3B0E"/>
    <w:rsid w:val="005C3C9C"/>
    <w:rsid w:val="005C3DF0"/>
    <w:rsid w:val="005C3FA3"/>
    <w:rsid w:val="005C4186"/>
    <w:rsid w:val="005C42F8"/>
    <w:rsid w:val="005C442F"/>
    <w:rsid w:val="005C474B"/>
    <w:rsid w:val="005C4D7D"/>
    <w:rsid w:val="005C501F"/>
    <w:rsid w:val="005C51C6"/>
    <w:rsid w:val="005C53AD"/>
    <w:rsid w:val="005C549D"/>
    <w:rsid w:val="005C579D"/>
    <w:rsid w:val="005C58FA"/>
    <w:rsid w:val="005C5998"/>
    <w:rsid w:val="005C5C05"/>
    <w:rsid w:val="005C5C09"/>
    <w:rsid w:val="005C61DA"/>
    <w:rsid w:val="005C654C"/>
    <w:rsid w:val="005C6662"/>
    <w:rsid w:val="005C6682"/>
    <w:rsid w:val="005C6880"/>
    <w:rsid w:val="005C6AA4"/>
    <w:rsid w:val="005C6CAB"/>
    <w:rsid w:val="005C6D47"/>
    <w:rsid w:val="005C6D88"/>
    <w:rsid w:val="005C6E24"/>
    <w:rsid w:val="005C713E"/>
    <w:rsid w:val="005C797E"/>
    <w:rsid w:val="005C7F39"/>
    <w:rsid w:val="005D017C"/>
    <w:rsid w:val="005D0AF4"/>
    <w:rsid w:val="005D0D46"/>
    <w:rsid w:val="005D0E61"/>
    <w:rsid w:val="005D1512"/>
    <w:rsid w:val="005D1B0F"/>
    <w:rsid w:val="005D1CE2"/>
    <w:rsid w:val="005D2C7C"/>
    <w:rsid w:val="005D300E"/>
    <w:rsid w:val="005D30C2"/>
    <w:rsid w:val="005D3F8D"/>
    <w:rsid w:val="005D40A8"/>
    <w:rsid w:val="005D494C"/>
    <w:rsid w:val="005D502E"/>
    <w:rsid w:val="005D59A1"/>
    <w:rsid w:val="005D5AB0"/>
    <w:rsid w:val="005D5B89"/>
    <w:rsid w:val="005D5EE0"/>
    <w:rsid w:val="005D6304"/>
    <w:rsid w:val="005D6491"/>
    <w:rsid w:val="005D6509"/>
    <w:rsid w:val="005D7209"/>
    <w:rsid w:val="005D72BF"/>
    <w:rsid w:val="005D7B69"/>
    <w:rsid w:val="005D7E37"/>
    <w:rsid w:val="005E0054"/>
    <w:rsid w:val="005E0211"/>
    <w:rsid w:val="005E0439"/>
    <w:rsid w:val="005E079C"/>
    <w:rsid w:val="005E085E"/>
    <w:rsid w:val="005E10D6"/>
    <w:rsid w:val="005E11E9"/>
    <w:rsid w:val="005E123B"/>
    <w:rsid w:val="005E1518"/>
    <w:rsid w:val="005E1628"/>
    <w:rsid w:val="005E1BB8"/>
    <w:rsid w:val="005E1E44"/>
    <w:rsid w:val="005E2033"/>
    <w:rsid w:val="005E21AB"/>
    <w:rsid w:val="005E2222"/>
    <w:rsid w:val="005E239A"/>
    <w:rsid w:val="005E2852"/>
    <w:rsid w:val="005E29CF"/>
    <w:rsid w:val="005E2A5E"/>
    <w:rsid w:val="005E2BA9"/>
    <w:rsid w:val="005E2D4D"/>
    <w:rsid w:val="005E2DC7"/>
    <w:rsid w:val="005E30F1"/>
    <w:rsid w:val="005E3481"/>
    <w:rsid w:val="005E35C9"/>
    <w:rsid w:val="005E362D"/>
    <w:rsid w:val="005E3827"/>
    <w:rsid w:val="005E384C"/>
    <w:rsid w:val="005E3CA5"/>
    <w:rsid w:val="005E3D58"/>
    <w:rsid w:val="005E455F"/>
    <w:rsid w:val="005E45E4"/>
    <w:rsid w:val="005E48C4"/>
    <w:rsid w:val="005E4FDE"/>
    <w:rsid w:val="005E5096"/>
    <w:rsid w:val="005E5326"/>
    <w:rsid w:val="005E5491"/>
    <w:rsid w:val="005E5892"/>
    <w:rsid w:val="005E5940"/>
    <w:rsid w:val="005E5F3B"/>
    <w:rsid w:val="005E640B"/>
    <w:rsid w:val="005E64E2"/>
    <w:rsid w:val="005E654D"/>
    <w:rsid w:val="005E6831"/>
    <w:rsid w:val="005E6E06"/>
    <w:rsid w:val="005E6E9C"/>
    <w:rsid w:val="005E7161"/>
    <w:rsid w:val="005E7682"/>
    <w:rsid w:val="005E7BCC"/>
    <w:rsid w:val="005E7D5C"/>
    <w:rsid w:val="005F0211"/>
    <w:rsid w:val="005F03A8"/>
    <w:rsid w:val="005F0462"/>
    <w:rsid w:val="005F0495"/>
    <w:rsid w:val="005F04DE"/>
    <w:rsid w:val="005F0807"/>
    <w:rsid w:val="005F0953"/>
    <w:rsid w:val="005F0BEA"/>
    <w:rsid w:val="005F0BED"/>
    <w:rsid w:val="005F0C71"/>
    <w:rsid w:val="005F0F76"/>
    <w:rsid w:val="005F0FBE"/>
    <w:rsid w:val="005F1562"/>
    <w:rsid w:val="005F17E3"/>
    <w:rsid w:val="005F1A3D"/>
    <w:rsid w:val="005F1C59"/>
    <w:rsid w:val="005F1C71"/>
    <w:rsid w:val="005F1CF8"/>
    <w:rsid w:val="005F1F3E"/>
    <w:rsid w:val="005F1F98"/>
    <w:rsid w:val="005F2403"/>
    <w:rsid w:val="005F25C4"/>
    <w:rsid w:val="005F2698"/>
    <w:rsid w:val="005F2BCE"/>
    <w:rsid w:val="005F301A"/>
    <w:rsid w:val="005F3078"/>
    <w:rsid w:val="005F309C"/>
    <w:rsid w:val="005F30A0"/>
    <w:rsid w:val="005F329C"/>
    <w:rsid w:val="005F34EB"/>
    <w:rsid w:val="005F3ADE"/>
    <w:rsid w:val="005F3C63"/>
    <w:rsid w:val="005F4101"/>
    <w:rsid w:val="005F442F"/>
    <w:rsid w:val="005F482A"/>
    <w:rsid w:val="005F4AAC"/>
    <w:rsid w:val="005F55E9"/>
    <w:rsid w:val="005F580E"/>
    <w:rsid w:val="005F5900"/>
    <w:rsid w:val="005F5E12"/>
    <w:rsid w:val="005F5EE6"/>
    <w:rsid w:val="005F65D6"/>
    <w:rsid w:val="005F6975"/>
    <w:rsid w:val="005F6A09"/>
    <w:rsid w:val="005F6B3C"/>
    <w:rsid w:val="005F6F01"/>
    <w:rsid w:val="005F7127"/>
    <w:rsid w:val="005F72A9"/>
    <w:rsid w:val="005F765C"/>
    <w:rsid w:val="005F7C37"/>
    <w:rsid w:val="005F7F5D"/>
    <w:rsid w:val="0060012E"/>
    <w:rsid w:val="006007FA"/>
    <w:rsid w:val="00600865"/>
    <w:rsid w:val="00600913"/>
    <w:rsid w:val="00600B8A"/>
    <w:rsid w:val="00601DF9"/>
    <w:rsid w:val="00601EEE"/>
    <w:rsid w:val="00601FEB"/>
    <w:rsid w:val="0060212E"/>
    <w:rsid w:val="0060231F"/>
    <w:rsid w:val="00602465"/>
    <w:rsid w:val="00602BDD"/>
    <w:rsid w:val="00602D2F"/>
    <w:rsid w:val="00602D5E"/>
    <w:rsid w:val="0060315E"/>
    <w:rsid w:val="00603238"/>
    <w:rsid w:val="00603330"/>
    <w:rsid w:val="00603666"/>
    <w:rsid w:val="006039A1"/>
    <w:rsid w:val="00603B8F"/>
    <w:rsid w:val="00603CD8"/>
    <w:rsid w:val="006040DA"/>
    <w:rsid w:val="00604187"/>
    <w:rsid w:val="00604386"/>
    <w:rsid w:val="0060455A"/>
    <w:rsid w:val="00604585"/>
    <w:rsid w:val="006045FB"/>
    <w:rsid w:val="00604B15"/>
    <w:rsid w:val="00604B60"/>
    <w:rsid w:val="00604CAF"/>
    <w:rsid w:val="00604D4C"/>
    <w:rsid w:val="00604DDA"/>
    <w:rsid w:val="00604EC7"/>
    <w:rsid w:val="0060520F"/>
    <w:rsid w:val="00605260"/>
    <w:rsid w:val="0060559D"/>
    <w:rsid w:val="00605834"/>
    <w:rsid w:val="006059A3"/>
    <w:rsid w:val="00605A9E"/>
    <w:rsid w:val="006064D5"/>
    <w:rsid w:val="006066EF"/>
    <w:rsid w:val="00606D1E"/>
    <w:rsid w:val="00606E76"/>
    <w:rsid w:val="00606F95"/>
    <w:rsid w:val="006072BE"/>
    <w:rsid w:val="00607D48"/>
    <w:rsid w:val="0061018E"/>
    <w:rsid w:val="006101CF"/>
    <w:rsid w:val="006102C4"/>
    <w:rsid w:val="00610352"/>
    <w:rsid w:val="00610486"/>
    <w:rsid w:val="00610B8B"/>
    <w:rsid w:val="00610DEE"/>
    <w:rsid w:val="00611114"/>
    <w:rsid w:val="0061114A"/>
    <w:rsid w:val="0061121F"/>
    <w:rsid w:val="00611291"/>
    <w:rsid w:val="0061168F"/>
    <w:rsid w:val="006116FC"/>
    <w:rsid w:val="00611D54"/>
    <w:rsid w:val="006121E5"/>
    <w:rsid w:val="006123F5"/>
    <w:rsid w:val="0061271D"/>
    <w:rsid w:val="00612848"/>
    <w:rsid w:val="00612C4F"/>
    <w:rsid w:val="00612C7E"/>
    <w:rsid w:val="00612E5B"/>
    <w:rsid w:val="00612F3D"/>
    <w:rsid w:val="00612F9C"/>
    <w:rsid w:val="00613056"/>
    <w:rsid w:val="006133BC"/>
    <w:rsid w:val="00613498"/>
    <w:rsid w:val="006134C7"/>
    <w:rsid w:val="006134FC"/>
    <w:rsid w:val="0061398B"/>
    <w:rsid w:val="00613E95"/>
    <w:rsid w:val="00613EA7"/>
    <w:rsid w:val="00613ED2"/>
    <w:rsid w:val="00613FD2"/>
    <w:rsid w:val="006140BC"/>
    <w:rsid w:val="00614135"/>
    <w:rsid w:val="006142A5"/>
    <w:rsid w:val="00614599"/>
    <w:rsid w:val="006147D8"/>
    <w:rsid w:val="00614AB1"/>
    <w:rsid w:val="00614AD7"/>
    <w:rsid w:val="00614B17"/>
    <w:rsid w:val="00615360"/>
    <w:rsid w:val="0061553C"/>
    <w:rsid w:val="00615CE3"/>
    <w:rsid w:val="0061697D"/>
    <w:rsid w:val="006169BF"/>
    <w:rsid w:val="00616A1E"/>
    <w:rsid w:val="006171B3"/>
    <w:rsid w:val="00617366"/>
    <w:rsid w:val="00617D5F"/>
    <w:rsid w:val="00617F32"/>
    <w:rsid w:val="0062030D"/>
    <w:rsid w:val="006203FB"/>
    <w:rsid w:val="0062077D"/>
    <w:rsid w:val="00620A42"/>
    <w:rsid w:val="00620DE9"/>
    <w:rsid w:val="00620F70"/>
    <w:rsid w:val="00621680"/>
    <w:rsid w:val="006218C5"/>
    <w:rsid w:val="006219FE"/>
    <w:rsid w:val="00621B17"/>
    <w:rsid w:val="00621CC1"/>
    <w:rsid w:val="00622332"/>
    <w:rsid w:val="00622716"/>
    <w:rsid w:val="00622871"/>
    <w:rsid w:val="00622897"/>
    <w:rsid w:val="006228F2"/>
    <w:rsid w:val="0062296D"/>
    <w:rsid w:val="006229D7"/>
    <w:rsid w:val="00623178"/>
    <w:rsid w:val="006232FD"/>
    <w:rsid w:val="0062380F"/>
    <w:rsid w:val="00623B81"/>
    <w:rsid w:val="00623B99"/>
    <w:rsid w:val="00623C71"/>
    <w:rsid w:val="00623CC3"/>
    <w:rsid w:val="00623D8A"/>
    <w:rsid w:val="00623F46"/>
    <w:rsid w:val="00624075"/>
    <w:rsid w:val="006244AC"/>
    <w:rsid w:val="00624B28"/>
    <w:rsid w:val="00624D67"/>
    <w:rsid w:val="00624DD7"/>
    <w:rsid w:val="00624DE8"/>
    <w:rsid w:val="00624F20"/>
    <w:rsid w:val="00624F26"/>
    <w:rsid w:val="00625314"/>
    <w:rsid w:val="00625B0A"/>
    <w:rsid w:val="00625B9D"/>
    <w:rsid w:val="00625CC2"/>
    <w:rsid w:val="00625DA7"/>
    <w:rsid w:val="0062618C"/>
    <w:rsid w:val="00626453"/>
    <w:rsid w:val="00626A3E"/>
    <w:rsid w:val="00626C5D"/>
    <w:rsid w:val="00626CD1"/>
    <w:rsid w:val="00626DED"/>
    <w:rsid w:val="00626F99"/>
    <w:rsid w:val="006271F2"/>
    <w:rsid w:val="006273B8"/>
    <w:rsid w:val="00627838"/>
    <w:rsid w:val="0062789F"/>
    <w:rsid w:val="00627B77"/>
    <w:rsid w:val="00627BBD"/>
    <w:rsid w:val="00630188"/>
    <w:rsid w:val="0063059D"/>
    <w:rsid w:val="00630BA9"/>
    <w:rsid w:val="00630C81"/>
    <w:rsid w:val="00630DB5"/>
    <w:rsid w:val="0063144F"/>
    <w:rsid w:val="006314F2"/>
    <w:rsid w:val="00631805"/>
    <w:rsid w:val="00631B04"/>
    <w:rsid w:val="00631C97"/>
    <w:rsid w:val="00632207"/>
    <w:rsid w:val="006327A2"/>
    <w:rsid w:val="0063320E"/>
    <w:rsid w:val="00633375"/>
    <w:rsid w:val="00633496"/>
    <w:rsid w:val="006334CB"/>
    <w:rsid w:val="00633879"/>
    <w:rsid w:val="006338AA"/>
    <w:rsid w:val="006339B9"/>
    <w:rsid w:val="00633C25"/>
    <w:rsid w:val="00633DDF"/>
    <w:rsid w:val="0063403A"/>
    <w:rsid w:val="0063491C"/>
    <w:rsid w:val="0063493D"/>
    <w:rsid w:val="00634C6D"/>
    <w:rsid w:val="00634D57"/>
    <w:rsid w:val="006352AD"/>
    <w:rsid w:val="00635458"/>
    <w:rsid w:val="006355F3"/>
    <w:rsid w:val="00635662"/>
    <w:rsid w:val="006359B4"/>
    <w:rsid w:val="00635D77"/>
    <w:rsid w:val="00635D84"/>
    <w:rsid w:val="006363D0"/>
    <w:rsid w:val="006363F7"/>
    <w:rsid w:val="006368FE"/>
    <w:rsid w:val="0063729F"/>
    <w:rsid w:val="006379B3"/>
    <w:rsid w:val="00637C4E"/>
    <w:rsid w:val="00637F3C"/>
    <w:rsid w:val="006402E3"/>
    <w:rsid w:val="006404B7"/>
    <w:rsid w:val="0064051A"/>
    <w:rsid w:val="0064065A"/>
    <w:rsid w:val="00640B1B"/>
    <w:rsid w:val="00640C9B"/>
    <w:rsid w:val="00640F5B"/>
    <w:rsid w:val="00641255"/>
    <w:rsid w:val="006415A4"/>
    <w:rsid w:val="006415EB"/>
    <w:rsid w:val="00641A5C"/>
    <w:rsid w:val="00641A83"/>
    <w:rsid w:val="00641E83"/>
    <w:rsid w:val="006420D8"/>
    <w:rsid w:val="006424F4"/>
    <w:rsid w:val="0064281A"/>
    <w:rsid w:val="00642881"/>
    <w:rsid w:val="00642D29"/>
    <w:rsid w:val="00643172"/>
    <w:rsid w:val="00643470"/>
    <w:rsid w:val="006436F0"/>
    <w:rsid w:val="00643A66"/>
    <w:rsid w:val="00643A6C"/>
    <w:rsid w:val="00644026"/>
    <w:rsid w:val="00644200"/>
    <w:rsid w:val="0064445A"/>
    <w:rsid w:val="00644FF6"/>
    <w:rsid w:val="00645197"/>
    <w:rsid w:val="00645575"/>
    <w:rsid w:val="0064576E"/>
    <w:rsid w:val="00645B64"/>
    <w:rsid w:val="00645C1D"/>
    <w:rsid w:val="0064637C"/>
    <w:rsid w:val="00646519"/>
    <w:rsid w:val="00646806"/>
    <w:rsid w:val="0064699F"/>
    <w:rsid w:val="006469DA"/>
    <w:rsid w:val="00646D6E"/>
    <w:rsid w:val="00646FF4"/>
    <w:rsid w:val="0064723D"/>
    <w:rsid w:val="006472F4"/>
    <w:rsid w:val="00647468"/>
    <w:rsid w:val="006477A1"/>
    <w:rsid w:val="0064789B"/>
    <w:rsid w:val="00647DBF"/>
    <w:rsid w:val="00647E04"/>
    <w:rsid w:val="00647FDE"/>
    <w:rsid w:val="0065028F"/>
    <w:rsid w:val="006502C0"/>
    <w:rsid w:val="006504A2"/>
    <w:rsid w:val="00650701"/>
    <w:rsid w:val="00650E07"/>
    <w:rsid w:val="00650E47"/>
    <w:rsid w:val="00650EBE"/>
    <w:rsid w:val="0065143B"/>
    <w:rsid w:val="00651464"/>
    <w:rsid w:val="00651923"/>
    <w:rsid w:val="00651D4B"/>
    <w:rsid w:val="00651E13"/>
    <w:rsid w:val="00651F4B"/>
    <w:rsid w:val="00651F9D"/>
    <w:rsid w:val="006523C7"/>
    <w:rsid w:val="00652420"/>
    <w:rsid w:val="006528B6"/>
    <w:rsid w:val="006528FD"/>
    <w:rsid w:val="00652B18"/>
    <w:rsid w:val="00652DF9"/>
    <w:rsid w:val="00653522"/>
    <w:rsid w:val="0065361B"/>
    <w:rsid w:val="00653BFA"/>
    <w:rsid w:val="00653D7C"/>
    <w:rsid w:val="006540AF"/>
    <w:rsid w:val="00654144"/>
    <w:rsid w:val="00654491"/>
    <w:rsid w:val="006544DB"/>
    <w:rsid w:val="006546D6"/>
    <w:rsid w:val="00654D2F"/>
    <w:rsid w:val="00654D41"/>
    <w:rsid w:val="00654D6A"/>
    <w:rsid w:val="00654E43"/>
    <w:rsid w:val="006551C6"/>
    <w:rsid w:val="006555CE"/>
    <w:rsid w:val="006556B6"/>
    <w:rsid w:val="00655801"/>
    <w:rsid w:val="00655B37"/>
    <w:rsid w:val="006563F2"/>
    <w:rsid w:val="006568CD"/>
    <w:rsid w:val="00656973"/>
    <w:rsid w:val="00656EC4"/>
    <w:rsid w:val="00657AAA"/>
    <w:rsid w:val="00657BB8"/>
    <w:rsid w:val="00657E15"/>
    <w:rsid w:val="00657E34"/>
    <w:rsid w:val="00657F28"/>
    <w:rsid w:val="0066033F"/>
    <w:rsid w:val="0066048B"/>
    <w:rsid w:val="0066070D"/>
    <w:rsid w:val="00660B77"/>
    <w:rsid w:val="00660C4C"/>
    <w:rsid w:val="00660CFE"/>
    <w:rsid w:val="00660D85"/>
    <w:rsid w:val="00660F03"/>
    <w:rsid w:val="006617C6"/>
    <w:rsid w:val="00661994"/>
    <w:rsid w:val="00661AFE"/>
    <w:rsid w:val="006626AC"/>
    <w:rsid w:val="006626FF"/>
    <w:rsid w:val="00662736"/>
    <w:rsid w:val="0066276E"/>
    <w:rsid w:val="00662776"/>
    <w:rsid w:val="006628CC"/>
    <w:rsid w:val="00662FE5"/>
    <w:rsid w:val="0066313B"/>
    <w:rsid w:val="006633CA"/>
    <w:rsid w:val="0066364D"/>
    <w:rsid w:val="00663D2D"/>
    <w:rsid w:val="00664AC9"/>
    <w:rsid w:val="006650EC"/>
    <w:rsid w:val="006651BE"/>
    <w:rsid w:val="0066543B"/>
    <w:rsid w:val="00665525"/>
    <w:rsid w:val="00666071"/>
    <w:rsid w:val="00666A86"/>
    <w:rsid w:val="00666F3F"/>
    <w:rsid w:val="00666FF4"/>
    <w:rsid w:val="006674AA"/>
    <w:rsid w:val="006674EA"/>
    <w:rsid w:val="006678D0"/>
    <w:rsid w:val="00667A45"/>
    <w:rsid w:val="00667DC6"/>
    <w:rsid w:val="006700F2"/>
    <w:rsid w:val="006702F3"/>
    <w:rsid w:val="0067065E"/>
    <w:rsid w:val="006706EC"/>
    <w:rsid w:val="00670AFC"/>
    <w:rsid w:val="006713D3"/>
    <w:rsid w:val="0067167B"/>
    <w:rsid w:val="0067186C"/>
    <w:rsid w:val="00671AAC"/>
    <w:rsid w:val="00671CCF"/>
    <w:rsid w:val="00671F8E"/>
    <w:rsid w:val="00672422"/>
    <w:rsid w:val="0067256F"/>
    <w:rsid w:val="006729B2"/>
    <w:rsid w:val="00672F34"/>
    <w:rsid w:val="00672FB2"/>
    <w:rsid w:val="00673016"/>
    <w:rsid w:val="0067337C"/>
    <w:rsid w:val="006733D5"/>
    <w:rsid w:val="006736D2"/>
    <w:rsid w:val="006737E1"/>
    <w:rsid w:val="00673943"/>
    <w:rsid w:val="00673D72"/>
    <w:rsid w:val="00673EC1"/>
    <w:rsid w:val="0067409D"/>
    <w:rsid w:val="0067417B"/>
    <w:rsid w:val="00674769"/>
    <w:rsid w:val="00674ABC"/>
    <w:rsid w:val="00674BEA"/>
    <w:rsid w:val="00674E22"/>
    <w:rsid w:val="00674E2F"/>
    <w:rsid w:val="0067547E"/>
    <w:rsid w:val="0067559A"/>
    <w:rsid w:val="00675635"/>
    <w:rsid w:val="00675897"/>
    <w:rsid w:val="00675CDE"/>
    <w:rsid w:val="00675DDF"/>
    <w:rsid w:val="00676029"/>
    <w:rsid w:val="0067608F"/>
    <w:rsid w:val="00676307"/>
    <w:rsid w:val="00676467"/>
    <w:rsid w:val="006765A8"/>
    <w:rsid w:val="006765C3"/>
    <w:rsid w:val="0067666C"/>
    <w:rsid w:val="00676A98"/>
    <w:rsid w:val="00676CE4"/>
    <w:rsid w:val="00676D8C"/>
    <w:rsid w:val="006775BA"/>
    <w:rsid w:val="00677A17"/>
    <w:rsid w:val="00677A2D"/>
    <w:rsid w:val="00677B61"/>
    <w:rsid w:val="00677CEC"/>
    <w:rsid w:val="00677F7E"/>
    <w:rsid w:val="006807A1"/>
    <w:rsid w:val="006809C2"/>
    <w:rsid w:val="00680B7A"/>
    <w:rsid w:val="00680F19"/>
    <w:rsid w:val="0068143E"/>
    <w:rsid w:val="0068145D"/>
    <w:rsid w:val="006816E3"/>
    <w:rsid w:val="00681FDF"/>
    <w:rsid w:val="00682059"/>
    <w:rsid w:val="0068218D"/>
    <w:rsid w:val="006827BA"/>
    <w:rsid w:val="00682DFC"/>
    <w:rsid w:val="00682E59"/>
    <w:rsid w:val="00682EFE"/>
    <w:rsid w:val="0068315A"/>
    <w:rsid w:val="00683207"/>
    <w:rsid w:val="006832F8"/>
    <w:rsid w:val="006839D2"/>
    <w:rsid w:val="00683B2C"/>
    <w:rsid w:val="00683FFC"/>
    <w:rsid w:val="006847B5"/>
    <w:rsid w:val="00684883"/>
    <w:rsid w:val="00684885"/>
    <w:rsid w:val="00684B26"/>
    <w:rsid w:val="00685168"/>
    <w:rsid w:val="006858D4"/>
    <w:rsid w:val="00685AB1"/>
    <w:rsid w:val="00685E86"/>
    <w:rsid w:val="00685FD0"/>
    <w:rsid w:val="0068643C"/>
    <w:rsid w:val="0068663E"/>
    <w:rsid w:val="00686684"/>
    <w:rsid w:val="006872A3"/>
    <w:rsid w:val="006872C8"/>
    <w:rsid w:val="0068749D"/>
    <w:rsid w:val="00687662"/>
    <w:rsid w:val="006879D5"/>
    <w:rsid w:val="006901E8"/>
    <w:rsid w:val="00690274"/>
    <w:rsid w:val="0069044D"/>
    <w:rsid w:val="00690613"/>
    <w:rsid w:val="006908EC"/>
    <w:rsid w:val="00690EE7"/>
    <w:rsid w:val="006913F0"/>
    <w:rsid w:val="0069192C"/>
    <w:rsid w:val="00691B75"/>
    <w:rsid w:val="00691D0B"/>
    <w:rsid w:val="00691E4E"/>
    <w:rsid w:val="00691FDF"/>
    <w:rsid w:val="006921AB"/>
    <w:rsid w:val="00692689"/>
    <w:rsid w:val="006928B2"/>
    <w:rsid w:val="00692FB9"/>
    <w:rsid w:val="006932ED"/>
    <w:rsid w:val="0069337E"/>
    <w:rsid w:val="006933EA"/>
    <w:rsid w:val="00693477"/>
    <w:rsid w:val="00693802"/>
    <w:rsid w:val="0069392C"/>
    <w:rsid w:val="00693BFB"/>
    <w:rsid w:val="00693C33"/>
    <w:rsid w:val="00693E8A"/>
    <w:rsid w:val="0069422E"/>
    <w:rsid w:val="00694666"/>
    <w:rsid w:val="00694F31"/>
    <w:rsid w:val="006952D9"/>
    <w:rsid w:val="0069548C"/>
    <w:rsid w:val="0069553C"/>
    <w:rsid w:val="0069558F"/>
    <w:rsid w:val="00695CA5"/>
    <w:rsid w:val="00695E7A"/>
    <w:rsid w:val="006961F2"/>
    <w:rsid w:val="00696239"/>
    <w:rsid w:val="00696552"/>
    <w:rsid w:val="006966AE"/>
    <w:rsid w:val="00696764"/>
    <w:rsid w:val="00696C64"/>
    <w:rsid w:val="00696E96"/>
    <w:rsid w:val="00696F30"/>
    <w:rsid w:val="00696F46"/>
    <w:rsid w:val="00696F58"/>
    <w:rsid w:val="00697499"/>
    <w:rsid w:val="006974AB"/>
    <w:rsid w:val="00697596"/>
    <w:rsid w:val="006A065F"/>
    <w:rsid w:val="006A0DB9"/>
    <w:rsid w:val="006A0E63"/>
    <w:rsid w:val="006A10C5"/>
    <w:rsid w:val="006A179D"/>
    <w:rsid w:val="006A19CE"/>
    <w:rsid w:val="006A19E1"/>
    <w:rsid w:val="006A1C2A"/>
    <w:rsid w:val="006A1C8F"/>
    <w:rsid w:val="006A1E1C"/>
    <w:rsid w:val="006A1FCE"/>
    <w:rsid w:val="006A225F"/>
    <w:rsid w:val="006A23E7"/>
    <w:rsid w:val="006A2407"/>
    <w:rsid w:val="006A2416"/>
    <w:rsid w:val="006A249A"/>
    <w:rsid w:val="006A2C1B"/>
    <w:rsid w:val="006A2E87"/>
    <w:rsid w:val="006A3424"/>
    <w:rsid w:val="006A375F"/>
    <w:rsid w:val="006A3937"/>
    <w:rsid w:val="006A3FA6"/>
    <w:rsid w:val="006A43AC"/>
    <w:rsid w:val="006A462B"/>
    <w:rsid w:val="006A4751"/>
    <w:rsid w:val="006A4B1F"/>
    <w:rsid w:val="006A5072"/>
    <w:rsid w:val="006A5B9E"/>
    <w:rsid w:val="006A5E80"/>
    <w:rsid w:val="006A5EFA"/>
    <w:rsid w:val="006A5F02"/>
    <w:rsid w:val="006A6239"/>
    <w:rsid w:val="006A632F"/>
    <w:rsid w:val="006A6373"/>
    <w:rsid w:val="006A64D0"/>
    <w:rsid w:val="006A6543"/>
    <w:rsid w:val="006A680B"/>
    <w:rsid w:val="006A68B8"/>
    <w:rsid w:val="006A6AE7"/>
    <w:rsid w:val="006A6B5B"/>
    <w:rsid w:val="006A6D17"/>
    <w:rsid w:val="006A6F5E"/>
    <w:rsid w:val="006A7654"/>
    <w:rsid w:val="006A7C74"/>
    <w:rsid w:val="006B018F"/>
    <w:rsid w:val="006B02F8"/>
    <w:rsid w:val="006B0782"/>
    <w:rsid w:val="006B0CD8"/>
    <w:rsid w:val="006B0FD5"/>
    <w:rsid w:val="006B107D"/>
    <w:rsid w:val="006B147D"/>
    <w:rsid w:val="006B14B8"/>
    <w:rsid w:val="006B1705"/>
    <w:rsid w:val="006B17A9"/>
    <w:rsid w:val="006B1872"/>
    <w:rsid w:val="006B1919"/>
    <w:rsid w:val="006B2F7A"/>
    <w:rsid w:val="006B347E"/>
    <w:rsid w:val="006B3792"/>
    <w:rsid w:val="006B3879"/>
    <w:rsid w:val="006B38AE"/>
    <w:rsid w:val="006B3A1C"/>
    <w:rsid w:val="006B3DF7"/>
    <w:rsid w:val="006B3EB4"/>
    <w:rsid w:val="006B3F1D"/>
    <w:rsid w:val="006B3F81"/>
    <w:rsid w:val="006B4222"/>
    <w:rsid w:val="006B4263"/>
    <w:rsid w:val="006B43AD"/>
    <w:rsid w:val="006B44E8"/>
    <w:rsid w:val="006B4900"/>
    <w:rsid w:val="006B49EE"/>
    <w:rsid w:val="006B4AA5"/>
    <w:rsid w:val="006B4C1B"/>
    <w:rsid w:val="006B5215"/>
    <w:rsid w:val="006B5323"/>
    <w:rsid w:val="006B5C79"/>
    <w:rsid w:val="006B5E3E"/>
    <w:rsid w:val="006B6021"/>
    <w:rsid w:val="006B654C"/>
    <w:rsid w:val="006B66EA"/>
    <w:rsid w:val="006B6819"/>
    <w:rsid w:val="006B6A0C"/>
    <w:rsid w:val="006B6AB5"/>
    <w:rsid w:val="006B71A6"/>
    <w:rsid w:val="006B7C1D"/>
    <w:rsid w:val="006C0576"/>
    <w:rsid w:val="006C07C4"/>
    <w:rsid w:val="006C0986"/>
    <w:rsid w:val="006C0B37"/>
    <w:rsid w:val="006C0D35"/>
    <w:rsid w:val="006C16A9"/>
    <w:rsid w:val="006C1914"/>
    <w:rsid w:val="006C1D68"/>
    <w:rsid w:val="006C1F10"/>
    <w:rsid w:val="006C21CB"/>
    <w:rsid w:val="006C233C"/>
    <w:rsid w:val="006C269E"/>
    <w:rsid w:val="006C28B2"/>
    <w:rsid w:val="006C2964"/>
    <w:rsid w:val="006C3019"/>
    <w:rsid w:val="006C354D"/>
    <w:rsid w:val="006C357B"/>
    <w:rsid w:val="006C36D9"/>
    <w:rsid w:val="006C3A0C"/>
    <w:rsid w:val="006C3F50"/>
    <w:rsid w:val="006C3FB9"/>
    <w:rsid w:val="006C448D"/>
    <w:rsid w:val="006C450F"/>
    <w:rsid w:val="006C476C"/>
    <w:rsid w:val="006C4CBC"/>
    <w:rsid w:val="006C5016"/>
    <w:rsid w:val="006C5113"/>
    <w:rsid w:val="006C51D5"/>
    <w:rsid w:val="006C5235"/>
    <w:rsid w:val="006C524E"/>
    <w:rsid w:val="006C5946"/>
    <w:rsid w:val="006C5998"/>
    <w:rsid w:val="006C5ACD"/>
    <w:rsid w:val="006C5DBE"/>
    <w:rsid w:val="006C616F"/>
    <w:rsid w:val="006C6445"/>
    <w:rsid w:val="006C657D"/>
    <w:rsid w:val="006C679B"/>
    <w:rsid w:val="006C6A55"/>
    <w:rsid w:val="006C6D46"/>
    <w:rsid w:val="006C70AA"/>
    <w:rsid w:val="006C7341"/>
    <w:rsid w:val="006C746F"/>
    <w:rsid w:val="006C76F3"/>
    <w:rsid w:val="006C772A"/>
    <w:rsid w:val="006C7942"/>
    <w:rsid w:val="006C7B5E"/>
    <w:rsid w:val="006C7FCB"/>
    <w:rsid w:val="006D01D2"/>
    <w:rsid w:val="006D03DF"/>
    <w:rsid w:val="006D0486"/>
    <w:rsid w:val="006D0676"/>
    <w:rsid w:val="006D07F6"/>
    <w:rsid w:val="006D08D6"/>
    <w:rsid w:val="006D0935"/>
    <w:rsid w:val="006D0B5E"/>
    <w:rsid w:val="006D1352"/>
    <w:rsid w:val="006D1844"/>
    <w:rsid w:val="006D20EE"/>
    <w:rsid w:val="006D2376"/>
    <w:rsid w:val="006D2681"/>
    <w:rsid w:val="006D285A"/>
    <w:rsid w:val="006D2CBB"/>
    <w:rsid w:val="006D2F1A"/>
    <w:rsid w:val="006D2F5E"/>
    <w:rsid w:val="006D349B"/>
    <w:rsid w:val="006D3B60"/>
    <w:rsid w:val="006D4170"/>
    <w:rsid w:val="006D440E"/>
    <w:rsid w:val="006D4410"/>
    <w:rsid w:val="006D4492"/>
    <w:rsid w:val="006D4642"/>
    <w:rsid w:val="006D4709"/>
    <w:rsid w:val="006D497C"/>
    <w:rsid w:val="006D4ABA"/>
    <w:rsid w:val="006D4C82"/>
    <w:rsid w:val="006D4FB6"/>
    <w:rsid w:val="006D531B"/>
    <w:rsid w:val="006D5452"/>
    <w:rsid w:val="006D5597"/>
    <w:rsid w:val="006D58B2"/>
    <w:rsid w:val="006D5B80"/>
    <w:rsid w:val="006D5EBD"/>
    <w:rsid w:val="006D6042"/>
    <w:rsid w:val="006D61B5"/>
    <w:rsid w:val="006D6296"/>
    <w:rsid w:val="006D64EB"/>
    <w:rsid w:val="006D67A2"/>
    <w:rsid w:val="006D7252"/>
    <w:rsid w:val="006D7260"/>
    <w:rsid w:val="006D7ECD"/>
    <w:rsid w:val="006E010E"/>
    <w:rsid w:val="006E02F3"/>
    <w:rsid w:val="006E061B"/>
    <w:rsid w:val="006E0670"/>
    <w:rsid w:val="006E080E"/>
    <w:rsid w:val="006E0CAF"/>
    <w:rsid w:val="006E0CFE"/>
    <w:rsid w:val="006E0D3C"/>
    <w:rsid w:val="006E0D9A"/>
    <w:rsid w:val="006E0DB6"/>
    <w:rsid w:val="006E0DFA"/>
    <w:rsid w:val="006E107C"/>
    <w:rsid w:val="006E11FA"/>
    <w:rsid w:val="006E1B8B"/>
    <w:rsid w:val="006E1C1B"/>
    <w:rsid w:val="006E1C21"/>
    <w:rsid w:val="006E1DE3"/>
    <w:rsid w:val="006E2187"/>
    <w:rsid w:val="006E21BE"/>
    <w:rsid w:val="006E22DD"/>
    <w:rsid w:val="006E2394"/>
    <w:rsid w:val="006E2422"/>
    <w:rsid w:val="006E262D"/>
    <w:rsid w:val="006E26E9"/>
    <w:rsid w:val="006E2A4D"/>
    <w:rsid w:val="006E2A6E"/>
    <w:rsid w:val="006E2AE5"/>
    <w:rsid w:val="006E2C92"/>
    <w:rsid w:val="006E2D43"/>
    <w:rsid w:val="006E2FC2"/>
    <w:rsid w:val="006E30C2"/>
    <w:rsid w:val="006E32BE"/>
    <w:rsid w:val="006E33CF"/>
    <w:rsid w:val="006E3906"/>
    <w:rsid w:val="006E39B0"/>
    <w:rsid w:val="006E3E3F"/>
    <w:rsid w:val="006E4495"/>
    <w:rsid w:val="006E46BB"/>
    <w:rsid w:val="006E4815"/>
    <w:rsid w:val="006E49E9"/>
    <w:rsid w:val="006E4D6B"/>
    <w:rsid w:val="006E4EEC"/>
    <w:rsid w:val="006E4EFA"/>
    <w:rsid w:val="006E587D"/>
    <w:rsid w:val="006E5B3A"/>
    <w:rsid w:val="006E5DF8"/>
    <w:rsid w:val="006E5E28"/>
    <w:rsid w:val="006E5FD0"/>
    <w:rsid w:val="006E6008"/>
    <w:rsid w:val="006E622E"/>
    <w:rsid w:val="006E648A"/>
    <w:rsid w:val="006E6574"/>
    <w:rsid w:val="006E6644"/>
    <w:rsid w:val="006E6813"/>
    <w:rsid w:val="006E68F7"/>
    <w:rsid w:val="006E6AD0"/>
    <w:rsid w:val="006E6B22"/>
    <w:rsid w:val="006E6B37"/>
    <w:rsid w:val="006E6F2E"/>
    <w:rsid w:val="006E6F7A"/>
    <w:rsid w:val="006E767F"/>
    <w:rsid w:val="006E7690"/>
    <w:rsid w:val="006E7D3A"/>
    <w:rsid w:val="006E7FE6"/>
    <w:rsid w:val="006F0096"/>
    <w:rsid w:val="006F01E6"/>
    <w:rsid w:val="006F0343"/>
    <w:rsid w:val="006F083D"/>
    <w:rsid w:val="006F0B7B"/>
    <w:rsid w:val="006F0E05"/>
    <w:rsid w:val="006F0EBD"/>
    <w:rsid w:val="006F1579"/>
    <w:rsid w:val="006F15A3"/>
    <w:rsid w:val="006F1A1D"/>
    <w:rsid w:val="006F1A34"/>
    <w:rsid w:val="006F1AED"/>
    <w:rsid w:val="006F2139"/>
    <w:rsid w:val="006F26BF"/>
    <w:rsid w:val="006F2806"/>
    <w:rsid w:val="006F28EA"/>
    <w:rsid w:val="006F2F31"/>
    <w:rsid w:val="006F33A6"/>
    <w:rsid w:val="006F3F8D"/>
    <w:rsid w:val="006F4222"/>
    <w:rsid w:val="006F4324"/>
    <w:rsid w:val="006F43ED"/>
    <w:rsid w:val="006F43F4"/>
    <w:rsid w:val="006F4660"/>
    <w:rsid w:val="006F4B0A"/>
    <w:rsid w:val="006F4B1E"/>
    <w:rsid w:val="006F4D02"/>
    <w:rsid w:val="006F4D04"/>
    <w:rsid w:val="006F4F81"/>
    <w:rsid w:val="006F5287"/>
    <w:rsid w:val="006F5350"/>
    <w:rsid w:val="006F5596"/>
    <w:rsid w:val="006F5CED"/>
    <w:rsid w:val="006F5FAC"/>
    <w:rsid w:val="006F5FEF"/>
    <w:rsid w:val="006F60D0"/>
    <w:rsid w:val="006F6492"/>
    <w:rsid w:val="006F65CE"/>
    <w:rsid w:val="006F689E"/>
    <w:rsid w:val="006F700E"/>
    <w:rsid w:val="006F72DB"/>
    <w:rsid w:val="006F7401"/>
    <w:rsid w:val="006F7479"/>
    <w:rsid w:val="006F759C"/>
    <w:rsid w:val="006F762A"/>
    <w:rsid w:val="006F7A01"/>
    <w:rsid w:val="006F7FF9"/>
    <w:rsid w:val="00700077"/>
    <w:rsid w:val="007000CB"/>
    <w:rsid w:val="007001C5"/>
    <w:rsid w:val="00700503"/>
    <w:rsid w:val="00700696"/>
    <w:rsid w:val="00701088"/>
    <w:rsid w:val="0070160D"/>
    <w:rsid w:val="00701815"/>
    <w:rsid w:val="0070181C"/>
    <w:rsid w:val="00701A00"/>
    <w:rsid w:val="00702016"/>
    <w:rsid w:val="00702319"/>
    <w:rsid w:val="00702771"/>
    <w:rsid w:val="00702953"/>
    <w:rsid w:val="00702B69"/>
    <w:rsid w:val="00702D56"/>
    <w:rsid w:val="00702E51"/>
    <w:rsid w:val="00703053"/>
    <w:rsid w:val="0070341E"/>
    <w:rsid w:val="00703520"/>
    <w:rsid w:val="0070392B"/>
    <w:rsid w:val="00703A8F"/>
    <w:rsid w:val="00703ABF"/>
    <w:rsid w:val="007041A4"/>
    <w:rsid w:val="007048BA"/>
    <w:rsid w:val="00704F6B"/>
    <w:rsid w:val="007056F2"/>
    <w:rsid w:val="007058FD"/>
    <w:rsid w:val="00705CB7"/>
    <w:rsid w:val="00705DFB"/>
    <w:rsid w:val="00705F84"/>
    <w:rsid w:val="00705F8A"/>
    <w:rsid w:val="0070608E"/>
    <w:rsid w:val="00706318"/>
    <w:rsid w:val="00706395"/>
    <w:rsid w:val="007068B6"/>
    <w:rsid w:val="00706943"/>
    <w:rsid w:val="007070CB"/>
    <w:rsid w:val="00707423"/>
    <w:rsid w:val="0070799A"/>
    <w:rsid w:val="0071047A"/>
    <w:rsid w:val="007104B6"/>
    <w:rsid w:val="00710750"/>
    <w:rsid w:val="00710925"/>
    <w:rsid w:val="007110F6"/>
    <w:rsid w:val="00711212"/>
    <w:rsid w:val="00711435"/>
    <w:rsid w:val="00711809"/>
    <w:rsid w:val="007119B2"/>
    <w:rsid w:val="00711BE7"/>
    <w:rsid w:val="007123C6"/>
    <w:rsid w:val="00712428"/>
    <w:rsid w:val="0071259B"/>
    <w:rsid w:val="00712BE2"/>
    <w:rsid w:val="00712C09"/>
    <w:rsid w:val="00712CB1"/>
    <w:rsid w:val="00713615"/>
    <w:rsid w:val="00713C87"/>
    <w:rsid w:val="00713F75"/>
    <w:rsid w:val="00714B2A"/>
    <w:rsid w:val="00714B59"/>
    <w:rsid w:val="00714CF2"/>
    <w:rsid w:val="007155FE"/>
    <w:rsid w:val="007156B9"/>
    <w:rsid w:val="00715A3A"/>
    <w:rsid w:val="00715DF9"/>
    <w:rsid w:val="00715F3F"/>
    <w:rsid w:val="00716172"/>
    <w:rsid w:val="0071624A"/>
    <w:rsid w:val="0071680F"/>
    <w:rsid w:val="00716B11"/>
    <w:rsid w:val="00717012"/>
    <w:rsid w:val="00717166"/>
    <w:rsid w:val="00717FEC"/>
    <w:rsid w:val="0072020B"/>
    <w:rsid w:val="0072036C"/>
    <w:rsid w:val="00720817"/>
    <w:rsid w:val="00720880"/>
    <w:rsid w:val="00720AC9"/>
    <w:rsid w:val="00720E65"/>
    <w:rsid w:val="00720EC6"/>
    <w:rsid w:val="00720F3C"/>
    <w:rsid w:val="00720FEB"/>
    <w:rsid w:val="007210D7"/>
    <w:rsid w:val="00721164"/>
    <w:rsid w:val="007212D0"/>
    <w:rsid w:val="00721576"/>
    <w:rsid w:val="007215EA"/>
    <w:rsid w:val="007216DB"/>
    <w:rsid w:val="00721814"/>
    <w:rsid w:val="00721A92"/>
    <w:rsid w:val="00721D35"/>
    <w:rsid w:val="00721D82"/>
    <w:rsid w:val="00722037"/>
    <w:rsid w:val="00722850"/>
    <w:rsid w:val="00722864"/>
    <w:rsid w:val="007233A6"/>
    <w:rsid w:val="0072346D"/>
    <w:rsid w:val="0072367F"/>
    <w:rsid w:val="00723855"/>
    <w:rsid w:val="007239FF"/>
    <w:rsid w:val="00723ACF"/>
    <w:rsid w:val="00724157"/>
    <w:rsid w:val="007242C0"/>
    <w:rsid w:val="00724395"/>
    <w:rsid w:val="007249A2"/>
    <w:rsid w:val="00724BCB"/>
    <w:rsid w:val="00724D1D"/>
    <w:rsid w:val="00724DB8"/>
    <w:rsid w:val="00725061"/>
    <w:rsid w:val="00725222"/>
    <w:rsid w:val="007257E5"/>
    <w:rsid w:val="00725AF6"/>
    <w:rsid w:val="00725C56"/>
    <w:rsid w:val="00725C71"/>
    <w:rsid w:val="00726646"/>
    <w:rsid w:val="0072696E"/>
    <w:rsid w:val="007269F8"/>
    <w:rsid w:val="00726BAF"/>
    <w:rsid w:val="00726D20"/>
    <w:rsid w:val="00726FFD"/>
    <w:rsid w:val="007271DA"/>
    <w:rsid w:val="00727304"/>
    <w:rsid w:val="0072763B"/>
    <w:rsid w:val="007276E9"/>
    <w:rsid w:val="0072771F"/>
    <w:rsid w:val="00727C34"/>
    <w:rsid w:val="00727DFC"/>
    <w:rsid w:val="00727F7D"/>
    <w:rsid w:val="00730127"/>
    <w:rsid w:val="007301A9"/>
    <w:rsid w:val="007306F8"/>
    <w:rsid w:val="00730916"/>
    <w:rsid w:val="00730929"/>
    <w:rsid w:val="00730DD2"/>
    <w:rsid w:val="00730F69"/>
    <w:rsid w:val="0073104D"/>
    <w:rsid w:val="007317D4"/>
    <w:rsid w:val="00731FF6"/>
    <w:rsid w:val="007322BE"/>
    <w:rsid w:val="00732636"/>
    <w:rsid w:val="007332AE"/>
    <w:rsid w:val="007334D2"/>
    <w:rsid w:val="0073353F"/>
    <w:rsid w:val="007336AD"/>
    <w:rsid w:val="007337DE"/>
    <w:rsid w:val="00733D89"/>
    <w:rsid w:val="007342F5"/>
    <w:rsid w:val="00734523"/>
    <w:rsid w:val="00734736"/>
    <w:rsid w:val="007349CE"/>
    <w:rsid w:val="00734AFB"/>
    <w:rsid w:val="00734FFD"/>
    <w:rsid w:val="007351EB"/>
    <w:rsid w:val="0073523A"/>
    <w:rsid w:val="007354B2"/>
    <w:rsid w:val="007356CC"/>
    <w:rsid w:val="007356CD"/>
    <w:rsid w:val="0073572D"/>
    <w:rsid w:val="00735A91"/>
    <w:rsid w:val="00735FED"/>
    <w:rsid w:val="0073612C"/>
    <w:rsid w:val="00736A07"/>
    <w:rsid w:val="00736CDC"/>
    <w:rsid w:val="00736D37"/>
    <w:rsid w:val="00736EA6"/>
    <w:rsid w:val="007372B2"/>
    <w:rsid w:val="007375E9"/>
    <w:rsid w:val="00737A68"/>
    <w:rsid w:val="00737BAD"/>
    <w:rsid w:val="00737C69"/>
    <w:rsid w:val="007403EE"/>
    <w:rsid w:val="007409F8"/>
    <w:rsid w:val="00740B02"/>
    <w:rsid w:val="00740BD3"/>
    <w:rsid w:val="00740FC8"/>
    <w:rsid w:val="00741059"/>
    <w:rsid w:val="007411CC"/>
    <w:rsid w:val="007413F5"/>
    <w:rsid w:val="00741407"/>
    <w:rsid w:val="007415CB"/>
    <w:rsid w:val="007415DC"/>
    <w:rsid w:val="007416FF"/>
    <w:rsid w:val="00741BE9"/>
    <w:rsid w:val="00741C1A"/>
    <w:rsid w:val="00741CF2"/>
    <w:rsid w:val="00742618"/>
    <w:rsid w:val="00742644"/>
    <w:rsid w:val="0074295D"/>
    <w:rsid w:val="00742E45"/>
    <w:rsid w:val="00742E53"/>
    <w:rsid w:val="007439E0"/>
    <w:rsid w:val="0074403D"/>
    <w:rsid w:val="0074472C"/>
    <w:rsid w:val="007447AF"/>
    <w:rsid w:val="007447C4"/>
    <w:rsid w:val="007447CF"/>
    <w:rsid w:val="00744977"/>
    <w:rsid w:val="00744D11"/>
    <w:rsid w:val="00744D5A"/>
    <w:rsid w:val="007452F2"/>
    <w:rsid w:val="007452FC"/>
    <w:rsid w:val="0074538B"/>
    <w:rsid w:val="00745B47"/>
    <w:rsid w:val="007466A9"/>
    <w:rsid w:val="00746700"/>
    <w:rsid w:val="007467EF"/>
    <w:rsid w:val="00747362"/>
    <w:rsid w:val="00747617"/>
    <w:rsid w:val="00747670"/>
    <w:rsid w:val="007479FB"/>
    <w:rsid w:val="00747BAF"/>
    <w:rsid w:val="00747C80"/>
    <w:rsid w:val="00747C85"/>
    <w:rsid w:val="00747D77"/>
    <w:rsid w:val="00747FCB"/>
    <w:rsid w:val="0075002C"/>
    <w:rsid w:val="00750135"/>
    <w:rsid w:val="0075026C"/>
    <w:rsid w:val="0075041D"/>
    <w:rsid w:val="00750481"/>
    <w:rsid w:val="00750547"/>
    <w:rsid w:val="007507EB"/>
    <w:rsid w:val="00750816"/>
    <w:rsid w:val="007509FC"/>
    <w:rsid w:val="00750AD7"/>
    <w:rsid w:val="00750AE2"/>
    <w:rsid w:val="0075150A"/>
    <w:rsid w:val="00751D37"/>
    <w:rsid w:val="00751E93"/>
    <w:rsid w:val="00752561"/>
    <w:rsid w:val="00752638"/>
    <w:rsid w:val="007533F9"/>
    <w:rsid w:val="0075354D"/>
    <w:rsid w:val="00753835"/>
    <w:rsid w:val="0075385F"/>
    <w:rsid w:val="00753A34"/>
    <w:rsid w:val="00753AF0"/>
    <w:rsid w:val="00753AFD"/>
    <w:rsid w:val="007540F3"/>
    <w:rsid w:val="007546E8"/>
    <w:rsid w:val="00754A8F"/>
    <w:rsid w:val="00754ABB"/>
    <w:rsid w:val="007552D5"/>
    <w:rsid w:val="007554A4"/>
    <w:rsid w:val="0075614A"/>
    <w:rsid w:val="00756185"/>
    <w:rsid w:val="0075677C"/>
    <w:rsid w:val="00756832"/>
    <w:rsid w:val="007568E4"/>
    <w:rsid w:val="00756F41"/>
    <w:rsid w:val="00757012"/>
    <w:rsid w:val="0075717E"/>
    <w:rsid w:val="0075731B"/>
    <w:rsid w:val="00757A9B"/>
    <w:rsid w:val="00757B35"/>
    <w:rsid w:val="00757C93"/>
    <w:rsid w:val="00757DC5"/>
    <w:rsid w:val="00757EC5"/>
    <w:rsid w:val="007602C6"/>
    <w:rsid w:val="007605EC"/>
    <w:rsid w:val="00760AFC"/>
    <w:rsid w:val="00760CBB"/>
    <w:rsid w:val="007614F4"/>
    <w:rsid w:val="00761CD7"/>
    <w:rsid w:val="00761D63"/>
    <w:rsid w:val="007620C8"/>
    <w:rsid w:val="00762C90"/>
    <w:rsid w:val="00762F34"/>
    <w:rsid w:val="00763045"/>
    <w:rsid w:val="00763307"/>
    <w:rsid w:val="007633AE"/>
    <w:rsid w:val="00763503"/>
    <w:rsid w:val="00763536"/>
    <w:rsid w:val="00763FD0"/>
    <w:rsid w:val="00764128"/>
    <w:rsid w:val="0076436A"/>
    <w:rsid w:val="00764A2D"/>
    <w:rsid w:val="00764F42"/>
    <w:rsid w:val="007654D9"/>
    <w:rsid w:val="007657C1"/>
    <w:rsid w:val="00765A3B"/>
    <w:rsid w:val="00765C2E"/>
    <w:rsid w:val="00765E1B"/>
    <w:rsid w:val="00765F31"/>
    <w:rsid w:val="00765FB9"/>
    <w:rsid w:val="00765FE9"/>
    <w:rsid w:val="007662F3"/>
    <w:rsid w:val="007666B6"/>
    <w:rsid w:val="00766BE3"/>
    <w:rsid w:val="00767BCD"/>
    <w:rsid w:val="00767CEC"/>
    <w:rsid w:val="007701D5"/>
    <w:rsid w:val="0077056B"/>
    <w:rsid w:val="0077097D"/>
    <w:rsid w:val="00770F39"/>
    <w:rsid w:val="007713FA"/>
    <w:rsid w:val="00771651"/>
    <w:rsid w:val="007719FB"/>
    <w:rsid w:val="00771B63"/>
    <w:rsid w:val="00772111"/>
    <w:rsid w:val="0077275C"/>
    <w:rsid w:val="007727C2"/>
    <w:rsid w:val="00773365"/>
    <w:rsid w:val="00773491"/>
    <w:rsid w:val="00773797"/>
    <w:rsid w:val="00773829"/>
    <w:rsid w:val="00773B43"/>
    <w:rsid w:val="00773EFF"/>
    <w:rsid w:val="0077424E"/>
    <w:rsid w:val="00774260"/>
    <w:rsid w:val="007745BB"/>
    <w:rsid w:val="007745D8"/>
    <w:rsid w:val="007746F7"/>
    <w:rsid w:val="00774B3F"/>
    <w:rsid w:val="00774B88"/>
    <w:rsid w:val="00774CAA"/>
    <w:rsid w:val="00774ED0"/>
    <w:rsid w:val="00775348"/>
    <w:rsid w:val="00775C58"/>
    <w:rsid w:val="007765E4"/>
    <w:rsid w:val="007765E8"/>
    <w:rsid w:val="00776688"/>
    <w:rsid w:val="0077673D"/>
    <w:rsid w:val="00776806"/>
    <w:rsid w:val="00776E0F"/>
    <w:rsid w:val="00776E2A"/>
    <w:rsid w:val="00777170"/>
    <w:rsid w:val="007772F8"/>
    <w:rsid w:val="007773A7"/>
    <w:rsid w:val="0077748A"/>
    <w:rsid w:val="0077755F"/>
    <w:rsid w:val="0077797B"/>
    <w:rsid w:val="00780285"/>
    <w:rsid w:val="00780673"/>
    <w:rsid w:val="00780854"/>
    <w:rsid w:val="00780946"/>
    <w:rsid w:val="00780ABD"/>
    <w:rsid w:val="0078183B"/>
    <w:rsid w:val="007818D2"/>
    <w:rsid w:val="00781B3A"/>
    <w:rsid w:val="00781CED"/>
    <w:rsid w:val="00781D4F"/>
    <w:rsid w:val="0078224A"/>
    <w:rsid w:val="007826AA"/>
    <w:rsid w:val="007826BB"/>
    <w:rsid w:val="00782CB6"/>
    <w:rsid w:val="00782D29"/>
    <w:rsid w:val="00782F85"/>
    <w:rsid w:val="00782FD9"/>
    <w:rsid w:val="00783748"/>
    <w:rsid w:val="00783F3A"/>
    <w:rsid w:val="00784147"/>
    <w:rsid w:val="0078448C"/>
    <w:rsid w:val="007848B7"/>
    <w:rsid w:val="00784A78"/>
    <w:rsid w:val="0078554A"/>
    <w:rsid w:val="0078564E"/>
    <w:rsid w:val="007858B6"/>
    <w:rsid w:val="00785A7D"/>
    <w:rsid w:val="00785BA6"/>
    <w:rsid w:val="00785BCB"/>
    <w:rsid w:val="00785ED0"/>
    <w:rsid w:val="00786032"/>
    <w:rsid w:val="0078633B"/>
    <w:rsid w:val="007869B4"/>
    <w:rsid w:val="00786A41"/>
    <w:rsid w:val="00786C1D"/>
    <w:rsid w:val="00786FC5"/>
    <w:rsid w:val="00787104"/>
    <w:rsid w:val="007874CF"/>
    <w:rsid w:val="0078774B"/>
    <w:rsid w:val="00787AE9"/>
    <w:rsid w:val="00787C25"/>
    <w:rsid w:val="00787CEE"/>
    <w:rsid w:val="00787D60"/>
    <w:rsid w:val="00787DED"/>
    <w:rsid w:val="00790A62"/>
    <w:rsid w:val="00790B44"/>
    <w:rsid w:val="00791082"/>
    <w:rsid w:val="007910FC"/>
    <w:rsid w:val="007918B3"/>
    <w:rsid w:val="007919D8"/>
    <w:rsid w:val="00791A0B"/>
    <w:rsid w:val="00791AE6"/>
    <w:rsid w:val="00791BA4"/>
    <w:rsid w:val="00791D5D"/>
    <w:rsid w:val="0079263B"/>
    <w:rsid w:val="007926BC"/>
    <w:rsid w:val="00792A0C"/>
    <w:rsid w:val="00792B0B"/>
    <w:rsid w:val="00792D15"/>
    <w:rsid w:val="00793220"/>
    <w:rsid w:val="007933E2"/>
    <w:rsid w:val="0079358A"/>
    <w:rsid w:val="007936A3"/>
    <w:rsid w:val="00793764"/>
    <w:rsid w:val="00793AE2"/>
    <w:rsid w:val="00793EF2"/>
    <w:rsid w:val="007948A5"/>
    <w:rsid w:val="007948D9"/>
    <w:rsid w:val="00794FB1"/>
    <w:rsid w:val="00794FBC"/>
    <w:rsid w:val="007956B3"/>
    <w:rsid w:val="00795EE0"/>
    <w:rsid w:val="00795FD2"/>
    <w:rsid w:val="00796576"/>
    <w:rsid w:val="007966E4"/>
    <w:rsid w:val="00796867"/>
    <w:rsid w:val="00796980"/>
    <w:rsid w:val="00797ADE"/>
    <w:rsid w:val="00797BFD"/>
    <w:rsid w:val="007A0132"/>
    <w:rsid w:val="007A03D8"/>
    <w:rsid w:val="007A08F1"/>
    <w:rsid w:val="007A0969"/>
    <w:rsid w:val="007A09A3"/>
    <w:rsid w:val="007A0D87"/>
    <w:rsid w:val="007A0FEB"/>
    <w:rsid w:val="007A140C"/>
    <w:rsid w:val="007A17B7"/>
    <w:rsid w:val="007A1879"/>
    <w:rsid w:val="007A1B4E"/>
    <w:rsid w:val="007A1FB3"/>
    <w:rsid w:val="007A200C"/>
    <w:rsid w:val="007A215F"/>
    <w:rsid w:val="007A253A"/>
    <w:rsid w:val="007A2BE7"/>
    <w:rsid w:val="007A2E3D"/>
    <w:rsid w:val="007A3349"/>
    <w:rsid w:val="007A33E2"/>
    <w:rsid w:val="007A3786"/>
    <w:rsid w:val="007A3BC5"/>
    <w:rsid w:val="007A3C0E"/>
    <w:rsid w:val="007A3C8D"/>
    <w:rsid w:val="007A406D"/>
    <w:rsid w:val="007A4651"/>
    <w:rsid w:val="007A5372"/>
    <w:rsid w:val="007A62B0"/>
    <w:rsid w:val="007A63C9"/>
    <w:rsid w:val="007A662B"/>
    <w:rsid w:val="007A6C44"/>
    <w:rsid w:val="007A6ECB"/>
    <w:rsid w:val="007A76CF"/>
    <w:rsid w:val="007A7B53"/>
    <w:rsid w:val="007B0271"/>
    <w:rsid w:val="007B03FF"/>
    <w:rsid w:val="007B0519"/>
    <w:rsid w:val="007B07EC"/>
    <w:rsid w:val="007B09F1"/>
    <w:rsid w:val="007B0B2F"/>
    <w:rsid w:val="007B0FAB"/>
    <w:rsid w:val="007B1652"/>
    <w:rsid w:val="007B1B20"/>
    <w:rsid w:val="007B20F4"/>
    <w:rsid w:val="007B210B"/>
    <w:rsid w:val="007B2174"/>
    <w:rsid w:val="007B2962"/>
    <w:rsid w:val="007B2E62"/>
    <w:rsid w:val="007B32EE"/>
    <w:rsid w:val="007B36EB"/>
    <w:rsid w:val="007B38FA"/>
    <w:rsid w:val="007B3F27"/>
    <w:rsid w:val="007B41BD"/>
    <w:rsid w:val="007B4244"/>
    <w:rsid w:val="007B42AD"/>
    <w:rsid w:val="007B5492"/>
    <w:rsid w:val="007B56FB"/>
    <w:rsid w:val="007B5854"/>
    <w:rsid w:val="007B5964"/>
    <w:rsid w:val="007B5F5B"/>
    <w:rsid w:val="007B617D"/>
    <w:rsid w:val="007B61E5"/>
    <w:rsid w:val="007B6800"/>
    <w:rsid w:val="007B6884"/>
    <w:rsid w:val="007B6A5D"/>
    <w:rsid w:val="007B6AE8"/>
    <w:rsid w:val="007B6C78"/>
    <w:rsid w:val="007B718E"/>
    <w:rsid w:val="007B74EF"/>
    <w:rsid w:val="007B75BE"/>
    <w:rsid w:val="007B77B1"/>
    <w:rsid w:val="007B793B"/>
    <w:rsid w:val="007B7D93"/>
    <w:rsid w:val="007B7E78"/>
    <w:rsid w:val="007B7EDF"/>
    <w:rsid w:val="007C12B8"/>
    <w:rsid w:val="007C1529"/>
    <w:rsid w:val="007C1804"/>
    <w:rsid w:val="007C1BBB"/>
    <w:rsid w:val="007C1F9B"/>
    <w:rsid w:val="007C2059"/>
    <w:rsid w:val="007C217F"/>
    <w:rsid w:val="007C24A2"/>
    <w:rsid w:val="007C2883"/>
    <w:rsid w:val="007C29A6"/>
    <w:rsid w:val="007C2E42"/>
    <w:rsid w:val="007C2FEA"/>
    <w:rsid w:val="007C3DA8"/>
    <w:rsid w:val="007C473A"/>
    <w:rsid w:val="007C4889"/>
    <w:rsid w:val="007C4A94"/>
    <w:rsid w:val="007C4D91"/>
    <w:rsid w:val="007C4E9B"/>
    <w:rsid w:val="007C5604"/>
    <w:rsid w:val="007C56F8"/>
    <w:rsid w:val="007C57F0"/>
    <w:rsid w:val="007C58F7"/>
    <w:rsid w:val="007C5A0C"/>
    <w:rsid w:val="007C5A14"/>
    <w:rsid w:val="007C5B5E"/>
    <w:rsid w:val="007C5D0E"/>
    <w:rsid w:val="007C6067"/>
    <w:rsid w:val="007C63BB"/>
    <w:rsid w:val="007C63BD"/>
    <w:rsid w:val="007C6967"/>
    <w:rsid w:val="007C6E3D"/>
    <w:rsid w:val="007C7634"/>
    <w:rsid w:val="007C7769"/>
    <w:rsid w:val="007C7A2C"/>
    <w:rsid w:val="007D00E9"/>
    <w:rsid w:val="007D0318"/>
    <w:rsid w:val="007D04F5"/>
    <w:rsid w:val="007D05CC"/>
    <w:rsid w:val="007D0C01"/>
    <w:rsid w:val="007D0D4A"/>
    <w:rsid w:val="007D0DAD"/>
    <w:rsid w:val="007D0E82"/>
    <w:rsid w:val="007D0F2E"/>
    <w:rsid w:val="007D1054"/>
    <w:rsid w:val="007D14FD"/>
    <w:rsid w:val="007D177F"/>
    <w:rsid w:val="007D188C"/>
    <w:rsid w:val="007D18BE"/>
    <w:rsid w:val="007D1904"/>
    <w:rsid w:val="007D1C49"/>
    <w:rsid w:val="007D1E2C"/>
    <w:rsid w:val="007D27B3"/>
    <w:rsid w:val="007D285A"/>
    <w:rsid w:val="007D2D0C"/>
    <w:rsid w:val="007D2F9E"/>
    <w:rsid w:val="007D31C5"/>
    <w:rsid w:val="007D3335"/>
    <w:rsid w:val="007D358F"/>
    <w:rsid w:val="007D35A6"/>
    <w:rsid w:val="007D363C"/>
    <w:rsid w:val="007D38E2"/>
    <w:rsid w:val="007D39C6"/>
    <w:rsid w:val="007D3BA2"/>
    <w:rsid w:val="007D3F76"/>
    <w:rsid w:val="007D424D"/>
    <w:rsid w:val="007D4663"/>
    <w:rsid w:val="007D468D"/>
    <w:rsid w:val="007D549E"/>
    <w:rsid w:val="007D57F7"/>
    <w:rsid w:val="007D608A"/>
    <w:rsid w:val="007D64BE"/>
    <w:rsid w:val="007D6CCF"/>
    <w:rsid w:val="007D6FEE"/>
    <w:rsid w:val="007D7050"/>
    <w:rsid w:val="007D720A"/>
    <w:rsid w:val="007D7314"/>
    <w:rsid w:val="007D76F2"/>
    <w:rsid w:val="007D7A9E"/>
    <w:rsid w:val="007D7C00"/>
    <w:rsid w:val="007E0166"/>
    <w:rsid w:val="007E0406"/>
    <w:rsid w:val="007E0553"/>
    <w:rsid w:val="007E05DF"/>
    <w:rsid w:val="007E08EA"/>
    <w:rsid w:val="007E0C28"/>
    <w:rsid w:val="007E0C45"/>
    <w:rsid w:val="007E0C83"/>
    <w:rsid w:val="007E0D5B"/>
    <w:rsid w:val="007E0E29"/>
    <w:rsid w:val="007E0EFA"/>
    <w:rsid w:val="007E0FEE"/>
    <w:rsid w:val="007E1239"/>
    <w:rsid w:val="007E1286"/>
    <w:rsid w:val="007E16C3"/>
    <w:rsid w:val="007E16CB"/>
    <w:rsid w:val="007E18DF"/>
    <w:rsid w:val="007E1AB4"/>
    <w:rsid w:val="007E1B1F"/>
    <w:rsid w:val="007E2113"/>
    <w:rsid w:val="007E22DE"/>
    <w:rsid w:val="007E2D66"/>
    <w:rsid w:val="007E2DB5"/>
    <w:rsid w:val="007E2EB2"/>
    <w:rsid w:val="007E3211"/>
    <w:rsid w:val="007E321F"/>
    <w:rsid w:val="007E323C"/>
    <w:rsid w:val="007E34A9"/>
    <w:rsid w:val="007E3989"/>
    <w:rsid w:val="007E3F87"/>
    <w:rsid w:val="007E444B"/>
    <w:rsid w:val="007E5278"/>
    <w:rsid w:val="007E5612"/>
    <w:rsid w:val="007E5BE9"/>
    <w:rsid w:val="007E5CBC"/>
    <w:rsid w:val="007E6107"/>
    <w:rsid w:val="007E69E8"/>
    <w:rsid w:val="007E7357"/>
    <w:rsid w:val="007E79B0"/>
    <w:rsid w:val="007E7B13"/>
    <w:rsid w:val="007E7EDF"/>
    <w:rsid w:val="007F0049"/>
    <w:rsid w:val="007F0494"/>
    <w:rsid w:val="007F0634"/>
    <w:rsid w:val="007F08DF"/>
    <w:rsid w:val="007F0F09"/>
    <w:rsid w:val="007F1026"/>
    <w:rsid w:val="007F17D7"/>
    <w:rsid w:val="007F1F15"/>
    <w:rsid w:val="007F2017"/>
    <w:rsid w:val="007F2233"/>
    <w:rsid w:val="007F22E5"/>
    <w:rsid w:val="007F26FE"/>
    <w:rsid w:val="007F2970"/>
    <w:rsid w:val="007F2A87"/>
    <w:rsid w:val="007F2AAD"/>
    <w:rsid w:val="007F2CC0"/>
    <w:rsid w:val="007F3165"/>
    <w:rsid w:val="007F3434"/>
    <w:rsid w:val="007F3570"/>
    <w:rsid w:val="007F3B0E"/>
    <w:rsid w:val="007F3D19"/>
    <w:rsid w:val="007F4279"/>
    <w:rsid w:val="007F4485"/>
    <w:rsid w:val="007F49C7"/>
    <w:rsid w:val="007F4B38"/>
    <w:rsid w:val="007F4CEA"/>
    <w:rsid w:val="007F5435"/>
    <w:rsid w:val="007F559B"/>
    <w:rsid w:val="007F5674"/>
    <w:rsid w:val="007F5773"/>
    <w:rsid w:val="007F595E"/>
    <w:rsid w:val="007F5BF1"/>
    <w:rsid w:val="007F5D3C"/>
    <w:rsid w:val="007F5E8F"/>
    <w:rsid w:val="007F64ED"/>
    <w:rsid w:val="007F6533"/>
    <w:rsid w:val="007F6923"/>
    <w:rsid w:val="007F69DF"/>
    <w:rsid w:val="007F6A0C"/>
    <w:rsid w:val="007F6C58"/>
    <w:rsid w:val="007F7338"/>
    <w:rsid w:val="007F7814"/>
    <w:rsid w:val="007F7B04"/>
    <w:rsid w:val="007F7BE9"/>
    <w:rsid w:val="008000A6"/>
    <w:rsid w:val="00800330"/>
    <w:rsid w:val="0080073A"/>
    <w:rsid w:val="00800BC0"/>
    <w:rsid w:val="00800C06"/>
    <w:rsid w:val="00800CBB"/>
    <w:rsid w:val="00800CDC"/>
    <w:rsid w:val="00800F2B"/>
    <w:rsid w:val="00800FD8"/>
    <w:rsid w:val="008010F6"/>
    <w:rsid w:val="0080133B"/>
    <w:rsid w:val="0080197F"/>
    <w:rsid w:val="00801C75"/>
    <w:rsid w:val="008022B6"/>
    <w:rsid w:val="008023FC"/>
    <w:rsid w:val="008028FC"/>
    <w:rsid w:val="00802C13"/>
    <w:rsid w:val="008031E7"/>
    <w:rsid w:val="0080327E"/>
    <w:rsid w:val="00803365"/>
    <w:rsid w:val="0080349D"/>
    <w:rsid w:val="008034D5"/>
    <w:rsid w:val="00803532"/>
    <w:rsid w:val="008038EA"/>
    <w:rsid w:val="0080390E"/>
    <w:rsid w:val="00803BBD"/>
    <w:rsid w:val="00803BCE"/>
    <w:rsid w:val="00803DD3"/>
    <w:rsid w:val="008045E8"/>
    <w:rsid w:val="00804913"/>
    <w:rsid w:val="00804B51"/>
    <w:rsid w:val="00805DA3"/>
    <w:rsid w:val="00805E1F"/>
    <w:rsid w:val="008061FD"/>
    <w:rsid w:val="0080651E"/>
    <w:rsid w:val="00806527"/>
    <w:rsid w:val="0080662E"/>
    <w:rsid w:val="008067EF"/>
    <w:rsid w:val="008067FE"/>
    <w:rsid w:val="00806862"/>
    <w:rsid w:val="0080689A"/>
    <w:rsid w:val="008069D8"/>
    <w:rsid w:val="008071FA"/>
    <w:rsid w:val="00807204"/>
    <w:rsid w:val="00807316"/>
    <w:rsid w:val="0080761A"/>
    <w:rsid w:val="00807D37"/>
    <w:rsid w:val="00807F89"/>
    <w:rsid w:val="0081022A"/>
    <w:rsid w:val="00810483"/>
    <w:rsid w:val="008107FB"/>
    <w:rsid w:val="00810804"/>
    <w:rsid w:val="00810B4A"/>
    <w:rsid w:val="00811180"/>
    <w:rsid w:val="0081251A"/>
    <w:rsid w:val="008135D0"/>
    <w:rsid w:val="00813CFA"/>
    <w:rsid w:val="00814096"/>
    <w:rsid w:val="00814130"/>
    <w:rsid w:val="008146EE"/>
    <w:rsid w:val="00814947"/>
    <w:rsid w:val="00814FC7"/>
    <w:rsid w:val="0081526A"/>
    <w:rsid w:val="0081526B"/>
    <w:rsid w:val="008156D3"/>
    <w:rsid w:val="008157EC"/>
    <w:rsid w:val="008159CF"/>
    <w:rsid w:val="00816625"/>
    <w:rsid w:val="00816DFE"/>
    <w:rsid w:val="00816E05"/>
    <w:rsid w:val="008174BE"/>
    <w:rsid w:val="00817CA4"/>
    <w:rsid w:val="0082021D"/>
    <w:rsid w:val="008202C6"/>
    <w:rsid w:val="00820300"/>
    <w:rsid w:val="008204AD"/>
    <w:rsid w:val="0082064A"/>
    <w:rsid w:val="00820750"/>
    <w:rsid w:val="00820E24"/>
    <w:rsid w:val="00820FA4"/>
    <w:rsid w:val="00821040"/>
    <w:rsid w:val="00821070"/>
    <w:rsid w:val="0082128B"/>
    <w:rsid w:val="0082133F"/>
    <w:rsid w:val="008214BB"/>
    <w:rsid w:val="008214F6"/>
    <w:rsid w:val="0082180E"/>
    <w:rsid w:val="00821962"/>
    <w:rsid w:val="00821AB0"/>
    <w:rsid w:val="00821B3F"/>
    <w:rsid w:val="00821DC8"/>
    <w:rsid w:val="0082200B"/>
    <w:rsid w:val="008224C3"/>
    <w:rsid w:val="0082275F"/>
    <w:rsid w:val="00822767"/>
    <w:rsid w:val="00822801"/>
    <w:rsid w:val="008228F2"/>
    <w:rsid w:val="00822ED5"/>
    <w:rsid w:val="00822FEA"/>
    <w:rsid w:val="0082319C"/>
    <w:rsid w:val="00823387"/>
    <w:rsid w:val="0082338D"/>
    <w:rsid w:val="008237F3"/>
    <w:rsid w:val="00823B5C"/>
    <w:rsid w:val="00823D38"/>
    <w:rsid w:val="00823EDF"/>
    <w:rsid w:val="00824540"/>
    <w:rsid w:val="00824A16"/>
    <w:rsid w:val="00824C83"/>
    <w:rsid w:val="00824E3A"/>
    <w:rsid w:val="0082512D"/>
    <w:rsid w:val="008251D4"/>
    <w:rsid w:val="008257DD"/>
    <w:rsid w:val="00825922"/>
    <w:rsid w:val="00825C17"/>
    <w:rsid w:val="00826357"/>
    <w:rsid w:val="00826A73"/>
    <w:rsid w:val="00826B5C"/>
    <w:rsid w:val="00826CF9"/>
    <w:rsid w:val="00826D80"/>
    <w:rsid w:val="00826FC7"/>
    <w:rsid w:val="0082722B"/>
    <w:rsid w:val="0082722D"/>
    <w:rsid w:val="008272B5"/>
    <w:rsid w:val="008278C5"/>
    <w:rsid w:val="0082792B"/>
    <w:rsid w:val="00827A41"/>
    <w:rsid w:val="00827DD0"/>
    <w:rsid w:val="008301E2"/>
    <w:rsid w:val="008303F5"/>
    <w:rsid w:val="0083054F"/>
    <w:rsid w:val="00831062"/>
    <w:rsid w:val="00831330"/>
    <w:rsid w:val="008314A3"/>
    <w:rsid w:val="00831595"/>
    <w:rsid w:val="00831627"/>
    <w:rsid w:val="00831CE5"/>
    <w:rsid w:val="008320BF"/>
    <w:rsid w:val="008324B0"/>
    <w:rsid w:val="00832640"/>
    <w:rsid w:val="00832666"/>
    <w:rsid w:val="0083267B"/>
    <w:rsid w:val="008326B4"/>
    <w:rsid w:val="008327AC"/>
    <w:rsid w:val="00832D40"/>
    <w:rsid w:val="00833167"/>
    <w:rsid w:val="0083322F"/>
    <w:rsid w:val="008333A1"/>
    <w:rsid w:val="00833774"/>
    <w:rsid w:val="008339BB"/>
    <w:rsid w:val="00833C2C"/>
    <w:rsid w:val="00833C3B"/>
    <w:rsid w:val="008341E6"/>
    <w:rsid w:val="008342FF"/>
    <w:rsid w:val="0083439C"/>
    <w:rsid w:val="0083484F"/>
    <w:rsid w:val="00834D2C"/>
    <w:rsid w:val="00835049"/>
    <w:rsid w:val="00835561"/>
    <w:rsid w:val="00835C83"/>
    <w:rsid w:val="00835DF0"/>
    <w:rsid w:val="00835F24"/>
    <w:rsid w:val="00836532"/>
    <w:rsid w:val="00836724"/>
    <w:rsid w:val="0083710F"/>
    <w:rsid w:val="008371BE"/>
    <w:rsid w:val="00837468"/>
    <w:rsid w:val="008374A3"/>
    <w:rsid w:val="00837635"/>
    <w:rsid w:val="008378BB"/>
    <w:rsid w:val="00837AAE"/>
    <w:rsid w:val="00837B18"/>
    <w:rsid w:val="00837F06"/>
    <w:rsid w:val="00840A30"/>
    <w:rsid w:val="00840AA4"/>
    <w:rsid w:val="00840D9D"/>
    <w:rsid w:val="00840E84"/>
    <w:rsid w:val="008415C6"/>
    <w:rsid w:val="008415FA"/>
    <w:rsid w:val="00841650"/>
    <w:rsid w:val="00842463"/>
    <w:rsid w:val="008425B6"/>
    <w:rsid w:val="00842B58"/>
    <w:rsid w:val="00842B97"/>
    <w:rsid w:val="00842F84"/>
    <w:rsid w:val="00842FDC"/>
    <w:rsid w:val="008435AE"/>
    <w:rsid w:val="008437AD"/>
    <w:rsid w:val="008437B8"/>
    <w:rsid w:val="00843D59"/>
    <w:rsid w:val="00844474"/>
    <w:rsid w:val="00844865"/>
    <w:rsid w:val="00844B1A"/>
    <w:rsid w:val="00844DD2"/>
    <w:rsid w:val="00844ED1"/>
    <w:rsid w:val="00845787"/>
    <w:rsid w:val="008458DE"/>
    <w:rsid w:val="008458EE"/>
    <w:rsid w:val="00845A08"/>
    <w:rsid w:val="00845B44"/>
    <w:rsid w:val="00845D96"/>
    <w:rsid w:val="008462D9"/>
    <w:rsid w:val="00846335"/>
    <w:rsid w:val="008464DB"/>
    <w:rsid w:val="00846707"/>
    <w:rsid w:val="00846762"/>
    <w:rsid w:val="0084682E"/>
    <w:rsid w:val="00846A60"/>
    <w:rsid w:val="00846AC0"/>
    <w:rsid w:val="00846B05"/>
    <w:rsid w:val="00846C03"/>
    <w:rsid w:val="00847160"/>
    <w:rsid w:val="00847173"/>
    <w:rsid w:val="00847193"/>
    <w:rsid w:val="0084783D"/>
    <w:rsid w:val="00847A7D"/>
    <w:rsid w:val="00847F0D"/>
    <w:rsid w:val="00847F3F"/>
    <w:rsid w:val="00850D12"/>
    <w:rsid w:val="0085109D"/>
    <w:rsid w:val="0085117C"/>
    <w:rsid w:val="00851211"/>
    <w:rsid w:val="0085155B"/>
    <w:rsid w:val="00852060"/>
    <w:rsid w:val="008527CA"/>
    <w:rsid w:val="008527E8"/>
    <w:rsid w:val="00852E55"/>
    <w:rsid w:val="00852FCD"/>
    <w:rsid w:val="0085334D"/>
    <w:rsid w:val="008533BB"/>
    <w:rsid w:val="00853419"/>
    <w:rsid w:val="008536F6"/>
    <w:rsid w:val="008539C9"/>
    <w:rsid w:val="00853FD0"/>
    <w:rsid w:val="008541E4"/>
    <w:rsid w:val="00854341"/>
    <w:rsid w:val="00854939"/>
    <w:rsid w:val="00854BD7"/>
    <w:rsid w:val="00854E3A"/>
    <w:rsid w:val="0085536B"/>
    <w:rsid w:val="008557BB"/>
    <w:rsid w:val="00856232"/>
    <w:rsid w:val="00856453"/>
    <w:rsid w:val="00856677"/>
    <w:rsid w:val="008568CC"/>
    <w:rsid w:val="00856950"/>
    <w:rsid w:val="00856BF6"/>
    <w:rsid w:val="00856FC3"/>
    <w:rsid w:val="008572FE"/>
    <w:rsid w:val="00857505"/>
    <w:rsid w:val="00857782"/>
    <w:rsid w:val="008579E2"/>
    <w:rsid w:val="00857E31"/>
    <w:rsid w:val="0086019E"/>
    <w:rsid w:val="00860558"/>
    <w:rsid w:val="0086089A"/>
    <w:rsid w:val="00860B28"/>
    <w:rsid w:val="00860B81"/>
    <w:rsid w:val="00860BCF"/>
    <w:rsid w:val="00860DC3"/>
    <w:rsid w:val="00860F19"/>
    <w:rsid w:val="00860F1E"/>
    <w:rsid w:val="00860F32"/>
    <w:rsid w:val="00860FD0"/>
    <w:rsid w:val="00861418"/>
    <w:rsid w:val="0086149C"/>
    <w:rsid w:val="008619AB"/>
    <w:rsid w:val="00861BB1"/>
    <w:rsid w:val="00861DC1"/>
    <w:rsid w:val="008622C2"/>
    <w:rsid w:val="00862618"/>
    <w:rsid w:val="00862889"/>
    <w:rsid w:val="00863F2B"/>
    <w:rsid w:val="00864082"/>
    <w:rsid w:val="0086419A"/>
    <w:rsid w:val="008641F9"/>
    <w:rsid w:val="00864379"/>
    <w:rsid w:val="008647A2"/>
    <w:rsid w:val="00864AF4"/>
    <w:rsid w:val="00864CB7"/>
    <w:rsid w:val="00864E37"/>
    <w:rsid w:val="00865119"/>
    <w:rsid w:val="00865393"/>
    <w:rsid w:val="008654E7"/>
    <w:rsid w:val="00865F12"/>
    <w:rsid w:val="00866A3B"/>
    <w:rsid w:val="00866CE1"/>
    <w:rsid w:val="00866EA7"/>
    <w:rsid w:val="00867139"/>
    <w:rsid w:val="00867511"/>
    <w:rsid w:val="008676FA"/>
    <w:rsid w:val="00867890"/>
    <w:rsid w:val="00867B43"/>
    <w:rsid w:val="008701A0"/>
    <w:rsid w:val="0087023B"/>
    <w:rsid w:val="008703C2"/>
    <w:rsid w:val="008703F0"/>
    <w:rsid w:val="008703F6"/>
    <w:rsid w:val="00870472"/>
    <w:rsid w:val="008707B5"/>
    <w:rsid w:val="00870942"/>
    <w:rsid w:val="00870D69"/>
    <w:rsid w:val="00870F08"/>
    <w:rsid w:val="0087100B"/>
    <w:rsid w:val="0087114C"/>
    <w:rsid w:val="00871473"/>
    <w:rsid w:val="008718BD"/>
    <w:rsid w:val="00871BA1"/>
    <w:rsid w:val="00871DAE"/>
    <w:rsid w:val="00871F0A"/>
    <w:rsid w:val="00871F43"/>
    <w:rsid w:val="00872131"/>
    <w:rsid w:val="0087281E"/>
    <w:rsid w:val="00872BFE"/>
    <w:rsid w:val="0087310A"/>
    <w:rsid w:val="008732C4"/>
    <w:rsid w:val="0087348C"/>
    <w:rsid w:val="008735E7"/>
    <w:rsid w:val="00873719"/>
    <w:rsid w:val="008739AF"/>
    <w:rsid w:val="00873E3A"/>
    <w:rsid w:val="008745C0"/>
    <w:rsid w:val="008748C5"/>
    <w:rsid w:val="00875056"/>
    <w:rsid w:val="0087506A"/>
    <w:rsid w:val="00875086"/>
    <w:rsid w:val="008754BC"/>
    <w:rsid w:val="0087595B"/>
    <w:rsid w:val="00876748"/>
    <w:rsid w:val="00876DFA"/>
    <w:rsid w:val="00876EB5"/>
    <w:rsid w:val="008771C3"/>
    <w:rsid w:val="00877661"/>
    <w:rsid w:val="0087773B"/>
    <w:rsid w:val="00877827"/>
    <w:rsid w:val="00877A29"/>
    <w:rsid w:val="00880243"/>
    <w:rsid w:val="008802FE"/>
    <w:rsid w:val="00880488"/>
    <w:rsid w:val="0088075D"/>
    <w:rsid w:val="0088098E"/>
    <w:rsid w:val="008809F4"/>
    <w:rsid w:val="00880AE8"/>
    <w:rsid w:val="00880F02"/>
    <w:rsid w:val="0088154E"/>
    <w:rsid w:val="00881CC1"/>
    <w:rsid w:val="00882112"/>
    <w:rsid w:val="008822CA"/>
    <w:rsid w:val="00882319"/>
    <w:rsid w:val="00882326"/>
    <w:rsid w:val="008828E3"/>
    <w:rsid w:val="0088294F"/>
    <w:rsid w:val="008829BC"/>
    <w:rsid w:val="00882D7D"/>
    <w:rsid w:val="00882FD9"/>
    <w:rsid w:val="008832C6"/>
    <w:rsid w:val="008834CA"/>
    <w:rsid w:val="00883B90"/>
    <w:rsid w:val="00883F70"/>
    <w:rsid w:val="00884060"/>
    <w:rsid w:val="008844F5"/>
    <w:rsid w:val="008845F7"/>
    <w:rsid w:val="00884845"/>
    <w:rsid w:val="0088496C"/>
    <w:rsid w:val="008849FA"/>
    <w:rsid w:val="00884B04"/>
    <w:rsid w:val="00884F28"/>
    <w:rsid w:val="0088568C"/>
    <w:rsid w:val="00886318"/>
    <w:rsid w:val="0088657B"/>
    <w:rsid w:val="00886863"/>
    <w:rsid w:val="00886939"/>
    <w:rsid w:val="00886E37"/>
    <w:rsid w:val="008870EB"/>
    <w:rsid w:val="008871B3"/>
    <w:rsid w:val="00887486"/>
    <w:rsid w:val="0088749F"/>
    <w:rsid w:val="0088759A"/>
    <w:rsid w:val="00887702"/>
    <w:rsid w:val="00887A7E"/>
    <w:rsid w:val="00887FEC"/>
    <w:rsid w:val="00890388"/>
    <w:rsid w:val="008903E0"/>
    <w:rsid w:val="00890542"/>
    <w:rsid w:val="00890C67"/>
    <w:rsid w:val="00890E45"/>
    <w:rsid w:val="00890FFF"/>
    <w:rsid w:val="008913C1"/>
    <w:rsid w:val="008914E6"/>
    <w:rsid w:val="00891678"/>
    <w:rsid w:val="00891694"/>
    <w:rsid w:val="008917D4"/>
    <w:rsid w:val="008918BE"/>
    <w:rsid w:val="008922D7"/>
    <w:rsid w:val="00892651"/>
    <w:rsid w:val="00892F22"/>
    <w:rsid w:val="008935CD"/>
    <w:rsid w:val="0089372C"/>
    <w:rsid w:val="00893A20"/>
    <w:rsid w:val="00893AB8"/>
    <w:rsid w:val="00893B52"/>
    <w:rsid w:val="00893C51"/>
    <w:rsid w:val="00893C65"/>
    <w:rsid w:val="00893DE1"/>
    <w:rsid w:val="0089438B"/>
    <w:rsid w:val="00894863"/>
    <w:rsid w:val="00894A65"/>
    <w:rsid w:val="00895518"/>
    <w:rsid w:val="00895B8D"/>
    <w:rsid w:val="00895C1B"/>
    <w:rsid w:val="00895EA8"/>
    <w:rsid w:val="00895FD5"/>
    <w:rsid w:val="00896121"/>
    <w:rsid w:val="0089667D"/>
    <w:rsid w:val="00896746"/>
    <w:rsid w:val="0089678E"/>
    <w:rsid w:val="00896A17"/>
    <w:rsid w:val="00896DEB"/>
    <w:rsid w:val="00896EF2"/>
    <w:rsid w:val="00897777"/>
    <w:rsid w:val="00897844"/>
    <w:rsid w:val="008A01F4"/>
    <w:rsid w:val="008A0353"/>
    <w:rsid w:val="008A037C"/>
    <w:rsid w:val="008A03E3"/>
    <w:rsid w:val="008A073C"/>
    <w:rsid w:val="008A086D"/>
    <w:rsid w:val="008A08BF"/>
    <w:rsid w:val="008A090B"/>
    <w:rsid w:val="008A0CD5"/>
    <w:rsid w:val="008A0F38"/>
    <w:rsid w:val="008A1467"/>
    <w:rsid w:val="008A157F"/>
    <w:rsid w:val="008A179F"/>
    <w:rsid w:val="008A1955"/>
    <w:rsid w:val="008A1E30"/>
    <w:rsid w:val="008A1E7A"/>
    <w:rsid w:val="008A1EA4"/>
    <w:rsid w:val="008A1FAC"/>
    <w:rsid w:val="008A260B"/>
    <w:rsid w:val="008A2AB8"/>
    <w:rsid w:val="008A2E86"/>
    <w:rsid w:val="008A30CA"/>
    <w:rsid w:val="008A320F"/>
    <w:rsid w:val="008A35CB"/>
    <w:rsid w:val="008A36E4"/>
    <w:rsid w:val="008A38FC"/>
    <w:rsid w:val="008A391B"/>
    <w:rsid w:val="008A3A42"/>
    <w:rsid w:val="008A3FAA"/>
    <w:rsid w:val="008A4030"/>
    <w:rsid w:val="008A4517"/>
    <w:rsid w:val="008A4F73"/>
    <w:rsid w:val="008A562C"/>
    <w:rsid w:val="008A5756"/>
    <w:rsid w:val="008A57B9"/>
    <w:rsid w:val="008A58FE"/>
    <w:rsid w:val="008A63CD"/>
    <w:rsid w:val="008A695D"/>
    <w:rsid w:val="008A6A49"/>
    <w:rsid w:val="008A6ADF"/>
    <w:rsid w:val="008A6C2E"/>
    <w:rsid w:val="008A727F"/>
    <w:rsid w:val="008A7299"/>
    <w:rsid w:val="008A74DA"/>
    <w:rsid w:val="008A76A6"/>
    <w:rsid w:val="008A7967"/>
    <w:rsid w:val="008A7A54"/>
    <w:rsid w:val="008A7A92"/>
    <w:rsid w:val="008A7CDB"/>
    <w:rsid w:val="008B0864"/>
    <w:rsid w:val="008B0A53"/>
    <w:rsid w:val="008B0AA7"/>
    <w:rsid w:val="008B0C16"/>
    <w:rsid w:val="008B0F5A"/>
    <w:rsid w:val="008B175A"/>
    <w:rsid w:val="008B1B5D"/>
    <w:rsid w:val="008B2257"/>
    <w:rsid w:val="008B27DB"/>
    <w:rsid w:val="008B2AFB"/>
    <w:rsid w:val="008B2B5F"/>
    <w:rsid w:val="008B3027"/>
    <w:rsid w:val="008B352E"/>
    <w:rsid w:val="008B3901"/>
    <w:rsid w:val="008B3E14"/>
    <w:rsid w:val="008B4652"/>
    <w:rsid w:val="008B470F"/>
    <w:rsid w:val="008B47C7"/>
    <w:rsid w:val="008B4987"/>
    <w:rsid w:val="008B4B0A"/>
    <w:rsid w:val="008B5213"/>
    <w:rsid w:val="008B5313"/>
    <w:rsid w:val="008B5EAB"/>
    <w:rsid w:val="008B611E"/>
    <w:rsid w:val="008B6148"/>
    <w:rsid w:val="008B63B7"/>
    <w:rsid w:val="008B6B41"/>
    <w:rsid w:val="008B6D02"/>
    <w:rsid w:val="008B7188"/>
    <w:rsid w:val="008B749F"/>
    <w:rsid w:val="008B77F4"/>
    <w:rsid w:val="008B7979"/>
    <w:rsid w:val="008B7B63"/>
    <w:rsid w:val="008B7F6C"/>
    <w:rsid w:val="008C0539"/>
    <w:rsid w:val="008C082C"/>
    <w:rsid w:val="008C09B7"/>
    <w:rsid w:val="008C09E1"/>
    <w:rsid w:val="008C0A84"/>
    <w:rsid w:val="008C0D72"/>
    <w:rsid w:val="008C0E68"/>
    <w:rsid w:val="008C0FCB"/>
    <w:rsid w:val="008C16C9"/>
    <w:rsid w:val="008C1893"/>
    <w:rsid w:val="008C2140"/>
    <w:rsid w:val="008C216B"/>
    <w:rsid w:val="008C25BC"/>
    <w:rsid w:val="008C26E1"/>
    <w:rsid w:val="008C2767"/>
    <w:rsid w:val="008C276B"/>
    <w:rsid w:val="008C2D7A"/>
    <w:rsid w:val="008C303F"/>
    <w:rsid w:val="008C30C6"/>
    <w:rsid w:val="008C32FD"/>
    <w:rsid w:val="008C339C"/>
    <w:rsid w:val="008C352A"/>
    <w:rsid w:val="008C37E5"/>
    <w:rsid w:val="008C3CB7"/>
    <w:rsid w:val="008C3E36"/>
    <w:rsid w:val="008C41C0"/>
    <w:rsid w:val="008C4776"/>
    <w:rsid w:val="008C4D78"/>
    <w:rsid w:val="008C4E65"/>
    <w:rsid w:val="008C5368"/>
    <w:rsid w:val="008C550D"/>
    <w:rsid w:val="008C57C6"/>
    <w:rsid w:val="008C5E0F"/>
    <w:rsid w:val="008C5EB6"/>
    <w:rsid w:val="008C638E"/>
    <w:rsid w:val="008C6F29"/>
    <w:rsid w:val="008C7413"/>
    <w:rsid w:val="008C7807"/>
    <w:rsid w:val="008C7A50"/>
    <w:rsid w:val="008D091A"/>
    <w:rsid w:val="008D0C6E"/>
    <w:rsid w:val="008D1151"/>
    <w:rsid w:val="008D11BE"/>
    <w:rsid w:val="008D16B7"/>
    <w:rsid w:val="008D18C0"/>
    <w:rsid w:val="008D1DE7"/>
    <w:rsid w:val="008D1E0F"/>
    <w:rsid w:val="008D263B"/>
    <w:rsid w:val="008D271D"/>
    <w:rsid w:val="008D2CFC"/>
    <w:rsid w:val="008D340A"/>
    <w:rsid w:val="008D3680"/>
    <w:rsid w:val="008D3F26"/>
    <w:rsid w:val="008D4374"/>
    <w:rsid w:val="008D4442"/>
    <w:rsid w:val="008D485D"/>
    <w:rsid w:val="008D4B5B"/>
    <w:rsid w:val="008D4FD6"/>
    <w:rsid w:val="008D5072"/>
    <w:rsid w:val="008D50D4"/>
    <w:rsid w:val="008D5620"/>
    <w:rsid w:val="008D5891"/>
    <w:rsid w:val="008D5962"/>
    <w:rsid w:val="008D59DE"/>
    <w:rsid w:val="008D5A04"/>
    <w:rsid w:val="008D5C17"/>
    <w:rsid w:val="008D5E11"/>
    <w:rsid w:val="008D5EC8"/>
    <w:rsid w:val="008D63FD"/>
    <w:rsid w:val="008D65AE"/>
    <w:rsid w:val="008D65B1"/>
    <w:rsid w:val="008D67A9"/>
    <w:rsid w:val="008D72B3"/>
    <w:rsid w:val="008D74A8"/>
    <w:rsid w:val="008D760C"/>
    <w:rsid w:val="008D7637"/>
    <w:rsid w:val="008D76BA"/>
    <w:rsid w:val="008D76D2"/>
    <w:rsid w:val="008D7EFE"/>
    <w:rsid w:val="008D7F93"/>
    <w:rsid w:val="008E026B"/>
    <w:rsid w:val="008E04B2"/>
    <w:rsid w:val="008E0C97"/>
    <w:rsid w:val="008E0DA8"/>
    <w:rsid w:val="008E145B"/>
    <w:rsid w:val="008E14DD"/>
    <w:rsid w:val="008E1CD7"/>
    <w:rsid w:val="008E1E19"/>
    <w:rsid w:val="008E2128"/>
    <w:rsid w:val="008E2533"/>
    <w:rsid w:val="008E2A44"/>
    <w:rsid w:val="008E31AC"/>
    <w:rsid w:val="008E33BC"/>
    <w:rsid w:val="008E380E"/>
    <w:rsid w:val="008E3CB6"/>
    <w:rsid w:val="008E3E55"/>
    <w:rsid w:val="008E3ED1"/>
    <w:rsid w:val="008E4143"/>
    <w:rsid w:val="008E4257"/>
    <w:rsid w:val="008E43F0"/>
    <w:rsid w:val="008E4496"/>
    <w:rsid w:val="008E460F"/>
    <w:rsid w:val="008E4897"/>
    <w:rsid w:val="008E4925"/>
    <w:rsid w:val="008E50B9"/>
    <w:rsid w:val="008E535D"/>
    <w:rsid w:val="008E555F"/>
    <w:rsid w:val="008E5BDA"/>
    <w:rsid w:val="008E5C54"/>
    <w:rsid w:val="008E5E20"/>
    <w:rsid w:val="008E6028"/>
    <w:rsid w:val="008E6160"/>
    <w:rsid w:val="008E67C2"/>
    <w:rsid w:val="008E67D2"/>
    <w:rsid w:val="008E68A6"/>
    <w:rsid w:val="008E6AE6"/>
    <w:rsid w:val="008E6AEC"/>
    <w:rsid w:val="008E6DCF"/>
    <w:rsid w:val="008E6E78"/>
    <w:rsid w:val="008E702B"/>
    <w:rsid w:val="008E7158"/>
    <w:rsid w:val="008E71B7"/>
    <w:rsid w:val="008E7385"/>
    <w:rsid w:val="008E73E2"/>
    <w:rsid w:val="008E748F"/>
    <w:rsid w:val="008E770D"/>
    <w:rsid w:val="008E77B0"/>
    <w:rsid w:val="008E7959"/>
    <w:rsid w:val="008F00ED"/>
    <w:rsid w:val="008F00F2"/>
    <w:rsid w:val="008F0102"/>
    <w:rsid w:val="008F0116"/>
    <w:rsid w:val="008F01FF"/>
    <w:rsid w:val="008F0526"/>
    <w:rsid w:val="008F058A"/>
    <w:rsid w:val="008F0848"/>
    <w:rsid w:val="008F0ACB"/>
    <w:rsid w:val="008F0D3B"/>
    <w:rsid w:val="008F0D55"/>
    <w:rsid w:val="008F0ED0"/>
    <w:rsid w:val="008F0F13"/>
    <w:rsid w:val="008F12A1"/>
    <w:rsid w:val="008F143D"/>
    <w:rsid w:val="008F1F40"/>
    <w:rsid w:val="008F25F4"/>
    <w:rsid w:val="008F2A5C"/>
    <w:rsid w:val="008F2F3E"/>
    <w:rsid w:val="008F34A9"/>
    <w:rsid w:val="008F356E"/>
    <w:rsid w:val="008F3654"/>
    <w:rsid w:val="008F378B"/>
    <w:rsid w:val="008F388E"/>
    <w:rsid w:val="008F3959"/>
    <w:rsid w:val="008F44D8"/>
    <w:rsid w:val="008F4905"/>
    <w:rsid w:val="008F4DDA"/>
    <w:rsid w:val="008F4F3A"/>
    <w:rsid w:val="008F52A7"/>
    <w:rsid w:val="008F5ADB"/>
    <w:rsid w:val="008F5AFA"/>
    <w:rsid w:val="008F5C1F"/>
    <w:rsid w:val="008F6087"/>
    <w:rsid w:val="008F62D8"/>
    <w:rsid w:val="008F6486"/>
    <w:rsid w:val="008F6523"/>
    <w:rsid w:val="008F69E2"/>
    <w:rsid w:val="008F69E3"/>
    <w:rsid w:val="008F6C26"/>
    <w:rsid w:val="008F6EB6"/>
    <w:rsid w:val="008F706C"/>
    <w:rsid w:val="008F7E09"/>
    <w:rsid w:val="008F7ED0"/>
    <w:rsid w:val="0090035E"/>
    <w:rsid w:val="009005A8"/>
    <w:rsid w:val="00900AB3"/>
    <w:rsid w:val="00900B54"/>
    <w:rsid w:val="00900BAA"/>
    <w:rsid w:val="00900CAF"/>
    <w:rsid w:val="00900D90"/>
    <w:rsid w:val="00900DCF"/>
    <w:rsid w:val="00900FD4"/>
    <w:rsid w:val="00900FEB"/>
    <w:rsid w:val="00901598"/>
    <w:rsid w:val="00901AD2"/>
    <w:rsid w:val="00901DA1"/>
    <w:rsid w:val="00901EEA"/>
    <w:rsid w:val="0090200E"/>
    <w:rsid w:val="00902569"/>
    <w:rsid w:val="00902721"/>
    <w:rsid w:val="00902BC7"/>
    <w:rsid w:val="00902C50"/>
    <w:rsid w:val="00902CD4"/>
    <w:rsid w:val="00902D98"/>
    <w:rsid w:val="009030C1"/>
    <w:rsid w:val="0090387A"/>
    <w:rsid w:val="00903940"/>
    <w:rsid w:val="009039D7"/>
    <w:rsid w:val="00903A68"/>
    <w:rsid w:val="00903BA9"/>
    <w:rsid w:val="00903C05"/>
    <w:rsid w:val="00903CA8"/>
    <w:rsid w:val="00903F7D"/>
    <w:rsid w:val="009046C7"/>
    <w:rsid w:val="009048A6"/>
    <w:rsid w:val="00904D5A"/>
    <w:rsid w:val="00904E1D"/>
    <w:rsid w:val="00904E49"/>
    <w:rsid w:val="00904F7F"/>
    <w:rsid w:val="009051E0"/>
    <w:rsid w:val="00905210"/>
    <w:rsid w:val="0090595A"/>
    <w:rsid w:val="00905D05"/>
    <w:rsid w:val="00905E2D"/>
    <w:rsid w:val="00905F6B"/>
    <w:rsid w:val="009068D1"/>
    <w:rsid w:val="00906BAA"/>
    <w:rsid w:val="00906F93"/>
    <w:rsid w:val="009073B4"/>
    <w:rsid w:val="0090746C"/>
    <w:rsid w:val="00907934"/>
    <w:rsid w:val="0090798D"/>
    <w:rsid w:val="009079A2"/>
    <w:rsid w:val="00907F0B"/>
    <w:rsid w:val="0091033A"/>
    <w:rsid w:val="0091039F"/>
    <w:rsid w:val="00910726"/>
    <w:rsid w:val="00910779"/>
    <w:rsid w:val="00911006"/>
    <w:rsid w:val="00911269"/>
    <w:rsid w:val="009113A6"/>
    <w:rsid w:val="009117A9"/>
    <w:rsid w:val="00911E29"/>
    <w:rsid w:val="00912B71"/>
    <w:rsid w:val="00913215"/>
    <w:rsid w:val="00913BDC"/>
    <w:rsid w:val="00913D33"/>
    <w:rsid w:val="00913E0B"/>
    <w:rsid w:val="00913F86"/>
    <w:rsid w:val="0091442E"/>
    <w:rsid w:val="00914945"/>
    <w:rsid w:val="00915430"/>
    <w:rsid w:val="009155C5"/>
    <w:rsid w:val="00915891"/>
    <w:rsid w:val="009158BF"/>
    <w:rsid w:val="009158C0"/>
    <w:rsid w:val="00915AE3"/>
    <w:rsid w:val="00915B1F"/>
    <w:rsid w:val="00915C7F"/>
    <w:rsid w:val="0091603A"/>
    <w:rsid w:val="00916072"/>
    <w:rsid w:val="009160E6"/>
    <w:rsid w:val="0091627B"/>
    <w:rsid w:val="00916A47"/>
    <w:rsid w:val="00916EFC"/>
    <w:rsid w:val="00916FFF"/>
    <w:rsid w:val="009176E0"/>
    <w:rsid w:val="00917859"/>
    <w:rsid w:val="00917ACA"/>
    <w:rsid w:val="00917D26"/>
    <w:rsid w:val="00917EFC"/>
    <w:rsid w:val="009200A2"/>
    <w:rsid w:val="009210CC"/>
    <w:rsid w:val="009212E2"/>
    <w:rsid w:val="0092131C"/>
    <w:rsid w:val="00921444"/>
    <w:rsid w:val="00921782"/>
    <w:rsid w:val="00921874"/>
    <w:rsid w:val="00921A53"/>
    <w:rsid w:val="00921BD6"/>
    <w:rsid w:val="00921CAA"/>
    <w:rsid w:val="00921DB9"/>
    <w:rsid w:val="00921E04"/>
    <w:rsid w:val="00921F30"/>
    <w:rsid w:val="00922015"/>
    <w:rsid w:val="00922374"/>
    <w:rsid w:val="009223E2"/>
    <w:rsid w:val="00922635"/>
    <w:rsid w:val="009232A6"/>
    <w:rsid w:val="00923955"/>
    <w:rsid w:val="00923B49"/>
    <w:rsid w:val="00923DA4"/>
    <w:rsid w:val="00924006"/>
    <w:rsid w:val="0092466A"/>
    <w:rsid w:val="00924780"/>
    <w:rsid w:val="0092523D"/>
    <w:rsid w:val="009252DE"/>
    <w:rsid w:val="009255F3"/>
    <w:rsid w:val="00925803"/>
    <w:rsid w:val="00925B11"/>
    <w:rsid w:val="00925C9C"/>
    <w:rsid w:val="00926086"/>
    <w:rsid w:val="009260A4"/>
    <w:rsid w:val="00926424"/>
    <w:rsid w:val="0092647F"/>
    <w:rsid w:val="009265E5"/>
    <w:rsid w:val="00926898"/>
    <w:rsid w:val="00926A16"/>
    <w:rsid w:val="009275B5"/>
    <w:rsid w:val="00927909"/>
    <w:rsid w:val="00927AAD"/>
    <w:rsid w:val="00927B59"/>
    <w:rsid w:val="00927DD1"/>
    <w:rsid w:val="0093087A"/>
    <w:rsid w:val="00930ACA"/>
    <w:rsid w:val="00930B57"/>
    <w:rsid w:val="00930DD7"/>
    <w:rsid w:val="00931134"/>
    <w:rsid w:val="00931403"/>
    <w:rsid w:val="0093147B"/>
    <w:rsid w:val="00931A80"/>
    <w:rsid w:val="00931C04"/>
    <w:rsid w:val="00931D00"/>
    <w:rsid w:val="0093214E"/>
    <w:rsid w:val="0093240C"/>
    <w:rsid w:val="009325A1"/>
    <w:rsid w:val="00932865"/>
    <w:rsid w:val="00932984"/>
    <w:rsid w:val="00932B7D"/>
    <w:rsid w:val="00933083"/>
    <w:rsid w:val="00933576"/>
    <w:rsid w:val="00933745"/>
    <w:rsid w:val="00933ADD"/>
    <w:rsid w:val="00933BF1"/>
    <w:rsid w:val="00933C20"/>
    <w:rsid w:val="00933DC1"/>
    <w:rsid w:val="00933E37"/>
    <w:rsid w:val="00933F62"/>
    <w:rsid w:val="00934245"/>
    <w:rsid w:val="009343E1"/>
    <w:rsid w:val="009347E6"/>
    <w:rsid w:val="009348F1"/>
    <w:rsid w:val="00934D3E"/>
    <w:rsid w:val="00934DF0"/>
    <w:rsid w:val="00935404"/>
    <w:rsid w:val="0093540C"/>
    <w:rsid w:val="009358DD"/>
    <w:rsid w:val="00935AF9"/>
    <w:rsid w:val="00935B51"/>
    <w:rsid w:val="00935E25"/>
    <w:rsid w:val="00936211"/>
    <w:rsid w:val="009362D4"/>
    <w:rsid w:val="009364EC"/>
    <w:rsid w:val="00936BB2"/>
    <w:rsid w:val="00936BFA"/>
    <w:rsid w:val="00936C49"/>
    <w:rsid w:val="00936CC5"/>
    <w:rsid w:val="009370C6"/>
    <w:rsid w:val="009376E7"/>
    <w:rsid w:val="00937998"/>
    <w:rsid w:val="00937F92"/>
    <w:rsid w:val="0094034F"/>
    <w:rsid w:val="00940DB6"/>
    <w:rsid w:val="00940DF9"/>
    <w:rsid w:val="00940EBD"/>
    <w:rsid w:val="00940EC9"/>
    <w:rsid w:val="00940F5F"/>
    <w:rsid w:val="00941303"/>
    <w:rsid w:val="00941B88"/>
    <w:rsid w:val="00941DE3"/>
    <w:rsid w:val="00941FD5"/>
    <w:rsid w:val="00942136"/>
    <w:rsid w:val="00942C98"/>
    <w:rsid w:val="00942E6F"/>
    <w:rsid w:val="00942F03"/>
    <w:rsid w:val="00943790"/>
    <w:rsid w:val="0094386A"/>
    <w:rsid w:val="00943904"/>
    <w:rsid w:val="00943A52"/>
    <w:rsid w:val="00943F24"/>
    <w:rsid w:val="009441B9"/>
    <w:rsid w:val="00945019"/>
    <w:rsid w:val="009455CE"/>
    <w:rsid w:val="00945909"/>
    <w:rsid w:val="009459DD"/>
    <w:rsid w:val="00945B44"/>
    <w:rsid w:val="00945C48"/>
    <w:rsid w:val="00945D5B"/>
    <w:rsid w:val="00945FE6"/>
    <w:rsid w:val="00945FF2"/>
    <w:rsid w:val="009460C8"/>
    <w:rsid w:val="009461E7"/>
    <w:rsid w:val="00946312"/>
    <w:rsid w:val="0094637F"/>
    <w:rsid w:val="0094640E"/>
    <w:rsid w:val="0094645B"/>
    <w:rsid w:val="00946C94"/>
    <w:rsid w:val="00947409"/>
    <w:rsid w:val="00947578"/>
    <w:rsid w:val="0094769D"/>
    <w:rsid w:val="00947839"/>
    <w:rsid w:val="009478DF"/>
    <w:rsid w:val="00947D63"/>
    <w:rsid w:val="00950208"/>
    <w:rsid w:val="0095025C"/>
    <w:rsid w:val="00950531"/>
    <w:rsid w:val="00950649"/>
    <w:rsid w:val="009507EC"/>
    <w:rsid w:val="0095082A"/>
    <w:rsid w:val="00950900"/>
    <w:rsid w:val="00950BCE"/>
    <w:rsid w:val="00950CDA"/>
    <w:rsid w:val="00950D22"/>
    <w:rsid w:val="00950D83"/>
    <w:rsid w:val="00951079"/>
    <w:rsid w:val="0095139B"/>
    <w:rsid w:val="009514DF"/>
    <w:rsid w:val="009516A1"/>
    <w:rsid w:val="009518F0"/>
    <w:rsid w:val="00951B90"/>
    <w:rsid w:val="009522D1"/>
    <w:rsid w:val="009522E1"/>
    <w:rsid w:val="00952DAE"/>
    <w:rsid w:val="00952E29"/>
    <w:rsid w:val="009535BD"/>
    <w:rsid w:val="009535DE"/>
    <w:rsid w:val="00953702"/>
    <w:rsid w:val="00953A15"/>
    <w:rsid w:val="00953DA2"/>
    <w:rsid w:val="00953EFB"/>
    <w:rsid w:val="00953F41"/>
    <w:rsid w:val="00954091"/>
    <w:rsid w:val="00954187"/>
    <w:rsid w:val="009550FB"/>
    <w:rsid w:val="009551D3"/>
    <w:rsid w:val="0095557D"/>
    <w:rsid w:val="00955584"/>
    <w:rsid w:val="009556F5"/>
    <w:rsid w:val="0095578F"/>
    <w:rsid w:val="00955BB3"/>
    <w:rsid w:val="00955C99"/>
    <w:rsid w:val="0095610D"/>
    <w:rsid w:val="009561A1"/>
    <w:rsid w:val="00956423"/>
    <w:rsid w:val="009567EA"/>
    <w:rsid w:val="009567FC"/>
    <w:rsid w:val="009568CF"/>
    <w:rsid w:val="00956CD4"/>
    <w:rsid w:val="009571CB"/>
    <w:rsid w:val="00957575"/>
    <w:rsid w:val="0095770E"/>
    <w:rsid w:val="00957729"/>
    <w:rsid w:val="009579AC"/>
    <w:rsid w:val="00957BEC"/>
    <w:rsid w:val="00957C4C"/>
    <w:rsid w:val="00957EF9"/>
    <w:rsid w:val="009600DA"/>
    <w:rsid w:val="009600EE"/>
    <w:rsid w:val="009605E8"/>
    <w:rsid w:val="0096075E"/>
    <w:rsid w:val="009608F7"/>
    <w:rsid w:val="00960BF5"/>
    <w:rsid w:val="00960E22"/>
    <w:rsid w:val="0096134C"/>
    <w:rsid w:val="00961368"/>
    <w:rsid w:val="00961631"/>
    <w:rsid w:val="00961659"/>
    <w:rsid w:val="00961749"/>
    <w:rsid w:val="00961763"/>
    <w:rsid w:val="009618C4"/>
    <w:rsid w:val="00961A5D"/>
    <w:rsid w:val="00961D30"/>
    <w:rsid w:val="00961D5E"/>
    <w:rsid w:val="00961F8A"/>
    <w:rsid w:val="00962036"/>
    <w:rsid w:val="009623CA"/>
    <w:rsid w:val="00962694"/>
    <w:rsid w:val="009626E1"/>
    <w:rsid w:val="00962ACB"/>
    <w:rsid w:val="00962B47"/>
    <w:rsid w:val="00962B75"/>
    <w:rsid w:val="009631BC"/>
    <w:rsid w:val="0096349D"/>
    <w:rsid w:val="00964156"/>
    <w:rsid w:val="0096417D"/>
    <w:rsid w:val="00964960"/>
    <w:rsid w:val="009650B5"/>
    <w:rsid w:val="0096527D"/>
    <w:rsid w:val="00965C99"/>
    <w:rsid w:val="00965D5A"/>
    <w:rsid w:val="00965DF9"/>
    <w:rsid w:val="0096640C"/>
    <w:rsid w:val="009666E1"/>
    <w:rsid w:val="0096673A"/>
    <w:rsid w:val="00966880"/>
    <w:rsid w:val="00966945"/>
    <w:rsid w:val="00966DF2"/>
    <w:rsid w:val="00966F51"/>
    <w:rsid w:val="009672BD"/>
    <w:rsid w:val="00967470"/>
    <w:rsid w:val="0096778D"/>
    <w:rsid w:val="009679F8"/>
    <w:rsid w:val="00967B62"/>
    <w:rsid w:val="00967C08"/>
    <w:rsid w:val="00967CBC"/>
    <w:rsid w:val="0096878C"/>
    <w:rsid w:val="009702FB"/>
    <w:rsid w:val="009703DC"/>
    <w:rsid w:val="00970CB2"/>
    <w:rsid w:val="00970DED"/>
    <w:rsid w:val="00970EA0"/>
    <w:rsid w:val="00970EAE"/>
    <w:rsid w:val="00970FB5"/>
    <w:rsid w:val="009712DD"/>
    <w:rsid w:val="0097158F"/>
    <w:rsid w:val="00971B6B"/>
    <w:rsid w:val="00971BB8"/>
    <w:rsid w:val="00971D99"/>
    <w:rsid w:val="00971DDF"/>
    <w:rsid w:val="00972160"/>
    <w:rsid w:val="009722FB"/>
    <w:rsid w:val="009723E7"/>
    <w:rsid w:val="009723F7"/>
    <w:rsid w:val="00972EA7"/>
    <w:rsid w:val="00972FA9"/>
    <w:rsid w:val="00972FE2"/>
    <w:rsid w:val="00973742"/>
    <w:rsid w:val="00973835"/>
    <w:rsid w:val="00973EBB"/>
    <w:rsid w:val="00973FE8"/>
    <w:rsid w:val="009742CB"/>
    <w:rsid w:val="00974766"/>
    <w:rsid w:val="00974823"/>
    <w:rsid w:val="00974981"/>
    <w:rsid w:val="00974A27"/>
    <w:rsid w:val="009754D5"/>
    <w:rsid w:val="0097574E"/>
    <w:rsid w:val="00975C82"/>
    <w:rsid w:val="00976618"/>
    <w:rsid w:val="00976B7F"/>
    <w:rsid w:val="00976CAB"/>
    <w:rsid w:val="00976E76"/>
    <w:rsid w:val="009774BE"/>
    <w:rsid w:val="009775BD"/>
    <w:rsid w:val="009776F5"/>
    <w:rsid w:val="00977B51"/>
    <w:rsid w:val="009805B0"/>
    <w:rsid w:val="00980B09"/>
    <w:rsid w:val="0098138E"/>
    <w:rsid w:val="009816C9"/>
    <w:rsid w:val="00981BBD"/>
    <w:rsid w:val="00981DDE"/>
    <w:rsid w:val="00982020"/>
    <w:rsid w:val="0098278A"/>
    <w:rsid w:val="0098283B"/>
    <w:rsid w:val="00982A2C"/>
    <w:rsid w:val="00982B4D"/>
    <w:rsid w:val="00982DFF"/>
    <w:rsid w:val="009835ED"/>
    <w:rsid w:val="00983699"/>
    <w:rsid w:val="00983B30"/>
    <w:rsid w:val="00983CB7"/>
    <w:rsid w:val="00984200"/>
    <w:rsid w:val="00984435"/>
    <w:rsid w:val="009844FC"/>
    <w:rsid w:val="00984EAB"/>
    <w:rsid w:val="00984F6B"/>
    <w:rsid w:val="00984FDF"/>
    <w:rsid w:val="00985126"/>
    <w:rsid w:val="009852BF"/>
    <w:rsid w:val="009853E9"/>
    <w:rsid w:val="009857B0"/>
    <w:rsid w:val="009857F5"/>
    <w:rsid w:val="009859EE"/>
    <w:rsid w:val="00986160"/>
    <w:rsid w:val="00986289"/>
    <w:rsid w:val="0098628C"/>
    <w:rsid w:val="009862AF"/>
    <w:rsid w:val="00986358"/>
    <w:rsid w:val="0098655A"/>
    <w:rsid w:val="00986574"/>
    <w:rsid w:val="00986E98"/>
    <w:rsid w:val="00986F0A"/>
    <w:rsid w:val="009872D1"/>
    <w:rsid w:val="009876F9"/>
    <w:rsid w:val="0098773E"/>
    <w:rsid w:val="00987BF9"/>
    <w:rsid w:val="00987C62"/>
    <w:rsid w:val="00990169"/>
    <w:rsid w:val="00990252"/>
    <w:rsid w:val="0099028C"/>
    <w:rsid w:val="00990318"/>
    <w:rsid w:val="009904FE"/>
    <w:rsid w:val="009911C7"/>
    <w:rsid w:val="00991397"/>
    <w:rsid w:val="009917FE"/>
    <w:rsid w:val="009919B5"/>
    <w:rsid w:val="00991EAB"/>
    <w:rsid w:val="00992893"/>
    <w:rsid w:val="00992A0E"/>
    <w:rsid w:val="00992EE3"/>
    <w:rsid w:val="00992F76"/>
    <w:rsid w:val="009931CB"/>
    <w:rsid w:val="00993493"/>
    <w:rsid w:val="009934FB"/>
    <w:rsid w:val="009935EB"/>
    <w:rsid w:val="009935F2"/>
    <w:rsid w:val="00993C8E"/>
    <w:rsid w:val="00994075"/>
    <w:rsid w:val="009940E2"/>
    <w:rsid w:val="009942B2"/>
    <w:rsid w:val="00994628"/>
    <w:rsid w:val="00994907"/>
    <w:rsid w:val="00994EF4"/>
    <w:rsid w:val="0099504B"/>
    <w:rsid w:val="009952D1"/>
    <w:rsid w:val="0099535D"/>
    <w:rsid w:val="00995477"/>
    <w:rsid w:val="009955D7"/>
    <w:rsid w:val="00995F99"/>
    <w:rsid w:val="009961AC"/>
    <w:rsid w:val="009963D0"/>
    <w:rsid w:val="00996832"/>
    <w:rsid w:val="00996942"/>
    <w:rsid w:val="00996BC3"/>
    <w:rsid w:val="00996E40"/>
    <w:rsid w:val="00996ED4"/>
    <w:rsid w:val="009971DB"/>
    <w:rsid w:val="00997AF0"/>
    <w:rsid w:val="00997AF8"/>
    <w:rsid w:val="009A0173"/>
    <w:rsid w:val="009A0599"/>
    <w:rsid w:val="009A0608"/>
    <w:rsid w:val="009A0E80"/>
    <w:rsid w:val="009A14E7"/>
    <w:rsid w:val="009A15BE"/>
    <w:rsid w:val="009A242B"/>
    <w:rsid w:val="009A24C0"/>
    <w:rsid w:val="009A25DF"/>
    <w:rsid w:val="009A26D7"/>
    <w:rsid w:val="009A2798"/>
    <w:rsid w:val="009A2BE8"/>
    <w:rsid w:val="009A2D71"/>
    <w:rsid w:val="009A2DE8"/>
    <w:rsid w:val="009A2E0F"/>
    <w:rsid w:val="009A2EA4"/>
    <w:rsid w:val="009A3630"/>
    <w:rsid w:val="009A36B0"/>
    <w:rsid w:val="009A38FB"/>
    <w:rsid w:val="009A4035"/>
    <w:rsid w:val="009A4099"/>
    <w:rsid w:val="009A4B22"/>
    <w:rsid w:val="009A4E4A"/>
    <w:rsid w:val="009A4E58"/>
    <w:rsid w:val="009A4EB7"/>
    <w:rsid w:val="009A51C3"/>
    <w:rsid w:val="009A56E9"/>
    <w:rsid w:val="009A594E"/>
    <w:rsid w:val="009A5FD7"/>
    <w:rsid w:val="009A611A"/>
    <w:rsid w:val="009A6201"/>
    <w:rsid w:val="009A6264"/>
    <w:rsid w:val="009A6D23"/>
    <w:rsid w:val="009A6E36"/>
    <w:rsid w:val="009A6EB4"/>
    <w:rsid w:val="009A70AA"/>
    <w:rsid w:val="009A70F0"/>
    <w:rsid w:val="009A77E3"/>
    <w:rsid w:val="009A7824"/>
    <w:rsid w:val="009A7937"/>
    <w:rsid w:val="009A794C"/>
    <w:rsid w:val="009A7C6B"/>
    <w:rsid w:val="009A7D9C"/>
    <w:rsid w:val="009A7F07"/>
    <w:rsid w:val="009B026D"/>
    <w:rsid w:val="009B0491"/>
    <w:rsid w:val="009B07BE"/>
    <w:rsid w:val="009B08FB"/>
    <w:rsid w:val="009B0E78"/>
    <w:rsid w:val="009B17B1"/>
    <w:rsid w:val="009B1863"/>
    <w:rsid w:val="009B187B"/>
    <w:rsid w:val="009B1929"/>
    <w:rsid w:val="009B19DF"/>
    <w:rsid w:val="009B1A19"/>
    <w:rsid w:val="009B21AC"/>
    <w:rsid w:val="009B21B5"/>
    <w:rsid w:val="009B2403"/>
    <w:rsid w:val="009B2772"/>
    <w:rsid w:val="009B283E"/>
    <w:rsid w:val="009B2984"/>
    <w:rsid w:val="009B2A71"/>
    <w:rsid w:val="009B2B1D"/>
    <w:rsid w:val="009B2B4C"/>
    <w:rsid w:val="009B2EFC"/>
    <w:rsid w:val="009B32F4"/>
    <w:rsid w:val="009B35F7"/>
    <w:rsid w:val="009B38C8"/>
    <w:rsid w:val="009B400E"/>
    <w:rsid w:val="009B442D"/>
    <w:rsid w:val="009B460E"/>
    <w:rsid w:val="009B4796"/>
    <w:rsid w:val="009B4826"/>
    <w:rsid w:val="009B49A5"/>
    <w:rsid w:val="009B50C3"/>
    <w:rsid w:val="009B5148"/>
    <w:rsid w:val="009B5179"/>
    <w:rsid w:val="009B57D1"/>
    <w:rsid w:val="009B5C9B"/>
    <w:rsid w:val="009B5E66"/>
    <w:rsid w:val="009B5FE0"/>
    <w:rsid w:val="009B60D5"/>
    <w:rsid w:val="009B6283"/>
    <w:rsid w:val="009B63E1"/>
    <w:rsid w:val="009B7368"/>
    <w:rsid w:val="009B73F3"/>
    <w:rsid w:val="009B74F5"/>
    <w:rsid w:val="009B7566"/>
    <w:rsid w:val="009B7A31"/>
    <w:rsid w:val="009B7CE7"/>
    <w:rsid w:val="009C0182"/>
    <w:rsid w:val="009C026B"/>
    <w:rsid w:val="009C0808"/>
    <w:rsid w:val="009C0B7C"/>
    <w:rsid w:val="009C0C46"/>
    <w:rsid w:val="009C0C6D"/>
    <w:rsid w:val="009C0FE3"/>
    <w:rsid w:val="009C10E2"/>
    <w:rsid w:val="009C11CC"/>
    <w:rsid w:val="009C13DD"/>
    <w:rsid w:val="009C16E0"/>
    <w:rsid w:val="009C19C6"/>
    <w:rsid w:val="009C20B4"/>
    <w:rsid w:val="009C2175"/>
    <w:rsid w:val="009C22AB"/>
    <w:rsid w:val="009C2BE9"/>
    <w:rsid w:val="009C2CBB"/>
    <w:rsid w:val="009C2DDC"/>
    <w:rsid w:val="009C3081"/>
    <w:rsid w:val="009C31AF"/>
    <w:rsid w:val="009C31D3"/>
    <w:rsid w:val="009C323F"/>
    <w:rsid w:val="009C32A1"/>
    <w:rsid w:val="009C32EC"/>
    <w:rsid w:val="009C355E"/>
    <w:rsid w:val="009C3E84"/>
    <w:rsid w:val="009C3F81"/>
    <w:rsid w:val="009C3FC5"/>
    <w:rsid w:val="009C408C"/>
    <w:rsid w:val="009C41E1"/>
    <w:rsid w:val="009C44EC"/>
    <w:rsid w:val="009C553B"/>
    <w:rsid w:val="009C5587"/>
    <w:rsid w:val="009C568C"/>
    <w:rsid w:val="009C5A6B"/>
    <w:rsid w:val="009C5CC7"/>
    <w:rsid w:val="009C6060"/>
    <w:rsid w:val="009C6BC8"/>
    <w:rsid w:val="009C6BD8"/>
    <w:rsid w:val="009C6DEB"/>
    <w:rsid w:val="009C6F64"/>
    <w:rsid w:val="009C710D"/>
    <w:rsid w:val="009C71BE"/>
    <w:rsid w:val="009C737E"/>
    <w:rsid w:val="009C73A5"/>
    <w:rsid w:val="009C753A"/>
    <w:rsid w:val="009C7665"/>
    <w:rsid w:val="009C7ACE"/>
    <w:rsid w:val="009D0497"/>
    <w:rsid w:val="009D0577"/>
    <w:rsid w:val="009D0D6F"/>
    <w:rsid w:val="009D1196"/>
    <w:rsid w:val="009D18E8"/>
    <w:rsid w:val="009D1C5F"/>
    <w:rsid w:val="009D1D83"/>
    <w:rsid w:val="009D1EF8"/>
    <w:rsid w:val="009D227E"/>
    <w:rsid w:val="009D23A9"/>
    <w:rsid w:val="009D264A"/>
    <w:rsid w:val="009D28BA"/>
    <w:rsid w:val="009D2ADA"/>
    <w:rsid w:val="009D2D44"/>
    <w:rsid w:val="009D3122"/>
    <w:rsid w:val="009D367D"/>
    <w:rsid w:val="009D3A88"/>
    <w:rsid w:val="009D3C83"/>
    <w:rsid w:val="009D3F1A"/>
    <w:rsid w:val="009D425F"/>
    <w:rsid w:val="009D440C"/>
    <w:rsid w:val="009D4A7B"/>
    <w:rsid w:val="009D53EF"/>
    <w:rsid w:val="009D5880"/>
    <w:rsid w:val="009D5A43"/>
    <w:rsid w:val="009D5AE6"/>
    <w:rsid w:val="009D5EC8"/>
    <w:rsid w:val="009D60AC"/>
    <w:rsid w:val="009D65FE"/>
    <w:rsid w:val="009D6CBE"/>
    <w:rsid w:val="009D750D"/>
    <w:rsid w:val="009D7910"/>
    <w:rsid w:val="009D7F33"/>
    <w:rsid w:val="009E0235"/>
    <w:rsid w:val="009E0C54"/>
    <w:rsid w:val="009E0D5F"/>
    <w:rsid w:val="009E101E"/>
    <w:rsid w:val="009E17A5"/>
    <w:rsid w:val="009E1980"/>
    <w:rsid w:val="009E1A2C"/>
    <w:rsid w:val="009E1F21"/>
    <w:rsid w:val="009E3085"/>
    <w:rsid w:val="009E375B"/>
    <w:rsid w:val="009E3A61"/>
    <w:rsid w:val="009E3AC6"/>
    <w:rsid w:val="009E3C0E"/>
    <w:rsid w:val="009E3D0F"/>
    <w:rsid w:val="009E4399"/>
    <w:rsid w:val="009E4475"/>
    <w:rsid w:val="009E4CE3"/>
    <w:rsid w:val="009E4DBD"/>
    <w:rsid w:val="009E56EA"/>
    <w:rsid w:val="009E58C1"/>
    <w:rsid w:val="009E5900"/>
    <w:rsid w:val="009E5D14"/>
    <w:rsid w:val="009E5F6B"/>
    <w:rsid w:val="009E6052"/>
    <w:rsid w:val="009E634F"/>
    <w:rsid w:val="009E6688"/>
    <w:rsid w:val="009E6A38"/>
    <w:rsid w:val="009E6B96"/>
    <w:rsid w:val="009E6F68"/>
    <w:rsid w:val="009E6FD6"/>
    <w:rsid w:val="009E70CA"/>
    <w:rsid w:val="009E7291"/>
    <w:rsid w:val="009E7846"/>
    <w:rsid w:val="009E7977"/>
    <w:rsid w:val="009E7AEA"/>
    <w:rsid w:val="009E7C7F"/>
    <w:rsid w:val="009F001C"/>
    <w:rsid w:val="009F0075"/>
    <w:rsid w:val="009F0306"/>
    <w:rsid w:val="009F0CB6"/>
    <w:rsid w:val="009F12BE"/>
    <w:rsid w:val="009F160D"/>
    <w:rsid w:val="009F1DFE"/>
    <w:rsid w:val="009F1E0A"/>
    <w:rsid w:val="009F2389"/>
    <w:rsid w:val="009F256F"/>
    <w:rsid w:val="009F2865"/>
    <w:rsid w:val="009F2B2A"/>
    <w:rsid w:val="009F2DD8"/>
    <w:rsid w:val="009F350B"/>
    <w:rsid w:val="009F370F"/>
    <w:rsid w:val="009F3AE5"/>
    <w:rsid w:val="009F3AFA"/>
    <w:rsid w:val="009F3FD0"/>
    <w:rsid w:val="009F4531"/>
    <w:rsid w:val="009F47CA"/>
    <w:rsid w:val="009F47FB"/>
    <w:rsid w:val="009F4B2C"/>
    <w:rsid w:val="009F4D4C"/>
    <w:rsid w:val="009F4E88"/>
    <w:rsid w:val="009F52A4"/>
    <w:rsid w:val="009F534A"/>
    <w:rsid w:val="009F554B"/>
    <w:rsid w:val="009F5E0F"/>
    <w:rsid w:val="009F5E98"/>
    <w:rsid w:val="009F5F45"/>
    <w:rsid w:val="009F62BA"/>
    <w:rsid w:val="009F69FD"/>
    <w:rsid w:val="009F6C51"/>
    <w:rsid w:val="009F738A"/>
    <w:rsid w:val="009F7444"/>
    <w:rsid w:val="009F7751"/>
    <w:rsid w:val="009F79CD"/>
    <w:rsid w:val="009F7CD2"/>
    <w:rsid w:val="009F7DE7"/>
    <w:rsid w:val="009F7E54"/>
    <w:rsid w:val="00A001E4"/>
    <w:rsid w:val="00A001F4"/>
    <w:rsid w:val="00A00284"/>
    <w:rsid w:val="00A00490"/>
    <w:rsid w:val="00A007CF"/>
    <w:rsid w:val="00A010BC"/>
    <w:rsid w:val="00A01163"/>
    <w:rsid w:val="00A0136F"/>
    <w:rsid w:val="00A013CD"/>
    <w:rsid w:val="00A014E2"/>
    <w:rsid w:val="00A01979"/>
    <w:rsid w:val="00A01CA5"/>
    <w:rsid w:val="00A020C8"/>
    <w:rsid w:val="00A02142"/>
    <w:rsid w:val="00A02582"/>
    <w:rsid w:val="00A026E3"/>
    <w:rsid w:val="00A027DB"/>
    <w:rsid w:val="00A02A54"/>
    <w:rsid w:val="00A02DA7"/>
    <w:rsid w:val="00A02EA6"/>
    <w:rsid w:val="00A02F1F"/>
    <w:rsid w:val="00A03025"/>
    <w:rsid w:val="00A030A7"/>
    <w:rsid w:val="00A035C3"/>
    <w:rsid w:val="00A03B3D"/>
    <w:rsid w:val="00A03D14"/>
    <w:rsid w:val="00A03D59"/>
    <w:rsid w:val="00A03DE1"/>
    <w:rsid w:val="00A03DF8"/>
    <w:rsid w:val="00A03F21"/>
    <w:rsid w:val="00A046ED"/>
    <w:rsid w:val="00A04982"/>
    <w:rsid w:val="00A04999"/>
    <w:rsid w:val="00A049C5"/>
    <w:rsid w:val="00A04E43"/>
    <w:rsid w:val="00A04F67"/>
    <w:rsid w:val="00A04FEE"/>
    <w:rsid w:val="00A05028"/>
    <w:rsid w:val="00A05587"/>
    <w:rsid w:val="00A057FA"/>
    <w:rsid w:val="00A05B23"/>
    <w:rsid w:val="00A05C3A"/>
    <w:rsid w:val="00A05CCE"/>
    <w:rsid w:val="00A05D99"/>
    <w:rsid w:val="00A05FDC"/>
    <w:rsid w:val="00A0600E"/>
    <w:rsid w:val="00A06337"/>
    <w:rsid w:val="00A067FA"/>
    <w:rsid w:val="00A068FC"/>
    <w:rsid w:val="00A06C22"/>
    <w:rsid w:val="00A073C3"/>
    <w:rsid w:val="00A07984"/>
    <w:rsid w:val="00A10079"/>
    <w:rsid w:val="00A1011D"/>
    <w:rsid w:val="00A10793"/>
    <w:rsid w:val="00A107EB"/>
    <w:rsid w:val="00A109DB"/>
    <w:rsid w:val="00A10C3A"/>
    <w:rsid w:val="00A114F8"/>
    <w:rsid w:val="00A1173F"/>
    <w:rsid w:val="00A11CDF"/>
    <w:rsid w:val="00A128F7"/>
    <w:rsid w:val="00A1298E"/>
    <w:rsid w:val="00A12F27"/>
    <w:rsid w:val="00A13212"/>
    <w:rsid w:val="00A13688"/>
    <w:rsid w:val="00A1377F"/>
    <w:rsid w:val="00A13D59"/>
    <w:rsid w:val="00A1410A"/>
    <w:rsid w:val="00A14130"/>
    <w:rsid w:val="00A1428E"/>
    <w:rsid w:val="00A14AF7"/>
    <w:rsid w:val="00A14CC4"/>
    <w:rsid w:val="00A14CDB"/>
    <w:rsid w:val="00A15E87"/>
    <w:rsid w:val="00A1676F"/>
    <w:rsid w:val="00A16ECE"/>
    <w:rsid w:val="00A1715D"/>
    <w:rsid w:val="00A17316"/>
    <w:rsid w:val="00A17A6F"/>
    <w:rsid w:val="00A17BBB"/>
    <w:rsid w:val="00A17CE0"/>
    <w:rsid w:val="00A17E6A"/>
    <w:rsid w:val="00A201B2"/>
    <w:rsid w:val="00A20527"/>
    <w:rsid w:val="00A20A67"/>
    <w:rsid w:val="00A20AF8"/>
    <w:rsid w:val="00A20B6F"/>
    <w:rsid w:val="00A21224"/>
    <w:rsid w:val="00A213EB"/>
    <w:rsid w:val="00A219CA"/>
    <w:rsid w:val="00A21BB2"/>
    <w:rsid w:val="00A227D1"/>
    <w:rsid w:val="00A22C1A"/>
    <w:rsid w:val="00A233F6"/>
    <w:rsid w:val="00A23640"/>
    <w:rsid w:val="00A23677"/>
    <w:rsid w:val="00A23764"/>
    <w:rsid w:val="00A237F5"/>
    <w:rsid w:val="00A23D48"/>
    <w:rsid w:val="00A24351"/>
    <w:rsid w:val="00A243A2"/>
    <w:rsid w:val="00A24527"/>
    <w:rsid w:val="00A24589"/>
    <w:rsid w:val="00A24A06"/>
    <w:rsid w:val="00A24BE9"/>
    <w:rsid w:val="00A24CE5"/>
    <w:rsid w:val="00A24D42"/>
    <w:rsid w:val="00A24D7F"/>
    <w:rsid w:val="00A25293"/>
    <w:rsid w:val="00A25362"/>
    <w:rsid w:val="00A256AB"/>
    <w:rsid w:val="00A258EF"/>
    <w:rsid w:val="00A26CFD"/>
    <w:rsid w:val="00A26F18"/>
    <w:rsid w:val="00A270C7"/>
    <w:rsid w:val="00A2738C"/>
    <w:rsid w:val="00A27709"/>
    <w:rsid w:val="00A278A1"/>
    <w:rsid w:val="00A27906"/>
    <w:rsid w:val="00A27A2B"/>
    <w:rsid w:val="00A301D8"/>
    <w:rsid w:val="00A30819"/>
    <w:rsid w:val="00A30858"/>
    <w:rsid w:val="00A31694"/>
    <w:rsid w:val="00A318E1"/>
    <w:rsid w:val="00A31A01"/>
    <w:rsid w:val="00A3227B"/>
    <w:rsid w:val="00A32D02"/>
    <w:rsid w:val="00A32DAB"/>
    <w:rsid w:val="00A32E9E"/>
    <w:rsid w:val="00A3310A"/>
    <w:rsid w:val="00A3317B"/>
    <w:rsid w:val="00A33C32"/>
    <w:rsid w:val="00A34766"/>
    <w:rsid w:val="00A34AED"/>
    <w:rsid w:val="00A34EEB"/>
    <w:rsid w:val="00A3549D"/>
    <w:rsid w:val="00A357C0"/>
    <w:rsid w:val="00A35816"/>
    <w:rsid w:val="00A35B15"/>
    <w:rsid w:val="00A35D4A"/>
    <w:rsid w:val="00A36408"/>
    <w:rsid w:val="00A36998"/>
    <w:rsid w:val="00A36ACD"/>
    <w:rsid w:val="00A36D6F"/>
    <w:rsid w:val="00A36D93"/>
    <w:rsid w:val="00A36FEB"/>
    <w:rsid w:val="00A3732A"/>
    <w:rsid w:val="00A37660"/>
    <w:rsid w:val="00A37825"/>
    <w:rsid w:val="00A3791A"/>
    <w:rsid w:val="00A37AA6"/>
    <w:rsid w:val="00A37ADB"/>
    <w:rsid w:val="00A405AC"/>
    <w:rsid w:val="00A4080C"/>
    <w:rsid w:val="00A40E0B"/>
    <w:rsid w:val="00A40E59"/>
    <w:rsid w:val="00A417DA"/>
    <w:rsid w:val="00A418AB"/>
    <w:rsid w:val="00A42306"/>
    <w:rsid w:val="00A42610"/>
    <w:rsid w:val="00A42688"/>
    <w:rsid w:val="00A42897"/>
    <w:rsid w:val="00A42C1C"/>
    <w:rsid w:val="00A42DA5"/>
    <w:rsid w:val="00A42E7F"/>
    <w:rsid w:val="00A42F55"/>
    <w:rsid w:val="00A437BE"/>
    <w:rsid w:val="00A4400A"/>
    <w:rsid w:val="00A440FA"/>
    <w:rsid w:val="00A445F8"/>
    <w:rsid w:val="00A44A46"/>
    <w:rsid w:val="00A44E8D"/>
    <w:rsid w:val="00A44F05"/>
    <w:rsid w:val="00A450B0"/>
    <w:rsid w:val="00A450D5"/>
    <w:rsid w:val="00A45105"/>
    <w:rsid w:val="00A453D3"/>
    <w:rsid w:val="00A45688"/>
    <w:rsid w:val="00A45D70"/>
    <w:rsid w:val="00A45D96"/>
    <w:rsid w:val="00A45ECE"/>
    <w:rsid w:val="00A46679"/>
    <w:rsid w:val="00A4675D"/>
    <w:rsid w:val="00A469F2"/>
    <w:rsid w:val="00A46E8A"/>
    <w:rsid w:val="00A46EA8"/>
    <w:rsid w:val="00A46F7F"/>
    <w:rsid w:val="00A4704A"/>
    <w:rsid w:val="00A4770C"/>
    <w:rsid w:val="00A5032A"/>
    <w:rsid w:val="00A5066B"/>
    <w:rsid w:val="00A509C7"/>
    <w:rsid w:val="00A51AAC"/>
    <w:rsid w:val="00A52133"/>
    <w:rsid w:val="00A5241B"/>
    <w:rsid w:val="00A5246E"/>
    <w:rsid w:val="00A52481"/>
    <w:rsid w:val="00A524DA"/>
    <w:rsid w:val="00A526F3"/>
    <w:rsid w:val="00A527B4"/>
    <w:rsid w:val="00A527E6"/>
    <w:rsid w:val="00A530BB"/>
    <w:rsid w:val="00A53122"/>
    <w:rsid w:val="00A53418"/>
    <w:rsid w:val="00A53542"/>
    <w:rsid w:val="00A536E3"/>
    <w:rsid w:val="00A53838"/>
    <w:rsid w:val="00A53FAF"/>
    <w:rsid w:val="00A54391"/>
    <w:rsid w:val="00A54F90"/>
    <w:rsid w:val="00A54F9D"/>
    <w:rsid w:val="00A55295"/>
    <w:rsid w:val="00A55460"/>
    <w:rsid w:val="00A55613"/>
    <w:rsid w:val="00A55929"/>
    <w:rsid w:val="00A559DC"/>
    <w:rsid w:val="00A55ACD"/>
    <w:rsid w:val="00A55E7E"/>
    <w:rsid w:val="00A560A2"/>
    <w:rsid w:val="00A56227"/>
    <w:rsid w:val="00A564BD"/>
    <w:rsid w:val="00A56510"/>
    <w:rsid w:val="00A566E9"/>
    <w:rsid w:val="00A56A8C"/>
    <w:rsid w:val="00A56B2B"/>
    <w:rsid w:val="00A56C20"/>
    <w:rsid w:val="00A57007"/>
    <w:rsid w:val="00A570DD"/>
    <w:rsid w:val="00A57130"/>
    <w:rsid w:val="00A57AD6"/>
    <w:rsid w:val="00A57E27"/>
    <w:rsid w:val="00A57F0E"/>
    <w:rsid w:val="00A601F3"/>
    <w:rsid w:val="00A602A7"/>
    <w:rsid w:val="00A6068D"/>
    <w:rsid w:val="00A607AF"/>
    <w:rsid w:val="00A60891"/>
    <w:rsid w:val="00A6111D"/>
    <w:rsid w:val="00A6161C"/>
    <w:rsid w:val="00A621E7"/>
    <w:rsid w:val="00A623BE"/>
    <w:rsid w:val="00A624E2"/>
    <w:rsid w:val="00A62837"/>
    <w:rsid w:val="00A62846"/>
    <w:rsid w:val="00A62925"/>
    <w:rsid w:val="00A62BD3"/>
    <w:rsid w:val="00A62BEF"/>
    <w:rsid w:val="00A62DA1"/>
    <w:rsid w:val="00A62EA5"/>
    <w:rsid w:val="00A62F09"/>
    <w:rsid w:val="00A632B3"/>
    <w:rsid w:val="00A644CA"/>
    <w:rsid w:val="00A6482F"/>
    <w:rsid w:val="00A64D2C"/>
    <w:rsid w:val="00A64E46"/>
    <w:rsid w:val="00A65053"/>
    <w:rsid w:val="00A65746"/>
    <w:rsid w:val="00A65751"/>
    <w:rsid w:val="00A6588B"/>
    <w:rsid w:val="00A65EBB"/>
    <w:rsid w:val="00A660F0"/>
    <w:rsid w:val="00A66568"/>
    <w:rsid w:val="00A66640"/>
    <w:rsid w:val="00A66B7F"/>
    <w:rsid w:val="00A66C9D"/>
    <w:rsid w:val="00A66CF6"/>
    <w:rsid w:val="00A678C1"/>
    <w:rsid w:val="00A67BE0"/>
    <w:rsid w:val="00A67C93"/>
    <w:rsid w:val="00A701DE"/>
    <w:rsid w:val="00A705A0"/>
    <w:rsid w:val="00A70874"/>
    <w:rsid w:val="00A70997"/>
    <w:rsid w:val="00A70E4F"/>
    <w:rsid w:val="00A713F4"/>
    <w:rsid w:val="00A71A1A"/>
    <w:rsid w:val="00A71D70"/>
    <w:rsid w:val="00A71E1A"/>
    <w:rsid w:val="00A71E5A"/>
    <w:rsid w:val="00A71FBE"/>
    <w:rsid w:val="00A7220C"/>
    <w:rsid w:val="00A72440"/>
    <w:rsid w:val="00A72700"/>
    <w:rsid w:val="00A72A18"/>
    <w:rsid w:val="00A72B2B"/>
    <w:rsid w:val="00A72E1F"/>
    <w:rsid w:val="00A735E1"/>
    <w:rsid w:val="00A73745"/>
    <w:rsid w:val="00A73DF7"/>
    <w:rsid w:val="00A73F0C"/>
    <w:rsid w:val="00A7428B"/>
    <w:rsid w:val="00A74CEB"/>
    <w:rsid w:val="00A74DFC"/>
    <w:rsid w:val="00A75179"/>
    <w:rsid w:val="00A758CE"/>
    <w:rsid w:val="00A75962"/>
    <w:rsid w:val="00A75B1A"/>
    <w:rsid w:val="00A75CAB"/>
    <w:rsid w:val="00A75CDF"/>
    <w:rsid w:val="00A75D7D"/>
    <w:rsid w:val="00A75DA9"/>
    <w:rsid w:val="00A7614C"/>
    <w:rsid w:val="00A767A3"/>
    <w:rsid w:val="00A76C29"/>
    <w:rsid w:val="00A770E7"/>
    <w:rsid w:val="00A7715D"/>
    <w:rsid w:val="00A77629"/>
    <w:rsid w:val="00A7799D"/>
    <w:rsid w:val="00A80129"/>
    <w:rsid w:val="00A802EB"/>
    <w:rsid w:val="00A806F6"/>
    <w:rsid w:val="00A8091D"/>
    <w:rsid w:val="00A8099C"/>
    <w:rsid w:val="00A80D68"/>
    <w:rsid w:val="00A81559"/>
    <w:rsid w:val="00A81716"/>
    <w:rsid w:val="00A818DD"/>
    <w:rsid w:val="00A81A00"/>
    <w:rsid w:val="00A81ABF"/>
    <w:rsid w:val="00A8202E"/>
    <w:rsid w:val="00A820FC"/>
    <w:rsid w:val="00A821AF"/>
    <w:rsid w:val="00A8228E"/>
    <w:rsid w:val="00A83009"/>
    <w:rsid w:val="00A83366"/>
    <w:rsid w:val="00A836F8"/>
    <w:rsid w:val="00A83928"/>
    <w:rsid w:val="00A83A23"/>
    <w:rsid w:val="00A83AF8"/>
    <w:rsid w:val="00A83DFB"/>
    <w:rsid w:val="00A84405"/>
    <w:rsid w:val="00A846C5"/>
    <w:rsid w:val="00A8483B"/>
    <w:rsid w:val="00A84E3B"/>
    <w:rsid w:val="00A84F06"/>
    <w:rsid w:val="00A85681"/>
    <w:rsid w:val="00A85D27"/>
    <w:rsid w:val="00A86683"/>
    <w:rsid w:val="00A86756"/>
    <w:rsid w:val="00A86B3F"/>
    <w:rsid w:val="00A86BAE"/>
    <w:rsid w:val="00A873F0"/>
    <w:rsid w:val="00A8746C"/>
    <w:rsid w:val="00A87782"/>
    <w:rsid w:val="00A87DAC"/>
    <w:rsid w:val="00A901B5"/>
    <w:rsid w:val="00A905B5"/>
    <w:rsid w:val="00A90702"/>
    <w:rsid w:val="00A910A9"/>
    <w:rsid w:val="00A91C1A"/>
    <w:rsid w:val="00A91C97"/>
    <w:rsid w:val="00A91FB0"/>
    <w:rsid w:val="00A9209B"/>
    <w:rsid w:val="00A920F6"/>
    <w:rsid w:val="00A9305C"/>
    <w:rsid w:val="00A9311C"/>
    <w:rsid w:val="00A93714"/>
    <w:rsid w:val="00A937EC"/>
    <w:rsid w:val="00A9416B"/>
    <w:rsid w:val="00A942B2"/>
    <w:rsid w:val="00A942C7"/>
    <w:rsid w:val="00A94438"/>
    <w:rsid w:val="00A948BC"/>
    <w:rsid w:val="00A94BE0"/>
    <w:rsid w:val="00A95095"/>
    <w:rsid w:val="00A95110"/>
    <w:rsid w:val="00A9569A"/>
    <w:rsid w:val="00A9569B"/>
    <w:rsid w:val="00A959B3"/>
    <w:rsid w:val="00A95D9C"/>
    <w:rsid w:val="00A95E5B"/>
    <w:rsid w:val="00A96382"/>
    <w:rsid w:val="00A969DC"/>
    <w:rsid w:val="00A96B5C"/>
    <w:rsid w:val="00A96C8C"/>
    <w:rsid w:val="00A96D8F"/>
    <w:rsid w:val="00A96DE8"/>
    <w:rsid w:val="00A974C0"/>
    <w:rsid w:val="00A97614"/>
    <w:rsid w:val="00A97813"/>
    <w:rsid w:val="00AA004C"/>
    <w:rsid w:val="00AA0338"/>
    <w:rsid w:val="00AA0489"/>
    <w:rsid w:val="00AA04BB"/>
    <w:rsid w:val="00AA0A12"/>
    <w:rsid w:val="00AA0A64"/>
    <w:rsid w:val="00AA0CAF"/>
    <w:rsid w:val="00AA0FD6"/>
    <w:rsid w:val="00AA1193"/>
    <w:rsid w:val="00AA14B6"/>
    <w:rsid w:val="00AA16B4"/>
    <w:rsid w:val="00AA1FB4"/>
    <w:rsid w:val="00AA2214"/>
    <w:rsid w:val="00AA2363"/>
    <w:rsid w:val="00AA2545"/>
    <w:rsid w:val="00AA267D"/>
    <w:rsid w:val="00AA2741"/>
    <w:rsid w:val="00AA274D"/>
    <w:rsid w:val="00AA394C"/>
    <w:rsid w:val="00AA3B5D"/>
    <w:rsid w:val="00AA3C79"/>
    <w:rsid w:val="00AA4029"/>
    <w:rsid w:val="00AA41AF"/>
    <w:rsid w:val="00AA462D"/>
    <w:rsid w:val="00AA46DE"/>
    <w:rsid w:val="00AA4D9A"/>
    <w:rsid w:val="00AA4E22"/>
    <w:rsid w:val="00AA56A1"/>
    <w:rsid w:val="00AA5A56"/>
    <w:rsid w:val="00AA624E"/>
    <w:rsid w:val="00AA6402"/>
    <w:rsid w:val="00AA6839"/>
    <w:rsid w:val="00AA6958"/>
    <w:rsid w:val="00AA6DFE"/>
    <w:rsid w:val="00AA714E"/>
    <w:rsid w:val="00AA7460"/>
    <w:rsid w:val="00AA7950"/>
    <w:rsid w:val="00AA7A16"/>
    <w:rsid w:val="00AA7B2A"/>
    <w:rsid w:val="00AA7D36"/>
    <w:rsid w:val="00AA7D8C"/>
    <w:rsid w:val="00AA7E11"/>
    <w:rsid w:val="00AB0063"/>
    <w:rsid w:val="00AB02E8"/>
    <w:rsid w:val="00AB058F"/>
    <w:rsid w:val="00AB0DF3"/>
    <w:rsid w:val="00AB0E91"/>
    <w:rsid w:val="00AB118E"/>
    <w:rsid w:val="00AB13E0"/>
    <w:rsid w:val="00AB1661"/>
    <w:rsid w:val="00AB1736"/>
    <w:rsid w:val="00AB18A0"/>
    <w:rsid w:val="00AB1BBA"/>
    <w:rsid w:val="00AB1D2F"/>
    <w:rsid w:val="00AB2D37"/>
    <w:rsid w:val="00AB31CC"/>
    <w:rsid w:val="00AB37BE"/>
    <w:rsid w:val="00AB3B9B"/>
    <w:rsid w:val="00AB3DB4"/>
    <w:rsid w:val="00AB4232"/>
    <w:rsid w:val="00AB43A9"/>
    <w:rsid w:val="00AB447D"/>
    <w:rsid w:val="00AB464A"/>
    <w:rsid w:val="00AB4706"/>
    <w:rsid w:val="00AB4726"/>
    <w:rsid w:val="00AB4C75"/>
    <w:rsid w:val="00AB551C"/>
    <w:rsid w:val="00AB5640"/>
    <w:rsid w:val="00AB582C"/>
    <w:rsid w:val="00AB5C9F"/>
    <w:rsid w:val="00AB5D23"/>
    <w:rsid w:val="00AB5EBD"/>
    <w:rsid w:val="00AB62BE"/>
    <w:rsid w:val="00AB671A"/>
    <w:rsid w:val="00AB68D0"/>
    <w:rsid w:val="00AB6D82"/>
    <w:rsid w:val="00AB7493"/>
    <w:rsid w:val="00AB7519"/>
    <w:rsid w:val="00AB7875"/>
    <w:rsid w:val="00AB7E72"/>
    <w:rsid w:val="00AC02C8"/>
    <w:rsid w:val="00AC04D7"/>
    <w:rsid w:val="00AC05FF"/>
    <w:rsid w:val="00AC0749"/>
    <w:rsid w:val="00AC0BE6"/>
    <w:rsid w:val="00AC18AA"/>
    <w:rsid w:val="00AC1A53"/>
    <w:rsid w:val="00AC1DEC"/>
    <w:rsid w:val="00AC20ED"/>
    <w:rsid w:val="00AC246F"/>
    <w:rsid w:val="00AC282D"/>
    <w:rsid w:val="00AC3109"/>
    <w:rsid w:val="00AC346D"/>
    <w:rsid w:val="00AC35BA"/>
    <w:rsid w:val="00AC37A8"/>
    <w:rsid w:val="00AC396D"/>
    <w:rsid w:val="00AC3D3F"/>
    <w:rsid w:val="00AC3E39"/>
    <w:rsid w:val="00AC3FA8"/>
    <w:rsid w:val="00AC4126"/>
    <w:rsid w:val="00AC5004"/>
    <w:rsid w:val="00AC5041"/>
    <w:rsid w:val="00AC5711"/>
    <w:rsid w:val="00AC68EE"/>
    <w:rsid w:val="00AC6A95"/>
    <w:rsid w:val="00AC6C88"/>
    <w:rsid w:val="00AC7057"/>
    <w:rsid w:val="00AC778A"/>
    <w:rsid w:val="00AC7C10"/>
    <w:rsid w:val="00AC7ED7"/>
    <w:rsid w:val="00AD01D3"/>
    <w:rsid w:val="00AD0576"/>
    <w:rsid w:val="00AD076F"/>
    <w:rsid w:val="00AD08EC"/>
    <w:rsid w:val="00AD09F4"/>
    <w:rsid w:val="00AD0A64"/>
    <w:rsid w:val="00AD0B2E"/>
    <w:rsid w:val="00AD10CF"/>
    <w:rsid w:val="00AD1345"/>
    <w:rsid w:val="00AD184B"/>
    <w:rsid w:val="00AD1981"/>
    <w:rsid w:val="00AD1C38"/>
    <w:rsid w:val="00AD1D34"/>
    <w:rsid w:val="00AD1F4C"/>
    <w:rsid w:val="00AD1FDB"/>
    <w:rsid w:val="00AD2286"/>
    <w:rsid w:val="00AD2670"/>
    <w:rsid w:val="00AD34B7"/>
    <w:rsid w:val="00AD394B"/>
    <w:rsid w:val="00AD3DCF"/>
    <w:rsid w:val="00AD3DE3"/>
    <w:rsid w:val="00AD485F"/>
    <w:rsid w:val="00AD4ED5"/>
    <w:rsid w:val="00AD5138"/>
    <w:rsid w:val="00AD5161"/>
    <w:rsid w:val="00AD5219"/>
    <w:rsid w:val="00AD565F"/>
    <w:rsid w:val="00AD5ACC"/>
    <w:rsid w:val="00AD5D60"/>
    <w:rsid w:val="00AD6020"/>
    <w:rsid w:val="00AD6098"/>
    <w:rsid w:val="00AD65C9"/>
    <w:rsid w:val="00AD68BE"/>
    <w:rsid w:val="00AD6A18"/>
    <w:rsid w:val="00AD6B19"/>
    <w:rsid w:val="00AD6EAA"/>
    <w:rsid w:val="00AD6EF2"/>
    <w:rsid w:val="00AD74ED"/>
    <w:rsid w:val="00AD7867"/>
    <w:rsid w:val="00AD78A8"/>
    <w:rsid w:val="00AD79F3"/>
    <w:rsid w:val="00AE0165"/>
    <w:rsid w:val="00AE04DC"/>
    <w:rsid w:val="00AE0600"/>
    <w:rsid w:val="00AE07A8"/>
    <w:rsid w:val="00AE0AA2"/>
    <w:rsid w:val="00AE0FC5"/>
    <w:rsid w:val="00AE13A4"/>
    <w:rsid w:val="00AE13B7"/>
    <w:rsid w:val="00AE1400"/>
    <w:rsid w:val="00AE1B86"/>
    <w:rsid w:val="00AE1BE1"/>
    <w:rsid w:val="00AE1C55"/>
    <w:rsid w:val="00AE2397"/>
    <w:rsid w:val="00AE2DCA"/>
    <w:rsid w:val="00AE2EBE"/>
    <w:rsid w:val="00AE2F47"/>
    <w:rsid w:val="00AE2FE7"/>
    <w:rsid w:val="00AE3009"/>
    <w:rsid w:val="00AE30A5"/>
    <w:rsid w:val="00AE310B"/>
    <w:rsid w:val="00AE354B"/>
    <w:rsid w:val="00AE3696"/>
    <w:rsid w:val="00AE370A"/>
    <w:rsid w:val="00AE37ED"/>
    <w:rsid w:val="00AE386B"/>
    <w:rsid w:val="00AE3A67"/>
    <w:rsid w:val="00AE3B86"/>
    <w:rsid w:val="00AE3D18"/>
    <w:rsid w:val="00AE4349"/>
    <w:rsid w:val="00AE4768"/>
    <w:rsid w:val="00AE484A"/>
    <w:rsid w:val="00AE4E86"/>
    <w:rsid w:val="00AE4E92"/>
    <w:rsid w:val="00AE50CE"/>
    <w:rsid w:val="00AE529E"/>
    <w:rsid w:val="00AE5452"/>
    <w:rsid w:val="00AE59C8"/>
    <w:rsid w:val="00AE5D64"/>
    <w:rsid w:val="00AE60CA"/>
    <w:rsid w:val="00AE6779"/>
    <w:rsid w:val="00AE6930"/>
    <w:rsid w:val="00AE7051"/>
    <w:rsid w:val="00AE7224"/>
    <w:rsid w:val="00AE734A"/>
    <w:rsid w:val="00AE7B04"/>
    <w:rsid w:val="00AE7B90"/>
    <w:rsid w:val="00AF00F4"/>
    <w:rsid w:val="00AF01CF"/>
    <w:rsid w:val="00AF035D"/>
    <w:rsid w:val="00AF069E"/>
    <w:rsid w:val="00AF077D"/>
    <w:rsid w:val="00AF0B40"/>
    <w:rsid w:val="00AF0CFF"/>
    <w:rsid w:val="00AF1140"/>
    <w:rsid w:val="00AF1453"/>
    <w:rsid w:val="00AF1729"/>
    <w:rsid w:val="00AF174D"/>
    <w:rsid w:val="00AF2504"/>
    <w:rsid w:val="00AF2C3F"/>
    <w:rsid w:val="00AF2E73"/>
    <w:rsid w:val="00AF2EA0"/>
    <w:rsid w:val="00AF2F6C"/>
    <w:rsid w:val="00AF3711"/>
    <w:rsid w:val="00AF39E1"/>
    <w:rsid w:val="00AF3AFD"/>
    <w:rsid w:val="00AF4498"/>
    <w:rsid w:val="00AF44B8"/>
    <w:rsid w:val="00AF4593"/>
    <w:rsid w:val="00AF4662"/>
    <w:rsid w:val="00AF4BE2"/>
    <w:rsid w:val="00AF4F35"/>
    <w:rsid w:val="00AF4FAD"/>
    <w:rsid w:val="00AF5559"/>
    <w:rsid w:val="00AF59AC"/>
    <w:rsid w:val="00AF5AFE"/>
    <w:rsid w:val="00AF5CF5"/>
    <w:rsid w:val="00AF5D75"/>
    <w:rsid w:val="00AF5DBD"/>
    <w:rsid w:val="00AF5F70"/>
    <w:rsid w:val="00AF61F6"/>
    <w:rsid w:val="00AF6835"/>
    <w:rsid w:val="00AF736E"/>
    <w:rsid w:val="00AF7372"/>
    <w:rsid w:val="00AF74EA"/>
    <w:rsid w:val="00AF7547"/>
    <w:rsid w:val="00AF7998"/>
    <w:rsid w:val="00AF7AFF"/>
    <w:rsid w:val="00AF7BE1"/>
    <w:rsid w:val="00AF7F59"/>
    <w:rsid w:val="00AF7FA9"/>
    <w:rsid w:val="00B001A1"/>
    <w:rsid w:val="00B001C8"/>
    <w:rsid w:val="00B0087D"/>
    <w:rsid w:val="00B008AD"/>
    <w:rsid w:val="00B00A5F"/>
    <w:rsid w:val="00B00A94"/>
    <w:rsid w:val="00B00C57"/>
    <w:rsid w:val="00B00D1B"/>
    <w:rsid w:val="00B01731"/>
    <w:rsid w:val="00B01866"/>
    <w:rsid w:val="00B01BA4"/>
    <w:rsid w:val="00B01F04"/>
    <w:rsid w:val="00B01F7E"/>
    <w:rsid w:val="00B0211A"/>
    <w:rsid w:val="00B0223F"/>
    <w:rsid w:val="00B02ED1"/>
    <w:rsid w:val="00B03212"/>
    <w:rsid w:val="00B0378F"/>
    <w:rsid w:val="00B045FE"/>
    <w:rsid w:val="00B04BBA"/>
    <w:rsid w:val="00B05502"/>
    <w:rsid w:val="00B05814"/>
    <w:rsid w:val="00B05A76"/>
    <w:rsid w:val="00B05C6C"/>
    <w:rsid w:val="00B05F0E"/>
    <w:rsid w:val="00B0628F"/>
    <w:rsid w:val="00B067B1"/>
    <w:rsid w:val="00B06FA0"/>
    <w:rsid w:val="00B071EB"/>
    <w:rsid w:val="00B07A05"/>
    <w:rsid w:val="00B07E25"/>
    <w:rsid w:val="00B07F8F"/>
    <w:rsid w:val="00B1021E"/>
    <w:rsid w:val="00B1022B"/>
    <w:rsid w:val="00B1065B"/>
    <w:rsid w:val="00B106C8"/>
    <w:rsid w:val="00B10CF5"/>
    <w:rsid w:val="00B10F69"/>
    <w:rsid w:val="00B1111B"/>
    <w:rsid w:val="00B11152"/>
    <w:rsid w:val="00B11242"/>
    <w:rsid w:val="00B11356"/>
    <w:rsid w:val="00B1168A"/>
    <w:rsid w:val="00B11AC2"/>
    <w:rsid w:val="00B11C48"/>
    <w:rsid w:val="00B11CC7"/>
    <w:rsid w:val="00B11DA2"/>
    <w:rsid w:val="00B11DF9"/>
    <w:rsid w:val="00B1264A"/>
    <w:rsid w:val="00B12B5B"/>
    <w:rsid w:val="00B12C1F"/>
    <w:rsid w:val="00B13153"/>
    <w:rsid w:val="00B1344E"/>
    <w:rsid w:val="00B1346F"/>
    <w:rsid w:val="00B134BB"/>
    <w:rsid w:val="00B13C00"/>
    <w:rsid w:val="00B13EEA"/>
    <w:rsid w:val="00B144A8"/>
    <w:rsid w:val="00B14564"/>
    <w:rsid w:val="00B15995"/>
    <w:rsid w:val="00B15AF6"/>
    <w:rsid w:val="00B16A99"/>
    <w:rsid w:val="00B16B36"/>
    <w:rsid w:val="00B16C2A"/>
    <w:rsid w:val="00B16C8F"/>
    <w:rsid w:val="00B16F88"/>
    <w:rsid w:val="00B16FEB"/>
    <w:rsid w:val="00B17151"/>
    <w:rsid w:val="00B17356"/>
    <w:rsid w:val="00B17507"/>
    <w:rsid w:val="00B17961"/>
    <w:rsid w:val="00B17972"/>
    <w:rsid w:val="00B17F49"/>
    <w:rsid w:val="00B201AE"/>
    <w:rsid w:val="00B2063C"/>
    <w:rsid w:val="00B20644"/>
    <w:rsid w:val="00B20DC2"/>
    <w:rsid w:val="00B2137C"/>
    <w:rsid w:val="00B21395"/>
    <w:rsid w:val="00B216DB"/>
    <w:rsid w:val="00B21C67"/>
    <w:rsid w:val="00B21E15"/>
    <w:rsid w:val="00B21E61"/>
    <w:rsid w:val="00B2216B"/>
    <w:rsid w:val="00B22953"/>
    <w:rsid w:val="00B2295D"/>
    <w:rsid w:val="00B22AB2"/>
    <w:rsid w:val="00B2316C"/>
    <w:rsid w:val="00B2349A"/>
    <w:rsid w:val="00B23527"/>
    <w:rsid w:val="00B23628"/>
    <w:rsid w:val="00B23BFF"/>
    <w:rsid w:val="00B23D79"/>
    <w:rsid w:val="00B24249"/>
    <w:rsid w:val="00B24351"/>
    <w:rsid w:val="00B24609"/>
    <w:rsid w:val="00B24650"/>
    <w:rsid w:val="00B2475F"/>
    <w:rsid w:val="00B2495F"/>
    <w:rsid w:val="00B25208"/>
    <w:rsid w:val="00B252C7"/>
    <w:rsid w:val="00B25B72"/>
    <w:rsid w:val="00B25BCB"/>
    <w:rsid w:val="00B25ED4"/>
    <w:rsid w:val="00B25ED5"/>
    <w:rsid w:val="00B25FF3"/>
    <w:rsid w:val="00B2610A"/>
    <w:rsid w:val="00B262E9"/>
    <w:rsid w:val="00B264BE"/>
    <w:rsid w:val="00B265CA"/>
    <w:rsid w:val="00B273F8"/>
    <w:rsid w:val="00B27E78"/>
    <w:rsid w:val="00B300C7"/>
    <w:rsid w:val="00B3087D"/>
    <w:rsid w:val="00B30AED"/>
    <w:rsid w:val="00B30FE6"/>
    <w:rsid w:val="00B31129"/>
    <w:rsid w:val="00B31497"/>
    <w:rsid w:val="00B31522"/>
    <w:rsid w:val="00B31889"/>
    <w:rsid w:val="00B32270"/>
    <w:rsid w:val="00B3260C"/>
    <w:rsid w:val="00B33089"/>
    <w:rsid w:val="00B332A3"/>
    <w:rsid w:val="00B33468"/>
    <w:rsid w:val="00B3377C"/>
    <w:rsid w:val="00B33796"/>
    <w:rsid w:val="00B33931"/>
    <w:rsid w:val="00B33E3A"/>
    <w:rsid w:val="00B34032"/>
    <w:rsid w:val="00B34064"/>
    <w:rsid w:val="00B3429C"/>
    <w:rsid w:val="00B34794"/>
    <w:rsid w:val="00B34874"/>
    <w:rsid w:val="00B35499"/>
    <w:rsid w:val="00B357BE"/>
    <w:rsid w:val="00B3586F"/>
    <w:rsid w:val="00B35A65"/>
    <w:rsid w:val="00B35CB8"/>
    <w:rsid w:val="00B35DB4"/>
    <w:rsid w:val="00B35DD1"/>
    <w:rsid w:val="00B35EFF"/>
    <w:rsid w:val="00B36EF8"/>
    <w:rsid w:val="00B36F29"/>
    <w:rsid w:val="00B3745E"/>
    <w:rsid w:val="00B37895"/>
    <w:rsid w:val="00B37A30"/>
    <w:rsid w:val="00B37A3E"/>
    <w:rsid w:val="00B37A66"/>
    <w:rsid w:val="00B37E2B"/>
    <w:rsid w:val="00B37FA3"/>
    <w:rsid w:val="00B37FB9"/>
    <w:rsid w:val="00B401A2"/>
    <w:rsid w:val="00B401ED"/>
    <w:rsid w:val="00B4028E"/>
    <w:rsid w:val="00B406A3"/>
    <w:rsid w:val="00B4079C"/>
    <w:rsid w:val="00B40933"/>
    <w:rsid w:val="00B40A58"/>
    <w:rsid w:val="00B40EA9"/>
    <w:rsid w:val="00B41052"/>
    <w:rsid w:val="00B410E0"/>
    <w:rsid w:val="00B416C9"/>
    <w:rsid w:val="00B41F1F"/>
    <w:rsid w:val="00B42010"/>
    <w:rsid w:val="00B421DE"/>
    <w:rsid w:val="00B429FE"/>
    <w:rsid w:val="00B42ABC"/>
    <w:rsid w:val="00B42D73"/>
    <w:rsid w:val="00B42EF0"/>
    <w:rsid w:val="00B434C8"/>
    <w:rsid w:val="00B4368A"/>
    <w:rsid w:val="00B437D8"/>
    <w:rsid w:val="00B43857"/>
    <w:rsid w:val="00B43E7B"/>
    <w:rsid w:val="00B43F2D"/>
    <w:rsid w:val="00B43F33"/>
    <w:rsid w:val="00B440FF"/>
    <w:rsid w:val="00B4474A"/>
    <w:rsid w:val="00B44811"/>
    <w:rsid w:val="00B44912"/>
    <w:rsid w:val="00B44A36"/>
    <w:rsid w:val="00B44B2A"/>
    <w:rsid w:val="00B44C1D"/>
    <w:rsid w:val="00B44CB8"/>
    <w:rsid w:val="00B44F77"/>
    <w:rsid w:val="00B45059"/>
    <w:rsid w:val="00B4554A"/>
    <w:rsid w:val="00B456EB"/>
    <w:rsid w:val="00B45898"/>
    <w:rsid w:val="00B45B3C"/>
    <w:rsid w:val="00B45B8F"/>
    <w:rsid w:val="00B45D55"/>
    <w:rsid w:val="00B45D74"/>
    <w:rsid w:val="00B460C7"/>
    <w:rsid w:val="00B46261"/>
    <w:rsid w:val="00B464AE"/>
    <w:rsid w:val="00B464E9"/>
    <w:rsid w:val="00B4683D"/>
    <w:rsid w:val="00B47600"/>
    <w:rsid w:val="00B47736"/>
    <w:rsid w:val="00B4784A"/>
    <w:rsid w:val="00B47BD4"/>
    <w:rsid w:val="00B47C55"/>
    <w:rsid w:val="00B50075"/>
    <w:rsid w:val="00B503ED"/>
    <w:rsid w:val="00B50ACC"/>
    <w:rsid w:val="00B50D71"/>
    <w:rsid w:val="00B50E5A"/>
    <w:rsid w:val="00B50EB9"/>
    <w:rsid w:val="00B5111A"/>
    <w:rsid w:val="00B5138A"/>
    <w:rsid w:val="00B51413"/>
    <w:rsid w:val="00B514EE"/>
    <w:rsid w:val="00B515AE"/>
    <w:rsid w:val="00B518DB"/>
    <w:rsid w:val="00B51C2F"/>
    <w:rsid w:val="00B51EF3"/>
    <w:rsid w:val="00B51EFA"/>
    <w:rsid w:val="00B5225B"/>
    <w:rsid w:val="00B522B6"/>
    <w:rsid w:val="00B523C9"/>
    <w:rsid w:val="00B526FC"/>
    <w:rsid w:val="00B52C67"/>
    <w:rsid w:val="00B52D31"/>
    <w:rsid w:val="00B52E8F"/>
    <w:rsid w:val="00B53087"/>
    <w:rsid w:val="00B53257"/>
    <w:rsid w:val="00B532C0"/>
    <w:rsid w:val="00B537CE"/>
    <w:rsid w:val="00B53D28"/>
    <w:rsid w:val="00B53F2D"/>
    <w:rsid w:val="00B54136"/>
    <w:rsid w:val="00B54397"/>
    <w:rsid w:val="00B54403"/>
    <w:rsid w:val="00B545E1"/>
    <w:rsid w:val="00B548A7"/>
    <w:rsid w:val="00B54983"/>
    <w:rsid w:val="00B54AD0"/>
    <w:rsid w:val="00B54FF4"/>
    <w:rsid w:val="00B55252"/>
    <w:rsid w:val="00B55677"/>
    <w:rsid w:val="00B5579D"/>
    <w:rsid w:val="00B55B0E"/>
    <w:rsid w:val="00B55DD6"/>
    <w:rsid w:val="00B5611D"/>
    <w:rsid w:val="00B563BE"/>
    <w:rsid w:val="00B56434"/>
    <w:rsid w:val="00B56653"/>
    <w:rsid w:val="00B568BC"/>
    <w:rsid w:val="00B56FAF"/>
    <w:rsid w:val="00B5711F"/>
    <w:rsid w:val="00B573B9"/>
    <w:rsid w:val="00B577BF"/>
    <w:rsid w:val="00B57809"/>
    <w:rsid w:val="00B600C1"/>
    <w:rsid w:val="00B60421"/>
    <w:rsid w:val="00B606AF"/>
    <w:rsid w:val="00B60B09"/>
    <w:rsid w:val="00B60BA3"/>
    <w:rsid w:val="00B60EFF"/>
    <w:rsid w:val="00B60FA2"/>
    <w:rsid w:val="00B6118C"/>
    <w:rsid w:val="00B614F4"/>
    <w:rsid w:val="00B61A57"/>
    <w:rsid w:val="00B61C60"/>
    <w:rsid w:val="00B6239C"/>
    <w:rsid w:val="00B6247F"/>
    <w:rsid w:val="00B6260F"/>
    <w:rsid w:val="00B6286D"/>
    <w:rsid w:val="00B629EF"/>
    <w:rsid w:val="00B62D9B"/>
    <w:rsid w:val="00B6306D"/>
    <w:rsid w:val="00B632A8"/>
    <w:rsid w:val="00B63368"/>
    <w:rsid w:val="00B63B21"/>
    <w:rsid w:val="00B63EB8"/>
    <w:rsid w:val="00B640E6"/>
    <w:rsid w:val="00B64260"/>
    <w:rsid w:val="00B64CC2"/>
    <w:rsid w:val="00B64F2D"/>
    <w:rsid w:val="00B655A5"/>
    <w:rsid w:val="00B65BCA"/>
    <w:rsid w:val="00B65C48"/>
    <w:rsid w:val="00B66093"/>
    <w:rsid w:val="00B6619F"/>
    <w:rsid w:val="00B6626A"/>
    <w:rsid w:val="00B6662A"/>
    <w:rsid w:val="00B6696C"/>
    <w:rsid w:val="00B66996"/>
    <w:rsid w:val="00B66B09"/>
    <w:rsid w:val="00B672B2"/>
    <w:rsid w:val="00B675C8"/>
    <w:rsid w:val="00B67701"/>
    <w:rsid w:val="00B67713"/>
    <w:rsid w:val="00B67DCB"/>
    <w:rsid w:val="00B701D9"/>
    <w:rsid w:val="00B703B5"/>
    <w:rsid w:val="00B7042E"/>
    <w:rsid w:val="00B707A0"/>
    <w:rsid w:val="00B70845"/>
    <w:rsid w:val="00B70FA1"/>
    <w:rsid w:val="00B70FD9"/>
    <w:rsid w:val="00B71361"/>
    <w:rsid w:val="00B71762"/>
    <w:rsid w:val="00B71C21"/>
    <w:rsid w:val="00B71D01"/>
    <w:rsid w:val="00B71D91"/>
    <w:rsid w:val="00B71DD7"/>
    <w:rsid w:val="00B71E25"/>
    <w:rsid w:val="00B7205A"/>
    <w:rsid w:val="00B7228D"/>
    <w:rsid w:val="00B725E9"/>
    <w:rsid w:val="00B72917"/>
    <w:rsid w:val="00B729C5"/>
    <w:rsid w:val="00B72C90"/>
    <w:rsid w:val="00B73B87"/>
    <w:rsid w:val="00B73E75"/>
    <w:rsid w:val="00B7448B"/>
    <w:rsid w:val="00B74500"/>
    <w:rsid w:val="00B74FD8"/>
    <w:rsid w:val="00B75044"/>
    <w:rsid w:val="00B75325"/>
    <w:rsid w:val="00B7580F"/>
    <w:rsid w:val="00B75B57"/>
    <w:rsid w:val="00B75E9B"/>
    <w:rsid w:val="00B75F5F"/>
    <w:rsid w:val="00B76673"/>
    <w:rsid w:val="00B76E01"/>
    <w:rsid w:val="00B76FCF"/>
    <w:rsid w:val="00B772F8"/>
    <w:rsid w:val="00B7733A"/>
    <w:rsid w:val="00B77362"/>
    <w:rsid w:val="00B7753F"/>
    <w:rsid w:val="00B77C9A"/>
    <w:rsid w:val="00B80B27"/>
    <w:rsid w:val="00B80BE3"/>
    <w:rsid w:val="00B80D8E"/>
    <w:rsid w:val="00B80F94"/>
    <w:rsid w:val="00B810B3"/>
    <w:rsid w:val="00B8116A"/>
    <w:rsid w:val="00B8141B"/>
    <w:rsid w:val="00B81BF9"/>
    <w:rsid w:val="00B81DAD"/>
    <w:rsid w:val="00B81E38"/>
    <w:rsid w:val="00B81EB6"/>
    <w:rsid w:val="00B82233"/>
    <w:rsid w:val="00B82538"/>
    <w:rsid w:val="00B8265B"/>
    <w:rsid w:val="00B8269F"/>
    <w:rsid w:val="00B826D0"/>
    <w:rsid w:val="00B82D82"/>
    <w:rsid w:val="00B82D9C"/>
    <w:rsid w:val="00B832D5"/>
    <w:rsid w:val="00B83889"/>
    <w:rsid w:val="00B83C77"/>
    <w:rsid w:val="00B84075"/>
    <w:rsid w:val="00B84493"/>
    <w:rsid w:val="00B8484A"/>
    <w:rsid w:val="00B848C1"/>
    <w:rsid w:val="00B84C56"/>
    <w:rsid w:val="00B85149"/>
    <w:rsid w:val="00B8545C"/>
    <w:rsid w:val="00B854E6"/>
    <w:rsid w:val="00B855DF"/>
    <w:rsid w:val="00B855F7"/>
    <w:rsid w:val="00B85BA7"/>
    <w:rsid w:val="00B85E30"/>
    <w:rsid w:val="00B86329"/>
    <w:rsid w:val="00B86769"/>
    <w:rsid w:val="00B86828"/>
    <w:rsid w:val="00B8691E"/>
    <w:rsid w:val="00B86A7D"/>
    <w:rsid w:val="00B8701F"/>
    <w:rsid w:val="00B8728A"/>
    <w:rsid w:val="00B8745B"/>
    <w:rsid w:val="00B87681"/>
    <w:rsid w:val="00B87A6A"/>
    <w:rsid w:val="00B87CD6"/>
    <w:rsid w:val="00B87E53"/>
    <w:rsid w:val="00B87F46"/>
    <w:rsid w:val="00B90476"/>
    <w:rsid w:val="00B90544"/>
    <w:rsid w:val="00B90698"/>
    <w:rsid w:val="00B909D7"/>
    <w:rsid w:val="00B90B7D"/>
    <w:rsid w:val="00B90C06"/>
    <w:rsid w:val="00B90CA8"/>
    <w:rsid w:val="00B90D4F"/>
    <w:rsid w:val="00B91828"/>
    <w:rsid w:val="00B91926"/>
    <w:rsid w:val="00B91C53"/>
    <w:rsid w:val="00B91C9E"/>
    <w:rsid w:val="00B91F2C"/>
    <w:rsid w:val="00B92808"/>
    <w:rsid w:val="00B92BDD"/>
    <w:rsid w:val="00B92BE8"/>
    <w:rsid w:val="00B930CF"/>
    <w:rsid w:val="00B93195"/>
    <w:rsid w:val="00B93363"/>
    <w:rsid w:val="00B9356B"/>
    <w:rsid w:val="00B935CC"/>
    <w:rsid w:val="00B938A4"/>
    <w:rsid w:val="00B938E2"/>
    <w:rsid w:val="00B93F3C"/>
    <w:rsid w:val="00B94168"/>
    <w:rsid w:val="00B9416C"/>
    <w:rsid w:val="00B941C7"/>
    <w:rsid w:val="00B942EC"/>
    <w:rsid w:val="00B94369"/>
    <w:rsid w:val="00B946EC"/>
    <w:rsid w:val="00B94F5F"/>
    <w:rsid w:val="00B959C9"/>
    <w:rsid w:val="00B96490"/>
    <w:rsid w:val="00B96621"/>
    <w:rsid w:val="00B966B8"/>
    <w:rsid w:val="00B96B44"/>
    <w:rsid w:val="00B96E78"/>
    <w:rsid w:val="00B970AA"/>
    <w:rsid w:val="00B97156"/>
    <w:rsid w:val="00B97308"/>
    <w:rsid w:val="00B978DF"/>
    <w:rsid w:val="00B97C5A"/>
    <w:rsid w:val="00B97FAE"/>
    <w:rsid w:val="00BA028D"/>
    <w:rsid w:val="00BA059F"/>
    <w:rsid w:val="00BA095F"/>
    <w:rsid w:val="00BA0D9B"/>
    <w:rsid w:val="00BA10DB"/>
    <w:rsid w:val="00BA1325"/>
    <w:rsid w:val="00BA1746"/>
    <w:rsid w:val="00BA18BE"/>
    <w:rsid w:val="00BA19A0"/>
    <w:rsid w:val="00BA1B44"/>
    <w:rsid w:val="00BA1D99"/>
    <w:rsid w:val="00BA1EBA"/>
    <w:rsid w:val="00BA2045"/>
    <w:rsid w:val="00BA23DB"/>
    <w:rsid w:val="00BA25EA"/>
    <w:rsid w:val="00BA2965"/>
    <w:rsid w:val="00BA2C76"/>
    <w:rsid w:val="00BA34CD"/>
    <w:rsid w:val="00BA3B4F"/>
    <w:rsid w:val="00BA48DF"/>
    <w:rsid w:val="00BA48F9"/>
    <w:rsid w:val="00BA4CB0"/>
    <w:rsid w:val="00BA51C2"/>
    <w:rsid w:val="00BA5312"/>
    <w:rsid w:val="00BA5530"/>
    <w:rsid w:val="00BA56D7"/>
    <w:rsid w:val="00BA6057"/>
    <w:rsid w:val="00BA649D"/>
    <w:rsid w:val="00BA6574"/>
    <w:rsid w:val="00BA674C"/>
    <w:rsid w:val="00BA6871"/>
    <w:rsid w:val="00BA6ABB"/>
    <w:rsid w:val="00BA6E66"/>
    <w:rsid w:val="00BA6F2B"/>
    <w:rsid w:val="00BA7202"/>
    <w:rsid w:val="00BA722E"/>
    <w:rsid w:val="00BA78BE"/>
    <w:rsid w:val="00BA7D0E"/>
    <w:rsid w:val="00BA7E04"/>
    <w:rsid w:val="00BA7E73"/>
    <w:rsid w:val="00BB00E0"/>
    <w:rsid w:val="00BB0243"/>
    <w:rsid w:val="00BB0308"/>
    <w:rsid w:val="00BB03A0"/>
    <w:rsid w:val="00BB057B"/>
    <w:rsid w:val="00BB0A3B"/>
    <w:rsid w:val="00BB0DCE"/>
    <w:rsid w:val="00BB17A0"/>
    <w:rsid w:val="00BB1AC6"/>
    <w:rsid w:val="00BB1BA7"/>
    <w:rsid w:val="00BB1C0C"/>
    <w:rsid w:val="00BB1C81"/>
    <w:rsid w:val="00BB1DC3"/>
    <w:rsid w:val="00BB2DA4"/>
    <w:rsid w:val="00BB2DBD"/>
    <w:rsid w:val="00BB3054"/>
    <w:rsid w:val="00BB31C8"/>
    <w:rsid w:val="00BB366D"/>
    <w:rsid w:val="00BB3680"/>
    <w:rsid w:val="00BB3AB1"/>
    <w:rsid w:val="00BB4241"/>
    <w:rsid w:val="00BB43C7"/>
    <w:rsid w:val="00BB48BD"/>
    <w:rsid w:val="00BB49B4"/>
    <w:rsid w:val="00BB500B"/>
    <w:rsid w:val="00BB519F"/>
    <w:rsid w:val="00BB5828"/>
    <w:rsid w:val="00BB5E28"/>
    <w:rsid w:val="00BB5E31"/>
    <w:rsid w:val="00BB5F23"/>
    <w:rsid w:val="00BB5F61"/>
    <w:rsid w:val="00BB661F"/>
    <w:rsid w:val="00BB6843"/>
    <w:rsid w:val="00BB6A6D"/>
    <w:rsid w:val="00BB6DFC"/>
    <w:rsid w:val="00BB6F4A"/>
    <w:rsid w:val="00BB72AF"/>
    <w:rsid w:val="00BB794E"/>
    <w:rsid w:val="00BC0389"/>
    <w:rsid w:val="00BC09FC"/>
    <w:rsid w:val="00BC0AC8"/>
    <w:rsid w:val="00BC0CB6"/>
    <w:rsid w:val="00BC0E98"/>
    <w:rsid w:val="00BC1234"/>
    <w:rsid w:val="00BC1C54"/>
    <w:rsid w:val="00BC1FD5"/>
    <w:rsid w:val="00BC2224"/>
    <w:rsid w:val="00BC2425"/>
    <w:rsid w:val="00BC263D"/>
    <w:rsid w:val="00BC2669"/>
    <w:rsid w:val="00BC27BB"/>
    <w:rsid w:val="00BC290E"/>
    <w:rsid w:val="00BC2FB4"/>
    <w:rsid w:val="00BC3149"/>
    <w:rsid w:val="00BC3413"/>
    <w:rsid w:val="00BC35AF"/>
    <w:rsid w:val="00BC3D06"/>
    <w:rsid w:val="00BC3DD1"/>
    <w:rsid w:val="00BC445F"/>
    <w:rsid w:val="00BC44FA"/>
    <w:rsid w:val="00BC4634"/>
    <w:rsid w:val="00BC478C"/>
    <w:rsid w:val="00BC4C69"/>
    <w:rsid w:val="00BC4D10"/>
    <w:rsid w:val="00BC5339"/>
    <w:rsid w:val="00BC55DA"/>
    <w:rsid w:val="00BC574E"/>
    <w:rsid w:val="00BC5AF6"/>
    <w:rsid w:val="00BC5AFA"/>
    <w:rsid w:val="00BC6092"/>
    <w:rsid w:val="00BC6241"/>
    <w:rsid w:val="00BC6542"/>
    <w:rsid w:val="00BC671B"/>
    <w:rsid w:val="00BC6860"/>
    <w:rsid w:val="00BC6AF3"/>
    <w:rsid w:val="00BC6CD2"/>
    <w:rsid w:val="00BC7013"/>
    <w:rsid w:val="00BC705F"/>
    <w:rsid w:val="00BC743C"/>
    <w:rsid w:val="00BD01E7"/>
    <w:rsid w:val="00BD02E5"/>
    <w:rsid w:val="00BD06BA"/>
    <w:rsid w:val="00BD0C0C"/>
    <w:rsid w:val="00BD136E"/>
    <w:rsid w:val="00BD16BB"/>
    <w:rsid w:val="00BD1C51"/>
    <w:rsid w:val="00BD1CB4"/>
    <w:rsid w:val="00BD1D35"/>
    <w:rsid w:val="00BD26B8"/>
    <w:rsid w:val="00BD28C5"/>
    <w:rsid w:val="00BD2B3B"/>
    <w:rsid w:val="00BD2C44"/>
    <w:rsid w:val="00BD2D53"/>
    <w:rsid w:val="00BD34EC"/>
    <w:rsid w:val="00BD3865"/>
    <w:rsid w:val="00BD396E"/>
    <w:rsid w:val="00BD39A9"/>
    <w:rsid w:val="00BD3EB4"/>
    <w:rsid w:val="00BD3EBC"/>
    <w:rsid w:val="00BD3F12"/>
    <w:rsid w:val="00BD3F15"/>
    <w:rsid w:val="00BD4B9C"/>
    <w:rsid w:val="00BD4BA9"/>
    <w:rsid w:val="00BD4DDF"/>
    <w:rsid w:val="00BD51B3"/>
    <w:rsid w:val="00BD5259"/>
    <w:rsid w:val="00BD5335"/>
    <w:rsid w:val="00BD5993"/>
    <w:rsid w:val="00BD6043"/>
    <w:rsid w:val="00BD610E"/>
    <w:rsid w:val="00BD639B"/>
    <w:rsid w:val="00BD6498"/>
    <w:rsid w:val="00BD69E5"/>
    <w:rsid w:val="00BD6F1A"/>
    <w:rsid w:val="00BD6F46"/>
    <w:rsid w:val="00BD73EF"/>
    <w:rsid w:val="00BD740E"/>
    <w:rsid w:val="00BD782E"/>
    <w:rsid w:val="00BD7851"/>
    <w:rsid w:val="00BD7D81"/>
    <w:rsid w:val="00BD7FAE"/>
    <w:rsid w:val="00BE0505"/>
    <w:rsid w:val="00BE05C1"/>
    <w:rsid w:val="00BE09EE"/>
    <w:rsid w:val="00BE0B9E"/>
    <w:rsid w:val="00BE0FA1"/>
    <w:rsid w:val="00BE0FB0"/>
    <w:rsid w:val="00BE114F"/>
    <w:rsid w:val="00BE12F4"/>
    <w:rsid w:val="00BE1838"/>
    <w:rsid w:val="00BE185A"/>
    <w:rsid w:val="00BE1A9D"/>
    <w:rsid w:val="00BE1AD8"/>
    <w:rsid w:val="00BE2105"/>
    <w:rsid w:val="00BE218F"/>
    <w:rsid w:val="00BE26A6"/>
    <w:rsid w:val="00BE26EB"/>
    <w:rsid w:val="00BE2885"/>
    <w:rsid w:val="00BE2DB5"/>
    <w:rsid w:val="00BE33CD"/>
    <w:rsid w:val="00BE3923"/>
    <w:rsid w:val="00BE39EF"/>
    <w:rsid w:val="00BE3CF9"/>
    <w:rsid w:val="00BE3ED7"/>
    <w:rsid w:val="00BE41F3"/>
    <w:rsid w:val="00BE437C"/>
    <w:rsid w:val="00BE44EF"/>
    <w:rsid w:val="00BE494F"/>
    <w:rsid w:val="00BE4A6A"/>
    <w:rsid w:val="00BE4E54"/>
    <w:rsid w:val="00BE521D"/>
    <w:rsid w:val="00BE5437"/>
    <w:rsid w:val="00BE5E1B"/>
    <w:rsid w:val="00BE5EBF"/>
    <w:rsid w:val="00BE5F30"/>
    <w:rsid w:val="00BE5F53"/>
    <w:rsid w:val="00BE698E"/>
    <w:rsid w:val="00BE6B76"/>
    <w:rsid w:val="00BE6CDC"/>
    <w:rsid w:val="00BE6D9C"/>
    <w:rsid w:val="00BE6DFF"/>
    <w:rsid w:val="00BE6EBC"/>
    <w:rsid w:val="00BE704F"/>
    <w:rsid w:val="00BE7187"/>
    <w:rsid w:val="00BE730C"/>
    <w:rsid w:val="00BE7AF4"/>
    <w:rsid w:val="00BE7F07"/>
    <w:rsid w:val="00BF0078"/>
    <w:rsid w:val="00BF00AA"/>
    <w:rsid w:val="00BF0297"/>
    <w:rsid w:val="00BF055D"/>
    <w:rsid w:val="00BF05A5"/>
    <w:rsid w:val="00BF06F3"/>
    <w:rsid w:val="00BF0AA9"/>
    <w:rsid w:val="00BF0F7E"/>
    <w:rsid w:val="00BF10C7"/>
    <w:rsid w:val="00BF2359"/>
    <w:rsid w:val="00BF29C0"/>
    <w:rsid w:val="00BF3676"/>
    <w:rsid w:val="00BF392D"/>
    <w:rsid w:val="00BF3C73"/>
    <w:rsid w:val="00BF43A2"/>
    <w:rsid w:val="00BF4837"/>
    <w:rsid w:val="00BF528F"/>
    <w:rsid w:val="00BF5435"/>
    <w:rsid w:val="00BF5574"/>
    <w:rsid w:val="00BF5E4C"/>
    <w:rsid w:val="00BF5F7D"/>
    <w:rsid w:val="00BF6173"/>
    <w:rsid w:val="00BF625E"/>
    <w:rsid w:val="00BF6A43"/>
    <w:rsid w:val="00BF6E7D"/>
    <w:rsid w:val="00BF7337"/>
    <w:rsid w:val="00BF7547"/>
    <w:rsid w:val="00BF7844"/>
    <w:rsid w:val="00BF7A73"/>
    <w:rsid w:val="00BF7E03"/>
    <w:rsid w:val="00BF7FE6"/>
    <w:rsid w:val="00C00211"/>
    <w:rsid w:val="00C00A32"/>
    <w:rsid w:val="00C0109C"/>
    <w:rsid w:val="00C0126D"/>
    <w:rsid w:val="00C015AD"/>
    <w:rsid w:val="00C0162B"/>
    <w:rsid w:val="00C0175B"/>
    <w:rsid w:val="00C020D1"/>
    <w:rsid w:val="00C02397"/>
    <w:rsid w:val="00C025C1"/>
    <w:rsid w:val="00C028B5"/>
    <w:rsid w:val="00C02EEE"/>
    <w:rsid w:val="00C030BD"/>
    <w:rsid w:val="00C0310C"/>
    <w:rsid w:val="00C03376"/>
    <w:rsid w:val="00C03543"/>
    <w:rsid w:val="00C03593"/>
    <w:rsid w:val="00C03661"/>
    <w:rsid w:val="00C0396B"/>
    <w:rsid w:val="00C03B5B"/>
    <w:rsid w:val="00C03DE7"/>
    <w:rsid w:val="00C04946"/>
    <w:rsid w:val="00C04AFB"/>
    <w:rsid w:val="00C04D5C"/>
    <w:rsid w:val="00C04F93"/>
    <w:rsid w:val="00C0529C"/>
    <w:rsid w:val="00C0538E"/>
    <w:rsid w:val="00C0555C"/>
    <w:rsid w:val="00C05896"/>
    <w:rsid w:val="00C063A4"/>
    <w:rsid w:val="00C06E18"/>
    <w:rsid w:val="00C06F3B"/>
    <w:rsid w:val="00C07079"/>
    <w:rsid w:val="00C07281"/>
    <w:rsid w:val="00C07522"/>
    <w:rsid w:val="00C07613"/>
    <w:rsid w:val="00C0770C"/>
    <w:rsid w:val="00C0789C"/>
    <w:rsid w:val="00C079EF"/>
    <w:rsid w:val="00C07A68"/>
    <w:rsid w:val="00C07A84"/>
    <w:rsid w:val="00C07FB2"/>
    <w:rsid w:val="00C10206"/>
    <w:rsid w:val="00C102E1"/>
    <w:rsid w:val="00C106B0"/>
    <w:rsid w:val="00C10B5F"/>
    <w:rsid w:val="00C11006"/>
    <w:rsid w:val="00C11079"/>
    <w:rsid w:val="00C1108A"/>
    <w:rsid w:val="00C1115B"/>
    <w:rsid w:val="00C115B4"/>
    <w:rsid w:val="00C117C4"/>
    <w:rsid w:val="00C11B70"/>
    <w:rsid w:val="00C11CAE"/>
    <w:rsid w:val="00C11CC1"/>
    <w:rsid w:val="00C11D7F"/>
    <w:rsid w:val="00C12094"/>
    <w:rsid w:val="00C120EC"/>
    <w:rsid w:val="00C12120"/>
    <w:rsid w:val="00C122F4"/>
    <w:rsid w:val="00C1275A"/>
    <w:rsid w:val="00C12804"/>
    <w:rsid w:val="00C13577"/>
    <w:rsid w:val="00C13600"/>
    <w:rsid w:val="00C1373F"/>
    <w:rsid w:val="00C14078"/>
    <w:rsid w:val="00C143B1"/>
    <w:rsid w:val="00C1468D"/>
    <w:rsid w:val="00C1479D"/>
    <w:rsid w:val="00C14BDF"/>
    <w:rsid w:val="00C14C75"/>
    <w:rsid w:val="00C14CF1"/>
    <w:rsid w:val="00C151E7"/>
    <w:rsid w:val="00C1564A"/>
    <w:rsid w:val="00C15831"/>
    <w:rsid w:val="00C1641C"/>
    <w:rsid w:val="00C167B8"/>
    <w:rsid w:val="00C1687E"/>
    <w:rsid w:val="00C16A23"/>
    <w:rsid w:val="00C16E5D"/>
    <w:rsid w:val="00C170DD"/>
    <w:rsid w:val="00C17332"/>
    <w:rsid w:val="00C17AB8"/>
    <w:rsid w:val="00C17C5D"/>
    <w:rsid w:val="00C17CFE"/>
    <w:rsid w:val="00C20029"/>
    <w:rsid w:val="00C2010E"/>
    <w:rsid w:val="00C205D1"/>
    <w:rsid w:val="00C2062C"/>
    <w:rsid w:val="00C206EE"/>
    <w:rsid w:val="00C20951"/>
    <w:rsid w:val="00C20BC9"/>
    <w:rsid w:val="00C20FAF"/>
    <w:rsid w:val="00C210D6"/>
    <w:rsid w:val="00C211EF"/>
    <w:rsid w:val="00C2122B"/>
    <w:rsid w:val="00C2124D"/>
    <w:rsid w:val="00C21436"/>
    <w:rsid w:val="00C21503"/>
    <w:rsid w:val="00C21EBD"/>
    <w:rsid w:val="00C22955"/>
    <w:rsid w:val="00C22AF0"/>
    <w:rsid w:val="00C22B20"/>
    <w:rsid w:val="00C22D54"/>
    <w:rsid w:val="00C22F26"/>
    <w:rsid w:val="00C230CB"/>
    <w:rsid w:val="00C23192"/>
    <w:rsid w:val="00C232D2"/>
    <w:rsid w:val="00C233B8"/>
    <w:rsid w:val="00C235DB"/>
    <w:rsid w:val="00C23A1C"/>
    <w:rsid w:val="00C24112"/>
    <w:rsid w:val="00C2444F"/>
    <w:rsid w:val="00C24DFE"/>
    <w:rsid w:val="00C251C4"/>
    <w:rsid w:val="00C25348"/>
    <w:rsid w:val="00C2535F"/>
    <w:rsid w:val="00C253D6"/>
    <w:rsid w:val="00C2592B"/>
    <w:rsid w:val="00C25999"/>
    <w:rsid w:val="00C25FD1"/>
    <w:rsid w:val="00C26174"/>
    <w:rsid w:val="00C2623F"/>
    <w:rsid w:val="00C26548"/>
    <w:rsid w:val="00C26ACD"/>
    <w:rsid w:val="00C26BFF"/>
    <w:rsid w:val="00C26D62"/>
    <w:rsid w:val="00C26E52"/>
    <w:rsid w:val="00C2777B"/>
    <w:rsid w:val="00C27A22"/>
    <w:rsid w:val="00C307D6"/>
    <w:rsid w:val="00C30BFA"/>
    <w:rsid w:val="00C30F59"/>
    <w:rsid w:val="00C314F1"/>
    <w:rsid w:val="00C316F2"/>
    <w:rsid w:val="00C3174A"/>
    <w:rsid w:val="00C317FC"/>
    <w:rsid w:val="00C318A7"/>
    <w:rsid w:val="00C31E1A"/>
    <w:rsid w:val="00C323E7"/>
    <w:rsid w:val="00C32B66"/>
    <w:rsid w:val="00C32DA0"/>
    <w:rsid w:val="00C32DDF"/>
    <w:rsid w:val="00C32FA6"/>
    <w:rsid w:val="00C33105"/>
    <w:rsid w:val="00C3313B"/>
    <w:rsid w:val="00C331A5"/>
    <w:rsid w:val="00C33280"/>
    <w:rsid w:val="00C33BA7"/>
    <w:rsid w:val="00C33E14"/>
    <w:rsid w:val="00C342CB"/>
    <w:rsid w:val="00C3437E"/>
    <w:rsid w:val="00C343B1"/>
    <w:rsid w:val="00C345C3"/>
    <w:rsid w:val="00C3467D"/>
    <w:rsid w:val="00C346A2"/>
    <w:rsid w:val="00C34853"/>
    <w:rsid w:val="00C35531"/>
    <w:rsid w:val="00C35A51"/>
    <w:rsid w:val="00C35DA0"/>
    <w:rsid w:val="00C36012"/>
    <w:rsid w:val="00C36544"/>
    <w:rsid w:val="00C367D5"/>
    <w:rsid w:val="00C36C91"/>
    <w:rsid w:val="00C3762A"/>
    <w:rsid w:val="00C3766E"/>
    <w:rsid w:val="00C378D4"/>
    <w:rsid w:val="00C40065"/>
    <w:rsid w:val="00C4031C"/>
    <w:rsid w:val="00C40690"/>
    <w:rsid w:val="00C407F6"/>
    <w:rsid w:val="00C40822"/>
    <w:rsid w:val="00C40884"/>
    <w:rsid w:val="00C409F2"/>
    <w:rsid w:val="00C40A69"/>
    <w:rsid w:val="00C40D7D"/>
    <w:rsid w:val="00C40EFA"/>
    <w:rsid w:val="00C41131"/>
    <w:rsid w:val="00C41390"/>
    <w:rsid w:val="00C41627"/>
    <w:rsid w:val="00C41818"/>
    <w:rsid w:val="00C41A84"/>
    <w:rsid w:val="00C41EE3"/>
    <w:rsid w:val="00C41FC6"/>
    <w:rsid w:val="00C42038"/>
    <w:rsid w:val="00C424FC"/>
    <w:rsid w:val="00C425A8"/>
    <w:rsid w:val="00C42616"/>
    <w:rsid w:val="00C42A54"/>
    <w:rsid w:val="00C42CEF"/>
    <w:rsid w:val="00C42FAF"/>
    <w:rsid w:val="00C42FE9"/>
    <w:rsid w:val="00C43328"/>
    <w:rsid w:val="00C43572"/>
    <w:rsid w:val="00C43613"/>
    <w:rsid w:val="00C43B76"/>
    <w:rsid w:val="00C441B8"/>
    <w:rsid w:val="00C44993"/>
    <w:rsid w:val="00C4580B"/>
    <w:rsid w:val="00C4594A"/>
    <w:rsid w:val="00C45A8A"/>
    <w:rsid w:val="00C45C47"/>
    <w:rsid w:val="00C46071"/>
    <w:rsid w:val="00C46151"/>
    <w:rsid w:val="00C461DF"/>
    <w:rsid w:val="00C46581"/>
    <w:rsid w:val="00C465BA"/>
    <w:rsid w:val="00C465BC"/>
    <w:rsid w:val="00C468CB"/>
    <w:rsid w:val="00C46A5F"/>
    <w:rsid w:val="00C46C78"/>
    <w:rsid w:val="00C46C81"/>
    <w:rsid w:val="00C46E3D"/>
    <w:rsid w:val="00C46EAB"/>
    <w:rsid w:val="00C47126"/>
    <w:rsid w:val="00C47827"/>
    <w:rsid w:val="00C47994"/>
    <w:rsid w:val="00C50B37"/>
    <w:rsid w:val="00C50E84"/>
    <w:rsid w:val="00C50FE0"/>
    <w:rsid w:val="00C51392"/>
    <w:rsid w:val="00C513E2"/>
    <w:rsid w:val="00C51488"/>
    <w:rsid w:val="00C5156B"/>
    <w:rsid w:val="00C51981"/>
    <w:rsid w:val="00C51B8C"/>
    <w:rsid w:val="00C51D4D"/>
    <w:rsid w:val="00C522F1"/>
    <w:rsid w:val="00C52598"/>
    <w:rsid w:val="00C526A6"/>
    <w:rsid w:val="00C52898"/>
    <w:rsid w:val="00C52DEC"/>
    <w:rsid w:val="00C53042"/>
    <w:rsid w:val="00C5311D"/>
    <w:rsid w:val="00C5362A"/>
    <w:rsid w:val="00C537A4"/>
    <w:rsid w:val="00C53CDA"/>
    <w:rsid w:val="00C54555"/>
    <w:rsid w:val="00C54899"/>
    <w:rsid w:val="00C54F24"/>
    <w:rsid w:val="00C553C7"/>
    <w:rsid w:val="00C55597"/>
    <w:rsid w:val="00C5588F"/>
    <w:rsid w:val="00C561BC"/>
    <w:rsid w:val="00C568F1"/>
    <w:rsid w:val="00C56B57"/>
    <w:rsid w:val="00C56D97"/>
    <w:rsid w:val="00C571FB"/>
    <w:rsid w:val="00C572A8"/>
    <w:rsid w:val="00C5765A"/>
    <w:rsid w:val="00C57BF9"/>
    <w:rsid w:val="00C57D84"/>
    <w:rsid w:val="00C57F47"/>
    <w:rsid w:val="00C601C8"/>
    <w:rsid w:val="00C60767"/>
    <w:rsid w:val="00C608FE"/>
    <w:rsid w:val="00C61349"/>
    <w:rsid w:val="00C6153F"/>
    <w:rsid w:val="00C6167D"/>
    <w:rsid w:val="00C61A5F"/>
    <w:rsid w:val="00C61E39"/>
    <w:rsid w:val="00C61E48"/>
    <w:rsid w:val="00C62182"/>
    <w:rsid w:val="00C62399"/>
    <w:rsid w:val="00C6241B"/>
    <w:rsid w:val="00C628DA"/>
    <w:rsid w:val="00C62C4D"/>
    <w:rsid w:val="00C62FD2"/>
    <w:rsid w:val="00C63B4E"/>
    <w:rsid w:val="00C63FF6"/>
    <w:rsid w:val="00C64121"/>
    <w:rsid w:val="00C6413E"/>
    <w:rsid w:val="00C64388"/>
    <w:rsid w:val="00C64991"/>
    <w:rsid w:val="00C649A3"/>
    <w:rsid w:val="00C649A6"/>
    <w:rsid w:val="00C65023"/>
    <w:rsid w:val="00C655AD"/>
    <w:rsid w:val="00C65B66"/>
    <w:rsid w:val="00C6601E"/>
    <w:rsid w:val="00C663C8"/>
    <w:rsid w:val="00C664AD"/>
    <w:rsid w:val="00C664CE"/>
    <w:rsid w:val="00C665C2"/>
    <w:rsid w:val="00C6664F"/>
    <w:rsid w:val="00C666AB"/>
    <w:rsid w:val="00C666D2"/>
    <w:rsid w:val="00C66D2A"/>
    <w:rsid w:val="00C67961"/>
    <w:rsid w:val="00C67B82"/>
    <w:rsid w:val="00C67D84"/>
    <w:rsid w:val="00C67F32"/>
    <w:rsid w:val="00C70239"/>
    <w:rsid w:val="00C7023F"/>
    <w:rsid w:val="00C70371"/>
    <w:rsid w:val="00C70549"/>
    <w:rsid w:val="00C70673"/>
    <w:rsid w:val="00C71858"/>
    <w:rsid w:val="00C71BDE"/>
    <w:rsid w:val="00C71C88"/>
    <w:rsid w:val="00C72126"/>
    <w:rsid w:val="00C7256B"/>
    <w:rsid w:val="00C72A1C"/>
    <w:rsid w:val="00C72D2E"/>
    <w:rsid w:val="00C72E4F"/>
    <w:rsid w:val="00C73514"/>
    <w:rsid w:val="00C73783"/>
    <w:rsid w:val="00C73797"/>
    <w:rsid w:val="00C737FF"/>
    <w:rsid w:val="00C738AC"/>
    <w:rsid w:val="00C738B8"/>
    <w:rsid w:val="00C74198"/>
    <w:rsid w:val="00C748AB"/>
    <w:rsid w:val="00C751CE"/>
    <w:rsid w:val="00C753C2"/>
    <w:rsid w:val="00C75D63"/>
    <w:rsid w:val="00C75F39"/>
    <w:rsid w:val="00C75FF6"/>
    <w:rsid w:val="00C76027"/>
    <w:rsid w:val="00C760D2"/>
    <w:rsid w:val="00C761BE"/>
    <w:rsid w:val="00C761FA"/>
    <w:rsid w:val="00C76590"/>
    <w:rsid w:val="00C765CE"/>
    <w:rsid w:val="00C76714"/>
    <w:rsid w:val="00C76889"/>
    <w:rsid w:val="00C769F5"/>
    <w:rsid w:val="00C77015"/>
    <w:rsid w:val="00C7726E"/>
    <w:rsid w:val="00C7729E"/>
    <w:rsid w:val="00C77708"/>
    <w:rsid w:val="00C777D2"/>
    <w:rsid w:val="00C77B53"/>
    <w:rsid w:val="00C77BA4"/>
    <w:rsid w:val="00C77D85"/>
    <w:rsid w:val="00C77FCB"/>
    <w:rsid w:val="00C80233"/>
    <w:rsid w:val="00C803D6"/>
    <w:rsid w:val="00C8043B"/>
    <w:rsid w:val="00C806E8"/>
    <w:rsid w:val="00C80F00"/>
    <w:rsid w:val="00C81011"/>
    <w:rsid w:val="00C81468"/>
    <w:rsid w:val="00C81593"/>
    <w:rsid w:val="00C81ADE"/>
    <w:rsid w:val="00C81E35"/>
    <w:rsid w:val="00C81FFB"/>
    <w:rsid w:val="00C82024"/>
    <w:rsid w:val="00C8273F"/>
    <w:rsid w:val="00C82751"/>
    <w:rsid w:val="00C82974"/>
    <w:rsid w:val="00C8298A"/>
    <w:rsid w:val="00C82F8B"/>
    <w:rsid w:val="00C83256"/>
    <w:rsid w:val="00C8329F"/>
    <w:rsid w:val="00C83367"/>
    <w:rsid w:val="00C83B4E"/>
    <w:rsid w:val="00C83C93"/>
    <w:rsid w:val="00C8424B"/>
    <w:rsid w:val="00C84524"/>
    <w:rsid w:val="00C84BA3"/>
    <w:rsid w:val="00C85056"/>
    <w:rsid w:val="00C850A4"/>
    <w:rsid w:val="00C851E5"/>
    <w:rsid w:val="00C853A6"/>
    <w:rsid w:val="00C855FB"/>
    <w:rsid w:val="00C85F7D"/>
    <w:rsid w:val="00C85FC9"/>
    <w:rsid w:val="00C85FE8"/>
    <w:rsid w:val="00C86234"/>
    <w:rsid w:val="00C86344"/>
    <w:rsid w:val="00C8681A"/>
    <w:rsid w:val="00C868AC"/>
    <w:rsid w:val="00C87025"/>
    <w:rsid w:val="00C87035"/>
    <w:rsid w:val="00C87271"/>
    <w:rsid w:val="00C878D5"/>
    <w:rsid w:val="00C8792C"/>
    <w:rsid w:val="00C87B6A"/>
    <w:rsid w:val="00C87C91"/>
    <w:rsid w:val="00C87CB2"/>
    <w:rsid w:val="00C87D91"/>
    <w:rsid w:val="00C87E30"/>
    <w:rsid w:val="00C87FCC"/>
    <w:rsid w:val="00C87FF6"/>
    <w:rsid w:val="00C9033B"/>
    <w:rsid w:val="00C90412"/>
    <w:rsid w:val="00C904C7"/>
    <w:rsid w:val="00C906EF"/>
    <w:rsid w:val="00C90D49"/>
    <w:rsid w:val="00C90E3C"/>
    <w:rsid w:val="00C90FBC"/>
    <w:rsid w:val="00C9108F"/>
    <w:rsid w:val="00C91247"/>
    <w:rsid w:val="00C912F2"/>
    <w:rsid w:val="00C913A1"/>
    <w:rsid w:val="00C91B51"/>
    <w:rsid w:val="00C9247F"/>
    <w:rsid w:val="00C926E1"/>
    <w:rsid w:val="00C92C5E"/>
    <w:rsid w:val="00C931D3"/>
    <w:rsid w:val="00C93558"/>
    <w:rsid w:val="00C935FD"/>
    <w:rsid w:val="00C939C3"/>
    <w:rsid w:val="00C93A21"/>
    <w:rsid w:val="00C942AC"/>
    <w:rsid w:val="00C94647"/>
    <w:rsid w:val="00C94752"/>
    <w:rsid w:val="00C94763"/>
    <w:rsid w:val="00C9494E"/>
    <w:rsid w:val="00C94CFD"/>
    <w:rsid w:val="00C950AE"/>
    <w:rsid w:val="00C950C4"/>
    <w:rsid w:val="00C9537F"/>
    <w:rsid w:val="00C95505"/>
    <w:rsid w:val="00C957E4"/>
    <w:rsid w:val="00C9585A"/>
    <w:rsid w:val="00C958C9"/>
    <w:rsid w:val="00C95A43"/>
    <w:rsid w:val="00C95B20"/>
    <w:rsid w:val="00C95EE2"/>
    <w:rsid w:val="00C96170"/>
    <w:rsid w:val="00C9660F"/>
    <w:rsid w:val="00C96856"/>
    <w:rsid w:val="00C96B98"/>
    <w:rsid w:val="00C96E8F"/>
    <w:rsid w:val="00C9704C"/>
    <w:rsid w:val="00C974AB"/>
    <w:rsid w:val="00C97B4E"/>
    <w:rsid w:val="00C97F8B"/>
    <w:rsid w:val="00CA0066"/>
    <w:rsid w:val="00CA07EE"/>
    <w:rsid w:val="00CA0A62"/>
    <w:rsid w:val="00CA0C3F"/>
    <w:rsid w:val="00CA0D15"/>
    <w:rsid w:val="00CA0D7A"/>
    <w:rsid w:val="00CA0E9E"/>
    <w:rsid w:val="00CA0FF1"/>
    <w:rsid w:val="00CA124A"/>
    <w:rsid w:val="00CA1889"/>
    <w:rsid w:val="00CA1A1E"/>
    <w:rsid w:val="00CA1FE9"/>
    <w:rsid w:val="00CA2289"/>
    <w:rsid w:val="00CA27BF"/>
    <w:rsid w:val="00CA33EE"/>
    <w:rsid w:val="00CA3792"/>
    <w:rsid w:val="00CA379D"/>
    <w:rsid w:val="00CA38F0"/>
    <w:rsid w:val="00CA405A"/>
    <w:rsid w:val="00CA4144"/>
    <w:rsid w:val="00CA4446"/>
    <w:rsid w:val="00CA450E"/>
    <w:rsid w:val="00CA452D"/>
    <w:rsid w:val="00CA4680"/>
    <w:rsid w:val="00CA4853"/>
    <w:rsid w:val="00CA494B"/>
    <w:rsid w:val="00CA543A"/>
    <w:rsid w:val="00CA54E4"/>
    <w:rsid w:val="00CA5705"/>
    <w:rsid w:val="00CA578E"/>
    <w:rsid w:val="00CA60F2"/>
    <w:rsid w:val="00CA6246"/>
    <w:rsid w:val="00CA6CE8"/>
    <w:rsid w:val="00CA754F"/>
    <w:rsid w:val="00CA7934"/>
    <w:rsid w:val="00CA7A7B"/>
    <w:rsid w:val="00CA7C3C"/>
    <w:rsid w:val="00CA7C46"/>
    <w:rsid w:val="00CA7E8D"/>
    <w:rsid w:val="00CA7FBA"/>
    <w:rsid w:val="00CB00F3"/>
    <w:rsid w:val="00CB0200"/>
    <w:rsid w:val="00CB0396"/>
    <w:rsid w:val="00CB05DB"/>
    <w:rsid w:val="00CB0953"/>
    <w:rsid w:val="00CB0B23"/>
    <w:rsid w:val="00CB0DEA"/>
    <w:rsid w:val="00CB0E79"/>
    <w:rsid w:val="00CB0EF3"/>
    <w:rsid w:val="00CB185F"/>
    <w:rsid w:val="00CB1867"/>
    <w:rsid w:val="00CB1A49"/>
    <w:rsid w:val="00CB1FCD"/>
    <w:rsid w:val="00CB20CB"/>
    <w:rsid w:val="00CB2BEB"/>
    <w:rsid w:val="00CB2CEA"/>
    <w:rsid w:val="00CB3267"/>
    <w:rsid w:val="00CB36B3"/>
    <w:rsid w:val="00CB38C5"/>
    <w:rsid w:val="00CB3C92"/>
    <w:rsid w:val="00CB3C95"/>
    <w:rsid w:val="00CB3CB9"/>
    <w:rsid w:val="00CB3ED7"/>
    <w:rsid w:val="00CB40EF"/>
    <w:rsid w:val="00CB41E9"/>
    <w:rsid w:val="00CB49F8"/>
    <w:rsid w:val="00CB55BA"/>
    <w:rsid w:val="00CB56F5"/>
    <w:rsid w:val="00CB5B2D"/>
    <w:rsid w:val="00CB5DD8"/>
    <w:rsid w:val="00CB61D1"/>
    <w:rsid w:val="00CB61FD"/>
    <w:rsid w:val="00CB62D0"/>
    <w:rsid w:val="00CB64E9"/>
    <w:rsid w:val="00CB654D"/>
    <w:rsid w:val="00CB661B"/>
    <w:rsid w:val="00CB668E"/>
    <w:rsid w:val="00CB6CC7"/>
    <w:rsid w:val="00CB6E16"/>
    <w:rsid w:val="00CB6E40"/>
    <w:rsid w:val="00CB6F40"/>
    <w:rsid w:val="00CB7255"/>
    <w:rsid w:val="00CB7311"/>
    <w:rsid w:val="00CB74B8"/>
    <w:rsid w:val="00CB75BA"/>
    <w:rsid w:val="00CB7BFA"/>
    <w:rsid w:val="00CB7CAB"/>
    <w:rsid w:val="00CB7D71"/>
    <w:rsid w:val="00CB7E28"/>
    <w:rsid w:val="00CC0139"/>
    <w:rsid w:val="00CC0723"/>
    <w:rsid w:val="00CC0B44"/>
    <w:rsid w:val="00CC0F7F"/>
    <w:rsid w:val="00CC103F"/>
    <w:rsid w:val="00CC11F5"/>
    <w:rsid w:val="00CC1436"/>
    <w:rsid w:val="00CC147E"/>
    <w:rsid w:val="00CC14A3"/>
    <w:rsid w:val="00CC15F5"/>
    <w:rsid w:val="00CC17DF"/>
    <w:rsid w:val="00CC26E7"/>
    <w:rsid w:val="00CC28BD"/>
    <w:rsid w:val="00CC2A3F"/>
    <w:rsid w:val="00CC305C"/>
    <w:rsid w:val="00CC3BAB"/>
    <w:rsid w:val="00CC3DC1"/>
    <w:rsid w:val="00CC43C4"/>
    <w:rsid w:val="00CC43EB"/>
    <w:rsid w:val="00CC45E5"/>
    <w:rsid w:val="00CC4944"/>
    <w:rsid w:val="00CC4F1C"/>
    <w:rsid w:val="00CC5148"/>
    <w:rsid w:val="00CC51D4"/>
    <w:rsid w:val="00CC529C"/>
    <w:rsid w:val="00CC58C8"/>
    <w:rsid w:val="00CC63F8"/>
    <w:rsid w:val="00CC651C"/>
    <w:rsid w:val="00CC6A4D"/>
    <w:rsid w:val="00CC6A99"/>
    <w:rsid w:val="00CC6C0E"/>
    <w:rsid w:val="00CC6C20"/>
    <w:rsid w:val="00CC6CBE"/>
    <w:rsid w:val="00CC796C"/>
    <w:rsid w:val="00CC7F8E"/>
    <w:rsid w:val="00CD0667"/>
    <w:rsid w:val="00CD0FB1"/>
    <w:rsid w:val="00CD12FC"/>
    <w:rsid w:val="00CD170A"/>
    <w:rsid w:val="00CD173E"/>
    <w:rsid w:val="00CD1BF9"/>
    <w:rsid w:val="00CD1C2E"/>
    <w:rsid w:val="00CD1EBD"/>
    <w:rsid w:val="00CD2029"/>
    <w:rsid w:val="00CD230A"/>
    <w:rsid w:val="00CD29F8"/>
    <w:rsid w:val="00CD2B8C"/>
    <w:rsid w:val="00CD2CD1"/>
    <w:rsid w:val="00CD30E9"/>
    <w:rsid w:val="00CD31DF"/>
    <w:rsid w:val="00CD36E9"/>
    <w:rsid w:val="00CD410A"/>
    <w:rsid w:val="00CD41E0"/>
    <w:rsid w:val="00CD47A6"/>
    <w:rsid w:val="00CD4CEE"/>
    <w:rsid w:val="00CD51E4"/>
    <w:rsid w:val="00CD52DA"/>
    <w:rsid w:val="00CD5388"/>
    <w:rsid w:val="00CD5E6B"/>
    <w:rsid w:val="00CD600C"/>
    <w:rsid w:val="00CD60B0"/>
    <w:rsid w:val="00CD612F"/>
    <w:rsid w:val="00CD68C2"/>
    <w:rsid w:val="00CD6EA3"/>
    <w:rsid w:val="00CD6ED9"/>
    <w:rsid w:val="00CD7039"/>
    <w:rsid w:val="00CD717D"/>
    <w:rsid w:val="00CD761F"/>
    <w:rsid w:val="00CD782B"/>
    <w:rsid w:val="00CD7C75"/>
    <w:rsid w:val="00CE0424"/>
    <w:rsid w:val="00CE06F5"/>
    <w:rsid w:val="00CE0E00"/>
    <w:rsid w:val="00CE0F8C"/>
    <w:rsid w:val="00CE1043"/>
    <w:rsid w:val="00CE136C"/>
    <w:rsid w:val="00CE1782"/>
    <w:rsid w:val="00CE1981"/>
    <w:rsid w:val="00CE1E81"/>
    <w:rsid w:val="00CE1FD6"/>
    <w:rsid w:val="00CE22DE"/>
    <w:rsid w:val="00CE22EE"/>
    <w:rsid w:val="00CE28A8"/>
    <w:rsid w:val="00CE28C9"/>
    <w:rsid w:val="00CE2A00"/>
    <w:rsid w:val="00CE2CF1"/>
    <w:rsid w:val="00CE2FB8"/>
    <w:rsid w:val="00CE30BE"/>
    <w:rsid w:val="00CE30D4"/>
    <w:rsid w:val="00CE348A"/>
    <w:rsid w:val="00CE3ADC"/>
    <w:rsid w:val="00CE3D63"/>
    <w:rsid w:val="00CE411D"/>
    <w:rsid w:val="00CE4131"/>
    <w:rsid w:val="00CE41C7"/>
    <w:rsid w:val="00CE420C"/>
    <w:rsid w:val="00CE4479"/>
    <w:rsid w:val="00CE48B8"/>
    <w:rsid w:val="00CE4A54"/>
    <w:rsid w:val="00CE57AC"/>
    <w:rsid w:val="00CE61F9"/>
    <w:rsid w:val="00CE65C5"/>
    <w:rsid w:val="00CE6A6B"/>
    <w:rsid w:val="00CE7194"/>
    <w:rsid w:val="00CE74CD"/>
    <w:rsid w:val="00CE7EAD"/>
    <w:rsid w:val="00CF0410"/>
    <w:rsid w:val="00CF050A"/>
    <w:rsid w:val="00CF0518"/>
    <w:rsid w:val="00CF055A"/>
    <w:rsid w:val="00CF06E3"/>
    <w:rsid w:val="00CF072C"/>
    <w:rsid w:val="00CF07BC"/>
    <w:rsid w:val="00CF08F5"/>
    <w:rsid w:val="00CF0A58"/>
    <w:rsid w:val="00CF0C55"/>
    <w:rsid w:val="00CF0D1A"/>
    <w:rsid w:val="00CF15D9"/>
    <w:rsid w:val="00CF1844"/>
    <w:rsid w:val="00CF1EEB"/>
    <w:rsid w:val="00CF200A"/>
    <w:rsid w:val="00CF23F9"/>
    <w:rsid w:val="00CF24B3"/>
    <w:rsid w:val="00CF2BD1"/>
    <w:rsid w:val="00CF2C44"/>
    <w:rsid w:val="00CF2CDB"/>
    <w:rsid w:val="00CF3567"/>
    <w:rsid w:val="00CF3E55"/>
    <w:rsid w:val="00CF403E"/>
    <w:rsid w:val="00CF42BD"/>
    <w:rsid w:val="00CF55EA"/>
    <w:rsid w:val="00CF59C0"/>
    <w:rsid w:val="00CF5C1D"/>
    <w:rsid w:val="00CF5C45"/>
    <w:rsid w:val="00CF5F24"/>
    <w:rsid w:val="00CF5F4A"/>
    <w:rsid w:val="00CF6236"/>
    <w:rsid w:val="00CF6C1F"/>
    <w:rsid w:val="00CF6DE1"/>
    <w:rsid w:val="00CF759A"/>
    <w:rsid w:val="00CF7A72"/>
    <w:rsid w:val="00CF7D5E"/>
    <w:rsid w:val="00CF7DB6"/>
    <w:rsid w:val="00D000CF"/>
    <w:rsid w:val="00D001EC"/>
    <w:rsid w:val="00D00386"/>
    <w:rsid w:val="00D003D3"/>
    <w:rsid w:val="00D00564"/>
    <w:rsid w:val="00D0065E"/>
    <w:rsid w:val="00D009A0"/>
    <w:rsid w:val="00D00AA3"/>
    <w:rsid w:val="00D00DB5"/>
    <w:rsid w:val="00D0107D"/>
    <w:rsid w:val="00D011E1"/>
    <w:rsid w:val="00D0136D"/>
    <w:rsid w:val="00D014D6"/>
    <w:rsid w:val="00D01634"/>
    <w:rsid w:val="00D01DD3"/>
    <w:rsid w:val="00D01E68"/>
    <w:rsid w:val="00D01E6E"/>
    <w:rsid w:val="00D023AD"/>
    <w:rsid w:val="00D024F0"/>
    <w:rsid w:val="00D0263A"/>
    <w:rsid w:val="00D02C1A"/>
    <w:rsid w:val="00D02E82"/>
    <w:rsid w:val="00D030A5"/>
    <w:rsid w:val="00D030F2"/>
    <w:rsid w:val="00D03582"/>
    <w:rsid w:val="00D035FD"/>
    <w:rsid w:val="00D03960"/>
    <w:rsid w:val="00D039DB"/>
    <w:rsid w:val="00D03B2C"/>
    <w:rsid w:val="00D03D26"/>
    <w:rsid w:val="00D03D56"/>
    <w:rsid w:val="00D0441E"/>
    <w:rsid w:val="00D044EF"/>
    <w:rsid w:val="00D04608"/>
    <w:rsid w:val="00D04803"/>
    <w:rsid w:val="00D0490D"/>
    <w:rsid w:val="00D04910"/>
    <w:rsid w:val="00D04A77"/>
    <w:rsid w:val="00D05017"/>
    <w:rsid w:val="00D0504E"/>
    <w:rsid w:val="00D0517A"/>
    <w:rsid w:val="00D054F4"/>
    <w:rsid w:val="00D0554F"/>
    <w:rsid w:val="00D05552"/>
    <w:rsid w:val="00D057FC"/>
    <w:rsid w:val="00D05AF8"/>
    <w:rsid w:val="00D05D0A"/>
    <w:rsid w:val="00D06375"/>
    <w:rsid w:val="00D06C76"/>
    <w:rsid w:val="00D06D46"/>
    <w:rsid w:val="00D06E02"/>
    <w:rsid w:val="00D07026"/>
    <w:rsid w:val="00D07405"/>
    <w:rsid w:val="00D07AE1"/>
    <w:rsid w:val="00D07F73"/>
    <w:rsid w:val="00D1004D"/>
    <w:rsid w:val="00D10247"/>
    <w:rsid w:val="00D1029E"/>
    <w:rsid w:val="00D10720"/>
    <w:rsid w:val="00D10985"/>
    <w:rsid w:val="00D10CF2"/>
    <w:rsid w:val="00D10D07"/>
    <w:rsid w:val="00D10E91"/>
    <w:rsid w:val="00D10FCD"/>
    <w:rsid w:val="00D11BC9"/>
    <w:rsid w:val="00D11D8E"/>
    <w:rsid w:val="00D11F04"/>
    <w:rsid w:val="00D1205B"/>
    <w:rsid w:val="00D12191"/>
    <w:rsid w:val="00D12294"/>
    <w:rsid w:val="00D1293E"/>
    <w:rsid w:val="00D13124"/>
    <w:rsid w:val="00D13426"/>
    <w:rsid w:val="00D1356D"/>
    <w:rsid w:val="00D135AB"/>
    <w:rsid w:val="00D140DA"/>
    <w:rsid w:val="00D141DD"/>
    <w:rsid w:val="00D144C2"/>
    <w:rsid w:val="00D14844"/>
    <w:rsid w:val="00D14A00"/>
    <w:rsid w:val="00D14AA7"/>
    <w:rsid w:val="00D152CC"/>
    <w:rsid w:val="00D152FB"/>
    <w:rsid w:val="00D1575E"/>
    <w:rsid w:val="00D15B25"/>
    <w:rsid w:val="00D165C7"/>
    <w:rsid w:val="00D167E1"/>
    <w:rsid w:val="00D1716F"/>
    <w:rsid w:val="00D17258"/>
    <w:rsid w:val="00D17363"/>
    <w:rsid w:val="00D17800"/>
    <w:rsid w:val="00D178BF"/>
    <w:rsid w:val="00D17E4E"/>
    <w:rsid w:val="00D17EF8"/>
    <w:rsid w:val="00D2041C"/>
    <w:rsid w:val="00D20659"/>
    <w:rsid w:val="00D20813"/>
    <w:rsid w:val="00D209EF"/>
    <w:rsid w:val="00D20C68"/>
    <w:rsid w:val="00D20F40"/>
    <w:rsid w:val="00D2163D"/>
    <w:rsid w:val="00D217C9"/>
    <w:rsid w:val="00D2194E"/>
    <w:rsid w:val="00D21B58"/>
    <w:rsid w:val="00D21BDA"/>
    <w:rsid w:val="00D21DAF"/>
    <w:rsid w:val="00D21EC6"/>
    <w:rsid w:val="00D2229B"/>
    <w:rsid w:val="00D22530"/>
    <w:rsid w:val="00D22552"/>
    <w:rsid w:val="00D22793"/>
    <w:rsid w:val="00D2288E"/>
    <w:rsid w:val="00D22A63"/>
    <w:rsid w:val="00D22CCB"/>
    <w:rsid w:val="00D22E01"/>
    <w:rsid w:val="00D23363"/>
    <w:rsid w:val="00D23366"/>
    <w:rsid w:val="00D23983"/>
    <w:rsid w:val="00D239BA"/>
    <w:rsid w:val="00D23ACB"/>
    <w:rsid w:val="00D23B73"/>
    <w:rsid w:val="00D23BEA"/>
    <w:rsid w:val="00D23D34"/>
    <w:rsid w:val="00D245A9"/>
    <w:rsid w:val="00D24635"/>
    <w:rsid w:val="00D24B9F"/>
    <w:rsid w:val="00D25053"/>
    <w:rsid w:val="00D253C8"/>
    <w:rsid w:val="00D25ADE"/>
    <w:rsid w:val="00D25C32"/>
    <w:rsid w:val="00D25E93"/>
    <w:rsid w:val="00D26152"/>
    <w:rsid w:val="00D263EB"/>
    <w:rsid w:val="00D26633"/>
    <w:rsid w:val="00D26988"/>
    <w:rsid w:val="00D26993"/>
    <w:rsid w:val="00D26B43"/>
    <w:rsid w:val="00D26E32"/>
    <w:rsid w:val="00D2758E"/>
    <w:rsid w:val="00D27812"/>
    <w:rsid w:val="00D27B95"/>
    <w:rsid w:val="00D3043D"/>
    <w:rsid w:val="00D30642"/>
    <w:rsid w:val="00D311C5"/>
    <w:rsid w:val="00D3135B"/>
    <w:rsid w:val="00D313C9"/>
    <w:rsid w:val="00D3189F"/>
    <w:rsid w:val="00D31904"/>
    <w:rsid w:val="00D31A42"/>
    <w:rsid w:val="00D31ABA"/>
    <w:rsid w:val="00D31AE1"/>
    <w:rsid w:val="00D31B31"/>
    <w:rsid w:val="00D31CA7"/>
    <w:rsid w:val="00D31F3D"/>
    <w:rsid w:val="00D3200F"/>
    <w:rsid w:val="00D32019"/>
    <w:rsid w:val="00D322FA"/>
    <w:rsid w:val="00D32590"/>
    <w:rsid w:val="00D32726"/>
    <w:rsid w:val="00D3295A"/>
    <w:rsid w:val="00D32A89"/>
    <w:rsid w:val="00D32D8F"/>
    <w:rsid w:val="00D3306F"/>
    <w:rsid w:val="00D33622"/>
    <w:rsid w:val="00D33626"/>
    <w:rsid w:val="00D33856"/>
    <w:rsid w:val="00D338C4"/>
    <w:rsid w:val="00D33DBE"/>
    <w:rsid w:val="00D340F4"/>
    <w:rsid w:val="00D345A6"/>
    <w:rsid w:val="00D34C24"/>
    <w:rsid w:val="00D356A8"/>
    <w:rsid w:val="00D358D1"/>
    <w:rsid w:val="00D35C58"/>
    <w:rsid w:val="00D35D0F"/>
    <w:rsid w:val="00D35F06"/>
    <w:rsid w:val="00D362B9"/>
    <w:rsid w:val="00D36819"/>
    <w:rsid w:val="00D36D11"/>
    <w:rsid w:val="00D370F0"/>
    <w:rsid w:val="00D375EC"/>
    <w:rsid w:val="00D376F1"/>
    <w:rsid w:val="00D37788"/>
    <w:rsid w:val="00D37897"/>
    <w:rsid w:val="00D378BF"/>
    <w:rsid w:val="00D37F8A"/>
    <w:rsid w:val="00D4063D"/>
    <w:rsid w:val="00D4089D"/>
    <w:rsid w:val="00D40C24"/>
    <w:rsid w:val="00D40D0A"/>
    <w:rsid w:val="00D40F6E"/>
    <w:rsid w:val="00D4107E"/>
    <w:rsid w:val="00D41116"/>
    <w:rsid w:val="00D4167D"/>
    <w:rsid w:val="00D417F8"/>
    <w:rsid w:val="00D41A21"/>
    <w:rsid w:val="00D41A4F"/>
    <w:rsid w:val="00D41FC9"/>
    <w:rsid w:val="00D425A9"/>
    <w:rsid w:val="00D427CC"/>
    <w:rsid w:val="00D42B95"/>
    <w:rsid w:val="00D431A6"/>
    <w:rsid w:val="00D43297"/>
    <w:rsid w:val="00D435B5"/>
    <w:rsid w:val="00D43722"/>
    <w:rsid w:val="00D43734"/>
    <w:rsid w:val="00D4379B"/>
    <w:rsid w:val="00D439B5"/>
    <w:rsid w:val="00D43BCC"/>
    <w:rsid w:val="00D43FCF"/>
    <w:rsid w:val="00D4462B"/>
    <w:rsid w:val="00D4495F"/>
    <w:rsid w:val="00D44DB6"/>
    <w:rsid w:val="00D44EBD"/>
    <w:rsid w:val="00D45280"/>
    <w:rsid w:val="00D455CD"/>
    <w:rsid w:val="00D457E6"/>
    <w:rsid w:val="00D459F8"/>
    <w:rsid w:val="00D460D3"/>
    <w:rsid w:val="00D460E4"/>
    <w:rsid w:val="00D46B54"/>
    <w:rsid w:val="00D46C73"/>
    <w:rsid w:val="00D47179"/>
    <w:rsid w:val="00D47871"/>
    <w:rsid w:val="00D47889"/>
    <w:rsid w:val="00D47981"/>
    <w:rsid w:val="00D50011"/>
    <w:rsid w:val="00D50119"/>
    <w:rsid w:val="00D5038C"/>
    <w:rsid w:val="00D5046B"/>
    <w:rsid w:val="00D50C81"/>
    <w:rsid w:val="00D51101"/>
    <w:rsid w:val="00D51360"/>
    <w:rsid w:val="00D514B8"/>
    <w:rsid w:val="00D515EC"/>
    <w:rsid w:val="00D5182D"/>
    <w:rsid w:val="00D51BE5"/>
    <w:rsid w:val="00D51DEF"/>
    <w:rsid w:val="00D51E8E"/>
    <w:rsid w:val="00D52059"/>
    <w:rsid w:val="00D520E0"/>
    <w:rsid w:val="00D526AF"/>
    <w:rsid w:val="00D52B66"/>
    <w:rsid w:val="00D52BC9"/>
    <w:rsid w:val="00D52CD0"/>
    <w:rsid w:val="00D52E83"/>
    <w:rsid w:val="00D53103"/>
    <w:rsid w:val="00D5311F"/>
    <w:rsid w:val="00D5313E"/>
    <w:rsid w:val="00D53153"/>
    <w:rsid w:val="00D535C2"/>
    <w:rsid w:val="00D53878"/>
    <w:rsid w:val="00D53B6D"/>
    <w:rsid w:val="00D53BCC"/>
    <w:rsid w:val="00D5476C"/>
    <w:rsid w:val="00D547F9"/>
    <w:rsid w:val="00D54A4A"/>
    <w:rsid w:val="00D54A7F"/>
    <w:rsid w:val="00D54EFE"/>
    <w:rsid w:val="00D54F7F"/>
    <w:rsid w:val="00D5509B"/>
    <w:rsid w:val="00D5527D"/>
    <w:rsid w:val="00D5528C"/>
    <w:rsid w:val="00D55470"/>
    <w:rsid w:val="00D55524"/>
    <w:rsid w:val="00D5582A"/>
    <w:rsid w:val="00D55BEC"/>
    <w:rsid w:val="00D562FD"/>
    <w:rsid w:val="00D56405"/>
    <w:rsid w:val="00D56839"/>
    <w:rsid w:val="00D56C7A"/>
    <w:rsid w:val="00D56C85"/>
    <w:rsid w:val="00D56F53"/>
    <w:rsid w:val="00D571EB"/>
    <w:rsid w:val="00D573AA"/>
    <w:rsid w:val="00D57B4A"/>
    <w:rsid w:val="00D57E08"/>
    <w:rsid w:val="00D60511"/>
    <w:rsid w:val="00D60581"/>
    <w:rsid w:val="00D605C9"/>
    <w:rsid w:val="00D6083C"/>
    <w:rsid w:val="00D6105A"/>
    <w:rsid w:val="00D614FE"/>
    <w:rsid w:val="00D61ABD"/>
    <w:rsid w:val="00D61E51"/>
    <w:rsid w:val="00D626B7"/>
    <w:rsid w:val="00D6293B"/>
    <w:rsid w:val="00D62BEC"/>
    <w:rsid w:val="00D62C65"/>
    <w:rsid w:val="00D62E03"/>
    <w:rsid w:val="00D62EDE"/>
    <w:rsid w:val="00D62FC1"/>
    <w:rsid w:val="00D63A43"/>
    <w:rsid w:val="00D63F68"/>
    <w:rsid w:val="00D64158"/>
    <w:rsid w:val="00D6484F"/>
    <w:rsid w:val="00D64954"/>
    <w:rsid w:val="00D64A36"/>
    <w:rsid w:val="00D64B21"/>
    <w:rsid w:val="00D64B62"/>
    <w:rsid w:val="00D65443"/>
    <w:rsid w:val="00D655BB"/>
    <w:rsid w:val="00D656A8"/>
    <w:rsid w:val="00D65753"/>
    <w:rsid w:val="00D657D5"/>
    <w:rsid w:val="00D65AA2"/>
    <w:rsid w:val="00D66144"/>
    <w:rsid w:val="00D6651D"/>
    <w:rsid w:val="00D665E5"/>
    <w:rsid w:val="00D670E8"/>
    <w:rsid w:val="00D675CD"/>
    <w:rsid w:val="00D67EB7"/>
    <w:rsid w:val="00D67F85"/>
    <w:rsid w:val="00D700A1"/>
    <w:rsid w:val="00D700E4"/>
    <w:rsid w:val="00D702D8"/>
    <w:rsid w:val="00D706FA"/>
    <w:rsid w:val="00D70AFD"/>
    <w:rsid w:val="00D70B0D"/>
    <w:rsid w:val="00D71063"/>
    <w:rsid w:val="00D719A9"/>
    <w:rsid w:val="00D719C4"/>
    <w:rsid w:val="00D72197"/>
    <w:rsid w:val="00D723FF"/>
    <w:rsid w:val="00D7257E"/>
    <w:rsid w:val="00D7298E"/>
    <w:rsid w:val="00D72B5D"/>
    <w:rsid w:val="00D73CB8"/>
    <w:rsid w:val="00D74064"/>
    <w:rsid w:val="00D74470"/>
    <w:rsid w:val="00D744F0"/>
    <w:rsid w:val="00D747E6"/>
    <w:rsid w:val="00D7510A"/>
    <w:rsid w:val="00D75173"/>
    <w:rsid w:val="00D754C5"/>
    <w:rsid w:val="00D75576"/>
    <w:rsid w:val="00D75802"/>
    <w:rsid w:val="00D75972"/>
    <w:rsid w:val="00D75A44"/>
    <w:rsid w:val="00D75A66"/>
    <w:rsid w:val="00D75DD7"/>
    <w:rsid w:val="00D76710"/>
    <w:rsid w:val="00D769B8"/>
    <w:rsid w:val="00D76BB5"/>
    <w:rsid w:val="00D76C27"/>
    <w:rsid w:val="00D76C6D"/>
    <w:rsid w:val="00D76FCA"/>
    <w:rsid w:val="00D77D3F"/>
    <w:rsid w:val="00D77EA9"/>
    <w:rsid w:val="00D8028A"/>
    <w:rsid w:val="00D804F3"/>
    <w:rsid w:val="00D8089D"/>
    <w:rsid w:val="00D80A9C"/>
    <w:rsid w:val="00D81149"/>
    <w:rsid w:val="00D814E5"/>
    <w:rsid w:val="00D818DF"/>
    <w:rsid w:val="00D81BD2"/>
    <w:rsid w:val="00D82A43"/>
    <w:rsid w:val="00D82D42"/>
    <w:rsid w:val="00D82E86"/>
    <w:rsid w:val="00D83227"/>
    <w:rsid w:val="00D832A9"/>
    <w:rsid w:val="00D832E7"/>
    <w:rsid w:val="00D834DD"/>
    <w:rsid w:val="00D83ACC"/>
    <w:rsid w:val="00D8449B"/>
    <w:rsid w:val="00D84A60"/>
    <w:rsid w:val="00D84D20"/>
    <w:rsid w:val="00D84FB2"/>
    <w:rsid w:val="00D85194"/>
    <w:rsid w:val="00D851F8"/>
    <w:rsid w:val="00D85663"/>
    <w:rsid w:val="00D85944"/>
    <w:rsid w:val="00D85CE3"/>
    <w:rsid w:val="00D85F6B"/>
    <w:rsid w:val="00D860D4"/>
    <w:rsid w:val="00D861B0"/>
    <w:rsid w:val="00D8688D"/>
    <w:rsid w:val="00D86A58"/>
    <w:rsid w:val="00D86BF0"/>
    <w:rsid w:val="00D86DCD"/>
    <w:rsid w:val="00D86E45"/>
    <w:rsid w:val="00D86F5C"/>
    <w:rsid w:val="00D878BB"/>
    <w:rsid w:val="00D87ABC"/>
    <w:rsid w:val="00D9037C"/>
    <w:rsid w:val="00D90388"/>
    <w:rsid w:val="00D90A7A"/>
    <w:rsid w:val="00D90B05"/>
    <w:rsid w:val="00D90E9C"/>
    <w:rsid w:val="00D91093"/>
    <w:rsid w:val="00D9115B"/>
    <w:rsid w:val="00D9118F"/>
    <w:rsid w:val="00D91272"/>
    <w:rsid w:val="00D915E6"/>
    <w:rsid w:val="00D916D9"/>
    <w:rsid w:val="00D91BD5"/>
    <w:rsid w:val="00D91C18"/>
    <w:rsid w:val="00D91CBB"/>
    <w:rsid w:val="00D91D9A"/>
    <w:rsid w:val="00D91E49"/>
    <w:rsid w:val="00D9219C"/>
    <w:rsid w:val="00D92483"/>
    <w:rsid w:val="00D928DF"/>
    <w:rsid w:val="00D92AD3"/>
    <w:rsid w:val="00D92D44"/>
    <w:rsid w:val="00D92F30"/>
    <w:rsid w:val="00D93024"/>
    <w:rsid w:val="00D934C8"/>
    <w:rsid w:val="00D935B8"/>
    <w:rsid w:val="00D937F2"/>
    <w:rsid w:val="00D93920"/>
    <w:rsid w:val="00D93CF3"/>
    <w:rsid w:val="00D93FC2"/>
    <w:rsid w:val="00D94407"/>
    <w:rsid w:val="00D94A9F"/>
    <w:rsid w:val="00D94BB3"/>
    <w:rsid w:val="00D94C0C"/>
    <w:rsid w:val="00D95174"/>
    <w:rsid w:val="00D95413"/>
    <w:rsid w:val="00D95BDD"/>
    <w:rsid w:val="00D95C90"/>
    <w:rsid w:val="00D95F72"/>
    <w:rsid w:val="00D9609B"/>
    <w:rsid w:val="00D96687"/>
    <w:rsid w:val="00D96708"/>
    <w:rsid w:val="00D96776"/>
    <w:rsid w:val="00D967E9"/>
    <w:rsid w:val="00D969F9"/>
    <w:rsid w:val="00D96E9F"/>
    <w:rsid w:val="00D96F2C"/>
    <w:rsid w:val="00D96FA6"/>
    <w:rsid w:val="00D96FDC"/>
    <w:rsid w:val="00D9753C"/>
    <w:rsid w:val="00D97676"/>
    <w:rsid w:val="00D97C40"/>
    <w:rsid w:val="00D97E8E"/>
    <w:rsid w:val="00DA06FA"/>
    <w:rsid w:val="00DA0837"/>
    <w:rsid w:val="00DA0879"/>
    <w:rsid w:val="00DA09E2"/>
    <w:rsid w:val="00DA0BDA"/>
    <w:rsid w:val="00DA0E6E"/>
    <w:rsid w:val="00DA128E"/>
    <w:rsid w:val="00DA1564"/>
    <w:rsid w:val="00DA15E6"/>
    <w:rsid w:val="00DA2AAE"/>
    <w:rsid w:val="00DA2EEA"/>
    <w:rsid w:val="00DA37A0"/>
    <w:rsid w:val="00DA3E28"/>
    <w:rsid w:val="00DA41B5"/>
    <w:rsid w:val="00DA42F0"/>
    <w:rsid w:val="00DA452A"/>
    <w:rsid w:val="00DA4868"/>
    <w:rsid w:val="00DA4A76"/>
    <w:rsid w:val="00DA5933"/>
    <w:rsid w:val="00DA5CBA"/>
    <w:rsid w:val="00DA6047"/>
    <w:rsid w:val="00DA6519"/>
    <w:rsid w:val="00DA65B6"/>
    <w:rsid w:val="00DA65E0"/>
    <w:rsid w:val="00DA6A8E"/>
    <w:rsid w:val="00DA6D06"/>
    <w:rsid w:val="00DA73D6"/>
    <w:rsid w:val="00DA756D"/>
    <w:rsid w:val="00DA77A2"/>
    <w:rsid w:val="00DA7B5D"/>
    <w:rsid w:val="00DA7BE6"/>
    <w:rsid w:val="00DA7C39"/>
    <w:rsid w:val="00DA7C65"/>
    <w:rsid w:val="00DB0000"/>
    <w:rsid w:val="00DB0265"/>
    <w:rsid w:val="00DB06B1"/>
    <w:rsid w:val="00DB06FC"/>
    <w:rsid w:val="00DB0C2F"/>
    <w:rsid w:val="00DB0E33"/>
    <w:rsid w:val="00DB1045"/>
    <w:rsid w:val="00DB129C"/>
    <w:rsid w:val="00DB12C6"/>
    <w:rsid w:val="00DB12FC"/>
    <w:rsid w:val="00DB1485"/>
    <w:rsid w:val="00DB1734"/>
    <w:rsid w:val="00DB1DB9"/>
    <w:rsid w:val="00DB27DE"/>
    <w:rsid w:val="00DB2AF7"/>
    <w:rsid w:val="00DB2D94"/>
    <w:rsid w:val="00DB303E"/>
    <w:rsid w:val="00DB30E5"/>
    <w:rsid w:val="00DB366B"/>
    <w:rsid w:val="00DB39E8"/>
    <w:rsid w:val="00DB3B0E"/>
    <w:rsid w:val="00DB3C20"/>
    <w:rsid w:val="00DB3DCE"/>
    <w:rsid w:val="00DB3E79"/>
    <w:rsid w:val="00DB4727"/>
    <w:rsid w:val="00DB4BA5"/>
    <w:rsid w:val="00DB4C8F"/>
    <w:rsid w:val="00DB4D9E"/>
    <w:rsid w:val="00DB5269"/>
    <w:rsid w:val="00DB5481"/>
    <w:rsid w:val="00DB58EA"/>
    <w:rsid w:val="00DB5C7E"/>
    <w:rsid w:val="00DB5FDE"/>
    <w:rsid w:val="00DB6032"/>
    <w:rsid w:val="00DB605C"/>
    <w:rsid w:val="00DB65D6"/>
    <w:rsid w:val="00DB67CD"/>
    <w:rsid w:val="00DB69A9"/>
    <w:rsid w:val="00DB6A48"/>
    <w:rsid w:val="00DB6F23"/>
    <w:rsid w:val="00DB72AA"/>
    <w:rsid w:val="00DB74BF"/>
    <w:rsid w:val="00DB769B"/>
    <w:rsid w:val="00DB76C6"/>
    <w:rsid w:val="00DB7A51"/>
    <w:rsid w:val="00DB7A90"/>
    <w:rsid w:val="00DB7BDF"/>
    <w:rsid w:val="00DB7D38"/>
    <w:rsid w:val="00DC06B4"/>
    <w:rsid w:val="00DC0988"/>
    <w:rsid w:val="00DC0E19"/>
    <w:rsid w:val="00DC1678"/>
    <w:rsid w:val="00DC1B83"/>
    <w:rsid w:val="00DC2061"/>
    <w:rsid w:val="00DC23FD"/>
    <w:rsid w:val="00DC298E"/>
    <w:rsid w:val="00DC31A2"/>
    <w:rsid w:val="00DC351C"/>
    <w:rsid w:val="00DC3A4F"/>
    <w:rsid w:val="00DC3B8F"/>
    <w:rsid w:val="00DC3C9F"/>
    <w:rsid w:val="00DC3F7B"/>
    <w:rsid w:val="00DC3F8B"/>
    <w:rsid w:val="00DC3F99"/>
    <w:rsid w:val="00DC46A8"/>
    <w:rsid w:val="00DC4BB4"/>
    <w:rsid w:val="00DC4D32"/>
    <w:rsid w:val="00DC4E36"/>
    <w:rsid w:val="00DC5061"/>
    <w:rsid w:val="00DC5659"/>
    <w:rsid w:val="00DC581B"/>
    <w:rsid w:val="00DC5A23"/>
    <w:rsid w:val="00DC5C2C"/>
    <w:rsid w:val="00DC60A2"/>
    <w:rsid w:val="00DC6300"/>
    <w:rsid w:val="00DC6311"/>
    <w:rsid w:val="00DC644A"/>
    <w:rsid w:val="00DC64B0"/>
    <w:rsid w:val="00DC66C8"/>
    <w:rsid w:val="00DC6B4E"/>
    <w:rsid w:val="00DC6E50"/>
    <w:rsid w:val="00DC6FD5"/>
    <w:rsid w:val="00DC7271"/>
    <w:rsid w:val="00DC7544"/>
    <w:rsid w:val="00DC7AB7"/>
    <w:rsid w:val="00DD015F"/>
    <w:rsid w:val="00DD0461"/>
    <w:rsid w:val="00DD0591"/>
    <w:rsid w:val="00DD06B7"/>
    <w:rsid w:val="00DD107F"/>
    <w:rsid w:val="00DD164B"/>
    <w:rsid w:val="00DD1ACB"/>
    <w:rsid w:val="00DD1BBA"/>
    <w:rsid w:val="00DD1C5E"/>
    <w:rsid w:val="00DD1FC2"/>
    <w:rsid w:val="00DD21BE"/>
    <w:rsid w:val="00DD22B3"/>
    <w:rsid w:val="00DD23E1"/>
    <w:rsid w:val="00DD25D0"/>
    <w:rsid w:val="00DD25E3"/>
    <w:rsid w:val="00DD28C1"/>
    <w:rsid w:val="00DD29B2"/>
    <w:rsid w:val="00DD2AD6"/>
    <w:rsid w:val="00DD361B"/>
    <w:rsid w:val="00DD37E7"/>
    <w:rsid w:val="00DD4913"/>
    <w:rsid w:val="00DD4ACC"/>
    <w:rsid w:val="00DD4FAA"/>
    <w:rsid w:val="00DD5015"/>
    <w:rsid w:val="00DD519F"/>
    <w:rsid w:val="00DD5379"/>
    <w:rsid w:val="00DD5ACE"/>
    <w:rsid w:val="00DD5D9B"/>
    <w:rsid w:val="00DD5F7F"/>
    <w:rsid w:val="00DD619A"/>
    <w:rsid w:val="00DD6308"/>
    <w:rsid w:val="00DD6413"/>
    <w:rsid w:val="00DD6C60"/>
    <w:rsid w:val="00DD702E"/>
    <w:rsid w:val="00DD7145"/>
    <w:rsid w:val="00DE02CB"/>
    <w:rsid w:val="00DE0560"/>
    <w:rsid w:val="00DE0566"/>
    <w:rsid w:val="00DE062B"/>
    <w:rsid w:val="00DE0C05"/>
    <w:rsid w:val="00DE0D92"/>
    <w:rsid w:val="00DE12BC"/>
    <w:rsid w:val="00DE1339"/>
    <w:rsid w:val="00DE1670"/>
    <w:rsid w:val="00DE16F4"/>
    <w:rsid w:val="00DE2273"/>
    <w:rsid w:val="00DE2618"/>
    <w:rsid w:val="00DE2B6C"/>
    <w:rsid w:val="00DE2E3D"/>
    <w:rsid w:val="00DE2F43"/>
    <w:rsid w:val="00DE3427"/>
    <w:rsid w:val="00DE3933"/>
    <w:rsid w:val="00DE3990"/>
    <w:rsid w:val="00DE39BB"/>
    <w:rsid w:val="00DE3A73"/>
    <w:rsid w:val="00DE3C78"/>
    <w:rsid w:val="00DE3E73"/>
    <w:rsid w:val="00DE42D9"/>
    <w:rsid w:val="00DE42F0"/>
    <w:rsid w:val="00DE4553"/>
    <w:rsid w:val="00DE472E"/>
    <w:rsid w:val="00DE49AB"/>
    <w:rsid w:val="00DE4A59"/>
    <w:rsid w:val="00DE4C9A"/>
    <w:rsid w:val="00DE5009"/>
    <w:rsid w:val="00DE5194"/>
    <w:rsid w:val="00DE525F"/>
    <w:rsid w:val="00DE5465"/>
    <w:rsid w:val="00DE5566"/>
    <w:rsid w:val="00DE57F6"/>
    <w:rsid w:val="00DE5AD9"/>
    <w:rsid w:val="00DE5B03"/>
    <w:rsid w:val="00DE5B30"/>
    <w:rsid w:val="00DE6400"/>
    <w:rsid w:val="00DE6440"/>
    <w:rsid w:val="00DE6838"/>
    <w:rsid w:val="00DE68D4"/>
    <w:rsid w:val="00DE698C"/>
    <w:rsid w:val="00DE6EC9"/>
    <w:rsid w:val="00DE6F59"/>
    <w:rsid w:val="00DE7672"/>
    <w:rsid w:val="00DE7C87"/>
    <w:rsid w:val="00DE7FCB"/>
    <w:rsid w:val="00DF0162"/>
    <w:rsid w:val="00DF0447"/>
    <w:rsid w:val="00DF063C"/>
    <w:rsid w:val="00DF08DB"/>
    <w:rsid w:val="00DF0C95"/>
    <w:rsid w:val="00DF0D83"/>
    <w:rsid w:val="00DF0E82"/>
    <w:rsid w:val="00DF0FAE"/>
    <w:rsid w:val="00DF1699"/>
    <w:rsid w:val="00DF1780"/>
    <w:rsid w:val="00DF1811"/>
    <w:rsid w:val="00DF1C65"/>
    <w:rsid w:val="00DF1EC7"/>
    <w:rsid w:val="00DF1F3D"/>
    <w:rsid w:val="00DF20EF"/>
    <w:rsid w:val="00DF228E"/>
    <w:rsid w:val="00DF28AB"/>
    <w:rsid w:val="00DF2988"/>
    <w:rsid w:val="00DF2A76"/>
    <w:rsid w:val="00DF3123"/>
    <w:rsid w:val="00DF32D0"/>
    <w:rsid w:val="00DF34DE"/>
    <w:rsid w:val="00DF3876"/>
    <w:rsid w:val="00DF3D36"/>
    <w:rsid w:val="00DF3DD1"/>
    <w:rsid w:val="00DF4174"/>
    <w:rsid w:val="00DF46E8"/>
    <w:rsid w:val="00DF4804"/>
    <w:rsid w:val="00DF49AF"/>
    <w:rsid w:val="00DF4BB7"/>
    <w:rsid w:val="00DF54C7"/>
    <w:rsid w:val="00DF58E7"/>
    <w:rsid w:val="00DF5E31"/>
    <w:rsid w:val="00DF6365"/>
    <w:rsid w:val="00DF6723"/>
    <w:rsid w:val="00DF6769"/>
    <w:rsid w:val="00DF6C13"/>
    <w:rsid w:val="00DF6D69"/>
    <w:rsid w:val="00DF6DB0"/>
    <w:rsid w:val="00DF6E9E"/>
    <w:rsid w:val="00DF6FEA"/>
    <w:rsid w:val="00DF741B"/>
    <w:rsid w:val="00DF7774"/>
    <w:rsid w:val="00DF7E6E"/>
    <w:rsid w:val="00E00B8E"/>
    <w:rsid w:val="00E00D15"/>
    <w:rsid w:val="00E00D84"/>
    <w:rsid w:val="00E00DBF"/>
    <w:rsid w:val="00E0121D"/>
    <w:rsid w:val="00E012D0"/>
    <w:rsid w:val="00E013BF"/>
    <w:rsid w:val="00E0147B"/>
    <w:rsid w:val="00E01B96"/>
    <w:rsid w:val="00E01E4E"/>
    <w:rsid w:val="00E01E9F"/>
    <w:rsid w:val="00E0208C"/>
    <w:rsid w:val="00E02D3E"/>
    <w:rsid w:val="00E02F0B"/>
    <w:rsid w:val="00E0329A"/>
    <w:rsid w:val="00E033A1"/>
    <w:rsid w:val="00E03560"/>
    <w:rsid w:val="00E039FA"/>
    <w:rsid w:val="00E039FD"/>
    <w:rsid w:val="00E03D1B"/>
    <w:rsid w:val="00E03D51"/>
    <w:rsid w:val="00E03DA7"/>
    <w:rsid w:val="00E03FF4"/>
    <w:rsid w:val="00E0404A"/>
    <w:rsid w:val="00E043A3"/>
    <w:rsid w:val="00E04D28"/>
    <w:rsid w:val="00E0524B"/>
    <w:rsid w:val="00E05E2B"/>
    <w:rsid w:val="00E05FC0"/>
    <w:rsid w:val="00E068CD"/>
    <w:rsid w:val="00E06921"/>
    <w:rsid w:val="00E06EB5"/>
    <w:rsid w:val="00E06EFE"/>
    <w:rsid w:val="00E06FBF"/>
    <w:rsid w:val="00E071AC"/>
    <w:rsid w:val="00E0742F"/>
    <w:rsid w:val="00E07543"/>
    <w:rsid w:val="00E0773D"/>
    <w:rsid w:val="00E0797F"/>
    <w:rsid w:val="00E1006B"/>
    <w:rsid w:val="00E1008B"/>
    <w:rsid w:val="00E10292"/>
    <w:rsid w:val="00E104E4"/>
    <w:rsid w:val="00E10F3A"/>
    <w:rsid w:val="00E10FA5"/>
    <w:rsid w:val="00E11003"/>
    <w:rsid w:val="00E112CA"/>
    <w:rsid w:val="00E1171C"/>
    <w:rsid w:val="00E11860"/>
    <w:rsid w:val="00E11876"/>
    <w:rsid w:val="00E119BB"/>
    <w:rsid w:val="00E11A57"/>
    <w:rsid w:val="00E11FB1"/>
    <w:rsid w:val="00E122EE"/>
    <w:rsid w:val="00E12771"/>
    <w:rsid w:val="00E12937"/>
    <w:rsid w:val="00E12E1D"/>
    <w:rsid w:val="00E131CC"/>
    <w:rsid w:val="00E138C8"/>
    <w:rsid w:val="00E13F7D"/>
    <w:rsid w:val="00E13FCE"/>
    <w:rsid w:val="00E148F5"/>
    <w:rsid w:val="00E149C6"/>
    <w:rsid w:val="00E14CFD"/>
    <w:rsid w:val="00E15137"/>
    <w:rsid w:val="00E155DE"/>
    <w:rsid w:val="00E15D6C"/>
    <w:rsid w:val="00E15DC2"/>
    <w:rsid w:val="00E15EDA"/>
    <w:rsid w:val="00E15F37"/>
    <w:rsid w:val="00E160F8"/>
    <w:rsid w:val="00E1670A"/>
    <w:rsid w:val="00E16905"/>
    <w:rsid w:val="00E16A5C"/>
    <w:rsid w:val="00E16C2D"/>
    <w:rsid w:val="00E16F94"/>
    <w:rsid w:val="00E176CE"/>
    <w:rsid w:val="00E17B93"/>
    <w:rsid w:val="00E17EF4"/>
    <w:rsid w:val="00E2032A"/>
    <w:rsid w:val="00E203B6"/>
    <w:rsid w:val="00E206A5"/>
    <w:rsid w:val="00E2085D"/>
    <w:rsid w:val="00E20C3F"/>
    <w:rsid w:val="00E20F7C"/>
    <w:rsid w:val="00E212B4"/>
    <w:rsid w:val="00E21428"/>
    <w:rsid w:val="00E2197C"/>
    <w:rsid w:val="00E21AAE"/>
    <w:rsid w:val="00E21B35"/>
    <w:rsid w:val="00E21B91"/>
    <w:rsid w:val="00E21D78"/>
    <w:rsid w:val="00E223FD"/>
    <w:rsid w:val="00E224BC"/>
    <w:rsid w:val="00E22609"/>
    <w:rsid w:val="00E228BC"/>
    <w:rsid w:val="00E22906"/>
    <w:rsid w:val="00E229B6"/>
    <w:rsid w:val="00E229F2"/>
    <w:rsid w:val="00E22C47"/>
    <w:rsid w:val="00E22CE8"/>
    <w:rsid w:val="00E22DB6"/>
    <w:rsid w:val="00E230EE"/>
    <w:rsid w:val="00E233AE"/>
    <w:rsid w:val="00E233DA"/>
    <w:rsid w:val="00E2373F"/>
    <w:rsid w:val="00E2384B"/>
    <w:rsid w:val="00E2393B"/>
    <w:rsid w:val="00E23CBB"/>
    <w:rsid w:val="00E23F29"/>
    <w:rsid w:val="00E23FB9"/>
    <w:rsid w:val="00E240B4"/>
    <w:rsid w:val="00E241B5"/>
    <w:rsid w:val="00E243E7"/>
    <w:rsid w:val="00E24432"/>
    <w:rsid w:val="00E244EF"/>
    <w:rsid w:val="00E2452A"/>
    <w:rsid w:val="00E24724"/>
    <w:rsid w:val="00E2475E"/>
    <w:rsid w:val="00E24BB3"/>
    <w:rsid w:val="00E24CF0"/>
    <w:rsid w:val="00E251AA"/>
    <w:rsid w:val="00E2552D"/>
    <w:rsid w:val="00E258EE"/>
    <w:rsid w:val="00E26164"/>
    <w:rsid w:val="00E2620D"/>
    <w:rsid w:val="00E263FE"/>
    <w:rsid w:val="00E267DD"/>
    <w:rsid w:val="00E26869"/>
    <w:rsid w:val="00E26C30"/>
    <w:rsid w:val="00E26D64"/>
    <w:rsid w:val="00E270CC"/>
    <w:rsid w:val="00E27319"/>
    <w:rsid w:val="00E2735B"/>
    <w:rsid w:val="00E274E4"/>
    <w:rsid w:val="00E27869"/>
    <w:rsid w:val="00E27998"/>
    <w:rsid w:val="00E27A4E"/>
    <w:rsid w:val="00E27AD4"/>
    <w:rsid w:val="00E27C5B"/>
    <w:rsid w:val="00E27CBA"/>
    <w:rsid w:val="00E27E35"/>
    <w:rsid w:val="00E27F0B"/>
    <w:rsid w:val="00E30378"/>
    <w:rsid w:val="00E303F8"/>
    <w:rsid w:val="00E3053D"/>
    <w:rsid w:val="00E30945"/>
    <w:rsid w:val="00E30E6B"/>
    <w:rsid w:val="00E311D7"/>
    <w:rsid w:val="00E31FE7"/>
    <w:rsid w:val="00E3238A"/>
    <w:rsid w:val="00E32E2E"/>
    <w:rsid w:val="00E33134"/>
    <w:rsid w:val="00E334F1"/>
    <w:rsid w:val="00E3364C"/>
    <w:rsid w:val="00E337D1"/>
    <w:rsid w:val="00E33CA4"/>
    <w:rsid w:val="00E3415E"/>
    <w:rsid w:val="00E34168"/>
    <w:rsid w:val="00E341BC"/>
    <w:rsid w:val="00E3428A"/>
    <w:rsid w:val="00E34390"/>
    <w:rsid w:val="00E3439F"/>
    <w:rsid w:val="00E3476B"/>
    <w:rsid w:val="00E3480A"/>
    <w:rsid w:val="00E34BE1"/>
    <w:rsid w:val="00E34E5A"/>
    <w:rsid w:val="00E35104"/>
    <w:rsid w:val="00E3562F"/>
    <w:rsid w:val="00E35870"/>
    <w:rsid w:val="00E35880"/>
    <w:rsid w:val="00E361DF"/>
    <w:rsid w:val="00E36893"/>
    <w:rsid w:val="00E36DE8"/>
    <w:rsid w:val="00E3714B"/>
    <w:rsid w:val="00E37565"/>
    <w:rsid w:val="00E37818"/>
    <w:rsid w:val="00E3786D"/>
    <w:rsid w:val="00E37A0E"/>
    <w:rsid w:val="00E37B59"/>
    <w:rsid w:val="00E40077"/>
    <w:rsid w:val="00E401C3"/>
    <w:rsid w:val="00E408C1"/>
    <w:rsid w:val="00E4095A"/>
    <w:rsid w:val="00E40CCD"/>
    <w:rsid w:val="00E40F45"/>
    <w:rsid w:val="00E410E3"/>
    <w:rsid w:val="00E41117"/>
    <w:rsid w:val="00E41297"/>
    <w:rsid w:val="00E412B1"/>
    <w:rsid w:val="00E413DD"/>
    <w:rsid w:val="00E41AD0"/>
    <w:rsid w:val="00E41E8B"/>
    <w:rsid w:val="00E42097"/>
    <w:rsid w:val="00E42509"/>
    <w:rsid w:val="00E42720"/>
    <w:rsid w:val="00E42B14"/>
    <w:rsid w:val="00E42D02"/>
    <w:rsid w:val="00E42D6D"/>
    <w:rsid w:val="00E42EBD"/>
    <w:rsid w:val="00E43B2E"/>
    <w:rsid w:val="00E43CE2"/>
    <w:rsid w:val="00E44018"/>
    <w:rsid w:val="00E443C5"/>
    <w:rsid w:val="00E444B1"/>
    <w:rsid w:val="00E446E9"/>
    <w:rsid w:val="00E4475D"/>
    <w:rsid w:val="00E44B61"/>
    <w:rsid w:val="00E44BC8"/>
    <w:rsid w:val="00E44FC1"/>
    <w:rsid w:val="00E45982"/>
    <w:rsid w:val="00E45C10"/>
    <w:rsid w:val="00E45C85"/>
    <w:rsid w:val="00E45D61"/>
    <w:rsid w:val="00E4607D"/>
    <w:rsid w:val="00E4613A"/>
    <w:rsid w:val="00E461ED"/>
    <w:rsid w:val="00E46254"/>
    <w:rsid w:val="00E466BC"/>
    <w:rsid w:val="00E47230"/>
    <w:rsid w:val="00E47316"/>
    <w:rsid w:val="00E47508"/>
    <w:rsid w:val="00E47708"/>
    <w:rsid w:val="00E4775A"/>
    <w:rsid w:val="00E47D2F"/>
    <w:rsid w:val="00E47FF5"/>
    <w:rsid w:val="00E505AA"/>
    <w:rsid w:val="00E50D05"/>
    <w:rsid w:val="00E50E2F"/>
    <w:rsid w:val="00E50EEC"/>
    <w:rsid w:val="00E51127"/>
    <w:rsid w:val="00E517F4"/>
    <w:rsid w:val="00E51D3A"/>
    <w:rsid w:val="00E51D65"/>
    <w:rsid w:val="00E51EAC"/>
    <w:rsid w:val="00E5200F"/>
    <w:rsid w:val="00E5231D"/>
    <w:rsid w:val="00E52508"/>
    <w:rsid w:val="00E52AE4"/>
    <w:rsid w:val="00E52B97"/>
    <w:rsid w:val="00E52CBA"/>
    <w:rsid w:val="00E53320"/>
    <w:rsid w:val="00E53438"/>
    <w:rsid w:val="00E534E5"/>
    <w:rsid w:val="00E537D2"/>
    <w:rsid w:val="00E541CE"/>
    <w:rsid w:val="00E54846"/>
    <w:rsid w:val="00E54975"/>
    <w:rsid w:val="00E55250"/>
    <w:rsid w:val="00E555EF"/>
    <w:rsid w:val="00E5599C"/>
    <w:rsid w:val="00E55E8B"/>
    <w:rsid w:val="00E55F19"/>
    <w:rsid w:val="00E5620A"/>
    <w:rsid w:val="00E5645F"/>
    <w:rsid w:val="00E56A6E"/>
    <w:rsid w:val="00E56E7F"/>
    <w:rsid w:val="00E57333"/>
    <w:rsid w:val="00E5760D"/>
    <w:rsid w:val="00E579BA"/>
    <w:rsid w:val="00E579DB"/>
    <w:rsid w:val="00E57A3C"/>
    <w:rsid w:val="00E57F69"/>
    <w:rsid w:val="00E6012A"/>
    <w:rsid w:val="00E60A5A"/>
    <w:rsid w:val="00E60AE7"/>
    <w:rsid w:val="00E60B2B"/>
    <w:rsid w:val="00E60DBE"/>
    <w:rsid w:val="00E60F14"/>
    <w:rsid w:val="00E60F21"/>
    <w:rsid w:val="00E61227"/>
    <w:rsid w:val="00E6134E"/>
    <w:rsid w:val="00E61B36"/>
    <w:rsid w:val="00E61CCF"/>
    <w:rsid w:val="00E628D9"/>
    <w:rsid w:val="00E62BA2"/>
    <w:rsid w:val="00E62CB3"/>
    <w:rsid w:val="00E6304A"/>
    <w:rsid w:val="00E63314"/>
    <w:rsid w:val="00E63379"/>
    <w:rsid w:val="00E63489"/>
    <w:rsid w:val="00E634E7"/>
    <w:rsid w:val="00E6361C"/>
    <w:rsid w:val="00E638ED"/>
    <w:rsid w:val="00E63913"/>
    <w:rsid w:val="00E648D1"/>
    <w:rsid w:val="00E648D4"/>
    <w:rsid w:val="00E64978"/>
    <w:rsid w:val="00E649A1"/>
    <w:rsid w:val="00E64B5A"/>
    <w:rsid w:val="00E64E51"/>
    <w:rsid w:val="00E64FA2"/>
    <w:rsid w:val="00E657F2"/>
    <w:rsid w:val="00E659D8"/>
    <w:rsid w:val="00E65ABF"/>
    <w:rsid w:val="00E65C66"/>
    <w:rsid w:val="00E65E37"/>
    <w:rsid w:val="00E66496"/>
    <w:rsid w:val="00E66577"/>
    <w:rsid w:val="00E6691A"/>
    <w:rsid w:val="00E66B37"/>
    <w:rsid w:val="00E67179"/>
    <w:rsid w:val="00E672AE"/>
    <w:rsid w:val="00E67521"/>
    <w:rsid w:val="00E6761F"/>
    <w:rsid w:val="00E67A51"/>
    <w:rsid w:val="00E67CDF"/>
    <w:rsid w:val="00E67F25"/>
    <w:rsid w:val="00E67F69"/>
    <w:rsid w:val="00E67F8D"/>
    <w:rsid w:val="00E703C2"/>
    <w:rsid w:val="00E70694"/>
    <w:rsid w:val="00E706A4"/>
    <w:rsid w:val="00E70C6F"/>
    <w:rsid w:val="00E70F07"/>
    <w:rsid w:val="00E713BA"/>
    <w:rsid w:val="00E7161F"/>
    <w:rsid w:val="00E725FC"/>
    <w:rsid w:val="00E725FD"/>
    <w:rsid w:val="00E726CA"/>
    <w:rsid w:val="00E72B86"/>
    <w:rsid w:val="00E72CCF"/>
    <w:rsid w:val="00E72CF4"/>
    <w:rsid w:val="00E72E59"/>
    <w:rsid w:val="00E730C0"/>
    <w:rsid w:val="00E73479"/>
    <w:rsid w:val="00E738B0"/>
    <w:rsid w:val="00E73A6A"/>
    <w:rsid w:val="00E73AD7"/>
    <w:rsid w:val="00E73CB8"/>
    <w:rsid w:val="00E73F8F"/>
    <w:rsid w:val="00E73FFC"/>
    <w:rsid w:val="00E741B4"/>
    <w:rsid w:val="00E7437B"/>
    <w:rsid w:val="00E74495"/>
    <w:rsid w:val="00E74598"/>
    <w:rsid w:val="00E74642"/>
    <w:rsid w:val="00E74732"/>
    <w:rsid w:val="00E747B1"/>
    <w:rsid w:val="00E75875"/>
    <w:rsid w:val="00E75B30"/>
    <w:rsid w:val="00E75BB8"/>
    <w:rsid w:val="00E75D7E"/>
    <w:rsid w:val="00E75E2D"/>
    <w:rsid w:val="00E75FCA"/>
    <w:rsid w:val="00E76954"/>
    <w:rsid w:val="00E76D34"/>
    <w:rsid w:val="00E76F66"/>
    <w:rsid w:val="00E77027"/>
    <w:rsid w:val="00E77886"/>
    <w:rsid w:val="00E77928"/>
    <w:rsid w:val="00E77CF8"/>
    <w:rsid w:val="00E77EC7"/>
    <w:rsid w:val="00E804B2"/>
    <w:rsid w:val="00E80B17"/>
    <w:rsid w:val="00E80D35"/>
    <w:rsid w:val="00E80D45"/>
    <w:rsid w:val="00E80DA0"/>
    <w:rsid w:val="00E8107C"/>
    <w:rsid w:val="00E810AC"/>
    <w:rsid w:val="00E8112E"/>
    <w:rsid w:val="00E81299"/>
    <w:rsid w:val="00E81909"/>
    <w:rsid w:val="00E81E7D"/>
    <w:rsid w:val="00E82D54"/>
    <w:rsid w:val="00E83330"/>
    <w:rsid w:val="00E836BE"/>
    <w:rsid w:val="00E83A5D"/>
    <w:rsid w:val="00E83D0F"/>
    <w:rsid w:val="00E83D13"/>
    <w:rsid w:val="00E840A8"/>
    <w:rsid w:val="00E84391"/>
    <w:rsid w:val="00E84594"/>
    <w:rsid w:val="00E84A0F"/>
    <w:rsid w:val="00E84AE7"/>
    <w:rsid w:val="00E85063"/>
    <w:rsid w:val="00E852D0"/>
    <w:rsid w:val="00E852DA"/>
    <w:rsid w:val="00E8566A"/>
    <w:rsid w:val="00E856DB"/>
    <w:rsid w:val="00E85802"/>
    <w:rsid w:val="00E85B8F"/>
    <w:rsid w:val="00E85D65"/>
    <w:rsid w:val="00E85EE2"/>
    <w:rsid w:val="00E86913"/>
    <w:rsid w:val="00E86A7B"/>
    <w:rsid w:val="00E86BAB"/>
    <w:rsid w:val="00E86C70"/>
    <w:rsid w:val="00E86CF7"/>
    <w:rsid w:val="00E8733B"/>
    <w:rsid w:val="00E874B7"/>
    <w:rsid w:val="00E90537"/>
    <w:rsid w:val="00E905A8"/>
    <w:rsid w:val="00E9087C"/>
    <w:rsid w:val="00E90B4E"/>
    <w:rsid w:val="00E90BBA"/>
    <w:rsid w:val="00E90CD1"/>
    <w:rsid w:val="00E90F29"/>
    <w:rsid w:val="00E91045"/>
    <w:rsid w:val="00E912DC"/>
    <w:rsid w:val="00E91525"/>
    <w:rsid w:val="00E91730"/>
    <w:rsid w:val="00E91839"/>
    <w:rsid w:val="00E91C6F"/>
    <w:rsid w:val="00E91F11"/>
    <w:rsid w:val="00E925D5"/>
    <w:rsid w:val="00E9263F"/>
    <w:rsid w:val="00E928B3"/>
    <w:rsid w:val="00E9315D"/>
    <w:rsid w:val="00E934A7"/>
    <w:rsid w:val="00E9352B"/>
    <w:rsid w:val="00E937EB"/>
    <w:rsid w:val="00E93A38"/>
    <w:rsid w:val="00E93B18"/>
    <w:rsid w:val="00E9418B"/>
    <w:rsid w:val="00E94566"/>
    <w:rsid w:val="00E94F0A"/>
    <w:rsid w:val="00E95B15"/>
    <w:rsid w:val="00E95FAD"/>
    <w:rsid w:val="00E9628C"/>
    <w:rsid w:val="00E9640F"/>
    <w:rsid w:val="00E9652A"/>
    <w:rsid w:val="00E9696B"/>
    <w:rsid w:val="00E96FCD"/>
    <w:rsid w:val="00E97247"/>
    <w:rsid w:val="00E9751B"/>
    <w:rsid w:val="00E97865"/>
    <w:rsid w:val="00E97AB5"/>
    <w:rsid w:val="00E97C41"/>
    <w:rsid w:val="00E97CF0"/>
    <w:rsid w:val="00E97FC7"/>
    <w:rsid w:val="00EA065F"/>
    <w:rsid w:val="00EA0739"/>
    <w:rsid w:val="00EA08EB"/>
    <w:rsid w:val="00EA0B3F"/>
    <w:rsid w:val="00EA1025"/>
    <w:rsid w:val="00EA1177"/>
    <w:rsid w:val="00EA131C"/>
    <w:rsid w:val="00EA16C2"/>
    <w:rsid w:val="00EA1EED"/>
    <w:rsid w:val="00EA24A9"/>
    <w:rsid w:val="00EA24AA"/>
    <w:rsid w:val="00EA2761"/>
    <w:rsid w:val="00EA2EFA"/>
    <w:rsid w:val="00EA3008"/>
    <w:rsid w:val="00EA3155"/>
    <w:rsid w:val="00EA325B"/>
    <w:rsid w:val="00EA333F"/>
    <w:rsid w:val="00EA33D4"/>
    <w:rsid w:val="00EA36C6"/>
    <w:rsid w:val="00EA3943"/>
    <w:rsid w:val="00EA3996"/>
    <w:rsid w:val="00EA3A92"/>
    <w:rsid w:val="00EA3DB2"/>
    <w:rsid w:val="00EA47A1"/>
    <w:rsid w:val="00EA4EC3"/>
    <w:rsid w:val="00EA5338"/>
    <w:rsid w:val="00EA56E9"/>
    <w:rsid w:val="00EA5ECA"/>
    <w:rsid w:val="00EA5F92"/>
    <w:rsid w:val="00EA6468"/>
    <w:rsid w:val="00EA6484"/>
    <w:rsid w:val="00EA652D"/>
    <w:rsid w:val="00EA6794"/>
    <w:rsid w:val="00EA6A61"/>
    <w:rsid w:val="00EA6AC2"/>
    <w:rsid w:val="00EA6B3B"/>
    <w:rsid w:val="00EA7229"/>
    <w:rsid w:val="00EA7446"/>
    <w:rsid w:val="00EA764B"/>
    <w:rsid w:val="00EA7A25"/>
    <w:rsid w:val="00EA7A38"/>
    <w:rsid w:val="00EA7A39"/>
    <w:rsid w:val="00EA7E08"/>
    <w:rsid w:val="00EB0863"/>
    <w:rsid w:val="00EB0A8B"/>
    <w:rsid w:val="00EB0F03"/>
    <w:rsid w:val="00EB119A"/>
    <w:rsid w:val="00EB1880"/>
    <w:rsid w:val="00EB27D2"/>
    <w:rsid w:val="00EB28CC"/>
    <w:rsid w:val="00EB29A9"/>
    <w:rsid w:val="00EB3036"/>
    <w:rsid w:val="00EB3232"/>
    <w:rsid w:val="00EB39D5"/>
    <w:rsid w:val="00EB3CCD"/>
    <w:rsid w:val="00EB3EDA"/>
    <w:rsid w:val="00EB43C7"/>
    <w:rsid w:val="00EB447A"/>
    <w:rsid w:val="00EB4B11"/>
    <w:rsid w:val="00EB5625"/>
    <w:rsid w:val="00EB563F"/>
    <w:rsid w:val="00EB5A39"/>
    <w:rsid w:val="00EB5D1C"/>
    <w:rsid w:val="00EB5D4C"/>
    <w:rsid w:val="00EB686D"/>
    <w:rsid w:val="00EB69BD"/>
    <w:rsid w:val="00EB6D23"/>
    <w:rsid w:val="00EB6EAA"/>
    <w:rsid w:val="00EB6ED5"/>
    <w:rsid w:val="00EB732B"/>
    <w:rsid w:val="00EB7762"/>
    <w:rsid w:val="00EB78DE"/>
    <w:rsid w:val="00EB7A65"/>
    <w:rsid w:val="00EB7A6B"/>
    <w:rsid w:val="00EB7A87"/>
    <w:rsid w:val="00EB7CC5"/>
    <w:rsid w:val="00EC03C8"/>
    <w:rsid w:val="00EC0D41"/>
    <w:rsid w:val="00EC149F"/>
    <w:rsid w:val="00EC153E"/>
    <w:rsid w:val="00EC154D"/>
    <w:rsid w:val="00EC177B"/>
    <w:rsid w:val="00EC17B3"/>
    <w:rsid w:val="00EC19DD"/>
    <w:rsid w:val="00EC1A6D"/>
    <w:rsid w:val="00EC1CFC"/>
    <w:rsid w:val="00EC1E96"/>
    <w:rsid w:val="00EC2055"/>
    <w:rsid w:val="00EC219E"/>
    <w:rsid w:val="00EC21B2"/>
    <w:rsid w:val="00EC225B"/>
    <w:rsid w:val="00EC227E"/>
    <w:rsid w:val="00EC2721"/>
    <w:rsid w:val="00EC27DE"/>
    <w:rsid w:val="00EC2B8A"/>
    <w:rsid w:val="00EC2BD2"/>
    <w:rsid w:val="00EC2EDB"/>
    <w:rsid w:val="00EC2FC0"/>
    <w:rsid w:val="00EC30F9"/>
    <w:rsid w:val="00EC30FC"/>
    <w:rsid w:val="00EC32CF"/>
    <w:rsid w:val="00EC32D3"/>
    <w:rsid w:val="00EC334E"/>
    <w:rsid w:val="00EC3439"/>
    <w:rsid w:val="00EC355F"/>
    <w:rsid w:val="00EC35E0"/>
    <w:rsid w:val="00EC3788"/>
    <w:rsid w:val="00EC3A80"/>
    <w:rsid w:val="00EC3DAA"/>
    <w:rsid w:val="00EC3DF8"/>
    <w:rsid w:val="00EC4030"/>
    <w:rsid w:val="00EC457F"/>
    <w:rsid w:val="00EC45F8"/>
    <w:rsid w:val="00EC4C69"/>
    <w:rsid w:val="00EC4D4B"/>
    <w:rsid w:val="00EC4FC8"/>
    <w:rsid w:val="00EC53A6"/>
    <w:rsid w:val="00EC5CE9"/>
    <w:rsid w:val="00EC5F10"/>
    <w:rsid w:val="00EC6108"/>
    <w:rsid w:val="00EC62BA"/>
    <w:rsid w:val="00EC6F20"/>
    <w:rsid w:val="00EC7074"/>
    <w:rsid w:val="00EC795A"/>
    <w:rsid w:val="00EC7FF8"/>
    <w:rsid w:val="00ED018E"/>
    <w:rsid w:val="00ED04D5"/>
    <w:rsid w:val="00ED05BF"/>
    <w:rsid w:val="00ED0A30"/>
    <w:rsid w:val="00ED0B6B"/>
    <w:rsid w:val="00ED0FAB"/>
    <w:rsid w:val="00ED0FF6"/>
    <w:rsid w:val="00ED1014"/>
    <w:rsid w:val="00ED1709"/>
    <w:rsid w:val="00ED17DC"/>
    <w:rsid w:val="00ED1A36"/>
    <w:rsid w:val="00ED1EB4"/>
    <w:rsid w:val="00ED1EFA"/>
    <w:rsid w:val="00ED255C"/>
    <w:rsid w:val="00ED2607"/>
    <w:rsid w:val="00ED262B"/>
    <w:rsid w:val="00ED2883"/>
    <w:rsid w:val="00ED291D"/>
    <w:rsid w:val="00ED295E"/>
    <w:rsid w:val="00ED2FD1"/>
    <w:rsid w:val="00ED30D2"/>
    <w:rsid w:val="00ED3500"/>
    <w:rsid w:val="00ED3861"/>
    <w:rsid w:val="00ED3B42"/>
    <w:rsid w:val="00ED3CD2"/>
    <w:rsid w:val="00ED3FA0"/>
    <w:rsid w:val="00ED437D"/>
    <w:rsid w:val="00ED4941"/>
    <w:rsid w:val="00ED4DA0"/>
    <w:rsid w:val="00ED5206"/>
    <w:rsid w:val="00ED56FE"/>
    <w:rsid w:val="00ED5725"/>
    <w:rsid w:val="00ED5904"/>
    <w:rsid w:val="00ED5D65"/>
    <w:rsid w:val="00ED5FBD"/>
    <w:rsid w:val="00ED60E0"/>
    <w:rsid w:val="00ED6184"/>
    <w:rsid w:val="00ED6340"/>
    <w:rsid w:val="00ED6CC4"/>
    <w:rsid w:val="00ED7031"/>
    <w:rsid w:val="00ED7408"/>
    <w:rsid w:val="00ED7D20"/>
    <w:rsid w:val="00ED7DE0"/>
    <w:rsid w:val="00EE0AAB"/>
    <w:rsid w:val="00EE0E3F"/>
    <w:rsid w:val="00EE172E"/>
    <w:rsid w:val="00EE17E2"/>
    <w:rsid w:val="00EE191C"/>
    <w:rsid w:val="00EE1993"/>
    <w:rsid w:val="00EE1F82"/>
    <w:rsid w:val="00EE2097"/>
    <w:rsid w:val="00EE2670"/>
    <w:rsid w:val="00EE269F"/>
    <w:rsid w:val="00EE2B0F"/>
    <w:rsid w:val="00EE2C01"/>
    <w:rsid w:val="00EE3060"/>
    <w:rsid w:val="00EE31C8"/>
    <w:rsid w:val="00EE31DF"/>
    <w:rsid w:val="00EE320B"/>
    <w:rsid w:val="00EE35DC"/>
    <w:rsid w:val="00EE3D67"/>
    <w:rsid w:val="00EE4315"/>
    <w:rsid w:val="00EE4ABA"/>
    <w:rsid w:val="00EE4BE0"/>
    <w:rsid w:val="00EE5135"/>
    <w:rsid w:val="00EE51B2"/>
    <w:rsid w:val="00EE53B9"/>
    <w:rsid w:val="00EE5598"/>
    <w:rsid w:val="00EE5694"/>
    <w:rsid w:val="00EE5784"/>
    <w:rsid w:val="00EE58DE"/>
    <w:rsid w:val="00EE5A89"/>
    <w:rsid w:val="00EE6028"/>
    <w:rsid w:val="00EE62E6"/>
    <w:rsid w:val="00EE767B"/>
    <w:rsid w:val="00EE771C"/>
    <w:rsid w:val="00EE7CE6"/>
    <w:rsid w:val="00EE7D64"/>
    <w:rsid w:val="00EE7EDB"/>
    <w:rsid w:val="00EF03EE"/>
    <w:rsid w:val="00EF0543"/>
    <w:rsid w:val="00EF067F"/>
    <w:rsid w:val="00EF0C8B"/>
    <w:rsid w:val="00EF0EED"/>
    <w:rsid w:val="00EF103E"/>
    <w:rsid w:val="00EF16D7"/>
    <w:rsid w:val="00EF18E1"/>
    <w:rsid w:val="00EF20E1"/>
    <w:rsid w:val="00EF2B8A"/>
    <w:rsid w:val="00EF325A"/>
    <w:rsid w:val="00EF3C5C"/>
    <w:rsid w:val="00EF3CA4"/>
    <w:rsid w:val="00EF4595"/>
    <w:rsid w:val="00EF45DB"/>
    <w:rsid w:val="00EF4C1E"/>
    <w:rsid w:val="00EF4E03"/>
    <w:rsid w:val="00EF4EE5"/>
    <w:rsid w:val="00EF4F32"/>
    <w:rsid w:val="00EF521A"/>
    <w:rsid w:val="00EF525E"/>
    <w:rsid w:val="00EF52C6"/>
    <w:rsid w:val="00EF5528"/>
    <w:rsid w:val="00EF571F"/>
    <w:rsid w:val="00EF5838"/>
    <w:rsid w:val="00EF59A7"/>
    <w:rsid w:val="00EF5E87"/>
    <w:rsid w:val="00EF5EF5"/>
    <w:rsid w:val="00EF60FB"/>
    <w:rsid w:val="00EF610F"/>
    <w:rsid w:val="00EF611E"/>
    <w:rsid w:val="00EF6222"/>
    <w:rsid w:val="00EF6717"/>
    <w:rsid w:val="00EF6925"/>
    <w:rsid w:val="00EF6BFC"/>
    <w:rsid w:val="00EF7134"/>
    <w:rsid w:val="00EF737E"/>
    <w:rsid w:val="00EF7761"/>
    <w:rsid w:val="00EF781C"/>
    <w:rsid w:val="00EF7EE3"/>
    <w:rsid w:val="00EF7F43"/>
    <w:rsid w:val="00EF7FD1"/>
    <w:rsid w:val="00F00AE7"/>
    <w:rsid w:val="00F00D97"/>
    <w:rsid w:val="00F00E37"/>
    <w:rsid w:val="00F00E7C"/>
    <w:rsid w:val="00F00FD8"/>
    <w:rsid w:val="00F010DD"/>
    <w:rsid w:val="00F01968"/>
    <w:rsid w:val="00F01A4E"/>
    <w:rsid w:val="00F024EB"/>
    <w:rsid w:val="00F0252E"/>
    <w:rsid w:val="00F0285E"/>
    <w:rsid w:val="00F02BBA"/>
    <w:rsid w:val="00F02D66"/>
    <w:rsid w:val="00F02E6D"/>
    <w:rsid w:val="00F03075"/>
    <w:rsid w:val="00F037A9"/>
    <w:rsid w:val="00F037E3"/>
    <w:rsid w:val="00F0397E"/>
    <w:rsid w:val="00F039B6"/>
    <w:rsid w:val="00F03BAE"/>
    <w:rsid w:val="00F03CAE"/>
    <w:rsid w:val="00F03F4F"/>
    <w:rsid w:val="00F044A3"/>
    <w:rsid w:val="00F0484F"/>
    <w:rsid w:val="00F04C5A"/>
    <w:rsid w:val="00F04E4F"/>
    <w:rsid w:val="00F04EBA"/>
    <w:rsid w:val="00F05186"/>
    <w:rsid w:val="00F053F5"/>
    <w:rsid w:val="00F0569F"/>
    <w:rsid w:val="00F05710"/>
    <w:rsid w:val="00F0584A"/>
    <w:rsid w:val="00F05AD6"/>
    <w:rsid w:val="00F05DFD"/>
    <w:rsid w:val="00F05FB6"/>
    <w:rsid w:val="00F06374"/>
    <w:rsid w:val="00F063EC"/>
    <w:rsid w:val="00F063F1"/>
    <w:rsid w:val="00F066A0"/>
    <w:rsid w:val="00F066DA"/>
    <w:rsid w:val="00F066F0"/>
    <w:rsid w:val="00F06A84"/>
    <w:rsid w:val="00F07031"/>
    <w:rsid w:val="00F075DD"/>
    <w:rsid w:val="00F078D0"/>
    <w:rsid w:val="00F1087A"/>
    <w:rsid w:val="00F109FC"/>
    <w:rsid w:val="00F10BF8"/>
    <w:rsid w:val="00F10F47"/>
    <w:rsid w:val="00F1180A"/>
    <w:rsid w:val="00F11839"/>
    <w:rsid w:val="00F11A08"/>
    <w:rsid w:val="00F11DE1"/>
    <w:rsid w:val="00F12118"/>
    <w:rsid w:val="00F125F5"/>
    <w:rsid w:val="00F13280"/>
    <w:rsid w:val="00F133D8"/>
    <w:rsid w:val="00F13705"/>
    <w:rsid w:val="00F13781"/>
    <w:rsid w:val="00F13837"/>
    <w:rsid w:val="00F13AF1"/>
    <w:rsid w:val="00F13C56"/>
    <w:rsid w:val="00F14498"/>
    <w:rsid w:val="00F14D99"/>
    <w:rsid w:val="00F14FC6"/>
    <w:rsid w:val="00F1587D"/>
    <w:rsid w:val="00F15CF1"/>
    <w:rsid w:val="00F16487"/>
    <w:rsid w:val="00F1677F"/>
    <w:rsid w:val="00F1684D"/>
    <w:rsid w:val="00F16B9D"/>
    <w:rsid w:val="00F16CA5"/>
    <w:rsid w:val="00F16D69"/>
    <w:rsid w:val="00F17269"/>
    <w:rsid w:val="00F17432"/>
    <w:rsid w:val="00F175B4"/>
    <w:rsid w:val="00F1765C"/>
    <w:rsid w:val="00F17789"/>
    <w:rsid w:val="00F200B9"/>
    <w:rsid w:val="00F20129"/>
    <w:rsid w:val="00F2045A"/>
    <w:rsid w:val="00F20493"/>
    <w:rsid w:val="00F204C4"/>
    <w:rsid w:val="00F20582"/>
    <w:rsid w:val="00F2098A"/>
    <w:rsid w:val="00F209FE"/>
    <w:rsid w:val="00F20C49"/>
    <w:rsid w:val="00F20CB3"/>
    <w:rsid w:val="00F20DA7"/>
    <w:rsid w:val="00F21270"/>
    <w:rsid w:val="00F21788"/>
    <w:rsid w:val="00F217CB"/>
    <w:rsid w:val="00F21B7B"/>
    <w:rsid w:val="00F21CA7"/>
    <w:rsid w:val="00F21CEB"/>
    <w:rsid w:val="00F21EE1"/>
    <w:rsid w:val="00F22000"/>
    <w:rsid w:val="00F22627"/>
    <w:rsid w:val="00F22DA4"/>
    <w:rsid w:val="00F22F2C"/>
    <w:rsid w:val="00F231D6"/>
    <w:rsid w:val="00F23327"/>
    <w:rsid w:val="00F23778"/>
    <w:rsid w:val="00F23B7F"/>
    <w:rsid w:val="00F23D1D"/>
    <w:rsid w:val="00F241E1"/>
    <w:rsid w:val="00F2423D"/>
    <w:rsid w:val="00F244A4"/>
    <w:rsid w:val="00F244BB"/>
    <w:rsid w:val="00F24571"/>
    <w:rsid w:val="00F245F4"/>
    <w:rsid w:val="00F246F8"/>
    <w:rsid w:val="00F24D02"/>
    <w:rsid w:val="00F24DC2"/>
    <w:rsid w:val="00F24EF7"/>
    <w:rsid w:val="00F252C6"/>
    <w:rsid w:val="00F2533C"/>
    <w:rsid w:val="00F256E0"/>
    <w:rsid w:val="00F256F3"/>
    <w:rsid w:val="00F25710"/>
    <w:rsid w:val="00F26135"/>
    <w:rsid w:val="00F26313"/>
    <w:rsid w:val="00F265A8"/>
    <w:rsid w:val="00F2679C"/>
    <w:rsid w:val="00F26817"/>
    <w:rsid w:val="00F26ED3"/>
    <w:rsid w:val="00F27220"/>
    <w:rsid w:val="00F276BB"/>
    <w:rsid w:val="00F27846"/>
    <w:rsid w:val="00F2792E"/>
    <w:rsid w:val="00F27D1E"/>
    <w:rsid w:val="00F27EFE"/>
    <w:rsid w:val="00F27F28"/>
    <w:rsid w:val="00F30F31"/>
    <w:rsid w:val="00F31863"/>
    <w:rsid w:val="00F31B4F"/>
    <w:rsid w:val="00F31B73"/>
    <w:rsid w:val="00F31CDF"/>
    <w:rsid w:val="00F31DD4"/>
    <w:rsid w:val="00F31F0F"/>
    <w:rsid w:val="00F32182"/>
    <w:rsid w:val="00F324AE"/>
    <w:rsid w:val="00F327EB"/>
    <w:rsid w:val="00F32915"/>
    <w:rsid w:val="00F32A96"/>
    <w:rsid w:val="00F32C46"/>
    <w:rsid w:val="00F32D58"/>
    <w:rsid w:val="00F3324A"/>
    <w:rsid w:val="00F34095"/>
    <w:rsid w:val="00F347BD"/>
    <w:rsid w:val="00F348E7"/>
    <w:rsid w:val="00F359C6"/>
    <w:rsid w:val="00F35A9B"/>
    <w:rsid w:val="00F36453"/>
    <w:rsid w:val="00F36767"/>
    <w:rsid w:val="00F36A02"/>
    <w:rsid w:val="00F36D18"/>
    <w:rsid w:val="00F36F6C"/>
    <w:rsid w:val="00F37778"/>
    <w:rsid w:val="00F37A9C"/>
    <w:rsid w:val="00F385C7"/>
    <w:rsid w:val="00F400BA"/>
    <w:rsid w:val="00F4017D"/>
    <w:rsid w:val="00F4043C"/>
    <w:rsid w:val="00F40499"/>
    <w:rsid w:val="00F409AD"/>
    <w:rsid w:val="00F40A56"/>
    <w:rsid w:val="00F40C62"/>
    <w:rsid w:val="00F40CD5"/>
    <w:rsid w:val="00F40D52"/>
    <w:rsid w:val="00F410D2"/>
    <w:rsid w:val="00F4128D"/>
    <w:rsid w:val="00F412F4"/>
    <w:rsid w:val="00F41353"/>
    <w:rsid w:val="00F413EC"/>
    <w:rsid w:val="00F414A8"/>
    <w:rsid w:val="00F415BA"/>
    <w:rsid w:val="00F41A42"/>
    <w:rsid w:val="00F41AA3"/>
    <w:rsid w:val="00F41B69"/>
    <w:rsid w:val="00F41D76"/>
    <w:rsid w:val="00F41DE5"/>
    <w:rsid w:val="00F4225F"/>
    <w:rsid w:val="00F424E7"/>
    <w:rsid w:val="00F42BEE"/>
    <w:rsid w:val="00F42C35"/>
    <w:rsid w:val="00F42D51"/>
    <w:rsid w:val="00F42E62"/>
    <w:rsid w:val="00F4338B"/>
    <w:rsid w:val="00F4348B"/>
    <w:rsid w:val="00F43C0E"/>
    <w:rsid w:val="00F44683"/>
    <w:rsid w:val="00F45068"/>
    <w:rsid w:val="00F45354"/>
    <w:rsid w:val="00F457AA"/>
    <w:rsid w:val="00F458A5"/>
    <w:rsid w:val="00F45CE9"/>
    <w:rsid w:val="00F45D55"/>
    <w:rsid w:val="00F45E48"/>
    <w:rsid w:val="00F463F6"/>
    <w:rsid w:val="00F46626"/>
    <w:rsid w:val="00F4689F"/>
    <w:rsid w:val="00F46A31"/>
    <w:rsid w:val="00F46CBB"/>
    <w:rsid w:val="00F46EAA"/>
    <w:rsid w:val="00F4717C"/>
    <w:rsid w:val="00F472B0"/>
    <w:rsid w:val="00F47B6E"/>
    <w:rsid w:val="00F50079"/>
    <w:rsid w:val="00F500D7"/>
    <w:rsid w:val="00F504F3"/>
    <w:rsid w:val="00F505F5"/>
    <w:rsid w:val="00F5072E"/>
    <w:rsid w:val="00F507DE"/>
    <w:rsid w:val="00F51068"/>
    <w:rsid w:val="00F515CA"/>
    <w:rsid w:val="00F51682"/>
    <w:rsid w:val="00F51955"/>
    <w:rsid w:val="00F51E3C"/>
    <w:rsid w:val="00F51E62"/>
    <w:rsid w:val="00F51FCE"/>
    <w:rsid w:val="00F52151"/>
    <w:rsid w:val="00F521FD"/>
    <w:rsid w:val="00F5238B"/>
    <w:rsid w:val="00F52DD1"/>
    <w:rsid w:val="00F5310A"/>
    <w:rsid w:val="00F5380A"/>
    <w:rsid w:val="00F53ABD"/>
    <w:rsid w:val="00F53B21"/>
    <w:rsid w:val="00F53D75"/>
    <w:rsid w:val="00F53FF7"/>
    <w:rsid w:val="00F540BC"/>
    <w:rsid w:val="00F54142"/>
    <w:rsid w:val="00F5423D"/>
    <w:rsid w:val="00F544A9"/>
    <w:rsid w:val="00F544DB"/>
    <w:rsid w:val="00F5463E"/>
    <w:rsid w:val="00F54926"/>
    <w:rsid w:val="00F5496F"/>
    <w:rsid w:val="00F55270"/>
    <w:rsid w:val="00F552CC"/>
    <w:rsid w:val="00F552DD"/>
    <w:rsid w:val="00F5553E"/>
    <w:rsid w:val="00F557D7"/>
    <w:rsid w:val="00F55B31"/>
    <w:rsid w:val="00F55D34"/>
    <w:rsid w:val="00F564D7"/>
    <w:rsid w:val="00F567D0"/>
    <w:rsid w:val="00F568CA"/>
    <w:rsid w:val="00F5693C"/>
    <w:rsid w:val="00F56CB7"/>
    <w:rsid w:val="00F57391"/>
    <w:rsid w:val="00F57976"/>
    <w:rsid w:val="00F605E7"/>
    <w:rsid w:val="00F606EC"/>
    <w:rsid w:val="00F606FB"/>
    <w:rsid w:val="00F60DBD"/>
    <w:rsid w:val="00F60FCD"/>
    <w:rsid w:val="00F6100D"/>
    <w:rsid w:val="00F612D0"/>
    <w:rsid w:val="00F61652"/>
    <w:rsid w:val="00F6170D"/>
    <w:rsid w:val="00F61782"/>
    <w:rsid w:val="00F617EB"/>
    <w:rsid w:val="00F61811"/>
    <w:rsid w:val="00F61D0E"/>
    <w:rsid w:val="00F61E1A"/>
    <w:rsid w:val="00F62843"/>
    <w:rsid w:val="00F62A11"/>
    <w:rsid w:val="00F62B7A"/>
    <w:rsid w:val="00F62CAF"/>
    <w:rsid w:val="00F62F39"/>
    <w:rsid w:val="00F6316A"/>
    <w:rsid w:val="00F63292"/>
    <w:rsid w:val="00F6353B"/>
    <w:rsid w:val="00F6397D"/>
    <w:rsid w:val="00F63D2E"/>
    <w:rsid w:val="00F63FCF"/>
    <w:rsid w:val="00F642BE"/>
    <w:rsid w:val="00F64EAE"/>
    <w:rsid w:val="00F64FC2"/>
    <w:rsid w:val="00F65132"/>
    <w:rsid w:val="00F657A3"/>
    <w:rsid w:val="00F65821"/>
    <w:rsid w:val="00F65B06"/>
    <w:rsid w:val="00F65CF2"/>
    <w:rsid w:val="00F667AE"/>
    <w:rsid w:val="00F6744A"/>
    <w:rsid w:val="00F674B8"/>
    <w:rsid w:val="00F676D3"/>
    <w:rsid w:val="00F67C6C"/>
    <w:rsid w:val="00F67FBD"/>
    <w:rsid w:val="00F70310"/>
    <w:rsid w:val="00F70725"/>
    <w:rsid w:val="00F70788"/>
    <w:rsid w:val="00F709BF"/>
    <w:rsid w:val="00F70A05"/>
    <w:rsid w:val="00F70B7D"/>
    <w:rsid w:val="00F70D80"/>
    <w:rsid w:val="00F70FAA"/>
    <w:rsid w:val="00F70FFA"/>
    <w:rsid w:val="00F71A25"/>
    <w:rsid w:val="00F71BFC"/>
    <w:rsid w:val="00F71C6D"/>
    <w:rsid w:val="00F722E1"/>
    <w:rsid w:val="00F7293E"/>
    <w:rsid w:val="00F7320E"/>
    <w:rsid w:val="00F7344A"/>
    <w:rsid w:val="00F73C4A"/>
    <w:rsid w:val="00F73E4F"/>
    <w:rsid w:val="00F73EAB"/>
    <w:rsid w:val="00F74219"/>
    <w:rsid w:val="00F7485C"/>
    <w:rsid w:val="00F74D2E"/>
    <w:rsid w:val="00F74E1B"/>
    <w:rsid w:val="00F74F51"/>
    <w:rsid w:val="00F751F4"/>
    <w:rsid w:val="00F752C0"/>
    <w:rsid w:val="00F757A5"/>
    <w:rsid w:val="00F75A2C"/>
    <w:rsid w:val="00F75C0F"/>
    <w:rsid w:val="00F7606D"/>
    <w:rsid w:val="00F76528"/>
    <w:rsid w:val="00F765FC"/>
    <w:rsid w:val="00F76650"/>
    <w:rsid w:val="00F76C0E"/>
    <w:rsid w:val="00F7701E"/>
    <w:rsid w:val="00F77305"/>
    <w:rsid w:val="00F77712"/>
    <w:rsid w:val="00F7775D"/>
    <w:rsid w:val="00F77C60"/>
    <w:rsid w:val="00F80341"/>
    <w:rsid w:val="00F80353"/>
    <w:rsid w:val="00F80817"/>
    <w:rsid w:val="00F81B3B"/>
    <w:rsid w:val="00F81B82"/>
    <w:rsid w:val="00F81D7C"/>
    <w:rsid w:val="00F81DBC"/>
    <w:rsid w:val="00F81DCC"/>
    <w:rsid w:val="00F8205E"/>
    <w:rsid w:val="00F820D4"/>
    <w:rsid w:val="00F820F9"/>
    <w:rsid w:val="00F822E5"/>
    <w:rsid w:val="00F8247E"/>
    <w:rsid w:val="00F82726"/>
    <w:rsid w:val="00F82E8F"/>
    <w:rsid w:val="00F830AF"/>
    <w:rsid w:val="00F830E8"/>
    <w:rsid w:val="00F83235"/>
    <w:rsid w:val="00F832FA"/>
    <w:rsid w:val="00F83C0C"/>
    <w:rsid w:val="00F84058"/>
    <w:rsid w:val="00F8536F"/>
    <w:rsid w:val="00F853FA"/>
    <w:rsid w:val="00F8557C"/>
    <w:rsid w:val="00F857A3"/>
    <w:rsid w:val="00F8586D"/>
    <w:rsid w:val="00F85962"/>
    <w:rsid w:val="00F85AEC"/>
    <w:rsid w:val="00F85FA8"/>
    <w:rsid w:val="00F86468"/>
    <w:rsid w:val="00F865CD"/>
    <w:rsid w:val="00F866F4"/>
    <w:rsid w:val="00F8672F"/>
    <w:rsid w:val="00F8677C"/>
    <w:rsid w:val="00F86E40"/>
    <w:rsid w:val="00F86F04"/>
    <w:rsid w:val="00F8736F"/>
    <w:rsid w:val="00F873EE"/>
    <w:rsid w:val="00F87428"/>
    <w:rsid w:val="00F87840"/>
    <w:rsid w:val="00F90233"/>
    <w:rsid w:val="00F9074A"/>
    <w:rsid w:val="00F908F0"/>
    <w:rsid w:val="00F90CC5"/>
    <w:rsid w:val="00F91000"/>
    <w:rsid w:val="00F915DD"/>
    <w:rsid w:val="00F917C4"/>
    <w:rsid w:val="00F9187B"/>
    <w:rsid w:val="00F9187D"/>
    <w:rsid w:val="00F91BE3"/>
    <w:rsid w:val="00F91BE4"/>
    <w:rsid w:val="00F91FC5"/>
    <w:rsid w:val="00F9212F"/>
    <w:rsid w:val="00F922A8"/>
    <w:rsid w:val="00F92385"/>
    <w:rsid w:val="00F92581"/>
    <w:rsid w:val="00F92839"/>
    <w:rsid w:val="00F92D9C"/>
    <w:rsid w:val="00F93331"/>
    <w:rsid w:val="00F9387A"/>
    <w:rsid w:val="00F93DEA"/>
    <w:rsid w:val="00F9424F"/>
    <w:rsid w:val="00F9481D"/>
    <w:rsid w:val="00F94A73"/>
    <w:rsid w:val="00F94B5A"/>
    <w:rsid w:val="00F94E43"/>
    <w:rsid w:val="00F9561E"/>
    <w:rsid w:val="00F95880"/>
    <w:rsid w:val="00F95A70"/>
    <w:rsid w:val="00F96248"/>
    <w:rsid w:val="00F96342"/>
    <w:rsid w:val="00F96603"/>
    <w:rsid w:val="00F96733"/>
    <w:rsid w:val="00F968F1"/>
    <w:rsid w:val="00F97064"/>
    <w:rsid w:val="00F97251"/>
    <w:rsid w:val="00F974FD"/>
    <w:rsid w:val="00F975FE"/>
    <w:rsid w:val="00F97631"/>
    <w:rsid w:val="00F978D8"/>
    <w:rsid w:val="00F97CF4"/>
    <w:rsid w:val="00F97FDD"/>
    <w:rsid w:val="00FA0130"/>
    <w:rsid w:val="00FA072D"/>
    <w:rsid w:val="00FA0779"/>
    <w:rsid w:val="00FA09D5"/>
    <w:rsid w:val="00FA0A86"/>
    <w:rsid w:val="00FA100A"/>
    <w:rsid w:val="00FA1453"/>
    <w:rsid w:val="00FA1AFD"/>
    <w:rsid w:val="00FA1B4F"/>
    <w:rsid w:val="00FA1D35"/>
    <w:rsid w:val="00FA1E1D"/>
    <w:rsid w:val="00FA2182"/>
    <w:rsid w:val="00FA23E2"/>
    <w:rsid w:val="00FA2752"/>
    <w:rsid w:val="00FA2F47"/>
    <w:rsid w:val="00FA335A"/>
    <w:rsid w:val="00FA37CF"/>
    <w:rsid w:val="00FA3B51"/>
    <w:rsid w:val="00FA3F04"/>
    <w:rsid w:val="00FA4085"/>
    <w:rsid w:val="00FA45E1"/>
    <w:rsid w:val="00FA4E37"/>
    <w:rsid w:val="00FA5013"/>
    <w:rsid w:val="00FA50DF"/>
    <w:rsid w:val="00FA55AF"/>
    <w:rsid w:val="00FA5820"/>
    <w:rsid w:val="00FA5BF4"/>
    <w:rsid w:val="00FA5DBB"/>
    <w:rsid w:val="00FA6373"/>
    <w:rsid w:val="00FA66A0"/>
    <w:rsid w:val="00FA6B67"/>
    <w:rsid w:val="00FA6C77"/>
    <w:rsid w:val="00FA7800"/>
    <w:rsid w:val="00FB0018"/>
    <w:rsid w:val="00FB06C0"/>
    <w:rsid w:val="00FB0A8E"/>
    <w:rsid w:val="00FB0D2F"/>
    <w:rsid w:val="00FB0D30"/>
    <w:rsid w:val="00FB104D"/>
    <w:rsid w:val="00FB11A7"/>
    <w:rsid w:val="00FB1444"/>
    <w:rsid w:val="00FB1478"/>
    <w:rsid w:val="00FB1755"/>
    <w:rsid w:val="00FB18D2"/>
    <w:rsid w:val="00FB19FD"/>
    <w:rsid w:val="00FB1A6F"/>
    <w:rsid w:val="00FB2347"/>
    <w:rsid w:val="00FB2400"/>
    <w:rsid w:val="00FB2B76"/>
    <w:rsid w:val="00FB2B92"/>
    <w:rsid w:val="00FB2BB8"/>
    <w:rsid w:val="00FB30AA"/>
    <w:rsid w:val="00FB3129"/>
    <w:rsid w:val="00FB34F1"/>
    <w:rsid w:val="00FB36E5"/>
    <w:rsid w:val="00FB4130"/>
    <w:rsid w:val="00FB44D5"/>
    <w:rsid w:val="00FB457D"/>
    <w:rsid w:val="00FB51D8"/>
    <w:rsid w:val="00FB52A9"/>
    <w:rsid w:val="00FB52D4"/>
    <w:rsid w:val="00FB5418"/>
    <w:rsid w:val="00FB59A0"/>
    <w:rsid w:val="00FB5D62"/>
    <w:rsid w:val="00FB5F1B"/>
    <w:rsid w:val="00FB6318"/>
    <w:rsid w:val="00FB6502"/>
    <w:rsid w:val="00FB6727"/>
    <w:rsid w:val="00FB6919"/>
    <w:rsid w:val="00FB6947"/>
    <w:rsid w:val="00FB69B0"/>
    <w:rsid w:val="00FB7D74"/>
    <w:rsid w:val="00FB7F28"/>
    <w:rsid w:val="00FC0057"/>
    <w:rsid w:val="00FC05FE"/>
    <w:rsid w:val="00FC06C7"/>
    <w:rsid w:val="00FC07B1"/>
    <w:rsid w:val="00FC0DBA"/>
    <w:rsid w:val="00FC0F34"/>
    <w:rsid w:val="00FC126E"/>
    <w:rsid w:val="00FC1388"/>
    <w:rsid w:val="00FC1B16"/>
    <w:rsid w:val="00FC1C41"/>
    <w:rsid w:val="00FC24FD"/>
    <w:rsid w:val="00FC2974"/>
    <w:rsid w:val="00FC2A1A"/>
    <w:rsid w:val="00FC37BA"/>
    <w:rsid w:val="00FC38AA"/>
    <w:rsid w:val="00FC4216"/>
    <w:rsid w:val="00FC46C8"/>
    <w:rsid w:val="00FC47F9"/>
    <w:rsid w:val="00FC4AE2"/>
    <w:rsid w:val="00FC4B27"/>
    <w:rsid w:val="00FC4B63"/>
    <w:rsid w:val="00FC4C40"/>
    <w:rsid w:val="00FC4F4D"/>
    <w:rsid w:val="00FC4F69"/>
    <w:rsid w:val="00FC4F8D"/>
    <w:rsid w:val="00FC52D8"/>
    <w:rsid w:val="00FC535E"/>
    <w:rsid w:val="00FC589A"/>
    <w:rsid w:val="00FC591A"/>
    <w:rsid w:val="00FC5CAD"/>
    <w:rsid w:val="00FC5CBF"/>
    <w:rsid w:val="00FC5D71"/>
    <w:rsid w:val="00FC64FA"/>
    <w:rsid w:val="00FC6769"/>
    <w:rsid w:val="00FC68E1"/>
    <w:rsid w:val="00FC68EC"/>
    <w:rsid w:val="00FC6A71"/>
    <w:rsid w:val="00FC6E30"/>
    <w:rsid w:val="00FC70B6"/>
    <w:rsid w:val="00FC72B4"/>
    <w:rsid w:val="00FC76EA"/>
    <w:rsid w:val="00FC7B76"/>
    <w:rsid w:val="00FD003E"/>
    <w:rsid w:val="00FD03E5"/>
    <w:rsid w:val="00FD0610"/>
    <w:rsid w:val="00FD074E"/>
    <w:rsid w:val="00FD14F3"/>
    <w:rsid w:val="00FD15CC"/>
    <w:rsid w:val="00FD16ED"/>
    <w:rsid w:val="00FD1772"/>
    <w:rsid w:val="00FD201F"/>
    <w:rsid w:val="00FD249B"/>
    <w:rsid w:val="00FD2610"/>
    <w:rsid w:val="00FD27AE"/>
    <w:rsid w:val="00FD2975"/>
    <w:rsid w:val="00FD2B89"/>
    <w:rsid w:val="00FD2EE7"/>
    <w:rsid w:val="00FD3478"/>
    <w:rsid w:val="00FD3922"/>
    <w:rsid w:val="00FD3984"/>
    <w:rsid w:val="00FD3A75"/>
    <w:rsid w:val="00FD3B17"/>
    <w:rsid w:val="00FD3BCF"/>
    <w:rsid w:val="00FD3EF6"/>
    <w:rsid w:val="00FD3F6F"/>
    <w:rsid w:val="00FD3FA7"/>
    <w:rsid w:val="00FD3FB8"/>
    <w:rsid w:val="00FD43E0"/>
    <w:rsid w:val="00FD45CD"/>
    <w:rsid w:val="00FD4A31"/>
    <w:rsid w:val="00FD4B31"/>
    <w:rsid w:val="00FD518C"/>
    <w:rsid w:val="00FD520D"/>
    <w:rsid w:val="00FD5615"/>
    <w:rsid w:val="00FD5A82"/>
    <w:rsid w:val="00FD678F"/>
    <w:rsid w:val="00FD687D"/>
    <w:rsid w:val="00FD6885"/>
    <w:rsid w:val="00FD6930"/>
    <w:rsid w:val="00FD7281"/>
    <w:rsid w:val="00FD7B79"/>
    <w:rsid w:val="00FD7CF6"/>
    <w:rsid w:val="00FD7DF2"/>
    <w:rsid w:val="00FD7E6E"/>
    <w:rsid w:val="00FE0355"/>
    <w:rsid w:val="00FE06C3"/>
    <w:rsid w:val="00FE0AED"/>
    <w:rsid w:val="00FE0B9F"/>
    <w:rsid w:val="00FE0CBE"/>
    <w:rsid w:val="00FE11E8"/>
    <w:rsid w:val="00FE1335"/>
    <w:rsid w:val="00FE15E1"/>
    <w:rsid w:val="00FE1764"/>
    <w:rsid w:val="00FE1A2F"/>
    <w:rsid w:val="00FE2155"/>
    <w:rsid w:val="00FE2326"/>
    <w:rsid w:val="00FE2351"/>
    <w:rsid w:val="00FE28F4"/>
    <w:rsid w:val="00FE2EED"/>
    <w:rsid w:val="00FE318F"/>
    <w:rsid w:val="00FE337D"/>
    <w:rsid w:val="00FE33D2"/>
    <w:rsid w:val="00FE34D4"/>
    <w:rsid w:val="00FE3661"/>
    <w:rsid w:val="00FE3995"/>
    <w:rsid w:val="00FE3A0A"/>
    <w:rsid w:val="00FE3EFD"/>
    <w:rsid w:val="00FE3F74"/>
    <w:rsid w:val="00FE413A"/>
    <w:rsid w:val="00FE432D"/>
    <w:rsid w:val="00FE448B"/>
    <w:rsid w:val="00FE44BF"/>
    <w:rsid w:val="00FE4B7B"/>
    <w:rsid w:val="00FE4C2C"/>
    <w:rsid w:val="00FE4C97"/>
    <w:rsid w:val="00FE4C9F"/>
    <w:rsid w:val="00FE4D24"/>
    <w:rsid w:val="00FE4F01"/>
    <w:rsid w:val="00FE5019"/>
    <w:rsid w:val="00FE5580"/>
    <w:rsid w:val="00FE59C1"/>
    <w:rsid w:val="00FE5B95"/>
    <w:rsid w:val="00FE5FAA"/>
    <w:rsid w:val="00FE6247"/>
    <w:rsid w:val="00FE624B"/>
    <w:rsid w:val="00FE698A"/>
    <w:rsid w:val="00FE6CF3"/>
    <w:rsid w:val="00FE6DF8"/>
    <w:rsid w:val="00FE6FE4"/>
    <w:rsid w:val="00FE7151"/>
    <w:rsid w:val="00FE7491"/>
    <w:rsid w:val="00FE7770"/>
    <w:rsid w:val="00FE797F"/>
    <w:rsid w:val="00FE7B43"/>
    <w:rsid w:val="00FE7C08"/>
    <w:rsid w:val="00FF0005"/>
    <w:rsid w:val="00FF051B"/>
    <w:rsid w:val="00FF0521"/>
    <w:rsid w:val="00FF0956"/>
    <w:rsid w:val="00FF09B2"/>
    <w:rsid w:val="00FF0CD7"/>
    <w:rsid w:val="00FF0F6E"/>
    <w:rsid w:val="00FF1037"/>
    <w:rsid w:val="00FF110C"/>
    <w:rsid w:val="00FF16F3"/>
    <w:rsid w:val="00FF185C"/>
    <w:rsid w:val="00FF2022"/>
    <w:rsid w:val="00FF2439"/>
    <w:rsid w:val="00FF25C1"/>
    <w:rsid w:val="00FF278D"/>
    <w:rsid w:val="00FF27B9"/>
    <w:rsid w:val="00FF27CC"/>
    <w:rsid w:val="00FF2BC8"/>
    <w:rsid w:val="00FF2E12"/>
    <w:rsid w:val="00FF32F1"/>
    <w:rsid w:val="00FF36F8"/>
    <w:rsid w:val="00FF38B9"/>
    <w:rsid w:val="00FF3988"/>
    <w:rsid w:val="00FF3BBF"/>
    <w:rsid w:val="00FF40F7"/>
    <w:rsid w:val="00FF442D"/>
    <w:rsid w:val="00FF463F"/>
    <w:rsid w:val="00FF47A4"/>
    <w:rsid w:val="00FF49EA"/>
    <w:rsid w:val="00FF4C9D"/>
    <w:rsid w:val="00FF4DBD"/>
    <w:rsid w:val="00FF4E14"/>
    <w:rsid w:val="00FF4EA9"/>
    <w:rsid w:val="00FF4F87"/>
    <w:rsid w:val="00FF50CF"/>
    <w:rsid w:val="00FF5265"/>
    <w:rsid w:val="00FF577B"/>
    <w:rsid w:val="00FF57B4"/>
    <w:rsid w:val="00FF5D35"/>
    <w:rsid w:val="00FF5E6F"/>
    <w:rsid w:val="00FF5EB7"/>
    <w:rsid w:val="00FF60BC"/>
    <w:rsid w:val="00FF614F"/>
    <w:rsid w:val="00FF6388"/>
    <w:rsid w:val="00FF6473"/>
    <w:rsid w:val="00FF7428"/>
    <w:rsid w:val="00FF757A"/>
    <w:rsid w:val="00FF75C9"/>
    <w:rsid w:val="00FF76B6"/>
    <w:rsid w:val="00FF7762"/>
    <w:rsid w:val="00FF7940"/>
    <w:rsid w:val="00FF799D"/>
    <w:rsid w:val="00FF79BA"/>
    <w:rsid w:val="00FF7E43"/>
    <w:rsid w:val="00FF7F73"/>
    <w:rsid w:val="010D996E"/>
    <w:rsid w:val="0113C4B4"/>
    <w:rsid w:val="01862412"/>
    <w:rsid w:val="0195BBA9"/>
    <w:rsid w:val="019D9EFC"/>
    <w:rsid w:val="019F0922"/>
    <w:rsid w:val="01DC9680"/>
    <w:rsid w:val="01ED38D2"/>
    <w:rsid w:val="01F367EE"/>
    <w:rsid w:val="0203045F"/>
    <w:rsid w:val="024048F6"/>
    <w:rsid w:val="02535DA2"/>
    <w:rsid w:val="02550BBA"/>
    <w:rsid w:val="028B658E"/>
    <w:rsid w:val="02BD2986"/>
    <w:rsid w:val="02BF431E"/>
    <w:rsid w:val="02CC4876"/>
    <w:rsid w:val="02DD637F"/>
    <w:rsid w:val="02E4903E"/>
    <w:rsid w:val="02ED36A3"/>
    <w:rsid w:val="032238DA"/>
    <w:rsid w:val="0333BAA2"/>
    <w:rsid w:val="03390CDA"/>
    <w:rsid w:val="0358F122"/>
    <w:rsid w:val="036D7AE9"/>
    <w:rsid w:val="03ABEFBE"/>
    <w:rsid w:val="040A67F6"/>
    <w:rsid w:val="0432E496"/>
    <w:rsid w:val="04589321"/>
    <w:rsid w:val="047728D1"/>
    <w:rsid w:val="04803A0C"/>
    <w:rsid w:val="0498DEC7"/>
    <w:rsid w:val="04B6182F"/>
    <w:rsid w:val="04BA5492"/>
    <w:rsid w:val="0534169F"/>
    <w:rsid w:val="054E3000"/>
    <w:rsid w:val="05626BF7"/>
    <w:rsid w:val="056A819C"/>
    <w:rsid w:val="058EA758"/>
    <w:rsid w:val="05A05E6C"/>
    <w:rsid w:val="05C54A92"/>
    <w:rsid w:val="05DECDC1"/>
    <w:rsid w:val="05E891AE"/>
    <w:rsid w:val="05F53BE5"/>
    <w:rsid w:val="06084AE3"/>
    <w:rsid w:val="062BB441"/>
    <w:rsid w:val="06483021"/>
    <w:rsid w:val="065BB7B4"/>
    <w:rsid w:val="067777D0"/>
    <w:rsid w:val="06A862D8"/>
    <w:rsid w:val="06DB03D8"/>
    <w:rsid w:val="070BC439"/>
    <w:rsid w:val="074F2DE1"/>
    <w:rsid w:val="077DC95B"/>
    <w:rsid w:val="0781981F"/>
    <w:rsid w:val="07B0BCE9"/>
    <w:rsid w:val="07C8B6C5"/>
    <w:rsid w:val="0842A371"/>
    <w:rsid w:val="0843EEB7"/>
    <w:rsid w:val="084F9B9F"/>
    <w:rsid w:val="085E54DB"/>
    <w:rsid w:val="08B277BC"/>
    <w:rsid w:val="08CCF7DB"/>
    <w:rsid w:val="08E3AA9C"/>
    <w:rsid w:val="09009D6F"/>
    <w:rsid w:val="09377B2C"/>
    <w:rsid w:val="09704697"/>
    <w:rsid w:val="09767479"/>
    <w:rsid w:val="09944706"/>
    <w:rsid w:val="099BDCC1"/>
    <w:rsid w:val="09AB59B1"/>
    <w:rsid w:val="09B28193"/>
    <w:rsid w:val="09C283A3"/>
    <w:rsid w:val="09C36BC3"/>
    <w:rsid w:val="0A40AB7E"/>
    <w:rsid w:val="0A57A22B"/>
    <w:rsid w:val="0A6563B7"/>
    <w:rsid w:val="0A6D89B4"/>
    <w:rsid w:val="0A709051"/>
    <w:rsid w:val="0A85BFB5"/>
    <w:rsid w:val="0A863E54"/>
    <w:rsid w:val="0A93A963"/>
    <w:rsid w:val="0AB5AB42"/>
    <w:rsid w:val="0B1ECC50"/>
    <w:rsid w:val="0B671A49"/>
    <w:rsid w:val="0B699A2B"/>
    <w:rsid w:val="0B8E42D0"/>
    <w:rsid w:val="0B979512"/>
    <w:rsid w:val="0B9CB8FC"/>
    <w:rsid w:val="0BB66564"/>
    <w:rsid w:val="0BB99606"/>
    <w:rsid w:val="0BFEDA12"/>
    <w:rsid w:val="0C07276E"/>
    <w:rsid w:val="0C4810C7"/>
    <w:rsid w:val="0C594092"/>
    <w:rsid w:val="0C6EADBD"/>
    <w:rsid w:val="0C880996"/>
    <w:rsid w:val="0C9ABC47"/>
    <w:rsid w:val="0CA9DE5F"/>
    <w:rsid w:val="0CABEC3D"/>
    <w:rsid w:val="0CDF08FB"/>
    <w:rsid w:val="0D0455FF"/>
    <w:rsid w:val="0D0B7C12"/>
    <w:rsid w:val="0D1939AC"/>
    <w:rsid w:val="0D447035"/>
    <w:rsid w:val="0D79FFE9"/>
    <w:rsid w:val="0D7DE5D5"/>
    <w:rsid w:val="0D951461"/>
    <w:rsid w:val="0DE19CA4"/>
    <w:rsid w:val="0E020307"/>
    <w:rsid w:val="0EBAB7AC"/>
    <w:rsid w:val="0ECE712C"/>
    <w:rsid w:val="0F256780"/>
    <w:rsid w:val="0F485265"/>
    <w:rsid w:val="0F85AD4A"/>
    <w:rsid w:val="0FA00C30"/>
    <w:rsid w:val="0FC8301C"/>
    <w:rsid w:val="0FC8AAC4"/>
    <w:rsid w:val="102C4F6F"/>
    <w:rsid w:val="10390DDC"/>
    <w:rsid w:val="107E8088"/>
    <w:rsid w:val="10A7EE0C"/>
    <w:rsid w:val="10B8204E"/>
    <w:rsid w:val="10C100CE"/>
    <w:rsid w:val="10D5AB86"/>
    <w:rsid w:val="11238DA1"/>
    <w:rsid w:val="11556E2A"/>
    <w:rsid w:val="11582EF6"/>
    <w:rsid w:val="11716220"/>
    <w:rsid w:val="1195013E"/>
    <w:rsid w:val="11AAE60F"/>
    <w:rsid w:val="1205FE90"/>
    <w:rsid w:val="12589929"/>
    <w:rsid w:val="12F64BD9"/>
    <w:rsid w:val="12FBA53F"/>
    <w:rsid w:val="12FE1F57"/>
    <w:rsid w:val="13075EF6"/>
    <w:rsid w:val="130F7B2F"/>
    <w:rsid w:val="13157E72"/>
    <w:rsid w:val="1325FEE0"/>
    <w:rsid w:val="134B5E02"/>
    <w:rsid w:val="134FA3D4"/>
    <w:rsid w:val="135AED2D"/>
    <w:rsid w:val="137A8C79"/>
    <w:rsid w:val="1387DB00"/>
    <w:rsid w:val="138A4213"/>
    <w:rsid w:val="138BF7A2"/>
    <w:rsid w:val="13B6D94A"/>
    <w:rsid w:val="13F66C52"/>
    <w:rsid w:val="1488D38B"/>
    <w:rsid w:val="14AC5154"/>
    <w:rsid w:val="15195544"/>
    <w:rsid w:val="1523D82F"/>
    <w:rsid w:val="153CF5AC"/>
    <w:rsid w:val="15552DB9"/>
    <w:rsid w:val="1561D610"/>
    <w:rsid w:val="1572817F"/>
    <w:rsid w:val="1586D94B"/>
    <w:rsid w:val="158B351B"/>
    <w:rsid w:val="1590E151"/>
    <w:rsid w:val="15C233CE"/>
    <w:rsid w:val="15D533F3"/>
    <w:rsid w:val="162E4603"/>
    <w:rsid w:val="164BDDF7"/>
    <w:rsid w:val="167B4748"/>
    <w:rsid w:val="168D8A88"/>
    <w:rsid w:val="16D08A00"/>
    <w:rsid w:val="16D1F046"/>
    <w:rsid w:val="16F81251"/>
    <w:rsid w:val="17089169"/>
    <w:rsid w:val="17132B1A"/>
    <w:rsid w:val="173DBC2E"/>
    <w:rsid w:val="1762ACF8"/>
    <w:rsid w:val="1769406C"/>
    <w:rsid w:val="176DF6E3"/>
    <w:rsid w:val="17C03FB5"/>
    <w:rsid w:val="17CA05C9"/>
    <w:rsid w:val="17D2691C"/>
    <w:rsid w:val="17F90CD0"/>
    <w:rsid w:val="1806FF55"/>
    <w:rsid w:val="183C0915"/>
    <w:rsid w:val="18421C72"/>
    <w:rsid w:val="184A4552"/>
    <w:rsid w:val="184D3350"/>
    <w:rsid w:val="18523F55"/>
    <w:rsid w:val="185E00D0"/>
    <w:rsid w:val="18A09192"/>
    <w:rsid w:val="18A4E0AA"/>
    <w:rsid w:val="18AC839D"/>
    <w:rsid w:val="18E5A998"/>
    <w:rsid w:val="1917E899"/>
    <w:rsid w:val="192ECCD9"/>
    <w:rsid w:val="193C897B"/>
    <w:rsid w:val="19433FE5"/>
    <w:rsid w:val="196A1957"/>
    <w:rsid w:val="199AB597"/>
    <w:rsid w:val="19A6EC37"/>
    <w:rsid w:val="19AC17A0"/>
    <w:rsid w:val="19C90374"/>
    <w:rsid w:val="19EBCEC1"/>
    <w:rsid w:val="1A581B46"/>
    <w:rsid w:val="1A58A192"/>
    <w:rsid w:val="1A79BFD1"/>
    <w:rsid w:val="1A7CE811"/>
    <w:rsid w:val="1A967187"/>
    <w:rsid w:val="1AA86DEC"/>
    <w:rsid w:val="1AB93D96"/>
    <w:rsid w:val="1ACC4B92"/>
    <w:rsid w:val="1ACF199F"/>
    <w:rsid w:val="1AE8B174"/>
    <w:rsid w:val="1B1FF100"/>
    <w:rsid w:val="1B5937B8"/>
    <w:rsid w:val="1B5F0930"/>
    <w:rsid w:val="1B5F6C56"/>
    <w:rsid w:val="1B614730"/>
    <w:rsid w:val="1B80E57C"/>
    <w:rsid w:val="1B853349"/>
    <w:rsid w:val="1BB7576F"/>
    <w:rsid w:val="1BE82D9A"/>
    <w:rsid w:val="1C1BD84D"/>
    <w:rsid w:val="1C5BAC4E"/>
    <w:rsid w:val="1C640AB9"/>
    <w:rsid w:val="1C7A59A9"/>
    <w:rsid w:val="1CA523D6"/>
    <w:rsid w:val="1CB77C96"/>
    <w:rsid w:val="1CCDB1AD"/>
    <w:rsid w:val="1D0E0AA7"/>
    <w:rsid w:val="1D93A28B"/>
    <w:rsid w:val="1DC2842D"/>
    <w:rsid w:val="1DC6FA1F"/>
    <w:rsid w:val="1E499879"/>
    <w:rsid w:val="1E51D820"/>
    <w:rsid w:val="1E86403C"/>
    <w:rsid w:val="1F00C379"/>
    <w:rsid w:val="1F111A14"/>
    <w:rsid w:val="1F141BA7"/>
    <w:rsid w:val="1F5164AE"/>
    <w:rsid w:val="1F91EEC0"/>
    <w:rsid w:val="1FD7D1B2"/>
    <w:rsid w:val="203968D4"/>
    <w:rsid w:val="20449AEC"/>
    <w:rsid w:val="2055750F"/>
    <w:rsid w:val="2079DF2F"/>
    <w:rsid w:val="2089FA19"/>
    <w:rsid w:val="20DE966E"/>
    <w:rsid w:val="20F48FF3"/>
    <w:rsid w:val="20FD7B03"/>
    <w:rsid w:val="20FF2AEA"/>
    <w:rsid w:val="21280434"/>
    <w:rsid w:val="212E2055"/>
    <w:rsid w:val="217C7044"/>
    <w:rsid w:val="2181DA58"/>
    <w:rsid w:val="219E0121"/>
    <w:rsid w:val="21CDA0E7"/>
    <w:rsid w:val="21E8737C"/>
    <w:rsid w:val="222BA380"/>
    <w:rsid w:val="225CCD87"/>
    <w:rsid w:val="22670CFC"/>
    <w:rsid w:val="22979171"/>
    <w:rsid w:val="22C589C2"/>
    <w:rsid w:val="22D2A637"/>
    <w:rsid w:val="22DDD27D"/>
    <w:rsid w:val="22EF0DF4"/>
    <w:rsid w:val="232F4E1C"/>
    <w:rsid w:val="234D5A33"/>
    <w:rsid w:val="236BA102"/>
    <w:rsid w:val="238BD97A"/>
    <w:rsid w:val="2398AC48"/>
    <w:rsid w:val="23B1EC8B"/>
    <w:rsid w:val="23C242E3"/>
    <w:rsid w:val="23FEB9C3"/>
    <w:rsid w:val="2409098F"/>
    <w:rsid w:val="240E5902"/>
    <w:rsid w:val="24A6963E"/>
    <w:rsid w:val="24AD2EE2"/>
    <w:rsid w:val="24AEA8F8"/>
    <w:rsid w:val="24BABA1A"/>
    <w:rsid w:val="24BF2B84"/>
    <w:rsid w:val="24FE49F7"/>
    <w:rsid w:val="255224AC"/>
    <w:rsid w:val="256C3A27"/>
    <w:rsid w:val="256F9E62"/>
    <w:rsid w:val="25AD2945"/>
    <w:rsid w:val="25BD3389"/>
    <w:rsid w:val="25BE3D06"/>
    <w:rsid w:val="262C164F"/>
    <w:rsid w:val="2658E520"/>
    <w:rsid w:val="2678718D"/>
    <w:rsid w:val="269FFC2D"/>
    <w:rsid w:val="26B21204"/>
    <w:rsid w:val="26CEED06"/>
    <w:rsid w:val="26D9A45E"/>
    <w:rsid w:val="26DAE054"/>
    <w:rsid w:val="27008260"/>
    <w:rsid w:val="27164B4E"/>
    <w:rsid w:val="2721F0D8"/>
    <w:rsid w:val="27270465"/>
    <w:rsid w:val="27302538"/>
    <w:rsid w:val="2771B8CD"/>
    <w:rsid w:val="27783950"/>
    <w:rsid w:val="27B0FC39"/>
    <w:rsid w:val="27F624DC"/>
    <w:rsid w:val="27FBF3F5"/>
    <w:rsid w:val="28102550"/>
    <w:rsid w:val="281DDD6B"/>
    <w:rsid w:val="28213EED"/>
    <w:rsid w:val="2864FE21"/>
    <w:rsid w:val="287F1F33"/>
    <w:rsid w:val="288B80C6"/>
    <w:rsid w:val="288E0BEB"/>
    <w:rsid w:val="28A87FEE"/>
    <w:rsid w:val="28D85503"/>
    <w:rsid w:val="28FCF3A7"/>
    <w:rsid w:val="2907EF5C"/>
    <w:rsid w:val="290C9C10"/>
    <w:rsid w:val="294DC74C"/>
    <w:rsid w:val="2994580A"/>
    <w:rsid w:val="29CA1C8D"/>
    <w:rsid w:val="2A13B11C"/>
    <w:rsid w:val="2A1E8A3C"/>
    <w:rsid w:val="2A7FD33A"/>
    <w:rsid w:val="2A8B8D5D"/>
    <w:rsid w:val="2A8EBE53"/>
    <w:rsid w:val="2AB38E0D"/>
    <w:rsid w:val="2AC6DACB"/>
    <w:rsid w:val="2ADCA738"/>
    <w:rsid w:val="2ADFBADE"/>
    <w:rsid w:val="2B06669B"/>
    <w:rsid w:val="2B958FF7"/>
    <w:rsid w:val="2BA4E5E0"/>
    <w:rsid w:val="2BA635A1"/>
    <w:rsid w:val="2BC6798B"/>
    <w:rsid w:val="2BC7AC13"/>
    <w:rsid w:val="2C21FEFF"/>
    <w:rsid w:val="2C41E9D6"/>
    <w:rsid w:val="2C6CEA4B"/>
    <w:rsid w:val="2C71F7AB"/>
    <w:rsid w:val="2C7EBC27"/>
    <w:rsid w:val="2C876576"/>
    <w:rsid w:val="2CB633D5"/>
    <w:rsid w:val="2CC31161"/>
    <w:rsid w:val="2CD86309"/>
    <w:rsid w:val="2CE6162C"/>
    <w:rsid w:val="2CFA2F8B"/>
    <w:rsid w:val="2D1E52FC"/>
    <w:rsid w:val="2D4E6FC2"/>
    <w:rsid w:val="2D9877F8"/>
    <w:rsid w:val="2D9F04F9"/>
    <w:rsid w:val="2DCA4A81"/>
    <w:rsid w:val="2DE1AB26"/>
    <w:rsid w:val="2E003B69"/>
    <w:rsid w:val="2E04D787"/>
    <w:rsid w:val="2E201762"/>
    <w:rsid w:val="2E2D07A3"/>
    <w:rsid w:val="2E529ADE"/>
    <w:rsid w:val="2E7A0710"/>
    <w:rsid w:val="2E8EB328"/>
    <w:rsid w:val="2E92FA6C"/>
    <w:rsid w:val="2EC7BE7E"/>
    <w:rsid w:val="2F1504A4"/>
    <w:rsid w:val="2F4F3E78"/>
    <w:rsid w:val="2FB8CD3A"/>
    <w:rsid w:val="2FBFA123"/>
    <w:rsid w:val="2FD1A495"/>
    <w:rsid w:val="2FD52C72"/>
    <w:rsid w:val="2FDFD893"/>
    <w:rsid w:val="302FB906"/>
    <w:rsid w:val="305B1087"/>
    <w:rsid w:val="3068366D"/>
    <w:rsid w:val="30968D16"/>
    <w:rsid w:val="309E38C4"/>
    <w:rsid w:val="309F53F7"/>
    <w:rsid w:val="30AA53CA"/>
    <w:rsid w:val="30EBBA4B"/>
    <w:rsid w:val="30FC5F1B"/>
    <w:rsid w:val="31945345"/>
    <w:rsid w:val="31B87BF6"/>
    <w:rsid w:val="31BA96A4"/>
    <w:rsid w:val="31F6186C"/>
    <w:rsid w:val="3203B187"/>
    <w:rsid w:val="323F2DBA"/>
    <w:rsid w:val="32737F37"/>
    <w:rsid w:val="3275DAE4"/>
    <w:rsid w:val="328915EC"/>
    <w:rsid w:val="3304F83C"/>
    <w:rsid w:val="336ACFEE"/>
    <w:rsid w:val="3372BB6E"/>
    <w:rsid w:val="33A828A8"/>
    <w:rsid w:val="33B46989"/>
    <w:rsid w:val="33DF5269"/>
    <w:rsid w:val="33E98E7E"/>
    <w:rsid w:val="33E9A580"/>
    <w:rsid w:val="3404E6E4"/>
    <w:rsid w:val="34128A72"/>
    <w:rsid w:val="346A3C86"/>
    <w:rsid w:val="34860602"/>
    <w:rsid w:val="34895050"/>
    <w:rsid w:val="349CF8AE"/>
    <w:rsid w:val="3526B318"/>
    <w:rsid w:val="3533EDE5"/>
    <w:rsid w:val="355D8FD6"/>
    <w:rsid w:val="367C8FF5"/>
    <w:rsid w:val="368C218C"/>
    <w:rsid w:val="368F5BC7"/>
    <w:rsid w:val="369F667A"/>
    <w:rsid w:val="36A533E9"/>
    <w:rsid w:val="36B22D2F"/>
    <w:rsid w:val="36F8E872"/>
    <w:rsid w:val="3718B012"/>
    <w:rsid w:val="3761D633"/>
    <w:rsid w:val="37A21260"/>
    <w:rsid w:val="37DF2A97"/>
    <w:rsid w:val="37ED8E80"/>
    <w:rsid w:val="3859BB36"/>
    <w:rsid w:val="3861205A"/>
    <w:rsid w:val="38AC8B76"/>
    <w:rsid w:val="38B22467"/>
    <w:rsid w:val="38E2AA5E"/>
    <w:rsid w:val="38F481F6"/>
    <w:rsid w:val="3932E8B2"/>
    <w:rsid w:val="393B1D78"/>
    <w:rsid w:val="39490D27"/>
    <w:rsid w:val="396AE433"/>
    <w:rsid w:val="3978F9A2"/>
    <w:rsid w:val="39D9286D"/>
    <w:rsid w:val="3A2C83E4"/>
    <w:rsid w:val="3A4AD4D6"/>
    <w:rsid w:val="3A9B362E"/>
    <w:rsid w:val="3AA8F244"/>
    <w:rsid w:val="3AB217C2"/>
    <w:rsid w:val="3AB93DDF"/>
    <w:rsid w:val="3ABE65DC"/>
    <w:rsid w:val="3AE58DCD"/>
    <w:rsid w:val="3AE5D31D"/>
    <w:rsid w:val="3AED5340"/>
    <w:rsid w:val="3B331C95"/>
    <w:rsid w:val="3B3D3894"/>
    <w:rsid w:val="3B424521"/>
    <w:rsid w:val="3B4C438E"/>
    <w:rsid w:val="3B7BB29C"/>
    <w:rsid w:val="3BCCDEE0"/>
    <w:rsid w:val="3BCDC5DA"/>
    <w:rsid w:val="3BDA4D7A"/>
    <w:rsid w:val="3BE3A50A"/>
    <w:rsid w:val="3C27F39C"/>
    <w:rsid w:val="3C2BCFFA"/>
    <w:rsid w:val="3C60536B"/>
    <w:rsid w:val="3C60A16C"/>
    <w:rsid w:val="3C6BDA11"/>
    <w:rsid w:val="3C737493"/>
    <w:rsid w:val="3C962A48"/>
    <w:rsid w:val="3C998C8D"/>
    <w:rsid w:val="3C9D9321"/>
    <w:rsid w:val="3D1DB3AA"/>
    <w:rsid w:val="3D7903FB"/>
    <w:rsid w:val="3D90579D"/>
    <w:rsid w:val="3DB15727"/>
    <w:rsid w:val="3DC17700"/>
    <w:rsid w:val="3DC6666A"/>
    <w:rsid w:val="3DE008A6"/>
    <w:rsid w:val="3E1124EB"/>
    <w:rsid w:val="3E1DC970"/>
    <w:rsid w:val="3E44A370"/>
    <w:rsid w:val="3EA71C87"/>
    <w:rsid w:val="3EABADCB"/>
    <w:rsid w:val="3EC125BD"/>
    <w:rsid w:val="3EC364F4"/>
    <w:rsid w:val="3EC3EA30"/>
    <w:rsid w:val="3ED09812"/>
    <w:rsid w:val="3EF708C4"/>
    <w:rsid w:val="3F7846FA"/>
    <w:rsid w:val="3F81FBE6"/>
    <w:rsid w:val="3F9AD922"/>
    <w:rsid w:val="3FADEA1D"/>
    <w:rsid w:val="3FC3F3CE"/>
    <w:rsid w:val="3FCEB22E"/>
    <w:rsid w:val="4002F0C6"/>
    <w:rsid w:val="4010C98E"/>
    <w:rsid w:val="402C7F39"/>
    <w:rsid w:val="402CF370"/>
    <w:rsid w:val="402F9D19"/>
    <w:rsid w:val="407E4579"/>
    <w:rsid w:val="409A4A98"/>
    <w:rsid w:val="40B0CE33"/>
    <w:rsid w:val="40FDE007"/>
    <w:rsid w:val="4101F821"/>
    <w:rsid w:val="41135AAA"/>
    <w:rsid w:val="4134DEF2"/>
    <w:rsid w:val="4169C853"/>
    <w:rsid w:val="417834B1"/>
    <w:rsid w:val="419D0763"/>
    <w:rsid w:val="41B49B3C"/>
    <w:rsid w:val="41CB6ED1"/>
    <w:rsid w:val="42137B11"/>
    <w:rsid w:val="4213C232"/>
    <w:rsid w:val="4249A3B6"/>
    <w:rsid w:val="4273558D"/>
    <w:rsid w:val="42AFE0DA"/>
    <w:rsid w:val="42F21F23"/>
    <w:rsid w:val="4322ECEE"/>
    <w:rsid w:val="43F23CD3"/>
    <w:rsid w:val="443350B1"/>
    <w:rsid w:val="4477C563"/>
    <w:rsid w:val="44908571"/>
    <w:rsid w:val="44B9AE93"/>
    <w:rsid w:val="44F9B938"/>
    <w:rsid w:val="45102DC0"/>
    <w:rsid w:val="451CEB1D"/>
    <w:rsid w:val="451ED27A"/>
    <w:rsid w:val="45380160"/>
    <w:rsid w:val="455C0288"/>
    <w:rsid w:val="457090B7"/>
    <w:rsid w:val="45905EBE"/>
    <w:rsid w:val="45B5B115"/>
    <w:rsid w:val="45D629ED"/>
    <w:rsid w:val="45E687AA"/>
    <w:rsid w:val="46059FCF"/>
    <w:rsid w:val="461790F8"/>
    <w:rsid w:val="46584D06"/>
    <w:rsid w:val="4671AFC9"/>
    <w:rsid w:val="4671BEEE"/>
    <w:rsid w:val="46847080"/>
    <w:rsid w:val="4690EDE5"/>
    <w:rsid w:val="469451F8"/>
    <w:rsid w:val="46B04C2B"/>
    <w:rsid w:val="46CF40E0"/>
    <w:rsid w:val="46D06598"/>
    <w:rsid w:val="46D25F25"/>
    <w:rsid w:val="46D8CDC2"/>
    <w:rsid w:val="4701F22A"/>
    <w:rsid w:val="47041C3A"/>
    <w:rsid w:val="47352A01"/>
    <w:rsid w:val="4743B39E"/>
    <w:rsid w:val="47718D1E"/>
    <w:rsid w:val="477B3EDE"/>
    <w:rsid w:val="479DF22A"/>
    <w:rsid w:val="47B11671"/>
    <w:rsid w:val="47EAE3E6"/>
    <w:rsid w:val="47EBF02D"/>
    <w:rsid w:val="4826786B"/>
    <w:rsid w:val="483363CC"/>
    <w:rsid w:val="48347258"/>
    <w:rsid w:val="48673AEF"/>
    <w:rsid w:val="486F305D"/>
    <w:rsid w:val="4890A67D"/>
    <w:rsid w:val="48B33B0C"/>
    <w:rsid w:val="48B89ECC"/>
    <w:rsid w:val="48BA87E2"/>
    <w:rsid w:val="48E59017"/>
    <w:rsid w:val="493B57D1"/>
    <w:rsid w:val="493D56A9"/>
    <w:rsid w:val="494FADED"/>
    <w:rsid w:val="495CA2E6"/>
    <w:rsid w:val="497FC893"/>
    <w:rsid w:val="498D14BA"/>
    <w:rsid w:val="49B70E5B"/>
    <w:rsid w:val="49E3E177"/>
    <w:rsid w:val="49FA834A"/>
    <w:rsid w:val="4A0BCAB4"/>
    <w:rsid w:val="4A4CAC8B"/>
    <w:rsid w:val="4A7896A6"/>
    <w:rsid w:val="4A7FDA75"/>
    <w:rsid w:val="4AB2DB73"/>
    <w:rsid w:val="4B2A3D98"/>
    <w:rsid w:val="4B3D8154"/>
    <w:rsid w:val="4BA97BF3"/>
    <w:rsid w:val="4BC09296"/>
    <w:rsid w:val="4BFE801F"/>
    <w:rsid w:val="4C4BDCE7"/>
    <w:rsid w:val="4C675B04"/>
    <w:rsid w:val="4CDD5773"/>
    <w:rsid w:val="4CE6EDC5"/>
    <w:rsid w:val="4CF50891"/>
    <w:rsid w:val="4D0788C0"/>
    <w:rsid w:val="4D0A299C"/>
    <w:rsid w:val="4D0A7562"/>
    <w:rsid w:val="4D27A561"/>
    <w:rsid w:val="4D2C6FF6"/>
    <w:rsid w:val="4D3B3EEF"/>
    <w:rsid w:val="4D5B9DCA"/>
    <w:rsid w:val="4D9C10EA"/>
    <w:rsid w:val="4E1F966E"/>
    <w:rsid w:val="4E351D2C"/>
    <w:rsid w:val="4E3B7EAE"/>
    <w:rsid w:val="4E80D6D8"/>
    <w:rsid w:val="4EB167A8"/>
    <w:rsid w:val="4EB28849"/>
    <w:rsid w:val="4ECC83F2"/>
    <w:rsid w:val="4ED48D58"/>
    <w:rsid w:val="4EE38695"/>
    <w:rsid w:val="4EE4E5F4"/>
    <w:rsid w:val="4EEBE473"/>
    <w:rsid w:val="4EF36E5B"/>
    <w:rsid w:val="4F1CA556"/>
    <w:rsid w:val="4F46198F"/>
    <w:rsid w:val="4F4AC044"/>
    <w:rsid w:val="4F541398"/>
    <w:rsid w:val="4F56D95D"/>
    <w:rsid w:val="4F5B46C8"/>
    <w:rsid w:val="4F6BB199"/>
    <w:rsid w:val="4F85EF2E"/>
    <w:rsid w:val="4F9FFB4F"/>
    <w:rsid w:val="4FA65A73"/>
    <w:rsid w:val="4FCFB85F"/>
    <w:rsid w:val="4FE9946B"/>
    <w:rsid w:val="50080BF0"/>
    <w:rsid w:val="501AA917"/>
    <w:rsid w:val="50393CAE"/>
    <w:rsid w:val="508763D0"/>
    <w:rsid w:val="508E21BC"/>
    <w:rsid w:val="509401CD"/>
    <w:rsid w:val="50A90F88"/>
    <w:rsid w:val="50B359C7"/>
    <w:rsid w:val="50F73D94"/>
    <w:rsid w:val="51A59BDA"/>
    <w:rsid w:val="51B7B606"/>
    <w:rsid w:val="51BFF48C"/>
    <w:rsid w:val="51DA5803"/>
    <w:rsid w:val="51F20B46"/>
    <w:rsid w:val="51FA4B72"/>
    <w:rsid w:val="52061CDA"/>
    <w:rsid w:val="5208F9AA"/>
    <w:rsid w:val="522E5FB5"/>
    <w:rsid w:val="52753827"/>
    <w:rsid w:val="527549BF"/>
    <w:rsid w:val="5276137F"/>
    <w:rsid w:val="5280D253"/>
    <w:rsid w:val="52B712A5"/>
    <w:rsid w:val="53A2B24C"/>
    <w:rsid w:val="53A81D8E"/>
    <w:rsid w:val="53AE4F2F"/>
    <w:rsid w:val="53D04E7C"/>
    <w:rsid w:val="542293D2"/>
    <w:rsid w:val="5448D66F"/>
    <w:rsid w:val="547BA66D"/>
    <w:rsid w:val="54B42390"/>
    <w:rsid w:val="54C883DA"/>
    <w:rsid w:val="5511B605"/>
    <w:rsid w:val="55122E98"/>
    <w:rsid w:val="5526A8D3"/>
    <w:rsid w:val="5548FACB"/>
    <w:rsid w:val="554BA9CC"/>
    <w:rsid w:val="5592112E"/>
    <w:rsid w:val="5592F5A8"/>
    <w:rsid w:val="55939385"/>
    <w:rsid w:val="55C96DD9"/>
    <w:rsid w:val="55D7A50A"/>
    <w:rsid w:val="5605F7BC"/>
    <w:rsid w:val="562E2CEC"/>
    <w:rsid w:val="562E8661"/>
    <w:rsid w:val="565FC772"/>
    <w:rsid w:val="566573E2"/>
    <w:rsid w:val="57313D32"/>
    <w:rsid w:val="5750FF5C"/>
    <w:rsid w:val="576FA9CF"/>
    <w:rsid w:val="577E2221"/>
    <w:rsid w:val="57CDB87D"/>
    <w:rsid w:val="57D61D28"/>
    <w:rsid w:val="57FE51E6"/>
    <w:rsid w:val="5800D42E"/>
    <w:rsid w:val="583B7038"/>
    <w:rsid w:val="5841C801"/>
    <w:rsid w:val="5847C3B0"/>
    <w:rsid w:val="587D1AE9"/>
    <w:rsid w:val="5896AAD8"/>
    <w:rsid w:val="58D42871"/>
    <w:rsid w:val="58F59A9A"/>
    <w:rsid w:val="591EAF5C"/>
    <w:rsid w:val="59EE7288"/>
    <w:rsid w:val="5A14AC46"/>
    <w:rsid w:val="5A157671"/>
    <w:rsid w:val="5A2A28FB"/>
    <w:rsid w:val="5A6FB034"/>
    <w:rsid w:val="5A70FA3C"/>
    <w:rsid w:val="5A7C74CE"/>
    <w:rsid w:val="5A844117"/>
    <w:rsid w:val="5A99F931"/>
    <w:rsid w:val="5AA2A543"/>
    <w:rsid w:val="5AB3869C"/>
    <w:rsid w:val="5AEA7242"/>
    <w:rsid w:val="5AFBF1E2"/>
    <w:rsid w:val="5B10AC98"/>
    <w:rsid w:val="5B4D4CCB"/>
    <w:rsid w:val="5B6E7A83"/>
    <w:rsid w:val="5B7FE6FA"/>
    <w:rsid w:val="5BB3FB2D"/>
    <w:rsid w:val="5BDEA4A5"/>
    <w:rsid w:val="5BE59C4B"/>
    <w:rsid w:val="5BEE2F08"/>
    <w:rsid w:val="5C32211E"/>
    <w:rsid w:val="5C63FE9D"/>
    <w:rsid w:val="5C95CE6B"/>
    <w:rsid w:val="5CAC7830"/>
    <w:rsid w:val="5CFAE3FB"/>
    <w:rsid w:val="5D5C5312"/>
    <w:rsid w:val="5D5C5778"/>
    <w:rsid w:val="5D69088C"/>
    <w:rsid w:val="5DE5B250"/>
    <w:rsid w:val="5DF721D3"/>
    <w:rsid w:val="5E27BA55"/>
    <w:rsid w:val="5E40DEF6"/>
    <w:rsid w:val="5E75FB78"/>
    <w:rsid w:val="5E8221EC"/>
    <w:rsid w:val="5ED9E23B"/>
    <w:rsid w:val="5EE52B36"/>
    <w:rsid w:val="5F29BCFF"/>
    <w:rsid w:val="5F3B9827"/>
    <w:rsid w:val="5F4E7DBE"/>
    <w:rsid w:val="5F7554C4"/>
    <w:rsid w:val="5FA015F6"/>
    <w:rsid w:val="5FDD6DA5"/>
    <w:rsid w:val="5FE9B9BE"/>
    <w:rsid w:val="5FF55904"/>
    <w:rsid w:val="5FF8B7F7"/>
    <w:rsid w:val="600249CF"/>
    <w:rsid w:val="6012ECEA"/>
    <w:rsid w:val="603990C8"/>
    <w:rsid w:val="60561D2F"/>
    <w:rsid w:val="605D4F99"/>
    <w:rsid w:val="608AB7DA"/>
    <w:rsid w:val="609E2D3C"/>
    <w:rsid w:val="60A0ABFD"/>
    <w:rsid w:val="60AFBA55"/>
    <w:rsid w:val="60BD099A"/>
    <w:rsid w:val="60CE709E"/>
    <w:rsid w:val="60E47FC0"/>
    <w:rsid w:val="61194CBC"/>
    <w:rsid w:val="6148C0CA"/>
    <w:rsid w:val="615583DE"/>
    <w:rsid w:val="61653CF1"/>
    <w:rsid w:val="619B1DFC"/>
    <w:rsid w:val="61A6EAE2"/>
    <w:rsid w:val="61EB6ADA"/>
    <w:rsid w:val="62110E97"/>
    <w:rsid w:val="6227B71B"/>
    <w:rsid w:val="6257776C"/>
    <w:rsid w:val="626FE538"/>
    <w:rsid w:val="627F0B8D"/>
    <w:rsid w:val="62DBE0EB"/>
    <w:rsid w:val="62EBC1A5"/>
    <w:rsid w:val="62F43714"/>
    <w:rsid w:val="6301C5CC"/>
    <w:rsid w:val="63448F5E"/>
    <w:rsid w:val="634AE5DF"/>
    <w:rsid w:val="63985A8B"/>
    <w:rsid w:val="63DF09C0"/>
    <w:rsid w:val="63FDAF27"/>
    <w:rsid w:val="645F7BF9"/>
    <w:rsid w:val="6483AD97"/>
    <w:rsid w:val="64EE512E"/>
    <w:rsid w:val="6537DCD5"/>
    <w:rsid w:val="6541A673"/>
    <w:rsid w:val="655DC852"/>
    <w:rsid w:val="6572B142"/>
    <w:rsid w:val="657FA220"/>
    <w:rsid w:val="6595ECDB"/>
    <w:rsid w:val="6595FB87"/>
    <w:rsid w:val="65F0A7ED"/>
    <w:rsid w:val="6620EEDA"/>
    <w:rsid w:val="6630F7E1"/>
    <w:rsid w:val="663AF103"/>
    <w:rsid w:val="6690F48C"/>
    <w:rsid w:val="66B128B0"/>
    <w:rsid w:val="66BE1929"/>
    <w:rsid w:val="66F9E4E1"/>
    <w:rsid w:val="67175B5E"/>
    <w:rsid w:val="6726DC43"/>
    <w:rsid w:val="674B72FC"/>
    <w:rsid w:val="67576F1B"/>
    <w:rsid w:val="675EC6F7"/>
    <w:rsid w:val="67B731AC"/>
    <w:rsid w:val="67C6900D"/>
    <w:rsid w:val="67C9C8DA"/>
    <w:rsid w:val="684B74CC"/>
    <w:rsid w:val="686007E9"/>
    <w:rsid w:val="689205C8"/>
    <w:rsid w:val="6898D098"/>
    <w:rsid w:val="68D43B1D"/>
    <w:rsid w:val="69214B0D"/>
    <w:rsid w:val="694B0C9E"/>
    <w:rsid w:val="696DE549"/>
    <w:rsid w:val="69737599"/>
    <w:rsid w:val="69875499"/>
    <w:rsid w:val="69949D46"/>
    <w:rsid w:val="69AE473C"/>
    <w:rsid w:val="69AFB606"/>
    <w:rsid w:val="69B9DAC0"/>
    <w:rsid w:val="69EB135F"/>
    <w:rsid w:val="6A1AC7C7"/>
    <w:rsid w:val="6A21F1BA"/>
    <w:rsid w:val="6A42076E"/>
    <w:rsid w:val="6A9A7B06"/>
    <w:rsid w:val="6AA9CBBC"/>
    <w:rsid w:val="6AC594F5"/>
    <w:rsid w:val="6AC70C46"/>
    <w:rsid w:val="6AE6B356"/>
    <w:rsid w:val="6B22146B"/>
    <w:rsid w:val="6B7E75DB"/>
    <w:rsid w:val="6B83E4EE"/>
    <w:rsid w:val="6B8966F3"/>
    <w:rsid w:val="6BD9333B"/>
    <w:rsid w:val="6BF25AAA"/>
    <w:rsid w:val="6C0930CA"/>
    <w:rsid w:val="6C5D069A"/>
    <w:rsid w:val="6C77B03C"/>
    <w:rsid w:val="6C8BCA0D"/>
    <w:rsid w:val="6C91F51D"/>
    <w:rsid w:val="6CE676B3"/>
    <w:rsid w:val="6D127E36"/>
    <w:rsid w:val="6D8EC8A9"/>
    <w:rsid w:val="6DEA32E8"/>
    <w:rsid w:val="6E13234B"/>
    <w:rsid w:val="6E22B5A9"/>
    <w:rsid w:val="6E3D2457"/>
    <w:rsid w:val="6E520523"/>
    <w:rsid w:val="6E5B9C72"/>
    <w:rsid w:val="6E6AC8E8"/>
    <w:rsid w:val="6E79221E"/>
    <w:rsid w:val="6E96A6A5"/>
    <w:rsid w:val="6EBE570D"/>
    <w:rsid w:val="6ED27AD6"/>
    <w:rsid w:val="6EDC5E3E"/>
    <w:rsid w:val="6F063978"/>
    <w:rsid w:val="6F10118B"/>
    <w:rsid w:val="6F13C89F"/>
    <w:rsid w:val="6F51D917"/>
    <w:rsid w:val="6F5BB7D5"/>
    <w:rsid w:val="6F76FEBE"/>
    <w:rsid w:val="6FD30D24"/>
    <w:rsid w:val="6FF0AB32"/>
    <w:rsid w:val="6FF5772B"/>
    <w:rsid w:val="701D9075"/>
    <w:rsid w:val="703D9698"/>
    <w:rsid w:val="70AF666A"/>
    <w:rsid w:val="70B109F5"/>
    <w:rsid w:val="70BA72B5"/>
    <w:rsid w:val="71413315"/>
    <w:rsid w:val="714730FB"/>
    <w:rsid w:val="71A58CF1"/>
    <w:rsid w:val="71C5C851"/>
    <w:rsid w:val="71D97AA4"/>
    <w:rsid w:val="71FB058E"/>
    <w:rsid w:val="71FE5C81"/>
    <w:rsid w:val="72116300"/>
    <w:rsid w:val="721FF219"/>
    <w:rsid w:val="726DC015"/>
    <w:rsid w:val="727AB012"/>
    <w:rsid w:val="72BC3260"/>
    <w:rsid w:val="72CC2E5B"/>
    <w:rsid w:val="72CCD675"/>
    <w:rsid w:val="72EC1DBA"/>
    <w:rsid w:val="72F3E240"/>
    <w:rsid w:val="7310DE1F"/>
    <w:rsid w:val="7326D8C8"/>
    <w:rsid w:val="732C95E9"/>
    <w:rsid w:val="7332E28E"/>
    <w:rsid w:val="7350B551"/>
    <w:rsid w:val="7355298E"/>
    <w:rsid w:val="736D88B9"/>
    <w:rsid w:val="737A0ABC"/>
    <w:rsid w:val="73A73BBA"/>
    <w:rsid w:val="73BCBBEF"/>
    <w:rsid w:val="73E63842"/>
    <w:rsid w:val="73E9A8C5"/>
    <w:rsid w:val="742137EE"/>
    <w:rsid w:val="745F3600"/>
    <w:rsid w:val="74B35737"/>
    <w:rsid w:val="74CF0C37"/>
    <w:rsid w:val="74E670B6"/>
    <w:rsid w:val="74EE7493"/>
    <w:rsid w:val="74EF9B21"/>
    <w:rsid w:val="74F23F5C"/>
    <w:rsid w:val="753FC9C5"/>
    <w:rsid w:val="756BFA1F"/>
    <w:rsid w:val="75833C78"/>
    <w:rsid w:val="75C1245B"/>
    <w:rsid w:val="760214EA"/>
    <w:rsid w:val="7646BF18"/>
    <w:rsid w:val="764B0400"/>
    <w:rsid w:val="767C6E10"/>
    <w:rsid w:val="7700A7EB"/>
    <w:rsid w:val="77215088"/>
    <w:rsid w:val="772A61F8"/>
    <w:rsid w:val="777441F6"/>
    <w:rsid w:val="779F6140"/>
    <w:rsid w:val="77C5CC25"/>
    <w:rsid w:val="77E94090"/>
    <w:rsid w:val="77EB942B"/>
    <w:rsid w:val="7833DD0A"/>
    <w:rsid w:val="7853DDA8"/>
    <w:rsid w:val="7876B79A"/>
    <w:rsid w:val="788D73E4"/>
    <w:rsid w:val="78B51638"/>
    <w:rsid w:val="78CF4A65"/>
    <w:rsid w:val="78FBCA32"/>
    <w:rsid w:val="790C23E2"/>
    <w:rsid w:val="7932F364"/>
    <w:rsid w:val="797F52FB"/>
    <w:rsid w:val="799DBDB4"/>
    <w:rsid w:val="79C00815"/>
    <w:rsid w:val="79CB2AE2"/>
    <w:rsid w:val="79CCE1FF"/>
    <w:rsid w:val="79D49539"/>
    <w:rsid w:val="79FBBA94"/>
    <w:rsid w:val="7A3B7590"/>
    <w:rsid w:val="7AC803F2"/>
    <w:rsid w:val="7AD31578"/>
    <w:rsid w:val="7ADFEF82"/>
    <w:rsid w:val="7AF831F9"/>
    <w:rsid w:val="7B06D71E"/>
    <w:rsid w:val="7B2CF89C"/>
    <w:rsid w:val="7B55C44A"/>
    <w:rsid w:val="7B5D1F69"/>
    <w:rsid w:val="7BBB8C3B"/>
    <w:rsid w:val="7BD16632"/>
    <w:rsid w:val="7BD52CD6"/>
    <w:rsid w:val="7BE7F619"/>
    <w:rsid w:val="7C04F9C9"/>
    <w:rsid w:val="7C05F39D"/>
    <w:rsid w:val="7C32A1F5"/>
    <w:rsid w:val="7C3A272A"/>
    <w:rsid w:val="7C6D252B"/>
    <w:rsid w:val="7C789A2C"/>
    <w:rsid w:val="7C7CA2D6"/>
    <w:rsid w:val="7CB7BF6C"/>
    <w:rsid w:val="7CC69B50"/>
    <w:rsid w:val="7CE6D3DC"/>
    <w:rsid w:val="7D266D18"/>
    <w:rsid w:val="7D39046D"/>
    <w:rsid w:val="7D85FDD8"/>
    <w:rsid w:val="7DA3D27D"/>
    <w:rsid w:val="7DB4E857"/>
    <w:rsid w:val="7DDB33B5"/>
    <w:rsid w:val="7E0A0A75"/>
    <w:rsid w:val="7E281DF1"/>
    <w:rsid w:val="7E30FC28"/>
    <w:rsid w:val="7E4D87C7"/>
    <w:rsid w:val="7E5F26C5"/>
    <w:rsid w:val="7E61471E"/>
    <w:rsid w:val="7E6F5647"/>
    <w:rsid w:val="7E74C924"/>
    <w:rsid w:val="7E9B7EEF"/>
    <w:rsid w:val="7EBBF29B"/>
    <w:rsid w:val="7EDB9E89"/>
    <w:rsid w:val="7EEAC1ED"/>
    <w:rsid w:val="7F1D56CD"/>
    <w:rsid w:val="7F253708"/>
    <w:rsid w:val="7F6DFD74"/>
    <w:rsid w:val="7F7C8842"/>
    <w:rsid w:val="7F90A077"/>
    <w:rsid w:val="7F962480"/>
    <w:rsid w:val="7FBF68E7"/>
    <w:rsid w:val="7FD2F4E2"/>
    <w:rsid w:val="7FD4F9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13CF9"/>
  <w15:chartTrackingRefBased/>
  <w15:docId w15:val="{CAB5B6E1-9581-43E3-8E95-1640A5D0D09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0620"/>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307D7"/>
    <w:pPr>
      <w:numPr>
        <w:numId w:val="5"/>
      </w:numPr>
      <w:ind w:right="2160"/>
    </w:pPr>
    <w:rPr>
      <w:rFonts w:eastAsiaTheme="majorEastAsia" w:cstheme="majorBidi"/>
      <w:szCs w:val="32"/>
    </w:rPr>
  </w:style>
  <w:style w:type="paragraph" w:styleId="Heading2">
    <w:name w:val="heading 2"/>
    <w:basedOn w:val="Dummy"/>
    <w:next w:val="Standard"/>
    <w:link w:val="Heading2Char"/>
    <w:uiPriority w:val="4"/>
    <w:qFormat/>
    <w:rsid w:val="005C0620"/>
    <w:pPr>
      <w:numPr>
        <w:ilvl w:val="1"/>
        <w:numId w:val="5"/>
      </w:numPr>
      <w:ind w:right="2160"/>
      <w:outlineLvl w:val="1"/>
    </w:pPr>
  </w:style>
  <w:style w:type="paragraph" w:styleId="Heading3">
    <w:name w:val="heading 3"/>
    <w:basedOn w:val="Dummy"/>
    <w:next w:val="Standard"/>
    <w:link w:val="Heading3Char"/>
    <w:uiPriority w:val="4"/>
    <w:qFormat/>
    <w:rsid w:val="005C0620"/>
    <w:pPr>
      <w:numPr>
        <w:ilvl w:val="2"/>
        <w:numId w:val="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5C0620"/>
    <w:pPr>
      <w:numPr>
        <w:ilvl w:val="3"/>
        <w:numId w:val="5"/>
      </w:numPr>
      <w:ind w:right="2160"/>
      <w:outlineLvl w:val="3"/>
    </w:pPr>
    <w:rPr>
      <w:rFonts w:eastAsiaTheme="majorEastAsia" w:cstheme="majorBidi"/>
      <w:iCs/>
    </w:rPr>
  </w:style>
  <w:style w:type="paragraph" w:styleId="Heading5">
    <w:name w:val="heading 5"/>
    <w:basedOn w:val="Dummy"/>
    <w:next w:val="Standard"/>
    <w:link w:val="Heading5Char"/>
    <w:uiPriority w:val="4"/>
    <w:rsid w:val="005C0620"/>
    <w:pPr>
      <w:numPr>
        <w:ilvl w:val="4"/>
        <w:numId w:val="5"/>
      </w:numPr>
      <w:ind w:right="2160"/>
      <w:outlineLvl w:val="4"/>
    </w:pPr>
    <w:rPr>
      <w:rFonts w:eastAsiaTheme="majorEastAsia" w:cstheme="majorBidi"/>
    </w:rPr>
  </w:style>
  <w:style w:type="paragraph" w:styleId="Heading6">
    <w:name w:val="heading 6"/>
    <w:basedOn w:val="Dummy"/>
    <w:next w:val="Standard"/>
    <w:link w:val="Heading6Char"/>
    <w:uiPriority w:val="4"/>
    <w:rsid w:val="005C0620"/>
    <w:pPr>
      <w:numPr>
        <w:ilvl w:val="5"/>
        <w:numId w:val="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0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5C0620"/>
    <w:rPr>
      <w:rFonts w:ascii="Arial" w:eastAsiaTheme="majorEastAsia" w:hAnsi="Arial" w:cstheme="majorBidi"/>
      <w:b/>
      <w:sz w:val="26"/>
      <w:szCs w:val="32"/>
    </w:rPr>
  </w:style>
  <w:style w:type="paragraph" w:styleId="TOCHeading">
    <w:name w:val="TOC Heading"/>
    <w:next w:val="Normal"/>
    <w:uiPriority w:val="39"/>
    <w:unhideWhenUsed/>
    <w:rsid w:val="005C0620"/>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rsid w:val="005C0620"/>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rsid w:val="005C0620"/>
    <w:rPr>
      <w:rFonts w:ascii="Arial" w:eastAsiaTheme="majorEastAsia" w:hAnsi="Arial" w:cstheme="majorBidi"/>
      <w:b/>
      <w:caps/>
      <w:sz w:val="26"/>
      <w:szCs w:val="56"/>
    </w:rPr>
  </w:style>
  <w:style w:type="paragraph" w:customStyle="1" w:styleId="Dummy">
    <w:name w:val="Dummy"/>
    <w:next w:val="Normal"/>
    <w:uiPriority w:val="19"/>
    <w:rsid w:val="005C0620"/>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5C0620"/>
    <w:rPr>
      <w:rFonts w:ascii="Arial" w:hAnsi="Arial" w:cs="Arial"/>
      <w:b/>
      <w:sz w:val="26"/>
      <w:szCs w:val="26"/>
    </w:rPr>
  </w:style>
  <w:style w:type="character" w:customStyle="1" w:styleId="Heading3Char">
    <w:name w:val="Heading 3 Char"/>
    <w:basedOn w:val="DefaultParagraphFont"/>
    <w:link w:val="Heading3"/>
    <w:uiPriority w:val="4"/>
    <w:rsid w:val="005C0620"/>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5C0620"/>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5C0620"/>
    <w:rPr>
      <w:rFonts w:ascii="Arial" w:eastAsiaTheme="majorEastAsia" w:hAnsi="Arial" w:cstheme="majorBidi"/>
      <w:b/>
      <w:sz w:val="26"/>
      <w:szCs w:val="26"/>
    </w:rPr>
  </w:style>
  <w:style w:type="paragraph" w:customStyle="1" w:styleId="Main">
    <w:name w:val="Main"/>
    <w:next w:val="Normal"/>
    <w:uiPriority w:val="19"/>
    <w:rsid w:val="005C0620"/>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5C0620"/>
    <w:pPr>
      <w:keepNext/>
      <w:spacing w:line="360" w:lineRule="auto"/>
      <w:outlineLvl w:val="0"/>
    </w:pPr>
    <w:rPr>
      <w:spacing w:val="120"/>
    </w:rPr>
  </w:style>
  <w:style w:type="paragraph" w:styleId="TOC2">
    <w:name w:val="toc 2"/>
    <w:basedOn w:val="Normal"/>
    <w:next w:val="Normal"/>
    <w:uiPriority w:val="39"/>
    <w:unhideWhenUsed/>
    <w:rsid w:val="005C0620"/>
    <w:pPr>
      <w:spacing w:line="240" w:lineRule="auto"/>
      <w:ind w:left="864" w:hanging="648"/>
    </w:pPr>
    <w:rPr>
      <w:rFonts w:eastAsiaTheme="minorEastAsia" w:cs="Times New Roman"/>
    </w:rPr>
  </w:style>
  <w:style w:type="paragraph" w:styleId="TOC1">
    <w:name w:val="toc 1"/>
    <w:basedOn w:val="Normal"/>
    <w:next w:val="Normal"/>
    <w:uiPriority w:val="39"/>
    <w:unhideWhenUsed/>
    <w:rsid w:val="005C0620"/>
    <w:pPr>
      <w:spacing w:line="240" w:lineRule="auto"/>
      <w:ind w:left="432" w:hanging="432"/>
    </w:pPr>
    <w:rPr>
      <w:rFonts w:eastAsiaTheme="minorEastAsia" w:cs="Times New Roman"/>
    </w:rPr>
  </w:style>
  <w:style w:type="paragraph" w:styleId="TOC3">
    <w:name w:val="toc 3"/>
    <w:basedOn w:val="Normal"/>
    <w:next w:val="Normal"/>
    <w:uiPriority w:val="39"/>
    <w:unhideWhenUsed/>
    <w:rsid w:val="005C0620"/>
    <w:pPr>
      <w:spacing w:line="240" w:lineRule="auto"/>
      <w:ind w:left="1296" w:hanging="864"/>
    </w:pPr>
    <w:rPr>
      <w:rFonts w:eastAsiaTheme="minorEastAsia" w:cs="Times New Roman"/>
    </w:rPr>
  </w:style>
  <w:style w:type="character" w:styleId="Hyperlink">
    <w:name w:val="Hyperlink"/>
    <w:basedOn w:val="DefaultParagraphFont"/>
    <w:uiPriority w:val="99"/>
    <w:rsid w:val="005C0620"/>
    <w:rPr>
      <w:color w:val="0563C1" w:themeColor="hyperlink"/>
      <w:u w:val="single"/>
    </w:rPr>
  </w:style>
  <w:style w:type="numbering" w:customStyle="1" w:styleId="FoFCoLOP">
    <w:name w:val="FoF/CoL/OP"/>
    <w:uiPriority w:val="99"/>
    <w:rsid w:val="000307D7"/>
    <w:pPr>
      <w:numPr>
        <w:numId w:val="53"/>
      </w:numPr>
    </w:pPr>
  </w:style>
  <w:style w:type="paragraph" w:styleId="TOC9">
    <w:name w:val="toc 9"/>
    <w:basedOn w:val="Normal"/>
    <w:next w:val="Normal"/>
    <w:autoRedefine/>
    <w:uiPriority w:val="39"/>
    <w:semiHidden/>
    <w:unhideWhenUsed/>
    <w:rsid w:val="005C0620"/>
    <w:pPr>
      <w:spacing w:after="100"/>
      <w:ind w:left="2080"/>
    </w:pPr>
  </w:style>
  <w:style w:type="paragraph" w:styleId="Header">
    <w:name w:val="header"/>
    <w:basedOn w:val="Normal"/>
    <w:link w:val="HeaderChar"/>
    <w:uiPriority w:val="99"/>
    <w:semiHidden/>
    <w:rsid w:val="005C062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C0620"/>
    <w:rPr>
      <w:rFonts w:ascii="Book Antiqua" w:hAnsi="Book Antiqua"/>
      <w:sz w:val="26"/>
    </w:rPr>
  </w:style>
  <w:style w:type="paragraph" w:styleId="Footer">
    <w:name w:val="footer"/>
    <w:basedOn w:val="Normal"/>
    <w:link w:val="FooterChar"/>
    <w:uiPriority w:val="99"/>
    <w:rsid w:val="005C0620"/>
    <w:pPr>
      <w:tabs>
        <w:tab w:val="center" w:pos="4680"/>
        <w:tab w:val="right" w:pos="9360"/>
      </w:tabs>
      <w:spacing w:line="240" w:lineRule="auto"/>
    </w:pPr>
  </w:style>
  <w:style w:type="character" w:customStyle="1" w:styleId="FooterChar">
    <w:name w:val="Footer Char"/>
    <w:basedOn w:val="DefaultParagraphFont"/>
    <w:link w:val="Footer"/>
    <w:uiPriority w:val="99"/>
    <w:rsid w:val="005C0620"/>
    <w:rPr>
      <w:rFonts w:ascii="Book Antiqua" w:hAnsi="Book Antiqua"/>
      <w:sz w:val="26"/>
    </w:rPr>
  </w:style>
  <w:style w:type="paragraph" w:customStyle="1" w:styleId="BlockQuote">
    <w:name w:val="Block Quote"/>
    <w:basedOn w:val="Standard"/>
    <w:uiPriority w:val="5"/>
    <w:qFormat/>
    <w:rsid w:val="005C0620"/>
    <w:pPr>
      <w:spacing w:after="120" w:line="240" w:lineRule="auto"/>
      <w:ind w:left="720" w:right="720" w:firstLine="0"/>
    </w:pPr>
  </w:style>
  <w:style w:type="paragraph" w:styleId="FootnoteText">
    <w:name w:val="footnote text"/>
    <w:basedOn w:val="Normal"/>
    <w:link w:val="FootnoteTextChar"/>
    <w:uiPriority w:val="40"/>
    <w:rsid w:val="005C0620"/>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5C0620"/>
    <w:rPr>
      <w:rFonts w:ascii="Book Antiqua" w:hAnsi="Book Antiqua"/>
      <w:szCs w:val="20"/>
    </w:rPr>
  </w:style>
  <w:style w:type="character" w:styleId="FootnoteReference">
    <w:name w:val="footnote reference"/>
    <w:basedOn w:val="DefaultParagraphFont"/>
    <w:uiPriority w:val="99"/>
    <w:unhideWhenUsed/>
    <w:rsid w:val="005C0620"/>
    <w:rPr>
      <w:vertAlign w:val="superscript"/>
    </w:rPr>
  </w:style>
  <w:style w:type="paragraph" w:customStyle="1" w:styleId="FoF">
    <w:name w:val="FoF"/>
    <w:basedOn w:val="Standard"/>
    <w:uiPriority w:val="6"/>
    <w:qFormat/>
    <w:rsid w:val="000307D7"/>
    <w:pPr>
      <w:numPr>
        <w:numId w:val="1"/>
      </w:numPr>
      <w:ind w:firstLine="547"/>
    </w:pPr>
  </w:style>
  <w:style w:type="paragraph" w:customStyle="1" w:styleId="CoL">
    <w:name w:val="CoL"/>
    <w:basedOn w:val="Standard"/>
    <w:uiPriority w:val="7"/>
    <w:qFormat/>
    <w:rsid w:val="000307D7"/>
    <w:pPr>
      <w:numPr>
        <w:numId w:val="2"/>
      </w:numPr>
      <w:ind w:firstLine="547"/>
    </w:pPr>
  </w:style>
  <w:style w:type="paragraph" w:styleId="NoSpacing">
    <w:name w:val="No Spacing"/>
    <w:basedOn w:val="Standard"/>
    <w:uiPriority w:val="1"/>
    <w:rsid w:val="005C0620"/>
    <w:pPr>
      <w:spacing w:after="120" w:line="240" w:lineRule="auto"/>
      <w:ind w:firstLine="0"/>
      <w:contextualSpacing/>
    </w:pPr>
  </w:style>
  <w:style w:type="paragraph" w:customStyle="1" w:styleId="OP">
    <w:name w:val="OP"/>
    <w:basedOn w:val="Standard"/>
    <w:uiPriority w:val="8"/>
    <w:qFormat/>
    <w:rsid w:val="000307D7"/>
    <w:pPr>
      <w:ind w:firstLine="540"/>
    </w:pPr>
  </w:style>
  <w:style w:type="paragraph" w:styleId="BalloonText">
    <w:name w:val="Balloon Text"/>
    <w:basedOn w:val="Normal"/>
    <w:link w:val="BalloonTextChar"/>
    <w:uiPriority w:val="99"/>
    <w:semiHidden/>
    <w:unhideWhenUsed/>
    <w:rsid w:val="005C062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620"/>
    <w:rPr>
      <w:rFonts w:ascii="Segoe UI" w:hAnsi="Segoe UI" w:cs="Segoe UI"/>
      <w:sz w:val="18"/>
      <w:szCs w:val="18"/>
    </w:rPr>
  </w:style>
  <w:style w:type="numbering" w:customStyle="1" w:styleId="Headings">
    <w:name w:val="Headings"/>
    <w:uiPriority w:val="99"/>
    <w:rsid w:val="005C0620"/>
    <w:pPr>
      <w:numPr>
        <w:numId w:val="43"/>
      </w:numPr>
    </w:pPr>
  </w:style>
  <w:style w:type="paragraph" w:customStyle="1" w:styleId="Standard">
    <w:name w:val="Standard"/>
    <w:basedOn w:val="Normal"/>
    <w:qFormat/>
    <w:rsid w:val="005C0620"/>
  </w:style>
  <w:style w:type="paragraph" w:customStyle="1" w:styleId="ListAlpha">
    <w:name w:val="List Alpha"/>
    <w:basedOn w:val="Standard"/>
    <w:uiPriority w:val="4"/>
    <w:qFormat/>
    <w:rsid w:val="005C0620"/>
    <w:pPr>
      <w:numPr>
        <w:ilvl w:val="7"/>
        <w:numId w:val="5"/>
      </w:numPr>
      <w:spacing w:after="120" w:line="240" w:lineRule="auto"/>
    </w:pPr>
  </w:style>
  <w:style w:type="paragraph" w:styleId="ListBullet">
    <w:name w:val="List Bullet"/>
    <w:basedOn w:val="Standard"/>
    <w:uiPriority w:val="4"/>
    <w:qFormat/>
    <w:rsid w:val="000307D7"/>
    <w:pPr>
      <w:numPr>
        <w:numId w:val="4"/>
      </w:numPr>
      <w:tabs>
        <w:tab w:val="clear" w:pos="360"/>
      </w:tabs>
      <w:spacing w:after="120" w:line="240" w:lineRule="auto"/>
      <w:ind w:left="1080"/>
    </w:pPr>
  </w:style>
  <w:style w:type="character" w:customStyle="1" w:styleId="Heading6Char">
    <w:name w:val="Heading 6 Char"/>
    <w:basedOn w:val="DefaultParagraphFont"/>
    <w:link w:val="Heading6"/>
    <w:uiPriority w:val="4"/>
    <w:rsid w:val="005C0620"/>
    <w:rPr>
      <w:rFonts w:ascii="Arial" w:eastAsiaTheme="majorEastAsia" w:hAnsi="Arial" w:cstheme="majorBidi"/>
      <w:b/>
      <w:sz w:val="26"/>
      <w:szCs w:val="26"/>
    </w:rPr>
  </w:style>
  <w:style w:type="paragraph" w:styleId="TOC4">
    <w:name w:val="toc 4"/>
    <w:basedOn w:val="Normal"/>
    <w:next w:val="Normal"/>
    <w:autoRedefine/>
    <w:uiPriority w:val="39"/>
    <w:unhideWhenUsed/>
    <w:rsid w:val="005C0620"/>
    <w:pPr>
      <w:spacing w:line="240" w:lineRule="auto"/>
      <w:ind w:left="1728" w:hanging="1080"/>
    </w:pPr>
  </w:style>
  <w:style w:type="paragraph" w:styleId="TOC5">
    <w:name w:val="toc 5"/>
    <w:basedOn w:val="Normal"/>
    <w:next w:val="Normal"/>
    <w:autoRedefine/>
    <w:uiPriority w:val="39"/>
    <w:unhideWhenUsed/>
    <w:rsid w:val="005C0620"/>
    <w:pPr>
      <w:spacing w:line="240" w:lineRule="auto"/>
      <w:ind w:left="2160" w:hanging="1296"/>
    </w:pPr>
  </w:style>
  <w:style w:type="paragraph" w:styleId="TOC6">
    <w:name w:val="toc 6"/>
    <w:basedOn w:val="Normal"/>
    <w:next w:val="Normal"/>
    <w:autoRedefine/>
    <w:uiPriority w:val="39"/>
    <w:unhideWhenUsed/>
    <w:rsid w:val="005C0620"/>
    <w:pPr>
      <w:spacing w:line="240" w:lineRule="auto"/>
      <w:ind w:left="2592" w:hanging="1512"/>
    </w:pPr>
  </w:style>
  <w:style w:type="paragraph" w:customStyle="1" w:styleId="TableText">
    <w:name w:val="Table Text"/>
    <w:basedOn w:val="NoSpacing"/>
    <w:uiPriority w:val="5"/>
    <w:rsid w:val="005C0620"/>
    <w:pPr>
      <w:spacing w:after="0"/>
    </w:pPr>
    <w:rPr>
      <w:sz w:val="22"/>
    </w:rPr>
  </w:style>
  <w:style w:type="paragraph" w:customStyle="1" w:styleId="ListNum">
    <w:name w:val="List Num"/>
    <w:basedOn w:val="Standard"/>
    <w:uiPriority w:val="4"/>
    <w:rsid w:val="005C0620"/>
    <w:pPr>
      <w:numPr>
        <w:ilvl w:val="6"/>
        <w:numId w:val="5"/>
      </w:numPr>
      <w:spacing w:after="120" w:line="240" w:lineRule="auto"/>
    </w:pPr>
  </w:style>
  <w:style w:type="character" w:styleId="CommentReference">
    <w:name w:val="annotation reference"/>
    <w:basedOn w:val="DefaultParagraphFont"/>
    <w:uiPriority w:val="99"/>
    <w:semiHidden/>
    <w:unhideWhenUsed/>
    <w:rsid w:val="00541011"/>
    <w:rPr>
      <w:sz w:val="16"/>
      <w:szCs w:val="16"/>
    </w:rPr>
  </w:style>
  <w:style w:type="paragraph" w:styleId="CommentText">
    <w:name w:val="annotation text"/>
    <w:basedOn w:val="Normal"/>
    <w:link w:val="CommentTextChar"/>
    <w:uiPriority w:val="99"/>
    <w:unhideWhenUsed/>
    <w:rsid w:val="00541011"/>
    <w:pPr>
      <w:spacing w:line="240" w:lineRule="auto"/>
    </w:pPr>
    <w:rPr>
      <w:sz w:val="20"/>
      <w:szCs w:val="20"/>
    </w:rPr>
  </w:style>
  <w:style w:type="character" w:customStyle="1" w:styleId="CommentTextChar">
    <w:name w:val="Comment Text Char"/>
    <w:basedOn w:val="DefaultParagraphFont"/>
    <w:link w:val="CommentText"/>
    <w:uiPriority w:val="99"/>
    <w:rsid w:val="005410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541011"/>
    <w:rPr>
      <w:b/>
      <w:bCs/>
    </w:rPr>
  </w:style>
  <w:style w:type="character" w:customStyle="1" w:styleId="CommentSubjectChar">
    <w:name w:val="Comment Subject Char"/>
    <w:basedOn w:val="CommentTextChar"/>
    <w:link w:val="CommentSubject"/>
    <w:uiPriority w:val="99"/>
    <w:semiHidden/>
    <w:rsid w:val="00541011"/>
    <w:rPr>
      <w:rFonts w:ascii="Book Antiqua" w:hAnsi="Book Antiqua"/>
      <w:b/>
      <w:bCs/>
      <w:sz w:val="20"/>
      <w:szCs w:val="20"/>
    </w:rPr>
  </w:style>
  <w:style w:type="paragraph" w:styleId="Caption">
    <w:name w:val="caption"/>
    <w:basedOn w:val="Normal"/>
    <w:next w:val="Normal"/>
    <w:uiPriority w:val="35"/>
    <w:unhideWhenUsed/>
    <w:qFormat/>
    <w:rsid w:val="00A046ED"/>
    <w:pPr>
      <w:spacing w:after="200" w:line="240" w:lineRule="auto"/>
    </w:pPr>
    <w:rPr>
      <w:i/>
      <w:iCs/>
      <w:color w:val="44546A" w:themeColor="text2"/>
      <w:sz w:val="18"/>
      <w:szCs w:val="18"/>
    </w:rPr>
  </w:style>
  <w:style w:type="paragraph" w:styleId="Revision">
    <w:name w:val="Revision"/>
    <w:hidden/>
    <w:uiPriority w:val="99"/>
    <w:semiHidden/>
    <w:rsid w:val="0049601B"/>
    <w:pPr>
      <w:spacing w:after="0" w:line="240" w:lineRule="auto"/>
    </w:pPr>
    <w:rPr>
      <w:rFonts w:ascii="Book Antiqua" w:hAnsi="Book Antiqua"/>
      <w:sz w:val="26"/>
    </w:rPr>
  </w:style>
  <w:style w:type="paragraph" w:styleId="ListParagraph">
    <w:name w:val="List Paragraph"/>
    <w:basedOn w:val="Normal"/>
    <w:uiPriority w:val="34"/>
    <w:qFormat/>
    <w:rsid w:val="00094BBC"/>
    <w:pPr>
      <w:ind w:left="720"/>
      <w:contextualSpacing/>
    </w:pPr>
  </w:style>
  <w:style w:type="paragraph" w:customStyle="1" w:styleId="TableHead1">
    <w:name w:val="Table Head 1"/>
    <w:basedOn w:val="Normal"/>
    <w:qFormat/>
    <w:rsid w:val="00094BBC"/>
    <w:pPr>
      <w:spacing w:after="160" w:line="264" w:lineRule="auto"/>
      <w:ind w:firstLine="0"/>
    </w:pPr>
    <w:rPr>
      <w:rFonts w:asciiTheme="minorHAnsi" w:eastAsiaTheme="minorEastAsia" w:hAnsiTheme="minorHAnsi" w:cs="Times New Roman (Headings CS)"/>
      <w:bCs/>
      <w:kern w:val="24"/>
      <w:sz w:val="20"/>
      <w:szCs w:val="20"/>
      <w14:ligatures w14:val="standardContextual"/>
    </w:rPr>
  </w:style>
  <w:style w:type="table" w:customStyle="1" w:styleId="GridTable4-Accent61">
    <w:name w:val="Grid Table 4 - Accent 61"/>
    <w:basedOn w:val="TableNormal"/>
    <w:uiPriority w:val="49"/>
    <w:rsid w:val="00094BBC"/>
    <w:pPr>
      <w:spacing w:after="0" w:line="240" w:lineRule="auto"/>
    </w:pPr>
    <w:rPr>
      <w:rFonts w:ascii="Century Gothic" w:hAnsi="Century Gothic" w:cs="Times New Roman"/>
      <w:color w:val="2A3C50"/>
      <w:kern w:val="24"/>
      <w:sz w:val="20"/>
      <w:szCs w:val="20"/>
      <w:lang w:eastAsia="ja-JP"/>
      <w14:ligatures w14:val="standardContextual"/>
    </w:rPr>
    <w:tblPr>
      <w:tblStyleRowBandSize w:val="1"/>
      <w:tblStyleColBandSize w:val="1"/>
      <w:tblBorders>
        <w:top w:val="single" w:sz="4" w:space="0" w:color="97ADC7"/>
        <w:left w:val="single" w:sz="4" w:space="0" w:color="97ADC7"/>
        <w:bottom w:val="single" w:sz="4" w:space="0" w:color="97ADC7"/>
        <w:right w:val="single" w:sz="4" w:space="0" w:color="97ADC7"/>
        <w:insideH w:val="single" w:sz="4" w:space="0" w:color="97ADC7"/>
        <w:insideV w:val="single" w:sz="4" w:space="0" w:color="97ADC7"/>
      </w:tblBorders>
    </w:tblPr>
    <w:tblStylePr w:type="firstRow">
      <w:rPr>
        <w:b/>
        <w:bCs/>
        <w:color w:val="FFFFFF"/>
      </w:rPr>
      <w:tblPr/>
      <w:tcPr>
        <w:tcBorders>
          <w:top w:val="single" w:sz="4" w:space="0" w:color="5578A0"/>
          <w:left w:val="single" w:sz="4" w:space="0" w:color="5578A0"/>
          <w:bottom w:val="single" w:sz="4" w:space="0" w:color="5578A0"/>
          <w:right w:val="single" w:sz="4" w:space="0" w:color="5578A0"/>
          <w:insideH w:val="nil"/>
          <w:insideV w:val="nil"/>
        </w:tcBorders>
        <w:shd w:val="clear" w:color="auto" w:fill="5578A0"/>
      </w:tcPr>
    </w:tblStylePr>
    <w:tblStylePr w:type="lastRow">
      <w:rPr>
        <w:b/>
        <w:bCs/>
      </w:rPr>
      <w:tblPr/>
      <w:tcPr>
        <w:tcBorders>
          <w:top w:val="double" w:sz="4" w:space="0" w:color="5578A0"/>
        </w:tcBorders>
      </w:tcPr>
    </w:tblStylePr>
    <w:tblStylePr w:type="firstCol">
      <w:rPr>
        <w:b/>
        <w:bCs/>
      </w:rPr>
    </w:tblStylePr>
    <w:tblStylePr w:type="lastCol">
      <w:rPr>
        <w:b/>
        <w:bCs/>
      </w:rPr>
    </w:tblStylePr>
    <w:tblStylePr w:type="band1Vert">
      <w:tblPr/>
      <w:tcPr>
        <w:shd w:val="clear" w:color="auto" w:fill="DCE3EC"/>
      </w:tcPr>
    </w:tblStylePr>
    <w:tblStylePr w:type="band1Horz">
      <w:tblPr/>
      <w:tcPr>
        <w:shd w:val="clear" w:color="auto" w:fill="DCE3EC"/>
      </w:tcPr>
    </w:tblStylePr>
  </w:style>
  <w:style w:type="character" w:styleId="UnresolvedMention">
    <w:name w:val="Unresolved Mention"/>
    <w:basedOn w:val="DefaultParagraphFont"/>
    <w:uiPriority w:val="99"/>
    <w:semiHidden/>
    <w:unhideWhenUsed/>
    <w:rsid w:val="00094BBC"/>
    <w:rPr>
      <w:color w:val="605E5C"/>
      <w:shd w:val="clear" w:color="auto" w:fill="E1DFDD"/>
    </w:rPr>
  </w:style>
  <w:style w:type="table" w:styleId="GridTable4-Accent1">
    <w:name w:val="Grid Table 4 Accent 1"/>
    <w:basedOn w:val="TableNormal"/>
    <w:uiPriority w:val="49"/>
    <w:rsid w:val="00094BBC"/>
    <w:pPr>
      <w:spacing w:after="0" w:line="240" w:lineRule="auto"/>
    </w:pPr>
    <w:rPr>
      <w:rFonts w:ascii="Garamond" w:hAnsi="Garamond" w:cstheme="majorBidi"/>
      <w:kern w:val="24"/>
      <w:sz w:val="24"/>
      <w:szCs w:val="24"/>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0">
    <w:name w:val="Table text"/>
    <w:basedOn w:val="Normal"/>
    <w:qFormat/>
    <w:rsid w:val="00094BBC"/>
    <w:pPr>
      <w:keepNext/>
      <w:spacing w:after="160" w:line="240" w:lineRule="auto"/>
      <w:ind w:firstLine="0"/>
    </w:pPr>
    <w:rPr>
      <w:rFonts w:ascii="Garamond" w:eastAsiaTheme="minorEastAsia" w:hAnsi="Garamond" w:cstheme="majorBidi"/>
      <w:bCs/>
      <w:kern w:val="24"/>
      <w:sz w:val="24"/>
      <w:szCs w:val="24"/>
      <w14:ligatures w14:val="standardContextual"/>
    </w:rPr>
  </w:style>
  <w:style w:type="character" w:styleId="Mention">
    <w:name w:val="Mention"/>
    <w:basedOn w:val="DefaultParagraphFont"/>
    <w:uiPriority w:val="99"/>
    <w:unhideWhenUsed/>
    <w:rsid w:val="00094BBC"/>
    <w:rPr>
      <w:color w:val="2B579A"/>
      <w:shd w:val="clear" w:color="auto" w:fill="E1DFDD"/>
    </w:rPr>
  </w:style>
  <w:style w:type="table" w:customStyle="1" w:styleId="GridTable4-Accent611">
    <w:name w:val="Grid Table 4 - Accent 611"/>
    <w:basedOn w:val="TableNormal"/>
    <w:uiPriority w:val="49"/>
    <w:rsid w:val="00094BBC"/>
    <w:pPr>
      <w:spacing w:after="0" w:line="240" w:lineRule="auto"/>
    </w:pPr>
    <w:rPr>
      <w:rFonts w:ascii="Century Gothic" w:hAnsi="Century Gothic" w:cs="Times New Roman"/>
      <w:color w:val="2A3C50"/>
      <w:kern w:val="24"/>
      <w:sz w:val="20"/>
      <w:szCs w:val="20"/>
      <w:lang w:eastAsia="ja-JP"/>
      <w14:ligatures w14:val="standardContextual"/>
    </w:rPr>
    <w:tblPr>
      <w:tblStyleRowBandSize w:val="1"/>
      <w:tblStyleColBandSize w:val="1"/>
      <w:tblBorders>
        <w:top w:val="single" w:sz="4" w:space="0" w:color="97ADC7"/>
        <w:left w:val="single" w:sz="4" w:space="0" w:color="97ADC7"/>
        <w:bottom w:val="single" w:sz="4" w:space="0" w:color="97ADC7"/>
        <w:right w:val="single" w:sz="4" w:space="0" w:color="97ADC7"/>
        <w:insideH w:val="single" w:sz="4" w:space="0" w:color="97ADC7"/>
        <w:insideV w:val="single" w:sz="4" w:space="0" w:color="97ADC7"/>
      </w:tblBorders>
    </w:tblPr>
    <w:tblStylePr w:type="firstRow">
      <w:rPr>
        <w:b/>
        <w:bCs/>
        <w:color w:val="FFFFFF"/>
      </w:rPr>
      <w:tblPr/>
      <w:tcPr>
        <w:tcBorders>
          <w:top w:val="single" w:sz="4" w:space="0" w:color="5578A0"/>
          <w:left w:val="single" w:sz="4" w:space="0" w:color="5578A0"/>
          <w:bottom w:val="single" w:sz="4" w:space="0" w:color="5578A0"/>
          <w:right w:val="single" w:sz="4" w:space="0" w:color="5578A0"/>
          <w:insideH w:val="nil"/>
          <w:insideV w:val="nil"/>
        </w:tcBorders>
        <w:shd w:val="clear" w:color="auto" w:fill="5578A0"/>
      </w:tcPr>
    </w:tblStylePr>
    <w:tblStylePr w:type="lastRow">
      <w:rPr>
        <w:b/>
        <w:bCs/>
      </w:rPr>
      <w:tblPr/>
      <w:tcPr>
        <w:tcBorders>
          <w:top w:val="double" w:sz="4" w:space="0" w:color="5578A0"/>
        </w:tcBorders>
      </w:tcPr>
    </w:tblStylePr>
    <w:tblStylePr w:type="firstCol">
      <w:rPr>
        <w:b/>
        <w:bCs/>
      </w:rPr>
    </w:tblStylePr>
    <w:tblStylePr w:type="lastCol">
      <w:rPr>
        <w:b/>
        <w:bCs/>
      </w:rPr>
    </w:tblStylePr>
    <w:tblStylePr w:type="band1Vert">
      <w:tblPr/>
      <w:tcPr>
        <w:shd w:val="clear" w:color="auto" w:fill="DCE3EC"/>
      </w:tcPr>
    </w:tblStylePr>
    <w:tblStylePr w:type="band1Horz">
      <w:tblPr/>
      <w:tcPr>
        <w:shd w:val="clear" w:color="auto" w:fill="DCE3EC"/>
      </w:tcPr>
    </w:tblStylePr>
  </w:style>
  <w:style w:type="table" w:customStyle="1" w:styleId="GridTable4-Accent6111">
    <w:name w:val="Grid Table 4 - Accent 6111"/>
    <w:basedOn w:val="TableNormal"/>
    <w:uiPriority w:val="49"/>
    <w:rsid w:val="00094BBC"/>
    <w:pPr>
      <w:spacing w:after="0" w:line="240" w:lineRule="auto"/>
    </w:pPr>
    <w:rPr>
      <w:rFonts w:ascii="Century Gothic" w:hAnsi="Century Gothic" w:cs="Times New Roman"/>
      <w:color w:val="2A3C50"/>
      <w:kern w:val="24"/>
      <w:sz w:val="20"/>
      <w:szCs w:val="20"/>
      <w:lang w:eastAsia="ja-JP"/>
      <w14:ligatures w14:val="standardContextual"/>
    </w:rPr>
    <w:tblPr>
      <w:tblStyleRowBandSize w:val="1"/>
      <w:tblStyleColBandSize w:val="1"/>
      <w:tblBorders>
        <w:top w:val="single" w:sz="4" w:space="0" w:color="97ADC7"/>
        <w:left w:val="single" w:sz="4" w:space="0" w:color="97ADC7"/>
        <w:bottom w:val="single" w:sz="4" w:space="0" w:color="97ADC7"/>
        <w:right w:val="single" w:sz="4" w:space="0" w:color="97ADC7"/>
        <w:insideH w:val="single" w:sz="4" w:space="0" w:color="97ADC7"/>
        <w:insideV w:val="single" w:sz="4" w:space="0" w:color="97ADC7"/>
      </w:tblBorders>
    </w:tblPr>
    <w:tblStylePr w:type="firstRow">
      <w:rPr>
        <w:b/>
        <w:bCs/>
        <w:color w:val="FFFFFF"/>
      </w:rPr>
      <w:tblPr/>
      <w:tcPr>
        <w:tcBorders>
          <w:top w:val="single" w:sz="4" w:space="0" w:color="5578A0"/>
          <w:left w:val="single" w:sz="4" w:space="0" w:color="5578A0"/>
          <w:bottom w:val="single" w:sz="4" w:space="0" w:color="5578A0"/>
          <w:right w:val="single" w:sz="4" w:space="0" w:color="5578A0"/>
          <w:insideH w:val="nil"/>
          <w:insideV w:val="nil"/>
        </w:tcBorders>
        <w:shd w:val="clear" w:color="auto" w:fill="5578A0"/>
      </w:tcPr>
    </w:tblStylePr>
    <w:tblStylePr w:type="lastRow">
      <w:rPr>
        <w:b/>
        <w:bCs/>
      </w:rPr>
      <w:tblPr/>
      <w:tcPr>
        <w:tcBorders>
          <w:top w:val="double" w:sz="4" w:space="0" w:color="5578A0"/>
        </w:tcBorders>
      </w:tcPr>
    </w:tblStylePr>
    <w:tblStylePr w:type="firstCol">
      <w:rPr>
        <w:b/>
        <w:bCs/>
      </w:rPr>
    </w:tblStylePr>
    <w:tblStylePr w:type="lastCol">
      <w:rPr>
        <w:b/>
        <w:bCs/>
      </w:rPr>
    </w:tblStylePr>
    <w:tblStylePr w:type="band1Vert">
      <w:tblPr/>
      <w:tcPr>
        <w:shd w:val="clear" w:color="auto" w:fill="DCE3EC"/>
      </w:tcPr>
    </w:tblStylePr>
    <w:tblStylePr w:type="band1Horz">
      <w:tblPr/>
      <w:tcPr>
        <w:shd w:val="clear" w:color="auto" w:fill="DCE3EC"/>
      </w:tcPr>
    </w:tblStylePr>
  </w:style>
  <w:style w:type="table" w:customStyle="1" w:styleId="GridTable4-Accent6112">
    <w:name w:val="Grid Table 4 - Accent 6112"/>
    <w:basedOn w:val="TableNormal"/>
    <w:uiPriority w:val="49"/>
    <w:rsid w:val="00094BBC"/>
    <w:pPr>
      <w:spacing w:after="0" w:line="240" w:lineRule="auto"/>
    </w:pPr>
    <w:rPr>
      <w:rFonts w:ascii="Century Gothic" w:hAnsi="Century Gothic" w:cs="Times New Roman"/>
      <w:color w:val="2A3C50"/>
      <w:kern w:val="24"/>
      <w:sz w:val="20"/>
      <w:szCs w:val="20"/>
      <w:lang w:eastAsia="ja-JP"/>
      <w14:ligatures w14:val="standardContextual"/>
    </w:rPr>
    <w:tblPr>
      <w:tblStyleRowBandSize w:val="1"/>
      <w:tblStyleColBandSize w:val="1"/>
      <w:tblBorders>
        <w:top w:val="single" w:sz="4" w:space="0" w:color="97ADC7"/>
        <w:left w:val="single" w:sz="4" w:space="0" w:color="97ADC7"/>
        <w:bottom w:val="single" w:sz="4" w:space="0" w:color="97ADC7"/>
        <w:right w:val="single" w:sz="4" w:space="0" w:color="97ADC7"/>
        <w:insideH w:val="single" w:sz="4" w:space="0" w:color="97ADC7"/>
        <w:insideV w:val="single" w:sz="4" w:space="0" w:color="97ADC7"/>
      </w:tblBorders>
    </w:tblPr>
    <w:tblStylePr w:type="firstRow">
      <w:rPr>
        <w:b/>
        <w:bCs/>
        <w:color w:val="FFFFFF"/>
      </w:rPr>
      <w:tblPr/>
      <w:tcPr>
        <w:tcBorders>
          <w:top w:val="single" w:sz="4" w:space="0" w:color="5578A0"/>
          <w:left w:val="single" w:sz="4" w:space="0" w:color="5578A0"/>
          <w:bottom w:val="single" w:sz="4" w:space="0" w:color="5578A0"/>
          <w:right w:val="single" w:sz="4" w:space="0" w:color="5578A0"/>
          <w:insideH w:val="nil"/>
          <w:insideV w:val="nil"/>
        </w:tcBorders>
        <w:shd w:val="clear" w:color="auto" w:fill="5578A0"/>
      </w:tcPr>
    </w:tblStylePr>
    <w:tblStylePr w:type="lastRow">
      <w:rPr>
        <w:b/>
        <w:bCs/>
      </w:rPr>
      <w:tblPr/>
      <w:tcPr>
        <w:tcBorders>
          <w:top w:val="double" w:sz="4" w:space="0" w:color="5578A0"/>
        </w:tcBorders>
      </w:tcPr>
    </w:tblStylePr>
    <w:tblStylePr w:type="firstCol">
      <w:rPr>
        <w:b/>
        <w:bCs/>
      </w:rPr>
    </w:tblStylePr>
    <w:tblStylePr w:type="lastCol">
      <w:rPr>
        <w:b/>
        <w:bCs/>
      </w:rPr>
    </w:tblStylePr>
    <w:tblStylePr w:type="band1Vert">
      <w:tblPr/>
      <w:tcPr>
        <w:shd w:val="clear" w:color="auto" w:fill="DCE3EC"/>
      </w:tcPr>
    </w:tblStylePr>
    <w:tblStylePr w:type="band1Horz">
      <w:tblPr/>
      <w:tcPr>
        <w:shd w:val="clear" w:color="auto" w:fill="DCE3EC"/>
      </w:tcPr>
    </w:tblStylePr>
  </w:style>
  <w:style w:type="table" w:customStyle="1" w:styleId="GridTable4-Accent6113">
    <w:name w:val="Grid Table 4 - Accent 6113"/>
    <w:basedOn w:val="TableNormal"/>
    <w:uiPriority w:val="49"/>
    <w:rsid w:val="00094BBC"/>
    <w:pPr>
      <w:spacing w:after="0" w:line="240" w:lineRule="auto"/>
    </w:pPr>
    <w:rPr>
      <w:rFonts w:ascii="Century Gothic" w:hAnsi="Century Gothic" w:cs="Times New Roman"/>
      <w:color w:val="2A3C50"/>
      <w:kern w:val="24"/>
      <w:sz w:val="20"/>
      <w:szCs w:val="20"/>
      <w:lang w:eastAsia="ja-JP"/>
      <w14:ligatures w14:val="standardContextual"/>
    </w:rPr>
    <w:tblPr>
      <w:tblStyleRowBandSize w:val="1"/>
      <w:tblStyleColBandSize w:val="1"/>
      <w:tblBorders>
        <w:top w:val="single" w:sz="4" w:space="0" w:color="97ADC7"/>
        <w:left w:val="single" w:sz="4" w:space="0" w:color="97ADC7"/>
        <w:bottom w:val="single" w:sz="4" w:space="0" w:color="97ADC7"/>
        <w:right w:val="single" w:sz="4" w:space="0" w:color="97ADC7"/>
        <w:insideH w:val="single" w:sz="4" w:space="0" w:color="97ADC7"/>
        <w:insideV w:val="single" w:sz="4" w:space="0" w:color="97ADC7"/>
      </w:tblBorders>
    </w:tblPr>
    <w:tblStylePr w:type="firstRow">
      <w:rPr>
        <w:b/>
        <w:bCs/>
        <w:color w:val="FFFFFF"/>
      </w:rPr>
      <w:tblPr/>
      <w:tcPr>
        <w:tcBorders>
          <w:top w:val="single" w:sz="4" w:space="0" w:color="5578A0"/>
          <w:left w:val="single" w:sz="4" w:space="0" w:color="5578A0"/>
          <w:bottom w:val="single" w:sz="4" w:space="0" w:color="5578A0"/>
          <w:right w:val="single" w:sz="4" w:space="0" w:color="5578A0"/>
          <w:insideH w:val="nil"/>
          <w:insideV w:val="nil"/>
        </w:tcBorders>
        <w:shd w:val="clear" w:color="auto" w:fill="5578A0"/>
      </w:tcPr>
    </w:tblStylePr>
    <w:tblStylePr w:type="lastRow">
      <w:rPr>
        <w:b/>
        <w:bCs/>
      </w:rPr>
      <w:tblPr/>
      <w:tcPr>
        <w:tcBorders>
          <w:top w:val="double" w:sz="4" w:space="0" w:color="5578A0"/>
        </w:tcBorders>
      </w:tcPr>
    </w:tblStylePr>
    <w:tblStylePr w:type="firstCol">
      <w:rPr>
        <w:b/>
        <w:bCs/>
      </w:rPr>
    </w:tblStylePr>
    <w:tblStylePr w:type="lastCol">
      <w:rPr>
        <w:b/>
        <w:bCs/>
      </w:rPr>
    </w:tblStylePr>
    <w:tblStylePr w:type="band1Vert">
      <w:tblPr/>
      <w:tcPr>
        <w:shd w:val="clear" w:color="auto" w:fill="DCE3EC"/>
      </w:tcPr>
    </w:tblStylePr>
    <w:tblStylePr w:type="band1Horz">
      <w:tblPr/>
      <w:tcPr>
        <w:shd w:val="clear" w:color="auto" w:fill="DCE3EC"/>
      </w:tcPr>
    </w:tblStylePr>
  </w:style>
  <w:style w:type="table" w:customStyle="1" w:styleId="GridTable2-Accent11">
    <w:name w:val="Grid Table 2 - Accent 11"/>
    <w:basedOn w:val="TableNormal"/>
    <w:next w:val="GridTable2-Accent1"/>
    <w:uiPriority w:val="47"/>
    <w:rsid w:val="00094BBC"/>
    <w:pPr>
      <w:spacing w:after="0" w:line="240" w:lineRule="auto"/>
    </w:pPr>
    <w:rPr>
      <w:rFonts w:ascii="Garamond" w:hAnsi="Garamond" w:cs="Times New Roman"/>
      <w:kern w:val="24"/>
      <w:sz w:val="24"/>
      <w:szCs w:val="24"/>
      <w14:ligatures w14:val="standardContextual"/>
    </w:rPr>
    <w:tblPr>
      <w:tblStyleRowBandSize w:val="1"/>
      <w:tblStyleColBandSize w:val="1"/>
      <w:tblBorders>
        <w:top w:val="single" w:sz="2" w:space="0" w:color="8BAED6"/>
        <w:bottom w:val="single" w:sz="2" w:space="0" w:color="8BAED6"/>
        <w:insideH w:val="single" w:sz="2" w:space="0" w:color="8BAED6"/>
        <w:insideV w:val="single" w:sz="2" w:space="0" w:color="8BAED6"/>
      </w:tblBorders>
    </w:tblPr>
    <w:tblStylePr w:type="firstRow">
      <w:rPr>
        <w:b/>
        <w:bCs/>
      </w:rPr>
      <w:tblPr/>
      <w:tcPr>
        <w:tcBorders>
          <w:top w:val="nil"/>
          <w:bottom w:val="single" w:sz="12" w:space="0" w:color="8BAED6"/>
          <w:insideH w:val="nil"/>
          <w:insideV w:val="nil"/>
        </w:tcBorders>
        <w:shd w:val="clear" w:color="auto" w:fill="FFFFFF"/>
      </w:tcPr>
    </w:tblStylePr>
    <w:tblStylePr w:type="lastRow">
      <w:rPr>
        <w:b/>
        <w:bCs/>
      </w:rPr>
      <w:tblPr/>
      <w:tcPr>
        <w:tcBorders>
          <w:top w:val="double" w:sz="2" w:space="0" w:color="8BAED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8E4F1"/>
      </w:tcPr>
    </w:tblStylePr>
    <w:tblStylePr w:type="band1Horz">
      <w:tblPr/>
      <w:tcPr>
        <w:shd w:val="clear" w:color="auto" w:fill="D8E4F1"/>
      </w:tcPr>
    </w:tblStylePr>
  </w:style>
  <w:style w:type="table" w:styleId="GridTable2-Accent1">
    <w:name w:val="Grid Table 2 Accent 1"/>
    <w:basedOn w:val="TableNormal"/>
    <w:uiPriority w:val="47"/>
    <w:rsid w:val="00094BB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Normal"/>
    <w:uiPriority w:val="1"/>
    <w:qFormat/>
    <w:rsid w:val="00094BBC"/>
    <w:pPr>
      <w:widowControl w:val="0"/>
      <w:autoSpaceDE w:val="0"/>
      <w:autoSpaceDN w:val="0"/>
      <w:adjustRightInd w:val="0"/>
      <w:snapToGrid w:val="0"/>
      <w:spacing w:before="160" w:after="80" w:line="264" w:lineRule="auto"/>
      <w:ind w:firstLine="0"/>
    </w:pPr>
    <w:rPr>
      <w:rFonts w:ascii="Garamond" w:eastAsia="Calibri" w:hAnsi="Garamond" w:cs="Calibri"/>
      <w:kern w:val="2"/>
      <w:sz w:val="21"/>
      <w:szCs w:val="24"/>
      <w14:ligatures w14:val="standardContextual"/>
    </w:rPr>
  </w:style>
  <w:style w:type="paragraph" w:styleId="NormalWeb">
    <w:name w:val="Normal (Web)"/>
    <w:basedOn w:val="Normal"/>
    <w:uiPriority w:val="99"/>
    <w:semiHidden/>
    <w:unhideWhenUsed/>
    <w:rsid w:val="00094BBC"/>
    <w:pPr>
      <w:spacing w:before="100" w:beforeAutospacing="1" w:after="100" w:afterAutospacing="1" w:line="240" w:lineRule="auto"/>
      <w:ind w:firstLine="0"/>
    </w:pPr>
    <w:rPr>
      <w:rFonts w:ascii="Times New Roman" w:eastAsia="Times New Roman" w:hAnsi="Times New Roman" w:cs="Times New Roman"/>
      <w:kern w:val="2"/>
      <w:sz w:val="24"/>
      <w:szCs w:val="24"/>
      <w14:ligatures w14:val="standardContextual"/>
    </w:rPr>
  </w:style>
  <w:style w:type="character" w:styleId="FollowedHyperlink">
    <w:name w:val="FollowedHyperlink"/>
    <w:basedOn w:val="DefaultParagraphFont"/>
    <w:uiPriority w:val="99"/>
    <w:semiHidden/>
    <w:unhideWhenUsed/>
    <w:rsid w:val="00416E78"/>
    <w:rPr>
      <w:color w:val="954F72" w:themeColor="followedHyperlink"/>
      <w:u w:val="single"/>
    </w:rPr>
  </w:style>
  <w:style w:type="table" w:styleId="GridTable3-Accent3">
    <w:name w:val="Grid Table 3 Accent 3"/>
    <w:basedOn w:val="TableNormal"/>
    <w:uiPriority w:val="48"/>
    <w:rsid w:val="00DB74B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4-Accent3">
    <w:name w:val="Grid Table 4 Accent 3"/>
    <w:basedOn w:val="TableNormal"/>
    <w:uiPriority w:val="49"/>
    <w:rsid w:val="006E44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4799">
      <w:bodyDiv w:val="1"/>
      <w:marLeft w:val="0"/>
      <w:marRight w:val="0"/>
      <w:marTop w:val="0"/>
      <w:marBottom w:val="0"/>
      <w:divBdr>
        <w:top w:val="none" w:sz="0" w:space="0" w:color="auto"/>
        <w:left w:val="none" w:sz="0" w:space="0" w:color="auto"/>
        <w:bottom w:val="none" w:sz="0" w:space="0" w:color="auto"/>
        <w:right w:val="none" w:sz="0" w:space="0" w:color="auto"/>
      </w:divBdr>
    </w:div>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165944779">
      <w:bodyDiv w:val="1"/>
      <w:marLeft w:val="0"/>
      <w:marRight w:val="0"/>
      <w:marTop w:val="0"/>
      <w:marBottom w:val="0"/>
      <w:divBdr>
        <w:top w:val="none" w:sz="0" w:space="0" w:color="auto"/>
        <w:left w:val="none" w:sz="0" w:space="0" w:color="auto"/>
        <w:bottom w:val="none" w:sz="0" w:space="0" w:color="auto"/>
        <w:right w:val="none" w:sz="0" w:space="0" w:color="auto"/>
      </w:divBdr>
      <w:divsChild>
        <w:div w:id="350378469">
          <w:marLeft w:val="0"/>
          <w:marRight w:val="0"/>
          <w:marTop w:val="0"/>
          <w:marBottom w:val="0"/>
          <w:divBdr>
            <w:top w:val="none" w:sz="0" w:space="0" w:color="auto"/>
            <w:left w:val="none" w:sz="0" w:space="0" w:color="auto"/>
            <w:bottom w:val="none" w:sz="0" w:space="0" w:color="auto"/>
            <w:right w:val="none" w:sz="0" w:space="0" w:color="auto"/>
          </w:divBdr>
          <w:divsChild>
            <w:div w:id="339043615">
              <w:marLeft w:val="0"/>
              <w:marRight w:val="0"/>
              <w:marTop w:val="0"/>
              <w:marBottom w:val="0"/>
              <w:divBdr>
                <w:top w:val="none" w:sz="0" w:space="0" w:color="auto"/>
                <w:left w:val="none" w:sz="0" w:space="0" w:color="auto"/>
                <w:bottom w:val="none" w:sz="0" w:space="0" w:color="auto"/>
                <w:right w:val="none" w:sz="0" w:space="0" w:color="auto"/>
              </w:divBdr>
            </w:div>
            <w:div w:id="391008385">
              <w:marLeft w:val="0"/>
              <w:marRight w:val="0"/>
              <w:marTop w:val="0"/>
              <w:marBottom w:val="0"/>
              <w:divBdr>
                <w:top w:val="none" w:sz="0" w:space="0" w:color="auto"/>
                <w:left w:val="none" w:sz="0" w:space="0" w:color="auto"/>
                <w:bottom w:val="none" w:sz="0" w:space="0" w:color="auto"/>
                <w:right w:val="none" w:sz="0" w:space="0" w:color="auto"/>
              </w:divBdr>
            </w:div>
            <w:div w:id="398215644">
              <w:marLeft w:val="0"/>
              <w:marRight w:val="0"/>
              <w:marTop w:val="0"/>
              <w:marBottom w:val="0"/>
              <w:divBdr>
                <w:top w:val="none" w:sz="0" w:space="0" w:color="auto"/>
                <w:left w:val="none" w:sz="0" w:space="0" w:color="auto"/>
                <w:bottom w:val="none" w:sz="0" w:space="0" w:color="auto"/>
                <w:right w:val="none" w:sz="0" w:space="0" w:color="auto"/>
              </w:divBdr>
            </w:div>
            <w:div w:id="562327676">
              <w:marLeft w:val="0"/>
              <w:marRight w:val="0"/>
              <w:marTop w:val="0"/>
              <w:marBottom w:val="0"/>
              <w:divBdr>
                <w:top w:val="none" w:sz="0" w:space="0" w:color="auto"/>
                <w:left w:val="none" w:sz="0" w:space="0" w:color="auto"/>
                <w:bottom w:val="none" w:sz="0" w:space="0" w:color="auto"/>
                <w:right w:val="none" w:sz="0" w:space="0" w:color="auto"/>
              </w:divBdr>
            </w:div>
            <w:div w:id="631636389">
              <w:marLeft w:val="0"/>
              <w:marRight w:val="0"/>
              <w:marTop w:val="0"/>
              <w:marBottom w:val="0"/>
              <w:divBdr>
                <w:top w:val="none" w:sz="0" w:space="0" w:color="auto"/>
                <w:left w:val="none" w:sz="0" w:space="0" w:color="auto"/>
                <w:bottom w:val="none" w:sz="0" w:space="0" w:color="auto"/>
                <w:right w:val="none" w:sz="0" w:space="0" w:color="auto"/>
              </w:divBdr>
            </w:div>
            <w:div w:id="1160198699">
              <w:marLeft w:val="0"/>
              <w:marRight w:val="0"/>
              <w:marTop w:val="0"/>
              <w:marBottom w:val="0"/>
              <w:divBdr>
                <w:top w:val="none" w:sz="0" w:space="0" w:color="auto"/>
                <w:left w:val="none" w:sz="0" w:space="0" w:color="auto"/>
                <w:bottom w:val="none" w:sz="0" w:space="0" w:color="auto"/>
                <w:right w:val="none" w:sz="0" w:space="0" w:color="auto"/>
              </w:divBdr>
            </w:div>
            <w:div w:id="1713381775">
              <w:marLeft w:val="0"/>
              <w:marRight w:val="0"/>
              <w:marTop w:val="0"/>
              <w:marBottom w:val="0"/>
              <w:divBdr>
                <w:top w:val="none" w:sz="0" w:space="0" w:color="auto"/>
                <w:left w:val="none" w:sz="0" w:space="0" w:color="auto"/>
                <w:bottom w:val="none" w:sz="0" w:space="0" w:color="auto"/>
                <w:right w:val="none" w:sz="0" w:space="0" w:color="auto"/>
              </w:divBdr>
            </w:div>
            <w:div w:id="1891064179">
              <w:marLeft w:val="0"/>
              <w:marRight w:val="0"/>
              <w:marTop w:val="0"/>
              <w:marBottom w:val="0"/>
              <w:divBdr>
                <w:top w:val="none" w:sz="0" w:space="0" w:color="auto"/>
                <w:left w:val="none" w:sz="0" w:space="0" w:color="auto"/>
                <w:bottom w:val="none" w:sz="0" w:space="0" w:color="auto"/>
                <w:right w:val="none" w:sz="0" w:space="0" w:color="auto"/>
              </w:divBdr>
            </w:div>
            <w:div w:id="2110661178">
              <w:marLeft w:val="0"/>
              <w:marRight w:val="0"/>
              <w:marTop w:val="0"/>
              <w:marBottom w:val="0"/>
              <w:divBdr>
                <w:top w:val="none" w:sz="0" w:space="0" w:color="auto"/>
                <w:left w:val="none" w:sz="0" w:space="0" w:color="auto"/>
                <w:bottom w:val="none" w:sz="0" w:space="0" w:color="auto"/>
                <w:right w:val="none" w:sz="0" w:space="0" w:color="auto"/>
              </w:divBdr>
            </w:div>
          </w:divsChild>
        </w:div>
        <w:div w:id="969554394">
          <w:marLeft w:val="0"/>
          <w:marRight w:val="0"/>
          <w:marTop w:val="0"/>
          <w:marBottom w:val="0"/>
          <w:divBdr>
            <w:top w:val="none" w:sz="0" w:space="0" w:color="auto"/>
            <w:left w:val="none" w:sz="0" w:space="0" w:color="auto"/>
            <w:bottom w:val="none" w:sz="0" w:space="0" w:color="auto"/>
            <w:right w:val="none" w:sz="0" w:space="0" w:color="auto"/>
          </w:divBdr>
          <w:divsChild>
            <w:div w:id="309940487">
              <w:marLeft w:val="0"/>
              <w:marRight w:val="0"/>
              <w:marTop w:val="0"/>
              <w:marBottom w:val="0"/>
              <w:divBdr>
                <w:top w:val="none" w:sz="0" w:space="0" w:color="auto"/>
                <w:left w:val="none" w:sz="0" w:space="0" w:color="auto"/>
                <w:bottom w:val="none" w:sz="0" w:space="0" w:color="auto"/>
                <w:right w:val="none" w:sz="0" w:space="0" w:color="auto"/>
              </w:divBdr>
            </w:div>
            <w:div w:id="608780371">
              <w:marLeft w:val="0"/>
              <w:marRight w:val="0"/>
              <w:marTop w:val="0"/>
              <w:marBottom w:val="0"/>
              <w:divBdr>
                <w:top w:val="none" w:sz="0" w:space="0" w:color="auto"/>
                <w:left w:val="none" w:sz="0" w:space="0" w:color="auto"/>
                <w:bottom w:val="none" w:sz="0" w:space="0" w:color="auto"/>
                <w:right w:val="none" w:sz="0" w:space="0" w:color="auto"/>
              </w:divBdr>
            </w:div>
            <w:div w:id="889534991">
              <w:marLeft w:val="0"/>
              <w:marRight w:val="0"/>
              <w:marTop w:val="0"/>
              <w:marBottom w:val="0"/>
              <w:divBdr>
                <w:top w:val="none" w:sz="0" w:space="0" w:color="auto"/>
                <w:left w:val="none" w:sz="0" w:space="0" w:color="auto"/>
                <w:bottom w:val="none" w:sz="0" w:space="0" w:color="auto"/>
                <w:right w:val="none" w:sz="0" w:space="0" w:color="auto"/>
              </w:divBdr>
            </w:div>
            <w:div w:id="1009715942">
              <w:marLeft w:val="0"/>
              <w:marRight w:val="0"/>
              <w:marTop w:val="0"/>
              <w:marBottom w:val="0"/>
              <w:divBdr>
                <w:top w:val="none" w:sz="0" w:space="0" w:color="auto"/>
                <w:left w:val="none" w:sz="0" w:space="0" w:color="auto"/>
                <w:bottom w:val="none" w:sz="0" w:space="0" w:color="auto"/>
                <w:right w:val="none" w:sz="0" w:space="0" w:color="auto"/>
              </w:divBdr>
            </w:div>
            <w:div w:id="1304191742">
              <w:marLeft w:val="0"/>
              <w:marRight w:val="0"/>
              <w:marTop w:val="0"/>
              <w:marBottom w:val="0"/>
              <w:divBdr>
                <w:top w:val="none" w:sz="0" w:space="0" w:color="auto"/>
                <w:left w:val="none" w:sz="0" w:space="0" w:color="auto"/>
                <w:bottom w:val="none" w:sz="0" w:space="0" w:color="auto"/>
                <w:right w:val="none" w:sz="0" w:space="0" w:color="auto"/>
              </w:divBdr>
            </w:div>
            <w:div w:id="1555044907">
              <w:marLeft w:val="0"/>
              <w:marRight w:val="0"/>
              <w:marTop w:val="0"/>
              <w:marBottom w:val="0"/>
              <w:divBdr>
                <w:top w:val="none" w:sz="0" w:space="0" w:color="auto"/>
                <w:left w:val="none" w:sz="0" w:space="0" w:color="auto"/>
                <w:bottom w:val="none" w:sz="0" w:space="0" w:color="auto"/>
                <w:right w:val="none" w:sz="0" w:space="0" w:color="auto"/>
              </w:divBdr>
            </w:div>
            <w:div w:id="1742944667">
              <w:marLeft w:val="0"/>
              <w:marRight w:val="0"/>
              <w:marTop w:val="0"/>
              <w:marBottom w:val="0"/>
              <w:divBdr>
                <w:top w:val="none" w:sz="0" w:space="0" w:color="auto"/>
                <w:left w:val="none" w:sz="0" w:space="0" w:color="auto"/>
                <w:bottom w:val="none" w:sz="0" w:space="0" w:color="auto"/>
                <w:right w:val="none" w:sz="0" w:space="0" w:color="auto"/>
              </w:divBdr>
            </w:div>
            <w:div w:id="1750079698">
              <w:marLeft w:val="0"/>
              <w:marRight w:val="0"/>
              <w:marTop w:val="0"/>
              <w:marBottom w:val="0"/>
              <w:divBdr>
                <w:top w:val="none" w:sz="0" w:space="0" w:color="auto"/>
                <w:left w:val="none" w:sz="0" w:space="0" w:color="auto"/>
                <w:bottom w:val="none" w:sz="0" w:space="0" w:color="auto"/>
                <w:right w:val="none" w:sz="0" w:space="0" w:color="auto"/>
              </w:divBdr>
            </w:div>
            <w:div w:id="2049405765">
              <w:marLeft w:val="0"/>
              <w:marRight w:val="0"/>
              <w:marTop w:val="0"/>
              <w:marBottom w:val="0"/>
              <w:divBdr>
                <w:top w:val="none" w:sz="0" w:space="0" w:color="auto"/>
                <w:left w:val="none" w:sz="0" w:space="0" w:color="auto"/>
                <w:bottom w:val="none" w:sz="0" w:space="0" w:color="auto"/>
                <w:right w:val="none" w:sz="0" w:space="0" w:color="auto"/>
              </w:divBdr>
            </w:div>
            <w:div w:id="2092583140">
              <w:marLeft w:val="0"/>
              <w:marRight w:val="0"/>
              <w:marTop w:val="0"/>
              <w:marBottom w:val="0"/>
              <w:divBdr>
                <w:top w:val="none" w:sz="0" w:space="0" w:color="auto"/>
                <w:left w:val="none" w:sz="0" w:space="0" w:color="auto"/>
                <w:bottom w:val="none" w:sz="0" w:space="0" w:color="auto"/>
                <w:right w:val="none" w:sz="0" w:space="0" w:color="auto"/>
              </w:divBdr>
            </w:div>
            <w:div w:id="2114980449">
              <w:marLeft w:val="0"/>
              <w:marRight w:val="0"/>
              <w:marTop w:val="0"/>
              <w:marBottom w:val="0"/>
              <w:divBdr>
                <w:top w:val="none" w:sz="0" w:space="0" w:color="auto"/>
                <w:left w:val="none" w:sz="0" w:space="0" w:color="auto"/>
                <w:bottom w:val="none" w:sz="0" w:space="0" w:color="auto"/>
                <w:right w:val="none" w:sz="0" w:space="0" w:color="auto"/>
              </w:divBdr>
            </w:div>
          </w:divsChild>
        </w:div>
        <w:div w:id="1048264841">
          <w:marLeft w:val="0"/>
          <w:marRight w:val="0"/>
          <w:marTop w:val="0"/>
          <w:marBottom w:val="0"/>
          <w:divBdr>
            <w:top w:val="none" w:sz="0" w:space="0" w:color="auto"/>
            <w:left w:val="none" w:sz="0" w:space="0" w:color="auto"/>
            <w:bottom w:val="none" w:sz="0" w:space="0" w:color="auto"/>
            <w:right w:val="none" w:sz="0" w:space="0" w:color="auto"/>
          </w:divBdr>
          <w:divsChild>
            <w:div w:id="398207404">
              <w:marLeft w:val="0"/>
              <w:marRight w:val="0"/>
              <w:marTop w:val="0"/>
              <w:marBottom w:val="0"/>
              <w:divBdr>
                <w:top w:val="none" w:sz="0" w:space="0" w:color="auto"/>
                <w:left w:val="none" w:sz="0" w:space="0" w:color="auto"/>
                <w:bottom w:val="none" w:sz="0" w:space="0" w:color="auto"/>
                <w:right w:val="none" w:sz="0" w:space="0" w:color="auto"/>
              </w:divBdr>
            </w:div>
            <w:div w:id="440564283">
              <w:marLeft w:val="0"/>
              <w:marRight w:val="0"/>
              <w:marTop w:val="0"/>
              <w:marBottom w:val="0"/>
              <w:divBdr>
                <w:top w:val="none" w:sz="0" w:space="0" w:color="auto"/>
                <w:left w:val="none" w:sz="0" w:space="0" w:color="auto"/>
                <w:bottom w:val="none" w:sz="0" w:space="0" w:color="auto"/>
                <w:right w:val="none" w:sz="0" w:space="0" w:color="auto"/>
              </w:divBdr>
            </w:div>
            <w:div w:id="672873534">
              <w:marLeft w:val="0"/>
              <w:marRight w:val="0"/>
              <w:marTop w:val="0"/>
              <w:marBottom w:val="0"/>
              <w:divBdr>
                <w:top w:val="none" w:sz="0" w:space="0" w:color="auto"/>
                <w:left w:val="none" w:sz="0" w:space="0" w:color="auto"/>
                <w:bottom w:val="none" w:sz="0" w:space="0" w:color="auto"/>
                <w:right w:val="none" w:sz="0" w:space="0" w:color="auto"/>
              </w:divBdr>
            </w:div>
            <w:div w:id="691031927">
              <w:marLeft w:val="0"/>
              <w:marRight w:val="0"/>
              <w:marTop w:val="0"/>
              <w:marBottom w:val="0"/>
              <w:divBdr>
                <w:top w:val="none" w:sz="0" w:space="0" w:color="auto"/>
                <w:left w:val="none" w:sz="0" w:space="0" w:color="auto"/>
                <w:bottom w:val="none" w:sz="0" w:space="0" w:color="auto"/>
                <w:right w:val="none" w:sz="0" w:space="0" w:color="auto"/>
              </w:divBdr>
            </w:div>
            <w:div w:id="776218217">
              <w:marLeft w:val="0"/>
              <w:marRight w:val="0"/>
              <w:marTop w:val="0"/>
              <w:marBottom w:val="0"/>
              <w:divBdr>
                <w:top w:val="none" w:sz="0" w:space="0" w:color="auto"/>
                <w:left w:val="none" w:sz="0" w:space="0" w:color="auto"/>
                <w:bottom w:val="none" w:sz="0" w:space="0" w:color="auto"/>
                <w:right w:val="none" w:sz="0" w:space="0" w:color="auto"/>
              </w:divBdr>
            </w:div>
            <w:div w:id="1139761725">
              <w:marLeft w:val="0"/>
              <w:marRight w:val="0"/>
              <w:marTop w:val="0"/>
              <w:marBottom w:val="0"/>
              <w:divBdr>
                <w:top w:val="none" w:sz="0" w:space="0" w:color="auto"/>
                <w:left w:val="none" w:sz="0" w:space="0" w:color="auto"/>
                <w:bottom w:val="none" w:sz="0" w:space="0" w:color="auto"/>
                <w:right w:val="none" w:sz="0" w:space="0" w:color="auto"/>
              </w:divBdr>
            </w:div>
            <w:div w:id="1195193350">
              <w:marLeft w:val="0"/>
              <w:marRight w:val="0"/>
              <w:marTop w:val="0"/>
              <w:marBottom w:val="0"/>
              <w:divBdr>
                <w:top w:val="none" w:sz="0" w:space="0" w:color="auto"/>
                <w:left w:val="none" w:sz="0" w:space="0" w:color="auto"/>
                <w:bottom w:val="none" w:sz="0" w:space="0" w:color="auto"/>
                <w:right w:val="none" w:sz="0" w:space="0" w:color="auto"/>
              </w:divBdr>
            </w:div>
            <w:div w:id="1243640371">
              <w:marLeft w:val="0"/>
              <w:marRight w:val="0"/>
              <w:marTop w:val="0"/>
              <w:marBottom w:val="0"/>
              <w:divBdr>
                <w:top w:val="none" w:sz="0" w:space="0" w:color="auto"/>
                <w:left w:val="none" w:sz="0" w:space="0" w:color="auto"/>
                <w:bottom w:val="none" w:sz="0" w:space="0" w:color="auto"/>
                <w:right w:val="none" w:sz="0" w:space="0" w:color="auto"/>
              </w:divBdr>
            </w:div>
            <w:div w:id="1329941831">
              <w:marLeft w:val="0"/>
              <w:marRight w:val="0"/>
              <w:marTop w:val="0"/>
              <w:marBottom w:val="0"/>
              <w:divBdr>
                <w:top w:val="none" w:sz="0" w:space="0" w:color="auto"/>
                <w:left w:val="none" w:sz="0" w:space="0" w:color="auto"/>
                <w:bottom w:val="none" w:sz="0" w:space="0" w:color="auto"/>
                <w:right w:val="none" w:sz="0" w:space="0" w:color="auto"/>
              </w:divBdr>
            </w:div>
            <w:div w:id="1700932985">
              <w:marLeft w:val="0"/>
              <w:marRight w:val="0"/>
              <w:marTop w:val="0"/>
              <w:marBottom w:val="0"/>
              <w:divBdr>
                <w:top w:val="none" w:sz="0" w:space="0" w:color="auto"/>
                <w:left w:val="none" w:sz="0" w:space="0" w:color="auto"/>
                <w:bottom w:val="none" w:sz="0" w:space="0" w:color="auto"/>
                <w:right w:val="none" w:sz="0" w:space="0" w:color="auto"/>
              </w:divBdr>
            </w:div>
          </w:divsChild>
        </w:div>
        <w:div w:id="1106584856">
          <w:marLeft w:val="0"/>
          <w:marRight w:val="0"/>
          <w:marTop w:val="0"/>
          <w:marBottom w:val="0"/>
          <w:divBdr>
            <w:top w:val="none" w:sz="0" w:space="0" w:color="auto"/>
            <w:left w:val="none" w:sz="0" w:space="0" w:color="auto"/>
            <w:bottom w:val="none" w:sz="0" w:space="0" w:color="auto"/>
            <w:right w:val="none" w:sz="0" w:space="0" w:color="auto"/>
          </w:divBdr>
          <w:divsChild>
            <w:div w:id="1268657961">
              <w:marLeft w:val="0"/>
              <w:marRight w:val="0"/>
              <w:marTop w:val="0"/>
              <w:marBottom w:val="0"/>
              <w:divBdr>
                <w:top w:val="none" w:sz="0" w:space="0" w:color="auto"/>
                <w:left w:val="none" w:sz="0" w:space="0" w:color="auto"/>
                <w:bottom w:val="none" w:sz="0" w:space="0" w:color="auto"/>
                <w:right w:val="none" w:sz="0" w:space="0" w:color="auto"/>
              </w:divBdr>
            </w:div>
          </w:divsChild>
        </w:div>
        <w:div w:id="1216774130">
          <w:marLeft w:val="0"/>
          <w:marRight w:val="0"/>
          <w:marTop w:val="0"/>
          <w:marBottom w:val="0"/>
          <w:divBdr>
            <w:top w:val="none" w:sz="0" w:space="0" w:color="auto"/>
            <w:left w:val="none" w:sz="0" w:space="0" w:color="auto"/>
            <w:bottom w:val="none" w:sz="0" w:space="0" w:color="auto"/>
            <w:right w:val="none" w:sz="0" w:space="0" w:color="auto"/>
          </w:divBdr>
          <w:divsChild>
            <w:div w:id="1504541246">
              <w:marLeft w:val="0"/>
              <w:marRight w:val="0"/>
              <w:marTop w:val="0"/>
              <w:marBottom w:val="0"/>
              <w:divBdr>
                <w:top w:val="none" w:sz="0" w:space="0" w:color="auto"/>
                <w:left w:val="none" w:sz="0" w:space="0" w:color="auto"/>
                <w:bottom w:val="none" w:sz="0" w:space="0" w:color="auto"/>
                <w:right w:val="none" w:sz="0" w:space="0" w:color="auto"/>
              </w:divBdr>
            </w:div>
          </w:divsChild>
        </w:div>
        <w:div w:id="1249189452">
          <w:marLeft w:val="0"/>
          <w:marRight w:val="0"/>
          <w:marTop w:val="0"/>
          <w:marBottom w:val="0"/>
          <w:divBdr>
            <w:top w:val="none" w:sz="0" w:space="0" w:color="auto"/>
            <w:left w:val="none" w:sz="0" w:space="0" w:color="auto"/>
            <w:bottom w:val="none" w:sz="0" w:space="0" w:color="auto"/>
            <w:right w:val="none" w:sz="0" w:space="0" w:color="auto"/>
          </w:divBdr>
          <w:divsChild>
            <w:div w:id="1563755899">
              <w:marLeft w:val="0"/>
              <w:marRight w:val="0"/>
              <w:marTop w:val="0"/>
              <w:marBottom w:val="0"/>
              <w:divBdr>
                <w:top w:val="none" w:sz="0" w:space="0" w:color="auto"/>
                <w:left w:val="none" w:sz="0" w:space="0" w:color="auto"/>
                <w:bottom w:val="none" w:sz="0" w:space="0" w:color="auto"/>
                <w:right w:val="none" w:sz="0" w:space="0" w:color="auto"/>
              </w:divBdr>
            </w:div>
          </w:divsChild>
        </w:div>
        <w:div w:id="1337734024">
          <w:marLeft w:val="0"/>
          <w:marRight w:val="0"/>
          <w:marTop w:val="0"/>
          <w:marBottom w:val="0"/>
          <w:divBdr>
            <w:top w:val="none" w:sz="0" w:space="0" w:color="auto"/>
            <w:left w:val="none" w:sz="0" w:space="0" w:color="auto"/>
            <w:bottom w:val="none" w:sz="0" w:space="0" w:color="auto"/>
            <w:right w:val="none" w:sz="0" w:space="0" w:color="auto"/>
          </w:divBdr>
          <w:divsChild>
            <w:div w:id="489950287">
              <w:marLeft w:val="0"/>
              <w:marRight w:val="0"/>
              <w:marTop w:val="0"/>
              <w:marBottom w:val="0"/>
              <w:divBdr>
                <w:top w:val="none" w:sz="0" w:space="0" w:color="auto"/>
                <w:left w:val="none" w:sz="0" w:space="0" w:color="auto"/>
                <w:bottom w:val="none" w:sz="0" w:space="0" w:color="auto"/>
                <w:right w:val="none" w:sz="0" w:space="0" w:color="auto"/>
              </w:divBdr>
            </w:div>
          </w:divsChild>
        </w:div>
        <w:div w:id="1357345192">
          <w:marLeft w:val="0"/>
          <w:marRight w:val="0"/>
          <w:marTop w:val="0"/>
          <w:marBottom w:val="0"/>
          <w:divBdr>
            <w:top w:val="none" w:sz="0" w:space="0" w:color="auto"/>
            <w:left w:val="none" w:sz="0" w:space="0" w:color="auto"/>
            <w:bottom w:val="none" w:sz="0" w:space="0" w:color="auto"/>
            <w:right w:val="none" w:sz="0" w:space="0" w:color="auto"/>
          </w:divBdr>
          <w:divsChild>
            <w:div w:id="1127744077">
              <w:marLeft w:val="0"/>
              <w:marRight w:val="0"/>
              <w:marTop w:val="0"/>
              <w:marBottom w:val="0"/>
              <w:divBdr>
                <w:top w:val="none" w:sz="0" w:space="0" w:color="auto"/>
                <w:left w:val="none" w:sz="0" w:space="0" w:color="auto"/>
                <w:bottom w:val="none" w:sz="0" w:space="0" w:color="auto"/>
                <w:right w:val="none" w:sz="0" w:space="0" w:color="auto"/>
              </w:divBdr>
            </w:div>
          </w:divsChild>
        </w:div>
        <w:div w:id="1883710417">
          <w:marLeft w:val="0"/>
          <w:marRight w:val="0"/>
          <w:marTop w:val="0"/>
          <w:marBottom w:val="0"/>
          <w:divBdr>
            <w:top w:val="none" w:sz="0" w:space="0" w:color="auto"/>
            <w:left w:val="none" w:sz="0" w:space="0" w:color="auto"/>
            <w:bottom w:val="none" w:sz="0" w:space="0" w:color="auto"/>
            <w:right w:val="none" w:sz="0" w:space="0" w:color="auto"/>
          </w:divBdr>
          <w:divsChild>
            <w:div w:id="199394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3796">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257106893">
      <w:bodyDiv w:val="1"/>
      <w:marLeft w:val="0"/>
      <w:marRight w:val="0"/>
      <w:marTop w:val="0"/>
      <w:marBottom w:val="0"/>
      <w:divBdr>
        <w:top w:val="none" w:sz="0" w:space="0" w:color="auto"/>
        <w:left w:val="none" w:sz="0" w:space="0" w:color="auto"/>
        <w:bottom w:val="none" w:sz="0" w:space="0" w:color="auto"/>
        <w:right w:val="none" w:sz="0" w:space="0" w:color="auto"/>
      </w:divBdr>
      <w:divsChild>
        <w:div w:id="224949586">
          <w:marLeft w:val="0"/>
          <w:marRight w:val="0"/>
          <w:marTop w:val="0"/>
          <w:marBottom w:val="0"/>
          <w:divBdr>
            <w:top w:val="none" w:sz="0" w:space="0" w:color="auto"/>
            <w:left w:val="none" w:sz="0" w:space="0" w:color="auto"/>
            <w:bottom w:val="none" w:sz="0" w:space="0" w:color="auto"/>
            <w:right w:val="none" w:sz="0" w:space="0" w:color="auto"/>
          </w:divBdr>
          <w:divsChild>
            <w:div w:id="113058412">
              <w:marLeft w:val="0"/>
              <w:marRight w:val="0"/>
              <w:marTop w:val="0"/>
              <w:marBottom w:val="0"/>
              <w:divBdr>
                <w:top w:val="none" w:sz="0" w:space="0" w:color="auto"/>
                <w:left w:val="none" w:sz="0" w:space="0" w:color="auto"/>
                <w:bottom w:val="none" w:sz="0" w:space="0" w:color="auto"/>
                <w:right w:val="none" w:sz="0" w:space="0" w:color="auto"/>
              </w:divBdr>
            </w:div>
            <w:div w:id="170728636">
              <w:marLeft w:val="0"/>
              <w:marRight w:val="0"/>
              <w:marTop w:val="0"/>
              <w:marBottom w:val="0"/>
              <w:divBdr>
                <w:top w:val="none" w:sz="0" w:space="0" w:color="auto"/>
                <w:left w:val="none" w:sz="0" w:space="0" w:color="auto"/>
                <w:bottom w:val="none" w:sz="0" w:space="0" w:color="auto"/>
                <w:right w:val="none" w:sz="0" w:space="0" w:color="auto"/>
              </w:divBdr>
            </w:div>
            <w:div w:id="356393616">
              <w:marLeft w:val="0"/>
              <w:marRight w:val="0"/>
              <w:marTop w:val="0"/>
              <w:marBottom w:val="0"/>
              <w:divBdr>
                <w:top w:val="none" w:sz="0" w:space="0" w:color="auto"/>
                <w:left w:val="none" w:sz="0" w:space="0" w:color="auto"/>
                <w:bottom w:val="none" w:sz="0" w:space="0" w:color="auto"/>
                <w:right w:val="none" w:sz="0" w:space="0" w:color="auto"/>
              </w:divBdr>
            </w:div>
            <w:div w:id="431364686">
              <w:marLeft w:val="0"/>
              <w:marRight w:val="0"/>
              <w:marTop w:val="0"/>
              <w:marBottom w:val="0"/>
              <w:divBdr>
                <w:top w:val="none" w:sz="0" w:space="0" w:color="auto"/>
                <w:left w:val="none" w:sz="0" w:space="0" w:color="auto"/>
                <w:bottom w:val="none" w:sz="0" w:space="0" w:color="auto"/>
                <w:right w:val="none" w:sz="0" w:space="0" w:color="auto"/>
              </w:divBdr>
            </w:div>
            <w:div w:id="568925778">
              <w:marLeft w:val="0"/>
              <w:marRight w:val="0"/>
              <w:marTop w:val="0"/>
              <w:marBottom w:val="0"/>
              <w:divBdr>
                <w:top w:val="none" w:sz="0" w:space="0" w:color="auto"/>
                <w:left w:val="none" w:sz="0" w:space="0" w:color="auto"/>
                <w:bottom w:val="none" w:sz="0" w:space="0" w:color="auto"/>
                <w:right w:val="none" w:sz="0" w:space="0" w:color="auto"/>
              </w:divBdr>
            </w:div>
            <w:div w:id="735711457">
              <w:marLeft w:val="0"/>
              <w:marRight w:val="0"/>
              <w:marTop w:val="0"/>
              <w:marBottom w:val="0"/>
              <w:divBdr>
                <w:top w:val="none" w:sz="0" w:space="0" w:color="auto"/>
                <w:left w:val="none" w:sz="0" w:space="0" w:color="auto"/>
                <w:bottom w:val="none" w:sz="0" w:space="0" w:color="auto"/>
                <w:right w:val="none" w:sz="0" w:space="0" w:color="auto"/>
              </w:divBdr>
            </w:div>
            <w:div w:id="758721320">
              <w:marLeft w:val="0"/>
              <w:marRight w:val="0"/>
              <w:marTop w:val="0"/>
              <w:marBottom w:val="0"/>
              <w:divBdr>
                <w:top w:val="none" w:sz="0" w:space="0" w:color="auto"/>
                <w:left w:val="none" w:sz="0" w:space="0" w:color="auto"/>
                <w:bottom w:val="none" w:sz="0" w:space="0" w:color="auto"/>
                <w:right w:val="none" w:sz="0" w:space="0" w:color="auto"/>
              </w:divBdr>
            </w:div>
            <w:div w:id="883520483">
              <w:marLeft w:val="0"/>
              <w:marRight w:val="0"/>
              <w:marTop w:val="0"/>
              <w:marBottom w:val="0"/>
              <w:divBdr>
                <w:top w:val="none" w:sz="0" w:space="0" w:color="auto"/>
                <w:left w:val="none" w:sz="0" w:space="0" w:color="auto"/>
                <w:bottom w:val="none" w:sz="0" w:space="0" w:color="auto"/>
                <w:right w:val="none" w:sz="0" w:space="0" w:color="auto"/>
              </w:divBdr>
            </w:div>
            <w:div w:id="944457610">
              <w:marLeft w:val="0"/>
              <w:marRight w:val="0"/>
              <w:marTop w:val="0"/>
              <w:marBottom w:val="0"/>
              <w:divBdr>
                <w:top w:val="none" w:sz="0" w:space="0" w:color="auto"/>
                <w:left w:val="none" w:sz="0" w:space="0" w:color="auto"/>
                <w:bottom w:val="none" w:sz="0" w:space="0" w:color="auto"/>
                <w:right w:val="none" w:sz="0" w:space="0" w:color="auto"/>
              </w:divBdr>
            </w:div>
            <w:div w:id="1560097567">
              <w:marLeft w:val="0"/>
              <w:marRight w:val="0"/>
              <w:marTop w:val="0"/>
              <w:marBottom w:val="0"/>
              <w:divBdr>
                <w:top w:val="none" w:sz="0" w:space="0" w:color="auto"/>
                <w:left w:val="none" w:sz="0" w:space="0" w:color="auto"/>
                <w:bottom w:val="none" w:sz="0" w:space="0" w:color="auto"/>
                <w:right w:val="none" w:sz="0" w:space="0" w:color="auto"/>
              </w:divBdr>
            </w:div>
            <w:div w:id="1999579326">
              <w:marLeft w:val="0"/>
              <w:marRight w:val="0"/>
              <w:marTop w:val="0"/>
              <w:marBottom w:val="0"/>
              <w:divBdr>
                <w:top w:val="none" w:sz="0" w:space="0" w:color="auto"/>
                <w:left w:val="none" w:sz="0" w:space="0" w:color="auto"/>
                <w:bottom w:val="none" w:sz="0" w:space="0" w:color="auto"/>
                <w:right w:val="none" w:sz="0" w:space="0" w:color="auto"/>
              </w:divBdr>
            </w:div>
          </w:divsChild>
        </w:div>
        <w:div w:id="635914645">
          <w:marLeft w:val="0"/>
          <w:marRight w:val="0"/>
          <w:marTop w:val="0"/>
          <w:marBottom w:val="0"/>
          <w:divBdr>
            <w:top w:val="none" w:sz="0" w:space="0" w:color="auto"/>
            <w:left w:val="none" w:sz="0" w:space="0" w:color="auto"/>
            <w:bottom w:val="none" w:sz="0" w:space="0" w:color="auto"/>
            <w:right w:val="none" w:sz="0" w:space="0" w:color="auto"/>
          </w:divBdr>
          <w:divsChild>
            <w:div w:id="35593612">
              <w:marLeft w:val="0"/>
              <w:marRight w:val="0"/>
              <w:marTop w:val="0"/>
              <w:marBottom w:val="0"/>
              <w:divBdr>
                <w:top w:val="none" w:sz="0" w:space="0" w:color="auto"/>
                <w:left w:val="none" w:sz="0" w:space="0" w:color="auto"/>
                <w:bottom w:val="none" w:sz="0" w:space="0" w:color="auto"/>
                <w:right w:val="none" w:sz="0" w:space="0" w:color="auto"/>
              </w:divBdr>
            </w:div>
            <w:div w:id="315914100">
              <w:marLeft w:val="0"/>
              <w:marRight w:val="0"/>
              <w:marTop w:val="0"/>
              <w:marBottom w:val="0"/>
              <w:divBdr>
                <w:top w:val="none" w:sz="0" w:space="0" w:color="auto"/>
                <w:left w:val="none" w:sz="0" w:space="0" w:color="auto"/>
                <w:bottom w:val="none" w:sz="0" w:space="0" w:color="auto"/>
                <w:right w:val="none" w:sz="0" w:space="0" w:color="auto"/>
              </w:divBdr>
            </w:div>
            <w:div w:id="503982289">
              <w:marLeft w:val="0"/>
              <w:marRight w:val="0"/>
              <w:marTop w:val="0"/>
              <w:marBottom w:val="0"/>
              <w:divBdr>
                <w:top w:val="none" w:sz="0" w:space="0" w:color="auto"/>
                <w:left w:val="none" w:sz="0" w:space="0" w:color="auto"/>
                <w:bottom w:val="none" w:sz="0" w:space="0" w:color="auto"/>
                <w:right w:val="none" w:sz="0" w:space="0" w:color="auto"/>
              </w:divBdr>
            </w:div>
            <w:div w:id="598441760">
              <w:marLeft w:val="0"/>
              <w:marRight w:val="0"/>
              <w:marTop w:val="0"/>
              <w:marBottom w:val="0"/>
              <w:divBdr>
                <w:top w:val="none" w:sz="0" w:space="0" w:color="auto"/>
                <w:left w:val="none" w:sz="0" w:space="0" w:color="auto"/>
                <w:bottom w:val="none" w:sz="0" w:space="0" w:color="auto"/>
                <w:right w:val="none" w:sz="0" w:space="0" w:color="auto"/>
              </w:divBdr>
            </w:div>
            <w:div w:id="1227181231">
              <w:marLeft w:val="0"/>
              <w:marRight w:val="0"/>
              <w:marTop w:val="0"/>
              <w:marBottom w:val="0"/>
              <w:divBdr>
                <w:top w:val="none" w:sz="0" w:space="0" w:color="auto"/>
                <w:left w:val="none" w:sz="0" w:space="0" w:color="auto"/>
                <w:bottom w:val="none" w:sz="0" w:space="0" w:color="auto"/>
                <w:right w:val="none" w:sz="0" w:space="0" w:color="auto"/>
              </w:divBdr>
            </w:div>
            <w:div w:id="1308361619">
              <w:marLeft w:val="0"/>
              <w:marRight w:val="0"/>
              <w:marTop w:val="0"/>
              <w:marBottom w:val="0"/>
              <w:divBdr>
                <w:top w:val="none" w:sz="0" w:space="0" w:color="auto"/>
                <w:left w:val="none" w:sz="0" w:space="0" w:color="auto"/>
                <w:bottom w:val="none" w:sz="0" w:space="0" w:color="auto"/>
                <w:right w:val="none" w:sz="0" w:space="0" w:color="auto"/>
              </w:divBdr>
            </w:div>
            <w:div w:id="1547184636">
              <w:marLeft w:val="0"/>
              <w:marRight w:val="0"/>
              <w:marTop w:val="0"/>
              <w:marBottom w:val="0"/>
              <w:divBdr>
                <w:top w:val="none" w:sz="0" w:space="0" w:color="auto"/>
                <w:left w:val="none" w:sz="0" w:space="0" w:color="auto"/>
                <w:bottom w:val="none" w:sz="0" w:space="0" w:color="auto"/>
                <w:right w:val="none" w:sz="0" w:space="0" w:color="auto"/>
              </w:divBdr>
            </w:div>
            <w:div w:id="1684934825">
              <w:marLeft w:val="0"/>
              <w:marRight w:val="0"/>
              <w:marTop w:val="0"/>
              <w:marBottom w:val="0"/>
              <w:divBdr>
                <w:top w:val="none" w:sz="0" w:space="0" w:color="auto"/>
                <w:left w:val="none" w:sz="0" w:space="0" w:color="auto"/>
                <w:bottom w:val="none" w:sz="0" w:space="0" w:color="auto"/>
                <w:right w:val="none" w:sz="0" w:space="0" w:color="auto"/>
              </w:divBdr>
            </w:div>
            <w:div w:id="1764766645">
              <w:marLeft w:val="0"/>
              <w:marRight w:val="0"/>
              <w:marTop w:val="0"/>
              <w:marBottom w:val="0"/>
              <w:divBdr>
                <w:top w:val="none" w:sz="0" w:space="0" w:color="auto"/>
                <w:left w:val="none" w:sz="0" w:space="0" w:color="auto"/>
                <w:bottom w:val="none" w:sz="0" w:space="0" w:color="auto"/>
                <w:right w:val="none" w:sz="0" w:space="0" w:color="auto"/>
              </w:divBdr>
            </w:div>
          </w:divsChild>
        </w:div>
        <w:div w:id="781075089">
          <w:marLeft w:val="0"/>
          <w:marRight w:val="0"/>
          <w:marTop w:val="0"/>
          <w:marBottom w:val="0"/>
          <w:divBdr>
            <w:top w:val="none" w:sz="0" w:space="0" w:color="auto"/>
            <w:left w:val="none" w:sz="0" w:space="0" w:color="auto"/>
            <w:bottom w:val="none" w:sz="0" w:space="0" w:color="auto"/>
            <w:right w:val="none" w:sz="0" w:space="0" w:color="auto"/>
          </w:divBdr>
          <w:divsChild>
            <w:div w:id="42026472">
              <w:marLeft w:val="0"/>
              <w:marRight w:val="0"/>
              <w:marTop w:val="0"/>
              <w:marBottom w:val="0"/>
              <w:divBdr>
                <w:top w:val="none" w:sz="0" w:space="0" w:color="auto"/>
                <w:left w:val="none" w:sz="0" w:space="0" w:color="auto"/>
                <w:bottom w:val="none" w:sz="0" w:space="0" w:color="auto"/>
                <w:right w:val="none" w:sz="0" w:space="0" w:color="auto"/>
              </w:divBdr>
            </w:div>
            <w:div w:id="353776124">
              <w:marLeft w:val="0"/>
              <w:marRight w:val="0"/>
              <w:marTop w:val="0"/>
              <w:marBottom w:val="0"/>
              <w:divBdr>
                <w:top w:val="none" w:sz="0" w:space="0" w:color="auto"/>
                <w:left w:val="none" w:sz="0" w:space="0" w:color="auto"/>
                <w:bottom w:val="none" w:sz="0" w:space="0" w:color="auto"/>
                <w:right w:val="none" w:sz="0" w:space="0" w:color="auto"/>
              </w:divBdr>
            </w:div>
            <w:div w:id="400564304">
              <w:marLeft w:val="0"/>
              <w:marRight w:val="0"/>
              <w:marTop w:val="0"/>
              <w:marBottom w:val="0"/>
              <w:divBdr>
                <w:top w:val="none" w:sz="0" w:space="0" w:color="auto"/>
                <w:left w:val="none" w:sz="0" w:space="0" w:color="auto"/>
                <w:bottom w:val="none" w:sz="0" w:space="0" w:color="auto"/>
                <w:right w:val="none" w:sz="0" w:space="0" w:color="auto"/>
              </w:divBdr>
            </w:div>
            <w:div w:id="590508263">
              <w:marLeft w:val="0"/>
              <w:marRight w:val="0"/>
              <w:marTop w:val="0"/>
              <w:marBottom w:val="0"/>
              <w:divBdr>
                <w:top w:val="none" w:sz="0" w:space="0" w:color="auto"/>
                <w:left w:val="none" w:sz="0" w:space="0" w:color="auto"/>
                <w:bottom w:val="none" w:sz="0" w:space="0" w:color="auto"/>
                <w:right w:val="none" w:sz="0" w:space="0" w:color="auto"/>
              </w:divBdr>
            </w:div>
            <w:div w:id="995768241">
              <w:marLeft w:val="0"/>
              <w:marRight w:val="0"/>
              <w:marTop w:val="0"/>
              <w:marBottom w:val="0"/>
              <w:divBdr>
                <w:top w:val="none" w:sz="0" w:space="0" w:color="auto"/>
                <w:left w:val="none" w:sz="0" w:space="0" w:color="auto"/>
                <w:bottom w:val="none" w:sz="0" w:space="0" w:color="auto"/>
                <w:right w:val="none" w:sz="0" w:space="0" w:color="auto"/>
              </w:divBdr>
            </w:div>
            <w:div w:id="1485584464">
              <w:marLeft w:val="0"/>
              <w:marRight w:val="0"/>
              <w:marTop w:val="0"/>
              <w:marBottom w:val="0"/>
              <w:divBdr>
                <w:top w:val="none" w:sz="0" w:space="0" w:color="auto"/>
                <w:left w:val="none" w:sz="0" w:space="0" w:color="auto"/>
                <w:bottom w:val="none" w:sz="0" w:space="0" w:color="auto"/>
                <w:right w:val="none" w:sz="0" w:space="0" w:color="auto"/>
              </w:divBdr>
            </w:div>
            <w:div w:id="1789273344">
              <w:marLeft w:val="0"/>
              <w:marRight w:val="0"/>
              <w:marTop w:val="0"/>
              <w:marBottom w:val="0"/>
              <w:divBdr>
                <w:top w:val="none" w:sz="0" w:space="0" w:color="auto"/>
                <w:left w:val="none" w:sz="0" w:space="0" w:color="auto"/>
                <w:bottom w:val="none" w:sz="0" w:space="0" w:color="auto"/>
                <w:right w:val="none" w:sz="0" w:space="0" w:color="auto"/>
              </w:divBdr>
            </w:div>
            <w:div w:id="1810173520">
              <w:marLeft w:val="0"/>
              <w:marRight w:val="0"/>
              <w:marTop w:val="0"/>
              <w:marBottom w:val="0"/>
              <w:divBdr>
                <w:top w:val="none" w:sz="0" w:space="0" w:color="auto"/>
                <w:left w:val="none" w:sz="0" w:space="0" w:color="auto"/>
                <w:bottom w:val="none" w:sz="0" w:space="0" w:color="auto"/>
                <w:right w:val="none" w:sz="0" w:space="0" w:color="auto"/>
              </w:divBdr>
            </w:div>
            <w:div w:id="1964462663">
              <w:marLeft w:val="0"/>
              <w:marRight w:val="0"/>
              <w:marTop w:val="0"/>
              <w:marBottom w:val="0"/>
              <w:divBdr>
                <w:top w:val="none" w:sz="0" w:space="0" w:color="auto"/>
                <w:left w:val="none" w:sz="0" w:space="0" w:color="auto"/>
                <w:bottom w:val="none" w:sz="0" w:space="0" w:color="auto"/>
                <w:right w:val="none" w:sz="0" w:space="0" w:color="auto"/>
              </w:divBdr>
            </w:div>
            <w:div w:id="1977173893">
              <w:marLeft w:val="0"/>
              <w:marRight w:val="0"/>
              <w:marTop w:val="0"/>
              <w:marBottom w:val="0"/>
              <w:divBdr>
                <w:top w:val="none" w:sz="0" w:space="0" w:color="auto"/>
                <w:left w:val="none" w:sz="0" w:space="0" w:color="auto"/>
                <w:bottom w:val="none" w:sz="0" w:space="0" w:color="auto"/>
                <w:right w:val="none" w:sz="0" w:space="0" w:color="auto"/>
              </w:divBdr>
            </w:div>
          </w:divsChild>
        </w:div>
        <w:div w:id="845633978">
          <w:marLeft w:val="0"/>
          <w:marRight w:val="0"/>
          <w:marTop w:val="0"/>
          <w:marBottom w:val="0"/>
          <w:divBdr>
            <w:top w:val="none" w:sz="0" w:space="0" w:color="auto"/>
            <w:left w:val="none" w:sz="0" w:space="0" w:color="auto"/>
            <w:bottom w:val="none" w:sz="0" w:space="0" w:color="auto"/>
            <w:right w:val="none" w:sz="0" w:space="0" w:color="auto"/>
          </w:divBdr>
          <w:divsChild>
            <w:div w:id="2033802191">
              <w:marLeft w:val="0"/>
              <w:marRight w:val="0"/>
              <w:marTop w:val="0"/>
              <w:marBottom w:val="0"/>
              <w:divBdr>
                <w:top w:val="none" w:sz="0" w:space="0" w:color="auto"/>
                <w:left w:val="none" w:sz="0" w:space="0" w:color="auto"/>
                <w:bottom w:val="none" w:sz="0" w:space="0" w:color="auto"/>
                <w:right w:val="none" w:sz="0" w:space="0" w:color="auto"/>
              </w:divBdr>
            </w:div>
          </w:divsChild>
        </w:div>
        <w:div w:id="874654229">
          <w:marLeft w:val="0"/>
          <w:marRight w:val="0"/>
          <w:marTop w:val="0"/>
          <w:marBottom w:val="0"/>
          <w:divBdr>
            <w:top w:val="none" w:sz="0" w:space="0" w:color="auto"/>
            <w:left w:val="none" w:sz="0" w:space="0" w:color="auto"/>
            <w:bottom w:val="none" w:sz="0" w:space="0" w:color="auto"/>
            <w:right w:val="none" w:sz="0" w:space="0" w:color="auto"/>
          </w:divBdr>
          <w:divsChild>
            <w:div w:id="119687461">
              <w:marLeft w:val="0"/>
              <w:marRight w:val="0"/>
              <w:marTop w:val="0"/>
              <w:marBottom w:val="0"/>
              <w:divBdr>
                <w:top w:val="none" w:sz="0" w:space="0" w:color="auto"/>
                <w:left w:val="none" w:sz="0" w:space="0" w:color="auto"/>
                <w:bottom w:val="none" w:sz="0" w:space="0" w:color="auto"/>
                <w:right w:val="none" w:sz="0" w:space="0" w:color="auto"/>
              </w:divBdr>
            </w:div>
          </w:divsChild>
        </w:div>
        <w:div w:id="879321839">
          <w:marLeft w:val="0"/>
          <w:marRight w:val="0"/>
          <w:marTop w:val="0"/>
          <w:marBottom w:val="0"/>
          <w:divBdr>
            <w:top w:val="none" w:sz="0" w:space="0" w:color="auto"/>
            <w:left w:val="none" w:sz="0" w:space="0" w:color="auto"/>
            <w:bottom w:val="none" w:sz="0" w:space="0" w:color="auto"/>
            <w:right w:val="none" w:sz="0" w:space="0" w:color="auto"/>
          </w:divBdr>
          <w:divsChild>
            <w:div w:id="203106411">
              <w:marLeft w:val="0"/>
              <w:marRight w:val="0"/>
              <w:marTop w:val="0"/>
              <w:marBottom w:val="0"/>
              <w:divBdr>
                <w:top w:val="none" w:sz="0" w:space="0" w:color="auto"/>
                <w:left w:val="none" w:sz="0" w:space="0" w:color="auto"/>
                <w:bottom w:val="none" w:sz="0" w:space="0" w:color="auto"/>
                <w:right w:val="none" w:sz="0" w:space="0" w:color="auto"/>
              </w:divBdr>
            </w:div>
          </w:divsChild>
        </w:div>
        <w:div w:id="1811048663">
          <w:marLeft w:val="0"/>
          <w:marRight w:val="0"/>
          <w:marTop w:val="0"/>
          <w:marBottom w:val="0"/>
          <w:divBdr>
            <w:top w:val="none" w:sz="0" w:space="0" w:color="auto"/>
            <w:left w:val="none" w:sz="0" w:space="0" w:color="auto"/>
            <w:bottom w:val="none" w:sz="0" w:space="0" w:color="auto"/>
            <w:right w:val="none" w:sz="0" w:space="0" w:color="auto"/>
          </w:divBdr>
          <w:divsChild>
            <w:div w:id="1373312705">
              <w:marLeft w:val="0"/>
              <w:marRight w:val="0"/>
              <w:marTop w:val="0"/>
              <w:marBottom w:val="0"/>
              <w:divBdr>
                <w:top w:val="none" w:sz="0" w:space="0" w:color="auto"/>
                <w:left w:val="none" w:sz="0" w:space="0" w:color="auto"/>
                <w:bottom w:val="none" w:sz="0" w:space="0" w:color="auto"/>
                <w:right w:val="none" w:sz="0" w:space="0" w:color="auto"/>
              </w:divBdr>
            </w:div>
          </w:divsChild>
        </w:div>
        <w:div w:id="1859389934">
          <w:marLeft w:val="0"/>
          <w:marRight w:val="0"/>
          <w:marTop w:val="0"/>
          <w:marBottom w:val="0"/>
          <w:divBdr>
            <w:top w:val="none" w:sz="0" w:space="0" w:color="auto"/>
            <w:left w:val="none" w:sz="0" w:space="0" w:color="auto"/>
            <w:bottom w:val="none" w:sz="0" w:space="0" w:color="auto"/>
            <w:right w:val="none" w:sz="0" w:space="0" w:color="auto"/>
          </w:divBdr>
          <w:divsChild>
            <w:div w:id="1271861832">
              <w:marLeft w:val="0"/>
              <w:marRight w:val="0"/>
              <w:marTop w:val="0"/>
              <w:marBottom w:val="0"/>
              <w:divBdr>
                <w:top w:val="none" w:sz="0" w:space="0" w:color="auto"/>
                <w:left w:val="none" w:sz="0" w:space="0" w:color="auto"/>
                <w:bottom w:val="none" w:sz="0" w:space="0" w:color="auto"/>
                <w:right w:val="none" w:sz="0" w:space="0" w:color="auto"/>
              </w:divBdr>
            </w:div>
          </w:divsChild>
        </w:div>
        <w:div w:id="2046711886">
          <w:marLeft w:val="0"/>
          <w:marRight w:val="0"/>
          <w:marTop w:val="0"/>
          <w:marBottom w:val="0"/>
          <w:divBdr>
            <w:top w:val="none" w:sz="0" w:space="0" w:color="auto"/>
            <w:left w:val="none" w:sz="0" w:space="0" w:color="auto"/>
            <w:bottom w:val="none" w:sz="0" w:space="0" w:color="auto"/>
            <w:right w:val="none" w:sz="0" w:space="0" w:color="auto"/>
          </w:divBdr>
          <w:divsChild>
            <w:div w:id="1448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24741">
      <w:bodyDiv w:val="1"/>
      <w:marLeft w:val="0"/>
      <w:marRight w:val="0"/>
      <w:marTop w:val="0"/>
      <w:marBottom w:val="0"/>
      <w:divBdr>
        <w:top w:val="none" w:sz="0" w:space="0" w:color="auto"/>
        <w:left w:val="none" w:sz="0" w:space="0" w:color="auto"/>
        <w:bottom w:val="none" w:sz="0" w:space="0" w:color="auto"/>
        <w:right w:val="none" w:sz="0" w:space="0" w:color="auto"/>
      </w:divBdr>
    </w:div>
    <w:div w:id="343673550">
      <w:bodyDiv w:val="1"/>
      <w:marLeft w:val="0"/>
      <w:marRight w:val="0"/>
      <w:marTop w:val="0"/>
      <w:marBottom w:val="0"/>
      <w:divBdr>
        <w:top w:val="none" w:sz="0" w:space="0" w:color="auto"/>
        <w:left w:val="none" w:sz="0" w:space="0" w:color="auto"/>
        <w:bottom w:val="none" w:sz="0" w:space="0" w:color="auto"/>
        <w:right w:val="none" w:sz="0" w:space="0" w:color="auto"/>
      </w:divBdr>
      <w:divsChild>
        <w:div w:id="312754205">
          <w:marLeft w:val="0"/>
          <w:marRight w:val="0"/>
          <w:marTop w:val="0"/>
          <w:marBottom w:val="0"/>
          <w:divBdr>
            <w:top w:val="none" w:sz="0" w:space="0" w:color="auto"/>
            <w:left w:val="none" w:sz="0" w:space="0" w:color="auto"/>
            <w:bottom w:val="none" w:sz="0" w:space="0" w:color="auto"/>
            <w:right w:val="none" w:sz="0" w:space="0" w:color="auto"/>
          </w:divBdr>
          <w:divsChild>
            <w:div w:id="1272859624">
              <w:marLeft w:val="0"/>
              <w:marRight w:val="0"/>
              <w:marTop w:val="0"/>
              <w:marBottom w:val="0"/>
              <w:divBdr>
                <w:top w:val="none" w:sz="0" w:space="0" w:color="auto"/>
                <w:left w:val="none" w:sz="0" w:space="0" w:color="auto"/>
                <w:bottom w:val="none" w:sz="0" w:space="0" w:color="auto"/>
                <w:right w:val="none" w:sz="0" w:space="0" w:color="auto"/>
              </w:divBdr>
            </w:div>
          </w:divsChild>
        </w:div>
        <w:div w:id="539980223">
          <w:marLeft w:val="0"/>
          <w:marRight w:val="0"/>
          <w:marTop w:val="0"/>
          <w:marBottom w:val="0"/>
          <w:divBdr>
            <w:top w:val="none" w:sz="0" w:space="0" w:color="auto"/>
            <w:left w:val="none" w:sz="0" w:space="0" w:color="auto"/>
            <w:bottom w:val="none" w:sz="0" w:space="0" w:color="auto"/>
            <w:right w:val="none" w:sz="0" w:space="0" w:color="auto"/>
          </w:divBdr>
          <w:divsChild>
            <w:div w:id="25105050">
              <w:marLeft w:val="0"/>
              <w:marRight w:val="0"/>
              <w:marTop w:val="0"/>
              <w:marBottom w:val="0"/>
              <w:divBdr>
                <w:top w:val="none" w:sz="0" w:space="0" w:color="auto"/>
                <w:left w:val="none" w:sz="0" w:space="0" w:color="auto"/>
                <w:bottom w:val="none" w:sz="0" w:space="0" w:color="auto"/>
                <w:right w:val="none" w:sz="0" w:space="0" w:color="auto"/>
              </w:divBdr>
            </w:div>
            <w:div w:id="384721807">
              <w:marLeft w:val="0"/>
              <w:marRight w:val="0"/>
              <w:marTop w:val="0"/>
              <w:marBottom w:val="0"/>
              <w:divBdr>
                <w:top w:val="none" w:sz="0" w:space="0" w:color="auto"/>
                <w:left w:val="none" w:sz="0" w:space="0" w:color="auto"/>
                <w:bottom w:val="none" w:sz="0" w:space="0" w:color="auto"/>
                <w:right w:val="none" w:sz="0" w:space="0" w:color="auto"/>
              </w:divBdr>
            </w:div>
            <w:div w:id="781998271">
              <w:marLeft w:val="0"/>
              <w:marRight w:val="0"/>
              <w:marTop w:val="0"/>
              <w:marBottom w:val="0"/>
              <w:divBdr>
                <w:top w:val="none" w:sz="0" w:space="0" w:color="auto"/>
                <w:left w:val="none" w:sz="0" w:space="0" w:color="auto"/>
                <w:bottom w:val="none" w:sz="0" w:space="0" w:color="auto"/>
                <w:right w:val="none" w:sz="0" w:space="0" w:color="auto"/>
              </w:divBdr>
            </w:div>
            <w:div w:id="871725466">
              <w:marLeft w:val="0"/>
              <w:marRight w:val="0"/>
              <w:marTop w:val="0"/>
              <w:marBottom w:val="0"/>
              <w:divBdr>
                <w:top w:val="none" w:sz="0" w:space="0" w:color="auto"/>
                <w:left w:val="none" w:sz="0" w:space="0" w:color="auto"/>
                <w:bottom w:val="none" w:sz="0" w:space="0" w:color="auto"/>
                <w:right w:val="none" w:sz="0" w:space="0" w:color="auto"/>
              </w:divBdr>
            </w:div>
            <w:div w:id="1057359096">
              <w:marLeft w:val="0"/>
              <w:marRight w:val="0"/>
              <w:marTop w:val="0"/>
              <w:marBottom w:val="0"/>
              <w:divBdr>
                <w:top w:val="none" w:sz="0" w:space="0" w:color="auto"/>
                <w:left w:val="none" w:sz="0" w:space="0" w:color="auto"/>
                <w:bottom w:val="none" w:sz="0" w:space="0" w:color="auto"/>
                <w:right w:val="none" w:sz="0" w:space="0" w:color="auto"/>
              </w:divBdr>
            </w:div>
            <w:div w:id="1356613578">
              <w:marLeft w:val="0"/>
              <w:marRight w:val="0"/>
              <w:marTop w:val="0"/>
              <w:marBottom w:val="0"/>
              <w:divBdr>
                <w:top w:val="none" w:sz="0" w:space="0" w:color="auto"/>
                <w:left w:val="none" w:sz="0" w:space="0" w:color="auto"/>
                <w:bottom w:val="none" w:sz="0" w:space="0" w:color="auto"/>
                <w:right w:val="none" w:sz="0" w:space="0" w:color="auto"/>
              </w:divBdr>
            </w:div>
            <w:div w:id="2082211505">
              <w:marLeft w:val="0"/>
              <w:marRight w:val="0"/>
              <w:marTop w:val="0"/>
              <w:marBottom w:val="0"/>
              <w:divBdr>
                <w:top w:val="none" w:sz="0" w:space="0" w:color="auto"/>
                <w:left w:val="none" w:sz="0" w:space="0" w:color="auto"/>
                <w:bottom w:val="none" w:sz="0" w:space="0" w:color="auto"/>
                <w:right w:val="none" w:sz="0" w:space="0" w:color="auto"/>
              </w:divBdr>
            </w:div>
          </w:divsChild>
        </w:div>
        <w:div w:id="1263994627">
          <w:marLeft w:val="0"/>
          <w:marRight w:val="0"/>
          <w:marTop w:val="0"/>
          <w:marBottom w:val="0"/>
          <w:divBdr>
            <w:top w:val="none" w:sz="0" w:space="0" w:color="auto"/>
            <w:left w:val="none" w:sz="0" w:space="0" w:color="auto"/>
            <w:bottom w:val="none" w:sz="0" w:space="0" w:color="auto"/>
            <w:right w:val="none" w:sz="0" w:space="0" w:color="auto"/>
          </w:divBdr>
          <w:divsChild>
            <w:div w:id="7400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4769">
      <w:bodyDiv w:val="1"/>
      <w:marLeft w:val="0"/>
      <w:marRight w:val="0"/>
      <w:marTop w:val="0"/>
      <w:marBottom w:val="0"/>
      <w:divBdr>
        <w:top w:val="none" w:sz="0" w:space="0" w:color="auto"/>
        <w:left w:val="none" w:sz="0" w:space="0" w:color="auto"/>
        <w:bottom w:val="none" w:sz="0" w:space="0" w:color="auto"/>
        <w:right w:val="none" w:sz="0" w:space="0" w:color="auto"/>
      </w:divBdr>
    </w:div>
    <w:div w:id="500966660">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917053459">
      <w:bodyDiv w:val="1"/>
      <w:marLeft w:val="0"/>
      <w:marRight w:val="0"/>
      <w:marTop w:val="0"/>
      <w:marBottom w:val="0"/>
      <w:divBdr>
        <w:top w:val="none" w:sz="0" w:space="0" w:color="auto"/>
        <w:left w:val="none" w:sz="0" w:space="0" w:color="auto"/>
        <w:bottom w:val="none" w:sz="0" w:space="0" w:color="auto"/>
        <w:right w:val="none" w:sz="0" w:space="0" w:color="auto"/>
      </w:divBdr>
    </w:div>
    <w:div w:id="945769949">
      <w:bodyDiv w:val="1"/>
      <w:marLeft w:val="0"/>
      <w:marRight w:val="0"/>
      <w:marTop w:val="0"/>
      <w:marBottom w:val="0"/>
      <w:divBdr>
        <w:top w:val="none" w:sz="0" w:space="0" w:color="auto"/>
        <w:left w:val="none" w:sz="0" w:space="0" w:color="auto"/>
        <w:bottom w:val="none" w:sz="0" w:space="0" w:color="auto"/>
        <w:right w:val="none" w:sz="0" w:space="0" w:color="auto"/>
      </w:divBdr>
      <w:divsChild>
        <w:div w:id="166601251">
          <w:marLeft w:val="0"/>
          <w:marRight w:val="0"/>
          <w:marTop w:val="0"/>
          <w:marBottom w:val="0"/>
          <w:divBdr>
            <w:top w:val="none" w:sz="0" w:space="0" w:color="auto"/>
            <w:left w:val="none" w:sz="0" w:space="0" w:color="auto"/>
            <w:bottom w:val="none" w:sz="0" w:space="0" w:color="auto"/>
            <w:right w:val="none" w:sz="0" w:space="0" w:color="auto"/>
          </w:divBdr>
          <w:divsChild>
            <w:div w:id="272438698">
              <w:marLeft w:val="0"/>
              <w:marRight w:val="0"/>
              <w:marTop w:val="0"/>
              <w:marBottom w:val="0"/>
              <w:divBdr>
                <w:top w:val="none" w:sz="0" w:space="0" w:color="auto"/>
                <w:left w:val="none" w:sz="0" w:space="0" w:color="auto"/>
                <w:bottom w:val="none" w:sz="0" w:space="0" w:color="auto"/>
                <w:right w:val="none" w:sz="0" w:space="0" w:color="auto"/>
              </w:divBdr>
            </w:div>
            <w:div w:id="586042595">
              <w:marLeft w:val="0"/>
              <w:marRight w:val="0"/>
              <w:marTop w:val="0"/>
              <w:marBottom w:val="0"/>
              <w:divBdr>
                <w:top w:val="none" w:sz="0" w:space="0" w:color="auto"/>
                <w:left w:val="none" w:sz="0" w:space="0" w:color="auto"/>
                <w:bottom w:val="none" w:sz="0" w:space="0" w:color="auto"/>
                <w:right w:val="none" w:sz="0" w:space="0" w:color="auto"/>
              </w:divBdr>
            </w:div>
            <w:div w:id="894244195">
              <w:marLeft w:val="0"/>
              <w:marRight w:val="0"/>
              <w:marTop w:val="0"/>
              <w:marBottom w:val="0"/>
              <w:divBdr>
                <w:top w:val="none" w:sz="0" w:space="0" w:color="auto"/>
                <w:left w:val="none" w:sz="0" w:space="0" w:color="auto"/>
                <w:bottom w:val="none" w:sz="0" w:space="0" w:color="auto"/>
                <w:right w:val="none" w:sz="0" w:space="0" w:color="auto"/>
              </w:divBdr>
            </w:div>
            <w:div w:id="1035228305">
              <w:marLeft w:val="0"/>
              <w:marRight w:val="0"/>
              <w:marTop w:val="0"/>
              <w:marBottom w:val="0"/>
              <w:divBdr>
                <w:top w:val="none" w:sz="0" w:space="0" w:color="auto"/>
                <w:left w:val="none" w:sz="0" w:space="0" w:color="auto"/>
                <w:bottom w:val="none" w:sz="0" w:space="0" w:color="auto"/>
                <w:right w:val="none" w:sz="0" w:space="0" w:color="auto"/>
              </w:divBdr>
            </w:div>
            <w:div w:id="1040665000">
              <w:marLeft w:val="0"/>
              <w:marRight w:val="0"/>
              <w:marTop w:val="0"/>
              <w:marBottom w:val="0"/>
              <w:divBdr>
                <w:top w:val="none" w:sz="0" w:space="0" w:color="auto"/>
                <w:left w:val="none" w:sz="0" w:space="0" w:color="auto"/>
                <w:bottom w:val="none" w:sz="0" w:space="0" w:color="auto"/>
                <w:right w:val="none" w:sz="0" w:space="0" w:color="auto"/>
              </w:divBdr>
            </w:div>
            <w:div w:id="1434589747">
              <w:marLeft w:val="0"/>
              <w:marRight w:val="0"/>
              <w:marTop w:val="0"/>
              <w:marBottom w:val="0"/>
              <w:divBdr>
                <w:top w:val="none" w:sz="0" w:space="0" w:color="auto"/>
                <w:left w:val="none" w:sz="0" w:space="0" w:color="auto"/>
                <w:bottom w:val="none" w:sz="0" w:space="0" w:color="auto"/>
                <w:right w:val="none" w:sz="0" w:space="0" w:color="auto"/>
              </w:divBdr>
            </w:div>
            <w:div w:id="1450078830">
              <w:marLeft w:val="0"/>
              <w:marRight w:val="0"/>
              <w:marTop w:val="0"/>
              <w:marBottom w:val="0"/>
              <w:divBdr>
                <w:top w:val="none" w:sz="0" w:space="0" w:color="auto"/>
                <w:left w:val="none" w:sz="0" w:space="0" w:color="auto"/>
                <w:bottom w:val="none" w:sz="0" w:space="0" w:color="auto"/>
                <w:right w:val="none" w:sz="0" w:space="0" w:color="auto"/>
              </w:divBdr>
            </w:div>
            <w:div w:id="1819228909">
              <w:marLeft w:val="0"/>
              <w:marRight w:val="0"/>
              <w:marTop w:val="0"/>
              <w:marBottom w:val="0"/>
              <w:divBdr>
                <w:top w:val="none" w:sz="0" w:space="0" w:color="auto"/>
                <w:left w:val="none" w:sz="0" w:space="0" w:color="auto"/>
                <w:bottom w:val="none" w:sz="0" w:space="0" w:color="auto"/>
                <w:right w:val="none" w:sz="0" w:space="0" w:color="auto"/>
              </w:divBdr>
            </w:div>
            <w:div w:id="1935823313">
              <w:marLeft w:val="0"/>
              <w:marRight w:val="0"/>
              <w:marTop w:val="0"/>
              <w:marBottom w:val="0"/>
              <w:divBdr>
                <w:top w:val="none" w:sz="0" w:space="0" w:color="auto"/>
                <w:left w:val="none" w:sz="0" w:space="0" w:color="auto"/>
                <w:bottom w:val="none" w:sz="0" w:space="0" w:color="auto"/>
                <w:right w:val="none" w:sz="0" w:space="0" w:color="auto"/>
              </w:divBdr>
            </w:div>
          </w:divsChild>
        </w:div>
        <w:div w:id="348525023">
          <w:marLeft w:val="0"/>
          <w:marRight w:val="0"/>
          <w:marTop w:val="0"/>
          <w:marBottom w:val="0"/>
          <w:divBdr>
            <w:top w:val="none" w:sz="0" w:space="0" w:color="auto"/>
            <w:left w:val="none" w:sz="0" w:space="0" w:color="auto"/>
            <w:bottom w:val="none" w:sz="0" w:space="0" w:color="auto"/>
            <w:right w:val="none" w:sz="0" w:space="0" w:color="auto"/>
          </w:divBdr>
          <w:divsChild>
            <w:div w:id="409696195">
              <w:marLeft w:val="0"/>
              <w:marRight w:val="0"/>
              <w:marTop w:val="0"/>
              <w:marBottom w:val="0"/>
              <w:divBdr>
                <w:top w:val="none" w:sz="0" w:space="0" w:color="auto"/>
                <w:left w:val="none" w:sz="0" w:space="0" w:color="auto"/>
                <w:bottom w:val="none" w:sz="0" w:space="0" w:color="auto"/>
                <w:right w:val="none" w:sz="0" w:space="0" w:color="auto"/>
              </w:divBdr>
            </w:div>
          </w:divsChild>
        </w:div>
        <w:div w:id="643507173">
          <w:marLeft w:val="0"/>
          <w:marRight w:val="0"/>
          <w:marTop w:val="0"/>
          <w:marBottom w:val="0"/>
          <w:divBdr>
            <w:top w:val="none" w:sz="0" w:space="0" w:color="auto"/>
            <w:left w:val="none" w:sz="0" w:space="0" w:color="auto"/>
            <w:bottom w:val="none" w:sz="0" w:space="0" w:color="auto"/>
            <w:right w:val="none" w:sz="0" w:space="0" w:color="auto"/>
          </w:divBdr>
          <w:divsChild>
            <w:div w:id="62024338">
              <w:marLeft w:val="0"/>
              <w:marRight w:val="0"/>
              <w:marTop w:val="0"/>
              <w:marBottom w:val="0"/>
              <w:divBdr>
                <w:top w:val="none" w:sz="0" w:space="0" w:color="auto"/>
                <w:left w:val="none" w:sz="0" w:space="0" w:color="auto"/>
                <w:bottom w:val="none" w:sz="0" w:space="0" w:color="auto"/>
                <w:right w:val="none" w:sz="0" w:space="0" w:color="auto"/>
              </w:divBdr>
            </w:div>
            <w:div w:id="66416856">
              <w:marLeft w:val="0"/>
              <w:marRight w:val="0"/>
              <w:marTop w:val="0"/>
              <w:marBottom w:val="0"/>
              <w:divBdr>
                <w:top w:val="none" w:sz="0" w:space="0" w:color="auto"/>
                <w:left w:val="none" w:sz="0" w:space="0" w:color="auto"/>
                <w:bottom w:val="none" w:sz="0" w:space="0" w:color="auto"/>
                <w:right w:val="none" w:sz="0" w:space="0" w:color="auto"/>
              </w:divBdr>
            </w:div>
            <w:div w:id="302005740">
              <w:marLeft w:val="0"/>
              <w:marRight w:val="0"/>
              <w:marTop w:val="0"/>
              <w:marBottom w:val="0"/>
              <w:divBdr>
                <w:top w:val="none" w:sz="0" w:space="0" w:color="auto"/>
                <w:left w:val="none" w:sz="0" w:space="0" w:color="auto"/>
                <w:bottom w:val="none" w:sz="0" w:space="0" w:color="auto"/>
                <w:right w:val="none" w:sz="0" w:space="0" w:color="auto"/>
              </w:divBdr>
            </w:div>
            <w:div w:id="605119519">
              <w:marLeft w:val="0"/>
              <w:marRight w:val="0"/>
              <w:marTop w:val="0"/>
              <w:marBottom w:val="0"/>
              <w:divBdr>
                <w:top w:val="none" w:sz="0" w:space="0" w:color="auto"/>
                <w:left w:val="none" w:sz="0" w:space="0" w:color="auto"/>
                <w:bottom w:val="none" w:sz="0" w:space="0" w:color="auto"/>
                <w:right w:val="none" w:sz="0" w:space="0" w:color="auto"/>
              </w:divBdr>
            </w:div>
            <w:div w:id="770201019">
              <w:marLeft w:val="0"/>
              <w:marRight w:val="0"/>
              <w:marTop w:val="0"/>
              <w:marBottom w:val="0"/>
              <w:divBdr>
                <w:top w:val="none" w:sz="0" w:space="0" w:color="auto"/>
                <w:left w:val="none" w:sz="0" w:space="0" w:color="auto"/>
                <w:bottom w:val="none" w:sz="0" w:space="0" w:color="auto"/>
                <w:right w:val="none" w:sz="0" w:space="0" w:color="auto"/>
              </w:divBdr>
            </w:div>
            <w:div w:id="937299388">
              <w:marLeft w:val="0"/>
              <w:marRight w:val="0"/>
              <w:marTop w:val="0"/>
              <w:marBottom w:val="0"/>
              <w:divBdr>
                <w:top w:val="none" w:sz="0" w:space="0" w:color="auto"/>
                <w:left w:val="none" w:sz="0" w:space="0" w:color="auto"/>
                <w:bottom w:val="none" w:sz="0" w:space="0" w:color="auto"/>
                <w:right w:val="none" w:sz="0" w:space="0" w:color="auto"/>
              </w:divBdr>
            </w:div>
            <w:div w:id="1088309000">
              <w:marLeft w:val="0"/>
              <w:marRight w:val="0"/>
              <w:marTop w:val="0"/>
              <w:marBottom w:val="0"/>
              <w:divBdr>
                <w:top w:val="none" w:sz="0" w:space="0" w:color="auto"/>
                <w:left w:val="none" w:sz="0" w:space="0" w:color="auto"/>
                <w:bottom w:val="none" w:sz="0" w:space="0" w:color="auto"/>
                <w:right w:val="none" w:sz="0" w:space="0" w:color="auto"/>
              </w:divBdr>
            </w:div>
            <w:div w:id="1142189148">
              <w:marLeft w:val="0"/>
              <w:marRight w:val="0"/>
              <w:marTop w:val="0"/>
              <w:marBottom w:val="0"/>
              <w:divBdr>
                <w:top w:val="none" w:sz="0" w:space="0" w:color="auto"/>
                <w:left w:val="none" w:sz="0" w:space="0" w:color="auto"/>
                <w:bottom w:val="none" w:sz="0" w:space="0" w:color="auto"/>
                <w:right w:val="none" w:sz="0" w:space="0" w:color="auto"/>
              </w:divBdr>
            </w:div>
            <w:div w:id="1861506596">
              <w:marLeft w:val="0"/>
              <w:marRight w:val="0"/>
              <w:marTop w:val="0"/>
              <w:marBottom w:val="0"/>
              <w:divBdr>
                <w:top w:val="none" w:sz="0" w:space="0" w:color="auto"/>
                <w:left w:val="none" w:sz="0" w:space="0" w:color="auto"/>
                <w:bottom w:val="none" w:sz="0" w:space="0" w:color="auto"/>
                <w:right w:val="none" w:sz="0" w:space="0" w:color="auto"/>
              </w:divBdr>
            </w:div>
            <w:div w:id="1887641429">
              <w:marLeft w:val="0"/>
              <w:marRight w:val="0"/>
              <w:marTop w:val="0"/>
              <w:marBottom w:val="0"/>
              <w:divBdr>
                <w:top w:val="none" w:sz="0" w:space="0" w:color="auto"/>
                <w:left w:val="none" w:sz="0" w:space="0" w:color="auto"/>
                <w:bottom w:val="none" w:sz="0" w:space="0" w:color="auto"/>
                <w:right w:val="none" w:sz="0" w:space="0" w:color="auto"/>
              </w:divBdr>
            </w:div>
            <w:div w:id="2144614293">
              <w:marLeft w:val="0"/>
              <w:marRight w:val="0"/>
              <w:marTop w:val="0"/>
              <w:marBottom w:val="0"/>
              <w:divBdr>
                <w:top w:val="none" w:sz="0" w:space="0" w:color="auto"/>
                <w:left w:val="none" w:sz="0" w:space="0" w:color="auto"/>
                <w:bottom w:val="none" w:sz="0" w:space="0" w:color="auto"/>
                <w:right w:val="none" w:sz="0" w:space="0" w:color="auto"/>
              </w:divBdr>
            </w:div>
          </w:divsChild>
        </w:div>
        <w:div w:id="734548944">
          <w:marLeft w:val="0"/>
          <w:marRight w:val="0"/>
          <w:marTop w:val="0"/>
          <w:marBottom w:val="0"/>
          <w:divBdr>
            <w:top w:val="none" w:sz="0" w:space="0" w:color="auto"/>
            <w:left w:val="none" w:sz="0" w:space="0" w:color="auto"/>
            <w:bottom w:val="none" w:sz="0" w:space="0" w:color="auto"/>
            <w:right w:val="none" w:sz="0" w:space="0" w:color="auto"/>
          </w:divBdr>
          <w:divsChild>
            <w:div w:id="938950745">
              <w:marLeft w:val="0"/>
              <w:marRight w:val="0"/>
              <w:marTop w:val="0"/>
              <w:marBottom w:val="0"/>
              <w:divBdr>
                <w:top w:val="none" w:sz="0" w:space="0" w:color="auto"/>
                <w:left w:val="none" w:sz="0" w:space="0" w:color="auto"/>
                <w:bottom w:val="none" w:sz="0" w:space="0" w:color="auto"/>
                <w:right w:val="none" w:sz="0" w:space="0" w:color="auto"/>
              </w:divBdr>
            </w:div>
          </w:divsChild>
        </w:div>
        <w:div w:id="901520581">
          <w:marLeft w:val="0"/>
          <w:marRight w:val="0"/>
          <w:marTop w:val="0"/>
          <w:marBottom w:val="0"/>
          <w:divBdr>
            <w:top w:val="none" w:sz="0" w:space="0" w:color="auto"/>
            <w:left w:val="none" w:sz="0" w:space="0" w:color="auto"/>
            <w:bottom w:val="none" w:sz="0" w:space="0" w:color="auto"/>
            <w:right w:val="none" w:sz="0" w:space="0" w:color="auto"/>
          </w:divBdr>
          <w:divsChild>
            <w:div w:id="1131510724">
              <w:marLeft w:val="0"/>
              <w:marRight w:val="0"/>
              <w:marTop w:val="0"/>
              <w:marBottom w:val="0"/>
              <w:divBdr>
                <w:top w:val="none" w:sz="0" w:space="0" w:color="auto"/>
                <w:left w:val="none" w:sz="0" w:space="0" w:color="auto"/>
                <w:bottom w:val="none" w:sz="0" w:space="0" w:color="auto"/>
                <w:right w:val="none" w:sz="0" w:space="0" w:color="auto"/>
              </w:divBdr>
            </w:div>
          </w:divsChild>
        </w:div>
        <w:div w:id="1003163053">
          <w:marLeft w:val="0"/>
          <w:marRight w:val="0"/>
          <w:marTop w:val="0"/>
          <w:marBottom w:val="0"/>
          <w:divBdr>
            <w:top w:val="none" w:sz="0" w:space="0" w:color="auto"/>
            <w:left w:val="none" w:sz="0" w:space="0" w:color="auto"/>
            <w:bottom w:val="none" w:sz="0" w:space="0" w:color="auto"/>
            <w:right w:val="none" w:sz="0" w:space="0" w:color="auto"/>
          </w:divBdr>
          <w:divsChild>
            <w:div w:id="934676215">
              <w:marLeft w:val="0"/>
              <w:marRight w:val="0"/>
              <w:marTop w:val="0"/>
              <w:marBottom w:val="0"/>
              <w:divBdr>
                <w:top w:val="none" w:sz="0" w:space="0" w:color="auto"/>
                <w:left w:val="none" w:sz="0" w:space="0" w:color="auto"/>
                <w:bottom w:val="none" w:sz="0" w:space="0" w:color="auto"/>
                <w:right w:val="none" w:sz="0" w:space="0" w:color="auto"/>
              </w:divBdr>
            </w:div>
          </w:divsChild>
        </w:div>
        <w:div w:id="1057629509">
          <w:marLeft w:val="0"/>
          <w:marRight w:val="0"/>
          <w:marTop w:val="0"/>
          <w:marBottom w:val="0"/>
          <w:divBdr>
            <w:top w:val="none" w:sz="0" w:space="0" w:color="auto"/>
            <w:left w:val="none" w:sz="0" w:space="0" w:color="auto"/>
            <w:bottom w:val="none" w:sz="0" w:space="0" w:color="auto"/>
            <w:right w:val="none" w:sz="0" w:space="0" w:color="auto"/>
          </w:divBdr>
          <w:divsChild>
            <w:div w:id="892425954">
              <w:marLeft w:val="0"/>
              <w:marRight w:val="0"/>
              <w:marTop w:val="0"/>
              <w:marBottom w:val="0"/>
              <w:divBdr>
                <w:top w:val="none" w:sz="0" w:space="0" w:color="auto"/>
                <w:left w:val="none" w:sz="0" w:space="0" w:color="auto"/>
                <w:bottom w:val="none" w:sz="0" w:space="0" w:color="auto"/>
                <w:right w:val="none" w:sz="0" w:space="0" w:color="auto"/>
              </w:divBdr>
            </w:div>
          </w:divsChild>
        </w:div>
        <w:div w:id="1149786441">
          <w:marLeft w:val="0"/>
          <w:marRight w:val="0"/>
          <w:marTop w:val="0"/>
          <w:marBottom w:val="0"/>
          <w:divBdr>
            <w:top w:val="none" w:sz="0" w:space="0" w:color="auto"/>
            <w:left w:val="none" w:sz="0" w:space="0" w:color="auto"/>
            <w:bottom w:val="none" w:sz="0" w:space="0" w:color="auto"/>
            <w:right w:val="none" w:sz="0" w:space="0" w:color="auto"/>
          </w:divBdr>
          <w:divsChild>
            <w:div w:id="91165457">
              <w:marLeft w:val="0"/>
              <w:marRight w:val="0"/>
              <w:marTop w:val="0"/>
              <w:marBottom w:val="0"/>
              <w:divBdr>
                <w:top w:val="none" w:sz="0" w:space="0" w:color="auto"/>
                <w:left w:val="none" w:sz="0" w:space="0" w:color="auto"/>
                <w:bottom w:val="none" w:sz="0" w:space="0" w:color="auto"/>
                <w:right w:val="none" w:sz="0" w:space="0" w:color="auto"/>
              </w:divBdr>
            </w:div>
            <w:div w:id="135951783">
              <w:marLeft w:val="0"/>
              <w:marRight w:val="0"/>
              <w:marTop w:val="0"/>
              <w:marBottom w:val="0"/>
              <w:divBdr>
                <w:top w:val="none" w:sz="0" w:space="0" w:color="auto"/>
                <w:left w:val="none" w:sz="0" w:space="0" w:color="auto"/>
                <w:bottom w:val="none" w:sz="0" w:space="0" w:color="auto"/>
                <w:right w:val="none" w:sz="0" w:space="0" w:color="auto"/>
              </w:divBdr>
            </w:div>
            <w:div w:id="679353458">
              <w:marLeft w:val="0"/>
              <w:marRight w:val="0"/>
              <w:marTop w:val="0"/>
              <w:marBottom w:val="0"/>
              <w:divBdr>
                <w:top w:val="none" w:sz="0" w:space="0" w:color="auto"/>
                <w:left w:val="none" w:sz="0" w:space="0" w:color="auto"/>
                <w:bottom w:val="none" w:sz="0" w:space="0" w:color="auto"/>
                <w:right w:val="none" w:sz="0" w:space="0" w:color="auto"/>
              </w:divBdr>
            </w:div>
            <w:div w:id="714355300">
              <w:marLeft w:val="0"/>
              <w:marRight w:val="0"/>
              <w:marTop w:val="0"/>
              <w:marBottom w:val="0"/>
              <w:divBdr>
                <w:top w:val="none" w:sz="0" w:space="0" w:color="auto"/>
                <w:left w:val="none" w:sz="0" w:space="0" w:color="auto"/>
                <w:bottom w:val="none" w:sz="0" w:space="0" w:color="auto"/>
                <w:right w:val="none" w:sz="0" w:space="0" w:color="auto"/>
              </w:divBdr>
            </w:div>
            <w:div w:id="1338381750">
              <w:marLeft w:val="0"/>
              <w:marRight w:val="0"/>
              <w:marTop w:val="0"/>
              <w:marBottom w:val="0"/>
              <w:divBdr>
                <w:top w:val="none" w:sz="0" w:space="0" w:color="auto"/>
                <w:left w:val="none" w:sz="0" w:space="0" w:color="auto"/>
                <w:bottom w:val="none" w:sz="0" w:space="0" w:color="auto"/>
                <w:right w:val="none" w:sz="0" w:space="0" w:color="auto"/>
              </w:divBdr>
            </w:div>
            <w:div w:id="1345783361">
              <w:marLeft w:val="0"/>
              <w:marRight w:val="0"/>
              <w:marTop w:val="0"/>
              <w:marBottom w:val="0"/>
              <w:divBdr>
                <w:top w:val="none" w:sz="0" w:space="0" w:color="auto"/>
                <w:left w:val="none" w:sz="0" w:space="0" w:color="auto"/>
                <w:bottom w:val="none" w:sz="0" w:space="0" w:color="auto"/>
                <w:right w:val="none" w:sz="0" w:space="0" w:color="auto"/>
              </w:divBdr>
            </w:div>
            <w:div w:id="1373846598">
              <w:marLeft w:val="0"/>
              <w:marRight w:val="0"/>
              <w:marTop w:val="0"/>
              <w:marBottom w:val="0"/>
              <w:divBdr>
                <w:top w:val="none" w:sz="0" w:space="0" w:color="auto"/>
                <w:left w:val="none" w:sz="0" w:space="0" w:color="auto"/>
                <w:bottom w:val="none" w:sz="0" w:space="0" w:color="auto"/>
                <w:right w:val="none" w:sz="0" w:space="0" w:color="auto"/>
              </w:divBdr>
            </w:div>
            <w:div w:id="1766076354">
              <w:marLeft w:val="0"/>
              <w:marRight w:val="0"/>
              <w:marTop w:val="0"/>
              <w:marBottom w:val="0"/>
              <w:divBdr>
                <w:top w:val="none" w:sz="0" w:space="0" w:color="auto"/>
                <w:left w:val="none" w:sz="0" w:space="0" w:color="auto"/>
                <w:bottom w:val="none" w:sz="0" w:space="0" w:color="auto"/>
                <w:right w:val="none" w:sz="0" w:space="0" w:color="auto"/>
              </w:divBdr>
            </w:div>
            <w:div w:id="1773743166">
              <w:marLeft w:val="0"/>
              <w:marRight w:val="0"/>
              <w:marTop w:val="0"/>
              <w:marBottom w:val="0"/>
              <w:divBdr>
                <w:top w:val="none" w:sz="0" w:space="0" w:color="auto"/>
                <w:left w:val="none" w:sz="0" w:space="0" w:color="auto"/>
                <w:bottom w:val="none" w:sz="0" w:space="0" w:color="auto"/>
                <w:right w:val="none" w:sz="0" w:space="0" w:color="auto"/>
              </w:divBdr>
            </w:div>
            <w:div w:id="1901012419">
              <w:marLeft w:val="0"/>
              <w:marRight w:val="0"/>
              <w:marTop w:val="0"/>
              <w:marBottom w:val="0"/>
              <w:divBdr>
                <w:top w:val="none" w:sz="0" w:space="0" w:color="auto"/>
                <w:left w:val="none" w:sz="0" w:space="0" w:color="auto"/>
                <w:bottom w:val="none" w:sz="0" w:space="0" w:color="auto"/>
                <w:right w:val="none" w:sz="0" w:space="0" w:color="auto"/>
              </w:divBdr>
            </w:div>
          </w:divsChild>
        </w:div>
        <w:div w:id="1737625411">
          <w:marLeft w:val="0"/>
          <w:marRight w:val="0"/>
          <w:marTop w:val="0"/>
          <w:marBottom w:val="0"/>
          <w:divBdr>
            <w:top w:val="none" w:sz="0" w:space="0" w:color="auto"/>
            <w:left w:val="none" w:sz="0" w:space="0" w:color="auto"/>
            <w:bottom w:val="none" w:sz="0" w:space="0" w:color="auto"/>
            <w:right w:val="none" w:sz="0" w:space="0" w:color="auto"/>
          </w:divBdr>
          <w:divsChild>
            <w:div w:id="149835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290626666">
      <w:bodyDiv w:val="1"/>
      <w:marLeft w:val="0"/>
      <w:marRight w:val="0"/>
      <w:marTop w:val="0"/>
      <w:marBottom w:val="0"/>
      <w:divBdr>
        <w:top w:val="none" w:sz="0" w:space="0" w:color="auto"/>
        <w:left w:val="none" w:sz="0" w:space="0" w:color="auto"/>
        <w:bottom w:val="none" w:sz="0" w:space="0" w:color="auto"/>
        <w:right w:val="none" w:sz="0" w:space="0" w:color="auto"/>
      </w:divBdr>
      <w:divsChild>
        <w:div w:id="36584287">
          <w:marLeft w:val="0"/>
          <w:marRight w:val="0"/>
          <w:marTop w:val="0"/>
          <w:marBottom w:val="0"/>
          <w:divBdr>
            <w:top w:val="none" w:sz="0" w:space="0" w:color="auto"/>
            <w:left w:val="none" w:sz="0" w:space="0" w:color="auto"/>
            <w:bottom w:val="none" w:sz="0" w:space="0" w:color="auto"/>
            <w:right w:val="none" w:sz="0" w:space="0" w:color="auto"/>
          </w:divBdr>
          <w:divsChild>
            <w:div w:id="712582919">
              <w:marLeft w:val="0"/>
              <w:marRight w:val="0"/>
              <w:marTop w:val="0"/>
              <w:marBottom w:val="0"/>
              <w:divBdr>
                <w:top w:val="none" w:sz="0" w:space="0" w:color="auto"/>
                <w:left w:val="none" w:sz="0" w:space="0" w:color="auto"/>
                <w:bottom w:val="none" w:sz="0" w:space="0" w:color="auto"/>
                <w:right w:val="none" w:sz="0" w:space="0" w:color="auto"/>
              </w:divBdr>
            </w:div>
            <w:div w:id="897132149">
              <w:marLeft w:val="0"/>
              <w:marRight w:val="0"/>
              <w:marTop w:val="0"/>
              <w:marBottom w:val="0"/>
              <w:divBdr>
                <w:top w:val="none" w:sz="0" w:space="0" w:color="auto"/>
                <w:left w:val="none" w:sz="0" w:space="0" w:color="auto"/>
                <w:bottom w:val="none" w:sz="0" w:space="0" w:color="auto"/>
                <w:right w:val="none" w:sz="0" w:space="0" w:color="auto"/>
              </w:divBdr>
            </w:div>
            <w:div w:id="914125757">
              <w:marLeft w:val="0"/>
              <w:marRight w:val="0"/>
              <w:marTop w:val="0"/>
              <w:marBottom w:val="0"/>
              <w:divBdr>
                <w:top w:val="none" w:sz="0" w:space="0" w:color="auto"/>
                <w:left w:val="none" w:sz="0" w:space="0" w:color="auto"/>
                <w:bottom w:val="none" w:sz="0" w:space="0" w:color="auto"/>
                <w:right w:val="none" w:sz="0" w:space="0" w:color="auto"/>
              </w:divBdr>
            </w:div>
            <w:div w:id="1286427302">
              <w:marLeft w:val="0"/>
              <w:marRight w:val="0"/>
              <w:marTop w:val="0"/>
              <w:marBottom w:val="0"/>
              <w:divBdr>
                <w:top w:val="none" w:sz="0" w:space="0" w:color="auto"/>
                <w:left w:val="none" w:sz="0" w:space="0" w:color="auto"/>
                <w:bottom w:val="none" w:sz="0" w:space="0" w:color="auto"/>
                <w:right w:val="none" w:sz="0" w:space="0" w:color="auto"/>
              </w:divBdr>
            </w:div>
            <w:div w:id="1466851321">
              <w:marLeft w:val="0"/>
              <w:marRight w:val="0"/>
              <w:marTop w:val="0"/>
              <w:marBottom w:val="0"/>
              <w:divBdr>
                <w:top w:val="none" w:sz="0" w:space="0" w:color="auto"/>
                <w:left w:val="none" w:sz="0" w:space="0" w:color="auto"/>
                <w:bottom w:val="none" w:sz="0" w:space="0" w:color="auto"/>
                <w:right w:val="none" w:sz="0" w:space="0" w:color="auto"/>
              </w:divBdr>
            </w:div>
            <w:div w:id="1613899156">
              <w:marLeft w:val="0"/>
              <w:marRight w:val="0"/>
              <w:marTop w:val="0"/>
              <w:marBottom w:val="0"/>
              <w:divBdr>
                <w:top w:val="none" w:sz="0" w:space="0" w:color="auto"/>
                <w:left w:val="none" w:sz="0" w:space="0" w:color="auto"/>
                <w:bottom w:val="none" w:sz="0" w:space="0" w:color="auto"/>
                <w:right w:val="none" w:sz="0" w:space="0" w:color="auto"/>
              </w:divBdr>
            </w:div>
            <w:div w:id="1647516825">
              <w:marLeft w:val="0"/>
              <w:marRight w:val="0"/>
              <w:marTop w:val="0"/>
              <w:marBottom w:val="0"/>
              <w:divBdr>
                <w:top w:val="none" w:sz="0" w:space="0" w:color="auto"/>
                <w:left w:val="none" w:sz="0" w:space="0" w:color="auto"/>
                <w:bottom w:val="none" w:sz="0" w:space="0" w:color="auto"/>
                <w:right w:val="none" w:sz="0" w:space="0" w:color="auto"/>
              </w:divBdr>
            </w:div>
            <w:div w:id="1701320577">
              <w:marLeft w:val="0"/>
              <w:marRight w:val="0"/>
              <w:marTop w:val="0"/>
              <w:marBottom w:val="0"/>
              <w:divBdr>
                <w:top w:val="none" w:sz="0" w:space="0" w:color="auto"/>
                <w:left w:val="none" w:sz="0" w:space="0" w:color="auto"/>
                <w:bottom w:val="none" w:sz="0" w:space="0" w:color="auto"/>
                <w:right w:val="none" w:sz="0" w:space="0" w:color="auto"/>
              </w:divBdr>
            </w:div>
            <w:div w:id="1888760389">
              <w:marLeft w:val="0"/>
              <w:marRight w:val="0"/>
              <w:marTop w:val="0"/>
              <w:marBottom w:val="0"/>
              <w:divBdr>
                <w:top w:val="none" w:sz="0" w:space="0" w:color="auto"/>
                <w:left w:val="none" w:sz="0" w:space="0" w:color="auto"/>
                <w:bottom w:val="none" w:sz="0" w:space="0" w:color="auto"/>
                <w:right w:val="none" w:sz="0" w:space="0" w:color="auto"/>
              </w:divBdr>
            </w:div>
          </w:divsChild>
        </w:div>
        <w:div w:id="333727082">
          <w:marLeft w:val="0"/>
          <w:marRight w:val="0"/>
          <w:marTop w:val="0"/>
          <w:marBottom w:val="0"/>
          <w:divBdr>
            <w:top w:val="none" w:sz="0" w:space="0" w:color="auto"/>
            <w:left w:val="none" w:sz="0" w:space="0" w:color="auto"/>
            <w:bottom w:val="none" w:sz="0" w:space="0" w:color="auto"/>
            <w:right w:val="none" w:sz="0" w:space="0" w:color="auto"/>
          </w:divBdr>
          <w:divsChild>
            <w:div w:id="393310984">
              <w:marLeft w:val="0"/>
              <w:marRight w:val="0"/>
              <w:marTop w:val="0"/>
              <w:marBottom w:val="0"/>
              <w:divBdr>
                <w:top w:val="none" w:sz="0" w:space="0" w:color="auto"/>
                <w:left w:val="none" w:sz="0" w:space="0" w:color="auto"/>
                <w:bottom w:val="none" w:sz="0" w:space="0" w:color="auto"/>
                <w:right w:val="none" w:sz="0" w:space="0" w:color="auto"/>
              </w:divBdr>
            </w:div>
            <w:div w:id="400640600">
              <w:marLeft w:val="0"/>
              <w:marRight w:val="0"/>
              <w:marTop w:val="0"/>
              <w:marBottom w:val="0"/>
              <w:divBdr>
                <w:top w:val="none" w:sz="0" w:space="0" w:color="auto"/>
                <w:left w:val="none" w:sz="0" w:space="0" w:color="auto"/>
                <w:bottom w:val="none" w:sz="0" w:space="0" w:color="auto"/>
                <w:right w:val="none" w:sz="0" w:space="0" w:color="auto"/>
              </w:divBdr>
            </w:div>
            <w:div w:id="753014144">
              <w:marLeft w:val="0"/>
              <w:marRight w:val="0"/>
              <w:marTop w:val="0"/>
              <w:marBottom w:val="0"/>
              <w:divBdr>
                <w:top w:val="none" w:sz="0" w:space="0" w:color="auto"/>
                <w:left w:val="none" w:sz="0" w:space="0" w:color="auto"/>
                <w:bottom w:val="none" w:sz="0" w:space="0" w:color="auto"/>
                <w:right w:val="none" w:sz="0" w:space="0" w:color="auto"/>
              </w:divBdr>
            </w:div>
            <w:div w:id="851652031">
              <w:marLeft w:val="0"/>
              <w:marRight w:val="0"/>
              <w:marTop w:val="0"/>
              <w:marBottom w:val="0"/>
              <w:divBdr>
                <w:top w:val="none" w:sz="0" w:space="0" w:color="auto"/>
                <w:left w:val="none" w:sz="0" w:space="0" w:color="auto"/>
                <w:bottom w:val="none" w:sz="0" w:space="0" w:color="auto"/>
                <w:right w:val="none" w:sz="0" w:space="0" w:color="auto"/>
              </w:divBdr>
            </w:div>
            <w:div w:id="1025980023">
              <w:marLeft w:val="0"/>
              <w:marRight w:val="0"/>
              <w:marTop w:val="0"/>
              <w:marBottom w:val="0"/>
              <w:divBdr>
                <w:top w:val="none" w:sz="0" w:space="0" w:color="auto"/>
                <w:left w:val="none" w:sz="0" w:space="0" w:color="auto"/>
                <w:bottom w:val="none" w:sz="0" w:space="0" w:color="auto"/>
                <w:right w:val="none" w:sz="0" w:space="0" w:color="auto"/>
              </w:divBdr>
            </w:div>
            <w:div w:id="1075395709">
              <w:marLeft w:val="0"/>
              <w:marRight w:val="0"/>
              <w:marTop w:val="0"/>
              <w:marBottom w:val="0"/>
              <w:divBdr>
                <w:top w:val="none" w:sz="0" w:space="0" w:color="auto"/>
                <w:left w:val="none" w:sz="0" w:space="0" w:color="auto"/>
                <w:bottom w:val="none" w:sz="0" w:space="0" w:color="auto"/>
                <w:right w:val="none" w:sz="0" w:space="0" w:color="auto"/>
              </w:divBdr>
            </w:div>
            <w:div w:id="1428699205">
              <w:marLeft w:val="0"/>
              <w:marRight w:val="0"/>
              <w:marTop w:val="0"/>
              <w:marBottom w:val="0"/>
              <w:divBdr>
                <w:top w:val="none" w:sz="0" w:space="0" w:color="auto"/>
                <w:left w:val="none" w:sz="0" w:space="0" w:color="auto"/>
                <w:bottom w:val="none" w:sz="0" w:space="0" w:color="auto"/>
                <w:right w:val="none" w:sz="0" w:space="0" w:color="auto"/>
              </w:divBdr>
            </w:div>
            <w:div w:id="1669139977">
              <w:marLeft w:val="0"/>
              <w:marRight w:val="0"/>
              <w:marTop w:val="0"/>
              <w:marBottom w:val="0"/>
              <w:divBdr>
                <w:top w:val="none" w:sz="0" w:space="0" w:color="auto"/>
                <w:left w:val="none" w:sz="0" w:space="0" w:color="auto"/>
                <w:bottom w:val="none" w:sz="0" w:space="0" w:color="auto"/>
                <w:right w:val="none" w:sz="0" w:space="0" w:color="auto"/>
              </w:divBdr>
            </w:div>
            <w:div w:id="1770735052">
              <w:marLeft w:val="0"/>
              <w:marRight w:val="0"/>
              <w:marTop w:val="0"/>
              <w:marBottom w:val="0"/>
              <w:divBdr>
                <w:top w:val="none" w:sz="0" w:space="0" w:color="auto"/>
                <w:left w:val="none" w:sz="0" w:space="0" w:color="auto"/>
                <w:bottom w:val="none" w:sz="0" w:space="0" w:color="auto"/>
                <w:right w:val="none" w:sz="0" w:space="0" w:color="auto"/>
              </w:divBdr>
            </w:div>
            <w:div w:id="2057200756">
              <w:marLeft w:val="0"/>
              <w:marRight w:val="0"/>
              <w:marTop w:val="0"/>
              <w:marBottom w:val="0"/>
              <w:divBdr>
                <w:top w:val="none" w:sz="0" w:space="0" w:color="auto"/>
                <w:left w:val="none" w:sz="0" w:space="0" w:color="auto"/>
                <w:bottom w:val="none" w:sz="0" w:space="0" w:color="auto"/>
                <w:right w:val="none" w:sz="0" w:space="0" w:color="auto"/>
              </w:divBdr>
            </w:div>
          </w:divsChild>
        </w:div>
        <w:div w:id="452134230">
          <w:marLeft w:val="0"/>
          <w:marRight w:val="0"/>
          <w:marTop w:val="0"/>
          <w:marBottom w:val="0"/>
          <w:divBdr>
            <w:top w:val="none" w:sz="0" w:space="0" w:color="auto"/>
            <w:left w:val="none" w:sz="0" w:space="0" w:color="auto"/>
            <w:bottom w:val="none" w:sz="0" w:space="0" w:color="auto"/>
            <w:right w:val="none" w:sz="0" w:space="0" w:color="auto"/>
          </w:divBdr>
          <w:divsChild>
            <w:div w:id="216010061">
              <w:marLeft w:val="0"/>
              <w:marRight w:val="0"/>
              <w:marTop w:val="0"/>
              <w:marBottom w:val="0"/>
              <w:divBdr>
                <w:top w:val="none" w:sz="0" w:space="0" w:color="auto"/>
                <w:left w:val="none" w:sz="0" w:space="0" w:color="auto"/>
                <w:bottom w:val="none" w:sz="0" w:space="0" w:color="auto"/>
                <w:right w:val="none" w:sz="0" w:space="0" w:color="auto"/>
              </w:divBdr>
            </w:div>
            <w:div w:id="291252998">
              <w:marLeft w:val="0"/>
              <w:marRight w:val="0"/>
              <w:marTop w:val="0"/>
              <w:marBottom w:val="0"/>
              <w:divBdr>
                <w:top w:val="none" w:sz="0" w:space="0" w:color="auto"/>
                <w:left w:val="none" w:sz="0" w:space="0" w:color="auto"/>
                <w:bottom w:val="none" w:sz="0" w:space="0" w:color="auto"/>
                <w:right w:val="none" w:sz="0" w:space="0" w:color="auto"/>
              </w:divBdr>
            </w:div>
            <w:div w:id="295528999">
              <w:marLeft w:val="0"/>
              <w:marRight w:val="0"/>
              <w:marTop w:val="0"/>
              <w:marBottom w:val="0"/>
              <w:divBdr>
                <w:top w:val="none" w:sz="0" w:space="0" w:color="auto"/>
                <w:left w:val="none" w:sz="0" w:space="0" w:color="auto"/>
                <w:bottom w:val="none" w:sz="0" w:space="0" w:color="auto"/>
                <w:right w:val="none" w:sz="0" w:space="0" w:color="auto"/>
              </w:divBdr>
            </w:div>
            <w:div w:id="477262092">
              <w:marLeft w:val="0"/>
              <w:marRight w:val="0"/>
              <w:marTop w:val="0"/>
              <w:marBottom w:val="0"/>
              <w:divBdr>
                <w:top w:val="none" w:sz="0" w:space="0" w:color="auto"/>
                <w:left w:val="none" w:sz="0" w:space="0" w:color="auto"/>
                <w:bottom w:val="none" w:sz="0" w:space="0" w:color="auto"/>
                <w:right w:val="none" w:sz="0" w:space="0" w:color="auto"/>
              </w:divBdr>
            </w:div>
            <w:div w:id="738864461">
              <w:marLeft w:val="0"/>
              <w:marRight w:val="0"/>
              <w:marTop w:val="0"/>
              <w:marBottom w:val="0"/>
              <w:divBdr>
                <w:top w:val="none" w:sz="0" w:space="0" w:color="auto"/>
                <w:left w:val="none" w:sz="0" w:space="0" w:color="auto"/>
                <w:bottom w:val="none" w:sz="0" w:space="0" w:color="auto"/>
                <w:right w:val="none" w:sz="0" w:space="0" w:color="auto"/>
              </w:divBdr>
            </w:div>
            <w:div w:id="1185442485">
              <w:marLeft w:val="0"/>
              <w:marRight w:val="0"/>
              <w:marTop w:val="0"/>
              <w:marBottom w:val="0"/>
              <w:divBdr>
                <w:top w:val="none" w:sz="0" w:space="0" w:color="auto"/>
                <w:left w:val="none" w:sz="0" w:space="0" w:color="auto"/>
                <w:bottom w:val="none" w:sz="0" w:space="0" w:color="auto"/>
                <w:right w:val="none" w:sz="0" w:space="0" w:color="auto"/>
              </w:divBdr>
            </w:div>
            <w:div w:id="1357393072">
              <w:marLeft w:val="0"/>
              <w:marRight w:val="0"/>
              <w:marTop w:val="0"/>
              <w:marBottom w:val="0"/>
              <w:divBdr>
                <w:top w:val="none" w:sz="0" w:space="0" w:color="auto"/>
                <w:left w:val="none" w:sz="0" w:space="0" w:color="auto"/>
                <w:bottom w:val="none" w:sz="0" w:space="0" w:color="auto"/>
                <w:right w:val="none" w:sz="0" w:space="0" w:color="auto"/>
              </w:divBdr>
            </w:div>
            <w:div w:id="1365131989">
              <w:marLeft w:val="0"/>
              <w:marRight w:val="0"/>
              <w:marTop w:val="0"/>
              <w:marBottom w:val="0"/>
              <w:divBdr>
                <w:top w:val="none" w:sz="0" w:space="0" w:color="auto"/>
                <w:left w:val="none" w:sz="0" w:space="0" w:color="auto"/>
                <w:bottom w:val="none" w:sz="0" w:space="0" w:color="auto"/>
                <w:right w:val="none" w:sz="0" w:space="0" w:color="auto"/>
              </w:divBdr>
            </w:div>
            <w:div w:id="1520505903">
              <w:marLeft w:val="0"/>
              <w:marRight w:val="0"/>
              <w:marTop w:val="0"/>
              <w:marBottom w:val="0"/>
              <w:divBdr>
                <w:top w:val="none" w:sz="0" w:space="0" w:color="auto"/>
                <w:left w:val="none" w:sz="0" w:space="0" w:color="auto"/>
                <w:bottom w:val="none" w:sz="0" w:space="0" w:color="auto"/>
                <w:right w:val="none" w:sz="0" w:space="0" w:color="auto"/>
              </w:divBdr>
            </w:div>
            <w:div w:id="1743062544">
              <w:marLeft w:val="0"/>
              <w:marRight w:val="0"/>
              <w:marTop w:val="0"/>
              <w:marBottom w:val="0"/>
              <w:divBdr>
                <w:top w:val="none" w:sz="0" w:space="0" w:color="auto"/>
                <w:left w:val="none" w:sz="0" w:space="0" w:color="auto"/>
                <w:bottom w:val="none" w:sz="0" w:space="0" w:color="auto"/>
                <w:right w:val="none" w:sz="0" w:space="0" w:color="auto"/>
              </w:divBdr>
            </w:div>
            <w:div w:id="1999770450">
              <w:marLeft w:val="0"/>
              <w:marRight w:val="0"/>
              <w:marTop w:val="0"/>
              <w:marBottom w:val="0"/>
              <w:divBdr>
                <w:top w:val="none" w:sz="0" w:space="0" w:color="auto"/>
                <w:left w:val="none" w:sz="0" w:space="0" w:color="auto"/>
                <w:bottom w:val="none" w:sz="0" w:space="0" w:color="auto"/>
                <w:right w:val="none" w:sz="0" w:space="0" w:color="auto"/>
              </w:divBdr>
            </w:div>
          </w:divsChild>
        </w:div>
        <w:div w:id="537086718">
          <w:marLeft w:val="0"/>
          <w:marRight w:val="0"/>
          <w:marTop w:val="0"/>
          <w:marBottom w:val="0"/>
          <w:divBdr>
            <w:top w:val="none" w:sz="0" w:space="0" w:color="auto"/>
            <w:left w:val="none" w:sz="0" w:space="0" w:color="auto"/>
            <w:bottom w:val="none" w:sz="0" w:space="0" w:color="auto"/>
            <w:right w:val="none" w:sz="0" w:space="0" w:color="auto"/>
          </w:divBdr>
          <w:divsChild>
            <w:div w:id="1137526623">
              <w:marLeft w:val="0"/>
              <w:marRight w:val="0"/>
              <w:marTop w:val="0"/>
              <w:marBottom w:val="0"/>
              <w:divBdr>
                <w:top w:val="none" w:sz="0" w:space="0" w:color="auto"/>
                <w:left w:val="none" w:sz="0" w:space="0" w:color="auto"/>
                <w:bottom w:val="none" w:sz="0" w:space="0" w:color="auto"/>
                <w:right w:val="none" w:sz="0" w:space="0" w:color="auto"/>
              </w:divBdr>
            </w:div>
          </w:divsChild>
        </w:div>
        <w:div w:id="752893382">
          <w:marLeft w:val="0"/>
          <w:marRight w:val="0"/>
          <w:marTop w:val="0"/>
          <w:marBottom w:val="0"/>
          <w:divBdr>
            <w:top w:val="none" w:sz="0" w:space="0" w:color="auto"/>
            <w:left w:val="none" w:sz="0" w:space="0" w:color="auto"/>
            <w:bottom w:val="none" w:sz="0" w:space="0" w:color="auto"/>
            <w:right w:val="none" w:sz="0" w:space="0" w:color="auto"/>
          </w:divBdr>
          <w:divsChild>
            <w:div w:id="138806734">
              <w:marLeft w:val="0"/>
              <w:marRight w:val="0"/>
              <w:marTop w:val="0"/>
              <w:marBottom w:val="0"/>
              <w:divBdr>
                <w:top w:val="none" w:sz="0" w:space="0" w:color="auto"/>
                <w:left w:val="none" w:sz="0" w:space="0" w:color="auto"/>
                <w:bottom w:val="none" w:sz="0" w:space="0" w:color="auto"/>
                <w:right w:val="none" w:sz="0" w:space="0" w:color="auto"/>
              </w:divBdr>
            </w:div>
          </w:divsChild>
        </w:div>
        <w:div w:id="854273294">
          <w:marLeft w:val="0"/>
          <w:marRight w:val="0"/>
          <w:marTop w:val="0"/>
          <w:marBottom w:val="0"/>
          <w:divBdr>
            <w:top w:val="none" w:sz="0" w:space="0" w:color="auto"/>
            <w:left w:val="none" w:sz="0" w:space="0" w:color="auto"/>
            <w:bottom w:val="none" w:sz="0" w:space="0" w:color="auto"/>
            <w:right w:val="none" w:sz="0" w:space="0" w:color="auto"/>
          </w:divBdr>
          <w:divsChild>
            <w:div w:id="515120355">
              <w:marLeft w:val="0"/>
              <w:marRight w:val="0"/>
              <w:marTop w:val="0"/>
              <w:marBottom w:val="0"/>
              <w:divBdr>
                <w:top w:val="none" w:sz="0" w:space="0" w:color="auto"/>
                <w:left w:val="none" w:sz="0" w:space="0" w:color="auto"/>
                <w:bottom w:val="none" w:sz="0" w:space="0" w:color="auto"/>
                <w:right w:val="none" w:sz="0" w:space="0" w:color="auto"/>
              </w:divBdr>
            </w:div>
          </w:divsChild>
        </w:div>
        <w:div w:id="997926370">
          <w:marLeft w:val="0"/>
          <w:marRight w:val="0"/>
          <w:marTop w:val="0"/>
          <w:marBottom w:val="0"/>
          <w:divBdr>
            <w:top w:val="none" w:sz="0" w:space="0" w:color="auto"/>
            <w:left w:val="none" w:sz="0" w:space="0" w:color="auto"/>
            <w:bottom w:val="none" w:sz="0" w:space="0" w:color="auto"/>
            <w:right w:val="none" w:sz="0" w:space="0" w:color="auto"/>
          </w:divBdr>
          <w:divsChild>
            <w:div w:id="554779107">
              <w:marLeft w:val="0"/>
              <w:marRight w:val="0"/>
              <w:marTop w:val="0"/>
              <w:marBottom w:val="0"/>
              <w:divBdr>
                <w:top w:val="none" w:sz="0" w:space="0" w:color="auto"/>
                <w:left w:val="none" w:sz="0" w:space="0" w:color="auto"/>
                <w:bottom w:val="none" w:sz="0" w:space="0" w:color="auto"/>
                <w:right w:val="none" w:sz="0" w:space="0" w:color="auto"/>
              </w:divBdr>
            </w:div>
          </w:divsChild>
        </w:div>
        <w:div w:id="1273517209">
          <w:marLeft w:val="0"/>
          <w:marRight w:val="0"/>
          <w:marTop w:val="0"/>
          <w:marBottom w:val="0"/>
          <w:divBdr>
            <w:top w:val="none" w:sz="0" w:space="0" w:color="auto"/>
            <w:left w:val="none" w:sz="0" w:space="0" w:color="auto"/>
            <w:bottom w:val="none" w:sz="0" w:space="0" w:color="auto"/>
            <w:right w:val="none" w:sz="0" w:space="0" w:color="auto"/>
          </w:divBdr>
          <w:divsChild>
            <w:div w:id="1869373976">
              <w:marLeft w:val="0"/>
              <w:marRight w:val="0"/>
              <w:marTop w:val="0"/>
              <w:marBottom w:val="0"/>
              <w:divBdr>
                <w:top w:val="none" w:sz="0" w:space="0" w:color="auto"/>
                <w:left w:val="none" w:sz="0" w:space="0" w:color="auto"/>
                <w:bottom w:val="none" w:sz="0" w:space="0" w:color="auto"/>
                <w:right w:val="none" w:sz="0" w:space="0" w:color="auto"/>
              </w:divBdr>
            </w:div>
          </w:divsChild>
        </w:div>
        <w:div w:id="1960065558">
          <w:marLeft w:val="0"/>
          <w:marRight w:val="0"/>
          <w:marTop w:val="0"/>
          <w:marBottom w:val="0"/>
          <w:divBdr>
            <w:top w:val="none" w:sz="0" w:space="0" w:color="auto"/>
            <w:left w:val="none" w:sz="0" w:space="0" w:color="auto"/>
            <w:bottom w:val="none" w:sz="0" w:space="0" w:color="auto"/>
            <w:right w:val="none" w:sz="0" w:space="0" w:color="auto"/>
          </w:divBdr>
          <w:divsChild>
            <w:div w:id="21320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01847">
      <w:bodyDiv w:val="1"/>
      <w:marLeft w:val="0"/>
      <w:marRight w:val="0"/>
      <w:marTop w:val="0"/>
      <w:marBottom w:val="0"/>
      <w:divBdr>
        <w:top w:val="none" w:sz="0" w:space="0" w:color="auto"/>
        <w:left w:val="none" w:sz="0" w:space="0" w:color="auto"/>
        <w:bottom w:val="none" w:sz="0" w:space="0" w:color="auto"/>
        <w:right w:val="none" w:sz="0" w:space="0" w:color="auto"/>
      </w:divBdr>
    </w:div>
    <w:div w:id="18935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emf" Id="rId14" /><Relationship Type="http://schemas.openxmlformats.org/officeDocument/2006/relationships/hyperlink" Target="https://docs.cpuc.ca.gov/PublishedDocs/Published/G000/M578/K147/578147121.pdf" TargetMode="External" Id="R6a9e0a3457524187" /><Relationship Type="http://schemas.openxmlformats.org/officeDocument/2006/relationships/hyperlink" Target="https://docs.cpuc.ca.gov/PublishedDocs/Published/G000/M578/K194/578194922.pdf" TargetMode="External" Id="R08291c2776294574" /><Relationship Type="http://schemas.openxmlformats.org/officeDocument/2006/relationships/hyperlink" Target="https://docs.cpuc.ca.gov/PublishedDocs/Published/G000/M578/K177/578177909.pdf" TargetMode="External" Id="R10ab610ccfb54e33" /><Relationship Type="http://schemas.openxmlformats.org/officeDocument/2006/relationships/hyperlink" Target="https://docs.cpuc.ca.gov/PublishedDocs/Published/G000/M578/K182/578182775.pdf" TargetMode="External" Id="R45ecfac9860a4f28" /><Relationship Type="http://schemas.openxmlformats.org/officeDocument/2006/relationships/hyperlink" Target="https://docs.cpuc.ca.gov/PublishedDocs/Published/G000/M578/K201/578201895.pdf" TargetMode="External" Id="R8af1a8d7027a4879" /></Relationships>
</file>

<file path=word/_rels/footnotes.xml.rels><?xml version="1.0" encoding="UTF-8" standalone="yes"?>
<Relationships xmlns="http://schemas.openxmlformats.org/package/2006/relationships"><Relationship Id="rId2" Type="http://schemas.openxmlformats.org/officeDocument/2006/relationships/hyperlink" Target="https://www.ecfr.gov/current/title-18/chapter-I/subchapter-C/part-101" TargetMode="External"/><Relationship Id="rId1" Type="http://schemas.openxmlformats.org/officeDocument/2006/relationships/hyperlink" Target="https://docs.cpuc.ca.gov/PublishedDocs/Published/G000/M533/K206/533206241.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d978288-04a1-4831-9970-6956df3b715e">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666bae34-6e25-4200-951c-37ff8952d53f">
      <Terms xmlns="http://schemas.microsoft.com/office/infopath/2007/PartnerControls"/>
    </lcf76f155ced4ddcb4097134ff3c332f>
    <TaxCatchAll xmlns="ad978288-04a1-4831-9970-6956df3b71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1150C3125F864C9CCCEC1861A1B2F5" ma:contentTypeVersion="15" ma:contentTypeDescription="Create a new document." ma:contentTypeScope="" ma:versionID="e0e65b40de789ee516732aecd1aea8ea">
  <xsd:schema xmlns:xsd="http://www.w3.org/2001/XMLSchema" xmlns:xs="http://www.w3.org/2001/XMLSchema" xmlns:p="http://schemas.microsoft.com/office/2006/metadata/properties" xmlns:ns2="666bae34-6e25-4200-951c-37ff8952d53f" xmlns:ns3="ad978288-04a1-4831-9970-6956df3b715e" targetNamespace="http://schemas.microsoft.com/office/2006/metadata/properties" ma:root="true" ma:fieldsID="8fa01fdb39ecd22cb02535ee421c94db" ns2:_="" ns3:_="">
    <xsd:import namespace="666bae34-6e25-4200-951c-37ff8952d53f"/>
    <xsd:import namespace="ad978288-04a1-4831-9970-6956df3b71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ae34-6e25-4200-951c-37ff8952d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8288-04a1-4831-9970-6956df3b71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9e56d6-1a3d-410f-a22d-9aa7c51d4345}" ma:internalName="TaxCatchAll" ma:showField="CatchAllData" ma:web="ad978288-04a1-4831-9970-6956df3b7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ad978288-04a1-4831-9970-6956df3b715e"/>
    <ds:schemaRef ds:uri="666bae34-6e25-4200-951c-37ff8952d53f"/>
  </ds:schemaRefs>
</ds:datastoreItem>
</file>

<file path=customXml/itemProps3.xml><?xml version="1.0" encoding="utf-8"?>
<ds:datastoreItem xmlns:ds="http://schemas.openxmlformats.org/officeDocument/2006/customXml" ds:itemID="{5F9BCA9F-71C8-461C-BFAD-D1401BB87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ae34-6e25-4200-951c-37ff8952d53f"/>
    <ds:schemaRef ds:uri="ad978288-04a1-4831-9970-6956df3b7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125</ap:Pages>
  <ap:Words>29590</ap:Words>
  <ap:Characters>168665</ap:Characters>
  <ap:Application>Microsoft Office Word</ap:Application>
  <ap:DocSecurity>0</ap:DocSecurity>
  <ap:Lines>1405</ap:Lines>
  <ap:Paragraphs>395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197860</ap:CharactersWithSpaces>
  <ap:SharedDoc>false</ap:SharedDoc>
  <ap:HLinks>
    <vt:vector baseType="variant" size="372">
      <vt:variant>
        <vt:i4>1703987</vt:i4>
      </vt:variant>
      <vt:variant>
        <vt:i4>356</vt:i4>
      </vt:variant>
      <vt:variant>
        <vt:i4>0</vt:i4>
      </vt:variant>
      <vt:variant>
        <vt:i4>5</vt:i4>
      </vt:variant>
      <vt:variant>
        <vt:lpwstr/>
      </vt:variant>
      <vt:variant>
        <vt:lpwstr>_Toc204258070</vt:lpwstr>
      </vt:variant>
      <vt:variant>
        <vt:i4>1769523</vt:i4>
      </vt:variant>
      <vt:variant>
        <vt:i4>350</vt:i4>
      </vt:variant>
      <vt:variant>
        <vt:i4>0</vt:i4>
      </vt:variant>
      <vt:variant>
        <vt:i4>5</vt:i4>
      </vt:variant>
      <vt:variant>
        <vt:lpwstr/>
      </vt:variant>
      <vt:variant>
        <vt:lpwstr>_Toc204258069</vt:lpwstr>
      </vt:variant>
      <vt:variant>
        <vt:i4>1769523</vt:i4>
      </vt:variant>
      <vt:variant>
        <vt:i4>344</vt:i4>
      </vt:variant>
      <vt:variant>
        <vt:i4>0</vt:i4>
      </vt:variant>
      <vt:variant>
        <vt:i4>5</vt:i4>
      </vt:variant>
      <vt:variant>
        <vt:lpwstr/>
      </vt:variant>
      <vt:variant>
        <vt:lpwstr>_Toc204258068</vt:lpwstr>
      </vt:variant>
      <vt:variant>
        <vt:i4>1769523</vt:i4>
      </vt:variant>
      <vt:variant>
        <vt:i4>338</vt:i4>
      </vt:variant>
      <vt:variant>
        <vt:i4>0</vt:i4>
      </vt:variant>
      <vt:variant>
        <vt:i4>5</vt:i4>
      </vt:variant>
      <vt:variant>
        <vt:lpwstr/>
      </vt:variant>
      <vt:variant>
        <vt:lpwstr>_Toc204258067</vt:lpwstr>
      </vt:variant>
      <vt:variant>
        <vt:i4>1769523</vt:i4>
      </vt:variant>
      <vt:variant>
        <vt:i4>332</vt:i4>
      </vt:variant>
      <vt:variant>
        <vt:i4>0</vt:i4>
      </vt:variant>
      <vt:variant>
        <vt:i4>5</vt:i4>
      </vt:variant>
      <vt:variant>
        <vt:lpwstr/>
      </vt:variant>
      <vt:variant>
        <vt:lpwstr>_Toc204258066</vt:lpwstr>
      </vt:variant>
      <vt:variant>
        <vt:i4>1769523</vt:i4>
      </vt:variant>
      <vt:variant>
        <vt:i4>326</vt:i4>
      </vt:variant>
      <vt:variant>
        <vt:i4>0</vt:i4>
      </vt:variant>
      <vt:variant>
        <vt:i4>5</vt:i4>
      </vt:variant>
      <vt:variant>
        <vt:lpwstr/>
      </vt:variant>
      <vt:variant>
        <vt:lpwstr>_Toc204258065</vt:lpwstr>
      </vt:variant>
      <vt:variant>
        <vt:i4>1769523</vt:i4>
      </vt:variant>
      <vt:variant>
        <vt:i4>320</vt:i4>
      </vt:variant>
      <vt:variant>
        <vt:i4>0</vt:i4>
      </vt:variant>
      <vt:variant>
        <vt:i4>5</vt:i4>
      </vt:variant>
      <vt:variant>
        <vt:lpwstr/>
      </vt:variant>
      <vt:variant>
        <vt:lpwstr>_Toc204258064</vt:lpwstr>
      </vt:variant>
      <vt:variant>
        <vt:i4>1769523</vt:i4>
      </vt:variant>
      <vt:variant>
        <vt:i4>314</vt:i4>
      </vt:variant>
      <vt:variant>
        <vt:i4>0</vt:i4>
      </vt:variant>
      <vt:variant>
        <vt:i4>5</vt:i4>
      </vt:variant>
      <vt:variant>
        <vt:lpwstr/>
      </vt:variant>
      <vt:variant>
        <vt:lpwstr>_Toc204258063</vt:lpwstr>
      </vt:variant>
      <vt:variant>
        <vt:i4>1769523</vt:i4>
      </vt:variant>
      <vt:variant>
        <vt:i4>308</vt:i4>
      </vt:variant>
      <vt:variant>
        <vt:i4>0</vt:i4>
      </vt:variant>
      <vt:variant>
        <vt:i4>5</vt:i4>
      </vt:variant>
      <vt:variant>
        <vt:lpwstr/>
      </vt:variant>
      <vt:variant>
        <vt:lpwstr>_Toc204258062</vt:lpwstr>
      </vt:variant>
      <vt:variant>
        <vt:i4>1769523</vt:i4>
      </vt:variant>
      <vt:variant>
        <vt:i4>302</vt:i4>
      </vt:variant>
      <vt:variant>
        <vt:i4>0</vt:i4>
      </vt:variant>
      <vt:variant>
        <vt:i4>5</vt:i4>
      </vt:variant>
      <vt:variant>
        <vt:lpwstr/>
      </vt:variant>
      <vt:variant>
        <vt:lpwstr>_Toc204258061</vt:lpwstr>
      </vt:variant>
      <vt:variant>
        <vt:i4>1769523</vt:i4>
      </vt:variant>
      <vt:variant>
        <vt:i4>296</vt:i4>
      </vt:variant>
      <vt:variant>
        <vt:i4>0</vt:i4>
      </vt:variant>
      <vt:variant>
        <vt:i4>5</vt:i4>
      </vt:variant>
      <vt:variant>
        <vt:lpwstr/>
      </vt:variant>
      <vt:variant>
        <vt:lpwstr>_Toc204258060</vt:lpwstr>
      </vt:variant>
      <vt:variant>
        <vt:i4>1572915</vt:i4>
      </vt:variant>
      <vt:variant>
        <vt:i4>290</vt:i4>
      </vt:variant>
      <vt:variant>
        <vt:i4>0</vt:i4>
      </vt:variant>
      <vt:variant>
        <vt:i4>5</vt:i4>
      </vt:variant>
      <vt:variant>
        <vt:lpwstr/>
      </vt:variant>
      <vt:variant>
        <vt:lpwstr>_Toc204258059</vt:lpwstr>
      </vt:variant>
      <vt:variant>
        <vt:i4>1572915</vt:i4>
      </vt:variant>
      <vt:variant>
        <vt:i4>284</vt:i4>
      </vt:variant>
      <vt:variant>
        <vt:i4>0</vt:i4>
      </vt:variant>
      <vt:variant>
        <vt:i4>5</vt:i4>
      </vt:variant>
      <vt:variant>
        <vt:lpwstr/>
      </vt:variant>
      <vt:variant>
        <vt:lpwstr>_Toc204258058</vt:lpwstr>
      </vt:variant>
      <vt:variant>
        <vt:i4>1572915</vt:i4>
      </vt:variant>
      <vt:variant>
        <vt:i4>278</vt:i4>
      </vt:variant>
      <vt:variant>
        <vt:i4>0</vt:i4>
      </vt:variant>
      <vt:variant>
        <vt:i4>5</vt:i4>
      </vt:variant>
      <vt:variant>
        <vt:lpwstr/>
      </vt:variant>
      <vt:variant>
        <vt:lpwstr>_Toc204258057</vt:lpwstr>
      </vt:variant>
      <vt:variant>
        <vt:i4>1572915</vt:i4>
      </vt:variant>
      <vt:variant>
        <vt:i4>272</vt:i4>
      </vt:variant>
      <vt:variant>
        <vt:i4>0</vt:i4>
      </vt:variant>
      <vt:variant>
        <vt:i4>5</vt:i4>
      </vt:variant>
      <vt:variant>
        <vt:lpwstr/>
      </vt:variant>
      <vt:variant>
        <vt:lpwstr>_Toc204258056</vt:lpwstr>
      </vt:variant>
      <vt:variant>
        <vt:i4>1572915</vt:i4>
      </vt:variant>
      <vt:variant>
        <vt:i4>266</vt:i4>
      </vt:variant>
      <vt:variant>
        <vt:i4>0</vt:i4>
      </vt:variant>
      <vt:variant>
        <vt:i4>5</vt:i4>
      </vt:variant>
      <vt:variant>
        <vt:lpwstr/>
      </vt:variant>
      <vt:variant>
        <vt:lpwstr>_Toc204258055</vt:lpwstr>
      </vt:variant>
      <vt:variant>
        <vt:i4>1572915</vt:i4>
      </vt:variant>
      <vt:variant>
        <vt:i4>260</vt:i4>
      </vt:variant>
      <vt:variant>
        <vt:i4>0</vt:i4>
      </vt:variant>
      <vt:variant>
        <vt:i4>5</vt:i4>
      </vt:variant>
      <vt:variant>
        <vt:lpwstr/>
      </vt:variant>
      <vt:variant>
        <vt:lpwstr>_Toc204258054</vt:lpwstr>
      </vt:variant>
      <vt:variant>
        <vt:i4>1572915</vt:i4>
      </vt:variant>
      <vt:variant>
        <vt:i4>254</vt:i4>
      </vt:variant>
      <vt:variant>
        <vt:i4>0</vt:i4>
      </vt:variant>
      <vt:variant>
        <vt:i4>5</vt:i4>
      </vt:variant>
      <vt:variant>
        <vt:lpwstr/>
      </vt:variant>
      <vt:variant>
        <vt:lpwstr>_Toc204258053</vt:lpwstr>
      </vt:variant>
      <vt:variant>
        <vt:i4>1572915</vt:i4>
      </vt:variant>
      <vt:variant>
        <vt:i4>248</vt:i4>
      </vt:variant>
      <vt:variant>
        <vt:i4>0</vt:i4>
      </vt:variant>
      <vt:variant>
        <vt:i4>5</vt:i4>
      </vt:variant>
      <vt:variant>
        <vt:lpwstr/>
      </vt:variant>
      <vt:variant>
        <vt:lpwstr>_Toc204258052</vt:lpwstr>
      </vt:variant>
      <vt:variant>
        <vt:i4>1572915</vt:i4>
      </vt:variant>
      <vt:variant>
        <vt:i4>242</vt:i4>
      </vt:variant>
      <vt:variant>
        <vt:i4>0</vt:i4>
      </vt:variant>
      <vt:variant>
        <vt:i4>5</vt:i4>
      </vt:variant>
      <vt:variant>
        <vt:lpwstr/>
      </vt:variant>
      <vt:variant>
        <vt:lpwstr>_Toc204258051</vt:lpwstr>
      </vt:variant>
      <vt:variant>
        <vt:i4>1572915</vt:i4>
      </vt:variant>
      <vt:variant>
        <vt:i4>236</vt:i4>
      </vt:variant>
      <vt:variant>
        <vt:i4>0</vt:i4>
      </vt:variant>
      <vt:variant>
        <vt:i4>5</vt:i4>
      </vt:variant>
      <vt:variant>
        <vt:lpwstr/>
      </vt:variant>
      <vt:variant>
        <vt:lpwstr>_Toc204258050</vt:lpwstr>
      </vt:variant>
      <vt:variant>
        <vt:i4>1638451</vt:i4>
      </vt:variant>
      <vt:variant>
        <vt:i4>230</vt:i4>
      </vt:variant>
      <vt:variant>
        <vt:i4>0</vt:i4>
      </vt:variant>
      <vt:variant>
        <vt:i4>5</vt:i4>
      </vt:variant>
      <vt:variant>
        <vt:lpwstr/>
      </vt:variant>
      <vt:variant>
        <vt:lpwstr>_Toc204258049</vt:lpwstr>
      </vt:variant>
      <vt:variant>
        <vt:i4>1638451</vt:i4>
      </vt:variant>
      <vt:variant>
        <vt:i4>224</vt:i4>
      </vt:variant>
      <vt:variant>
        <vt:i4>0</vt:i4>
      </vt:variant>
      <vt:variant>
        <vt:i4>5</vt:i4>
      </vt:variant>
      <vt:variant>
        <vt:lpwstr/>
      </vt:variant>
      <vt:variant>
        <vt:lpwstr>_Toc204258048</vt:lpwstr>
      </vt:variant>
      <vt:variant>
        <vt:i4>1638451</vt:i4>
      </vt:variant>
      <vt:variant>
        <vt:i4>218</vt:i4>
      </vt:variant>
      <vt:variant>
        <vt:i4>0</vt:i4>
      </vt:variant>
      <vt:variant>
        <vt:i4>5</vt:i4>
      </vt:variant>
      <vt:variant>
        <vt:lpwstr/>
      </vt:variant>
      <vt:variant>
        <vt:lpwstr>_Toc204258047</vt:lpwstr>
      </vt:variant>
      <vt:variant>
        <vt:i4>1638451</vt:i4>
      </vt:variant>
      <vt:variant>
        <vt:i4>212</vt:i4>
      </vt:variant>
      <vt:variant>
        <vt:i4>0</vt:i4>
      </vt:variant>
      <vt:variant>
        <vt:i4>5</vt:i4>
      </vt:variant>
      <vt:variant>
        <vt:lpwstr/>
      </vt:variant>
      <vt:variant>
        <vt:lpwstr>_Toc204258046</vt:lpwstr>
      </vt:variant>
      <vt:variant>
        <vt:i4>1638451</vt:i4>
      </vt:variant>
      <vt:variant>
        <vt:i4>206</vt:i4>
      </vt:variant>
      <vt:variant>
        <vt:i4>0</vt:i4>
      </vt:variant>
      <vt:variant>
        <vt:i4>5</vt:i4>
      </vt:variant>
      <vt:variant>
        <vt:lpwstr/>
      </vt:variant>
      <vt:variant>
        <vt:lpwstr>_Toc204258045</vt:lpwstr>
      </vt:variant>
      <vt:variant>
        <vt:i4>1638451</vt:i4>
      </vt:variant>
      <vt:variant>
        <vt:i4>200</vt:i4>
      </vt:variant>
      <vt:variant>
        <vt:i4>0</vt:i4>
      </vt:variant>
      <vt:variant>
        <vt:i4>5</vt:i4>
      </vt:variant>
      <vt:variant>
        <vt:lpwstr/>
      </vt:variant>
      <vt:variant>
        <vt:lpwstr>_Toc204258044</vt:lpwstr>
      </vt:variant>
      <vt:variant>
        <vt:i4>1638451</vt:i4>
      </vt:variant>
      <vt:variant>
        <vt:i4>194</vt:i4>
      </vt:variant>
      <vt:variant>
        <vt:i4>0</vt:i4>
      </vt:variant>
      <vt:variant>
        <vt:i4>5</vt:i4>
      </vt:variant>
      <vt:variant>
        <vt:lpwstr/>
      </vt:variant>
      <vt:variant>
        <vt:lpwstr>_Toc204258043</vt:lpwstr>
      </vt:variant>
      <vt:variant>
        <vt:i4>1638451</vt:i4>
      </vt:variant>
      <vt:variant>
        <vt:i4>188</vt:i4>
      </vt:variant>
      <vt:variant>
        <vt:i4>0</vt:i4>
      </vt:variant>
      <vt:variant>
        <vt:i4>5</vt:i4>
      </vt:variant>
      <vt:variant>
        <vt:lpwstr/>
      </vt:variant>
      <vt:variant>
        <vt:lpwstr>_Toc204258042</vt:lpwstr>
      </vt:variant>
      <vt:variant>
        <vt:i4>1638451</vt:i4>
      </vt:variant>
      <vt:variant>
        <vt:i4>182</vt:i4>
      </vt:variant>
      <vt:variant>
        <vt:i4>0</vt:i4>
      </vt:variant>
      <vt:variant>
        <vt:i4>5</vt:i4>
      </vt:variant>
      <vt:variant>
        <vt:lpwstr/>
      </vt:variant>
      <vt:variant>
        <vt:lpwstr>_Toc204258041</vt:lpwstr>
      </vt:variant>
      <vt:variant>
        <vt:i4>1638451</vt:i4>
      </vt:variant>
      <vt:variant>
        <vt:i4>176</vt:i4>
      </vt:variant>
      <vt:variant>
        <vt:i4>0</vt:i4>
      </vt:variant>
      <vt:variant>
        <vt:i4>5</vt:i4>
      </vt:variant>
      <vt:variant>
        <vt:lpwstr/>
      </vt:variant>
      <vt:variant>
        <vt:lpwstr>_Toc204258040</vt:lpwstr>
      </vt:variant>
      <vt:variant>
        <vt:i4>1966131</vt:i4>
      </vt:variant>
      <vt:variant>
        <vt:i4>170</vt:i4>
      </vt:variant>
      <vt:variant>
        <vt:i4>0</vt:i4>
      </vt:variant>
      <vt:variant>
        <vt:i4>5</vt:i4>
      </vt:variant>
      <vt:variant>
        <vt:lpwstr/>
      </vt:variant>
      <vt:variant>
        <vt:lpwstr>_Toc204258039</vt:lpwstr>
      </vt:variant>
      <vt:variant>
        <vt:i4>1966131</vt:i4>
      </vt:variant>
      <vt:variant>
        <vt:i4>164</vt:i4>
      </vt:variant>
      <vt:variant>
        <vt:i4>0</vt:i4>
      </vt:variant>
      <vt:variant>
        <vt:i4>5</vt:i4>
      </vt:variant>
      <vt:variant>
        <vt:lpwstr/>
      </vt:variant>
      <vt:variant>
        <vt:lpwstr>_Toc204258038</vt:lpwstr>
      </vt:variant>
      <vt:variant>
        <vt:i4>1966131</vt:i4>
      </vt:variant>
      <vt:variant>
        <vt:i4>158</vt:i4>
      </vt:variant>
      <vt:variant>
        <vt:i4>0</vt:i4>
      </vt:variant>
      <vt:variant>
        <vt:i4>5</vt:i4>
      </vt:variant>
      <vt:variant>
        <vt:lpwstr/>
      </vt:variant>
      <vt:variant>
        <vt:lpwstr>_Toc204258037</vt:lpwstr>
      </vt:variant>
      <vt:variant>
        <vt:i4>1966131</vt:i4>
      </vt:variant>
      <vt:variant>
        <vt:i4>152</vt:i4>
      </vt:variant>
      <vt:variant>
        <vt:i4>0</vt:i4>
      </vt:variant>
      <vt:variant>
        <vt:i4>5</vt:i4>
      </vt:variant>
      <vt:variant>
        <vt:lpwstr/>
      </vt:variant>
      <vt:variant>
        <vt:lpwstr>_Toc204258036</vt:lpwstr>
      </vt:variant>
      <vt:variant>
        <vt:i4>1966131</vt:i4>
      </vt:variant>
      <vt:variant>
        <vt:i4>146</vt:i4>
      </vt:variant>
      <vt:variant>
        <vt:i4>0</vt:i4>
      </vt:variant>
      <vt:variant>
        <vt:i4>5</vt:i4>
      </vt:variant>
      <vt:variant>
        <vt:lpwstr/>
      </vt:variant>
      <vt:variant>
        <vt:lpwstr>_Toc204258035</vt:lpwstr>
      </vt:variant>
      <vt:variant>
        <vt:i4>1966131</vt:i4>
      </vt:variant>
      <vt:variant>
        <vt:i4>140</vt:i4>
      </vt:variant>
      <vt:variant>
        <vt:i4>0</vt:i4>
      </vt:variant>
      <vt:variant>
        <vt:i4>5</vt:i4>
      </vt:variant>
      <vt:variant>
        <vt:lpwstr/>
      </vt:variant>
      <vt:variant>
        <vt:lpwstr>_Toc204258034</vt:lpwstr>
      </vt:variant>
      <vt:variant>
        <vt:i4>1966131</vt:i4>
      </vt:variant>
      <vt:variant>
        <vt:i4>134</vt:i4>
      </vt:variant>
      <vt:variant>
        <vt:i4>0</vt:i4>
      </vt:variant>
      <vt:variant>
        <vt:i4>5</vt:i4>
      </vt:variant>
      <vt:variant>
        <vt:lpwstr/>
      </vt:variant>
      <vt:variant>
        <vt:lpwstr>_Toc204258033</vt:lpwstr>
      </vt:variant>
      <vt:variant>
        <vt:i4>1966131</vt:i4>
      </vt:variant>
      <vt:variant>
        <vt:i4>128</vt:i4>
      </vt:variant>
      <vt:variant>
        <vt:i4>0</vt:i4>
      </vt:variant>
      <vt:variant>
        <vt:i4>5</vt:i4>
      </vt:variant>
      <vt:variant>
        <vt:lpwstr/>
      </vt:variant>
      <vt:variant>
        <vt:lpwstr>_Toc204258032</vt:lpwstr>
      </vt:variant>
      <vt:variant>
        <vt:i4>1966131</vt:i4>
      </vt:variant>
      <vt:variant>
        <vt:i4>122</vt:i4>
      </vt:variant>
      <vt:variant>
        <vt:i4>0</vt:i4>
      </vt:variant>
      <vt:variant>
        <vt:i4>5</vt:i4>
      </vt:variant>
      <vt:variant>
        <vt:lpwstr/>
      </vt:variant>
      <vt:variant>
        <vt:lpwstr>_Toc204258031</vt:lpwstr>
      </vt:variant>
      <vt:variant>
        <vt:i4>1966131</vt:i4>
      </vt:variant>
      <vt:variant>
        <vt:i4>116</vt:i4>
      </vt:variant>
      <vt:variant>
        <vt:i4>0</vt:i4>
      </vt:variant>
      <vt:variant>
        <vt:i4>5</vt:i4>
      </vt:variant>
      <vt:variant>
        <vt:lpwstr/>
      </vt:variant>
      <vt:variant>
        <vt:lpwstr>_Toc204258030</vt:lpwstr>
      </vt:variant>
      <vt:variant>
        <vt:i4>2031667</vt:i4>
      </vt:variant>
      <vt:variant>
        <vt:i4>110</vt:i4>
      </vt:variant>
      <vt:variant>
        <vt:i4>0</vt:i4>
      </vt:variant>
      <vt:variant>
        <vt:i4>5</vt:i4>
      </vt:variant>
      <vt:variant>
        <vt:lpwstr/>
      </vt:variant>
      <vt:variant>
        <vt:lpwstr>_Toc204258029</vt:lpwstr>
      </vt:variant>
      <vt:variant>
        <vt:i4>2031667</vt:i4>
      </vt:variant>
      <vt:variant>
        <vt:i4>104</vt:i4>
      </vt:variant>
      <vt:variant>
        <vt:i4>0</vt:i4>
      </vt:variant>
      <vt:variant>
        <vt:i4>5</vt:i4>
      </vt:variant>
      <vt:variant>
        <vt:lpwstr/>
      </vt:variant>
      <vt:variant>
        <vt:lpwstr>_Toc204258028</vt:lpwstr>
      </vt:variant>
      <vt:variant>
        <vt:i4>2031667</vt:i4>
      </vt:variant>
      <vt:variant>
        <vt:i4>98</vt:i4>
      </vt:variant>
      <vt:variant>
        <vt:i4>0</vt:i4>
      </vt:variant>
      <vt:variant>
        <vt:i4>5</vt:i4>
      </vt:variant>
      <vt:variant>
        <vt:lpwstr/>
      </vt:variant>
      <vt:variant>
        <vt:lpwstr>_Toc204258027</vt:lpwstr>
      </vt:variant>
      <vt:variant>
        <vt:i4>2031667</vt:i4>
      </vt:variant>
      <vt:variant>
        <vt:i4>92</vt:i4>
      </vt:variant>
      <vt:variant>
        <vt:i4>0</vt:i4>
      </vt:variant>
      <vt:variant>
        <vt:i4>5</vt:i4>
      </vt:variant>
      <vt:variant>
        <vt:lpwstr/>
      </vt:variant>
      <vt:variant>
        <vt:lpwstr>_Toc204258026</vt:lpwstr>
      </vt:variant>
      <vt:variant>
        <vt:i4>2031667</vt:i4>
      </vt:variant>
      <vt:variant>
        <vt:i4>86</vt:i4>
      </vt:variant>
      <vt:variant>
        <vt:i4>0</vt:i4>
      </vt:variant>
      <vt:variant>
        <vt:i4>5</vt:i4>
      </vt:variant>
      <vt:variant>
        <vt:lpwstr/>
      </vt:variant>
      <vt:variant>
        <vt:lpwstr>_Toc204258025</vt:lpwstr>
      </vt:variant>
      <vt:variant>
        <vt:i4>2031667</vt:i4>
      </vt:variant>
      <vt:variant>
        <vt:i4>80</vt:i4>
      </vt:variant>
      <vt:variant>
        <vt:i4>0</vt:i4>
      </vt:variant>
      <vt:variant>
        <vt:i4>5</vt:i4>
      </vt:variant>
      <vt:variant>
        <vt:lpwstr/>
      </vt:variant>
      <vt:variant>
        <vt:lpwstr>_Toc204258024</vt:lpwstr>
      </vt:variant>
      <vt:variant>
        <vt:i4>2031667</vt:i4>
      </vt:variant>
      <vt:variant>
        <vt:i4>74</vt:i4>
      </vt:variant>
      <vt:variant>
        <vt:i4>0</vt:i4>
      </vt:variant>
      <vt:variant>
        <vt:i4>5</vt:i4>
      </vt:variant>
      <vt:variant>
        <vt:lpwstr/>
      </vt:variant>
      <vt:variant>
        <vt:lpwstr>_Toc204258023</vt:lpwstr>
      </vt:variant>
      <vt:variant>
        <vt:i4>2031667</vt:i4>
      </vt:variant>
      <vt:variant>
        <vt:i4>68</vt:i4>
      </vt:variant>
      <vt:variant>
        <vt:i4>0</vt:i4>
      </vt:variant>
      <vt:variant>
        <vt:i4>5</vt:i4>
      </vt:variant>
      <vt:variant>
        <vt:lpwstr/>
      </vt:variant>
      <vt:variant>
        <vt:lpwstr>_Toc204258022</vt:lpwstr>
      </vt:variant>
      <vt:variant>
        <vt:i4>2031667</vt:i4>
      </vt:variant>
      <vt:variant>
        <vt:i4>62</vt:i4>
      </vt:variant>
      <vt:variant>
        <vt:i4>0</vt:i4>
      </vt:variant>
      <vt:variant>
        <vt:i4>5</vt:i4>
      </vt:variant>
      <vt:variant>
        <vt:lpwstr/>
      </vt:variant>
      <vt:variant>
        <vt:lpwstr>_Toc204258021</vt:lpwstr>
      </vt:variant>
      <vt:variant>
        <vt:i4>2031667</vt:i4>
      </vt:variant>
      <vt:variant>
        <vt:i4>56</vt:i4>
      </vt:variant>
      <vt:variant>
        <vt:i4>0</vt:i4>
      </vt:variant>
      <vt:variant>
        <vt:i4>5</vt:i4>
      </vt:variant>
      <vt:variant>
        <vt:lpwstr/>
      </vt:variant>
      <vt:variant>
        <vt:lpwstr>_Toc204258020</vt:lpwstr>
      </vt:variant>
      <vt:variant>
        <vt:i4>1835059</vt:i4>
      </vt:variant>
      <vt:variant>
        <vt:i4>50</vt:i4>
      </vt:variant>
      <vt:variant>
        <vt:i4>0</vt:i4>
      </vt:variant>
      <vt:variant>
        <vt:i4>5</vt:i4>
      </vt:variant>
      <vt:variant>
        <vt:lpwstr/>
      </vt:variant>
      <vt:variant>
        <vt:lpwstr>_Toc204258019</vt:lpwstr>
      </vt:variant>
      <vt:variant>
        <vt:i4>1835059</vt:i4>
      </vt:variant>
      <vt:variant>
        <vt:i4>44</vt:i4>
      </vt:variant>
      <vt:variant>
        <vt:i4>0</vt:i4>
      </vt:variant>
      <vt:variant>
        <vt:i4>5</vt:i4>
      </vt:variant>
      <vt:variant>
        <vt:lpwstr/>
      </vt:variant>
      <vt:variant>
        <vt:lpwstr>_Toc204258018</vt:lpwstr>
      </vt:variant>
      <vt:variant>
        <vt:i4>1835059</vt:i4>
      </vt:variant>
      <vt:variant>
        <vt:i4>38</vt:i4>
      </vt:variant>
      <vt:variant>
        <vt:i4>0</vt:i4>
      </vt:variant>
      <vt:variant>
        <vt:i4>5</vt:i4>
      </vt:variant>
      <vt:variant>
        <vt:lpwstr/>
      </vt:variant>
      <vt:variant>
        <vt:lpwstr>_Toc204258017</vt:lpwstr>
      </vt:variant>
      <vt:variant>
        <vt:i4>1835059</vt:i4>
      </vt:variant>
      <vt:variant>
        <vt:i4>32</vt:i4>
      </vt:variant>
      <vt:variant>
        <vt:i4>0</vt:i4>
      </vt:variant>
      <vt:variant>
        <vt:i4>5</vt:i4>
      </vt:variant>
      <vt:variant>
        <vt:lpwstr/>
      </vt:variant>
      <vt:variant>
        <vt:lpwstr>_Toc204258016</vt:lpwstr>
      </vt:variant>
      <vt:variant>
        <vt:i4>1835059</vt:i4>
      </vt:variant>
      <vt:variant>
        <vt:i4>26</vt:i4>
      </vt:variant>
      <vt:variant>
        <vt:i4>0</vt:i4>
      </vt:variant>
      <vt:variant>
        <vt:i4>5</vt:i4>
      </vt:variant>
      <vt:variant>
        <vt:lpwstr/>
      </vt:variant>
      <vt:variant>
        <vt:lpwstr>_Toc204258015</vt:lpwstr>
      </vt:variant>
      <vt:variant>
        <vt:i4>1835059</vt:i4>
      </vt:variant>
      <vt:variant>
        <vt:i4>20</vt:i4>
      </vt:variant>
      <vt:variant>
        <vt:i4>0</vt:i4>
      </vt:variant>
      <vt:variant>
        <vt:i4>5</vt:i4>
      </vt:variant>
      <vt:variant>
        <vt:lpwstr/>
      </vt:variant>
      <vt:variant>
        <vt:lpwstr>_Toc204258014</vt:lpwstr>
      </vt:variant>
      <vt:variant>
        <vt:i4>1835059</vt:i4>
      </vt:variant>
      <vt:variant>
        <vt:i4>14</vt:i4>
      </vt:variant>
      <vt:variant>
        <vt:i4>0</vt:i4>
      </vt:variant>
      <vt:variant>
        <vt:i4>5</vt:i4>
      </vt:variant>
      <vt:variant>
        <vt:lpwstr/>
      </vt:variant>
      <vt:variant>
        <vt:lpwstr>_Toc204258013</vt:lpwstr>
      </vt:variant>
      <vt:variant>
        <vt:i4>1835059</vt:i4>
      </vt:variant>
      <vt:variant>
        <vt:i4>8</vt:i4>
      </vt:variant>
      <vt:variant>
        <vt:i4>0</vt:i4>
      </vt:variant>
      <vt:variant>
        <vt:i4>5</vt:i4>
      </vt:variant>
      <vt:variant>
        <vt:lpwstr/>
      </vt:variant>
      <vt:variant>
        <vt:lpwstr>_Toc204258012</vt:lpwstr>
      </vt:variant>
      <vt:variant>
        <vt:i4>1835059</vt:i4>
      </vt:variant>
      <vt:variant>
        <vt:i4>2</vt:i4>
      </vt:variant>
      <vt:variant>
        <vt:i4>0</vt:i4>
      </vt:variant>
      <vt:variant>
        <vt:i4>5</vt:i4>
      </vt:variant>
      <vt:variant>
        <vt:lpwstr/>
      </vt:variant>
      <vt:variant>
        <vt:lpwstr>_Toc204258011</vt:lpwstr>
      </vt:variant>
      <vt:variant>
        <vt:i4>4259932</vt:i4>
      </vt:variant>
      <vt:variant>
        <vt:i4>3</vt:i4>
      </vt:variant>
      <vt:variant>
        <vt:i4>0</vt:i4>
      </vt:variant>
      <vt:variant>
        <vt:i4>5</vt:i4>
      </vt:variant>
      <vt:variant>
        <vt:lpwstr>https://www.ecfr.gov/current/title-18/chapter-I/subchapter-C/part-101</vt:lpwstr>
      </vt:variant>
      <vt:variant>
        <vt:lpwstr/>
      </vt:variant>
      <vt:variant>
        <vt:i4>1704000</vt:i4>
      </vt:variant>
      <vt:variant>
        <vt:i4>0</vt:i4>
      </vt:variant>
      <vt:variant>
        <vt:i4>0</vt:i4>
      </vt:variant>
      <vt:variant>
        <vt:i4>5</vt:i4>
      </vt:variant>
      <vt:variant>
        <vt:lpwstr>https://docs.cpuc.ca.gov/PublishedDocs/Published/G000/M533/K206/533206241.PD</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2025-07-25T18:33:00Z</cp:lastPrinted>
  <dcterms:created xsi:type="dcterms:W3CDTF">2025-09-04T11:44:24Z</dcterms:created>
  <dcterms:modified xsi:type="dcterms:W3CDTF">2025-09-04T11:44:24Z</dcterms:modified>
</cp:coreProperties>
</file>