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4315" w:rsidR="00D92DB1" w:rsidP="00B81239" w:rsidRDefault="001109B7" w14:paraId="06595BA2" w14:textId="3F4EEF07">
      <w:pPr>
        <w:spacing w:line="259" w:lineRule="auto"/>
        <w:ind w:firstLine="0"/>
        <w:rPr>
          <w:b/>
        </w:rPr>
      </w:pPr>
      <w:r w:rsidRPr="001109B7">
        <w:t>ALJ/PPE/abb</w:t>
      </w:r>
      <w:r w:rsidR="007E0FEE">
        <w:tab/>
      </w:r>
      <w:r w:rsidR="0024094D">
        <w:tab/>
      </w:r>
      <w:r w:rsidR="00B81239">
        <w:tab/>
      </w:r>
      <w:r w:rsidR="00B81239">
        <w:tab/>
      </w:r>
      <w:r w:rsidR="00B81239">
        <w:tab/>
      </w:r>
      <w:r w:rsidR="00B81239">
        <w:tab/>
      </w:r>
      <w:r w:rsidR="00B81239">
        <w:tab/>
      </w:r>
      <w:r w:rsidR="00B81239">
        <w:tab/>
      </w:r>
      <w:r w:rsidR="00B81239">
        <w:tab/>
      </w:r>
      <w:r w:rsidR="00B81239">
        <w:tab/>
      </w:r>
      <w:r w:rsidR="00B81239">
        <w:tab/>
      </w:r>
      <w:r w:rsidRPr="00B81239" w:rsidR="00B81239">
        <w:rPr>
          <w:rFonts w:cs="Arial"/>
          <w:b/>
          <w:szCs w:val="26"/>
        </w:rPr>
        <w:t>Date of Issuance:</w:t>
      </w:r>
      <w:r w:rsidR="00B81239">
        <w:rPr>
          <w:rFonts w:cs="Arial"/>
          <w:b/>
          <w:szCs w:val="26"/>
        </w:rPr>
        <w:t xml:space="preserve">  9/29/2025</w:t>
      </w:r>
    </w:p>
    <w:p w:rsidR="007E2D6F" w:rsidP="0024094D" w:rsidRDefault="007E2D6F" w14:paraId="566D3830" w14:textId="77777777">
      <w:pPr>
        <w:spacing w:line="240" w:lineRule="auto"/>
        <w:ind w:firstLine="0"/>
      </w:pPr>
    </w:p>
    <w:p w:rsidR="00B81239" w:rsidP="0024094D" w:rsidRDefault="00B81239" w14:paraId="47FE5C01" w14:textId="77777777">
      <w:pPr>
        <w:spacing w:line="240" w:lineRule="auto"/>
        <w:ind w:firstLine="0"/>
      </w:pPr>
    </w:p>
    <w:p w:rsidRPr="00EE3060" w:rsidR="003D293A" w:rsidP="003D293A" w:rsidRDefault="003D293A" w14:paraId="12C4C027" w14:textId="527FFD55">
      <w:pPr>
        <w:spacing w:line="240" w:lineRule="auto"/>
        <w:ind w:left="1080" w:hanging="1080"/>
      </w:pPr>
      <w:r>
        <w:t xml:space="preserve">Decision </w:t>
      </w:r>
      <w:r w:rsidRPr="00B81239" w:rsidR="00B81239">
        <w:t>25-09-004</w:t>
      </w:r>
      <w:r w:rsidR="00B81239">
        <w:t xml:space="preserve">  September 18, 2025</w:t>
      </w:r>
    </w:p>
    <w:p w:rsidR="00DA7B5D" w:rsidP="00F10001" w:rsidRDefault="00DA7B5D" w14:paraId="194DFDC9" w14:textId="77777777">
      <w:pPr>
        <w:spacing w:line="240" w:lineRule="auto"/>
        <w:ind w:firstLine="0"/>
        <w:rPr>
          <w:u w:val="single"/>
        </w:rPr>
      </w:pPr>
    </w:p>
    <w:p w:rsidR="00F10001" w:rsidP="008E7579" w:rsidRDefault="00F10001" w14:paraId="2A0D1282" w14:textId="77777777">
      <w:pPr>
        <w:spacing w:line="240" w:lineRule="auto"/>
        <w:ind w:firstLine="0"/>
        <w:rPr>
          <w:u w:val="single"/>
        </w:rPr>
      </w:pPr>
    </w:p>
    <w:p w:rsidR="00DA7B5D" w:rsidP="00BB0243" w:rsidRDefault="00DA7B5D" w14:paraId="600DBF3D"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A6E8259"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130"/>
        <w:gridCol w:w="4230"/>
      </w:tblGrid>
      <w:tr w:rsidR="00DA7B5D" w:rsidTr="008E7579" w14:paraId="74C48AD4" w14:textId="77777777">
        <w:trPr>
          <w:jc w:val="center"/>
        </w:trPr>
        <w:tc>
          <w:tcPr>
            <w:tcW w:w="5130" w:type="dxa"/>
            <w:tcBorders>
              <w:top w:val="nil"/>
              <w:left w:val="nil"/>
              <w:bottom w:val="single" w:color="auto" w:sz="4" w:space="0"/>
              <w:right w:val="single" w:color="auto" w:sz="4" w:space="0"/>
            </w:tcBorders>
          </w:tcPr>
          <w:p w:rsidRPr="00DA7B5D" w:rsidR="00DA7B5D" w:rsidP="00C10B5F" w:rsidRDefault="00685034" w14:paraId="4C8B351F" w14:textId="350AD6C4">
            <w:pPr>
              <w:spacing w:line="240" w:lineRule="auto"/>
              <w:ind w:firstLine="0"/>
              <w:rPr>
                <w:rFonts w:cs="Arial"/>
                <w:szCs w:val="26"/>
              </w:rPr>
            </w:pPr>
            <w:r>
              <w:rPr>
                <w:rFonts w:cs="Arial"/>
                <w:szCs w:val="26"/>
              </w:rPr>
              <w:t xml:space="preserve">Application of Mr. John D. Grier for Authority to Sell and Transfer CorEnergy Infrastructure Trust, Inc. to Acquire Control of Crimson </w:t>
            </w:r>
            <w:r w:rsidR="000D7641">
              <w:rPr>
                <w:rFonts w:cs="Arial"/>
                <w:szCs w:val="26"/>
              </w:rPr>
              <w:t xml:space="preserve">California </w:t>
            </w:r>
            <w:r>
              <w:rPr>
                <w:rFonts w:cs="Arial"/>
                <w:szCs w:val="26"/>
              </w:rPr>
              <w:t>Pipeline, L.P (PLC-26) and San Pabl</w:t>
            </w:r>
            <w:r w:rsidR="0080315F">
              <w:rPr>
                <w:rFonts w:cs="Arial"/>
                <w:szCs w:val="26"/>
              </w:rPr>
              <w:t>o</w:t>
            </w:r>
            <w:r>
              <w:rPr>
                <w:rFonts w:cs="Arial"/>
                <w:szCs w:val="26"/>
              </w:rPr>
              <w:t xml:space="preserve"> Bay Pipeline Company, LLC (PLC-29) Pursuant to Public Utility Code Section 854.</w:t>
            </w:r>
            <w:r w:rsidRPr="00DA7B5D" w:rsidR="00DA7B5D">
              <w:rPr>
                <w:rFonts w:cs="Arial"/>
                <w:szCs w:val="26"/>
              </w:rPr>
              <w:br/>
            </w:r>
          </w:p>
        </w:tc>
        <w:tc>
          <w:tcPr>
            <w:tcW w:w="4230" w:type="dxa"/>
            <w:tcBorders>
              <w:top w:val="nil"/>
              <w:left w:val="single" w:color="auto" w:sz="4" w:space="0"/>
              <w:bottom w:val="nil"/>
              <w:right w:val="nil"/>
            </w:tcBorders>
            <w:vAlign w:val="center"/>
          </w:tcPr>
          <w:p w:rsidRPr="00DA7B5D" w:rsidR="00DA7B5D" w:rsidP="00412C83" w:rsidRDefault="00685034" w14:paraId="1381C739" w14:textId="0378CC34">
            <w:pPr>
              <w:spacing w:line="240" w:lineRule="auto"/>
              <w:ind w:firstLine="0"/>
              <w:jc w:val="center"/>
              <w:rPr>
                <w:rFonts w:cs="Arial"/>
                <w:szCs w:val="26"/>
              </w:rPr>
            </w:pPr>
            <w:r>
              <w:rPr>
                <w:rFonts w:cs="Arial"/>
                <w:szCs w:val="26"/>
              </w:rPr>
              <w:t>A</w:t>
            </w:r>
            <w:r w:rsidR="001109B7">
              <w:rPr>
                <w:rFonts w:cs="Arial"/>
                <w:szCs w:val="26"/>
              </w:rPr>
              <w:t>pplication </w:t>
            </w:r>
            <w:r>
              <w:rPr>
                <w:rFonts w:cs="Arial"/>
                <w:szCs w:val="26"/>
              </w:rPr>
              <w:t>24-06-004</w:t>
            </w:r>
          </w:p>
        </w:tc>
      </w:tr>
    </w:tbl>
    <w:p w:rsidR="00DA7B5D" w:rsidP="008F0116" w:rsidRDefault="00DA7B5D" w14:paraId="330EDEE7" w14:textId="77777777">
      <w:pPr>
        <w:spacing w:line="240" w:lineRule="auto"/>
        <w:ind w:firstLine="0"/>
        <w:rPr>
          <w:rFonts w:ascii="Arial" w:hAnsi="Arial" w:cs="Arial"/>
          <w:sz w:val="24"/>
          <w:szCs w:val="24"/>
        </w:rPr>
      </w:pPr>
    </w:p>
    <w:p w:rsidR="00DA7B5D" w:rsidP="008F0116" w:rsidRDefault="00DA7B5D" w14:paraId="5C8A0F5F" w14:textId="77777777">
      <w:pPr>
        <w:spacing w:line="240" w:lineRule="auto"/>
        <w:ind w:firstLine="0"/>
        <w:rPr>
          <w:rFonts w:ascii="Arial" w:hAnsi="Arial" w:cs="Arial"/>
          <w:sz w:val="24"/>
          <w:szCs w:val="24"/>
        </w:rPr>
      </w:pPr>
    </w:p>
    <w:p w:rsidRPr="001109B7" w:rsidR="001109B7" w:rsidP="008E7579" w:rsidRDefault="00495C05" w14:paraId="28F75446" w14:textId="77777777">
      <w:pPr>
        <w:pStyle w:val="Main"/>
        <w:rPr>
          <w:rFonts w:cs="Arial"/>
          <w:szCs w:val="26"/>
        </w:rPr>
      </w:pPr>
      <w:r w:rsidRPr="001109B7">
        <w:rPr>
          <w:rFonts w:cs="Arial"/>
          <w:szCs w:val="26"/>
        </w:rPr>
        <w:t xml:space="preserve">DECISION GRANTING JOINT APPLICATION FOR A CHANGE </w:t>
      </w:r>
    </w:p>
    <w:p w:rsidRPr="001109B7" w:rsidR="001109B7" w:rsidP="008E7579" w:rsidRDefault="00495C05" w14:paraId="43AEE26A" w14:textId="77777777">
      <w:pPr>
        <w:pStyle w:val="Main"/>
        <w:rPr>
          <w:rFonts w:cs="Arial"/>
          <w:szCs w:val="26"/>
        </w:rPr>
      </w:pPr>
      <w:r w:rsidRPr="001109B7">
        <w:rPr>
          <w:rFonts w:cs="Arial"/>
          <w:szCs w:val="26"/>
        </w:rPr>
        <w:t xml:space="preserve">OF CONTROL OF THE CRIMSON PIPELINE, L.P. (plc-26) AND </w:t>
      </w:r>
    </w:p>
    <w:p w:rsidRPr="001109B7" w:rsidR="0098655A" w:rsidP="001109B7" w:rsidRDefault="00495C05" w14:paraId="1655C7ED" w14:textId="783A543E">
      <w:pPr>
        <w:pStyle w:val="Main"/>
        <w:spacing w:after="240"/>
        <w:rPr>
          <w:rFonts w:cs="Arial"/>
          <w:szCs w:val="26"/>
        </w:rPr>
      </w:pPr>
      <w:r w:rsidRPr="001109B7">
        <w:rPr>
          <w:rFonts w:cs="Arial"/>
          <w:szCs w:val="26"/>
        </w:rPr>
        <w:t>THE SAN PABL</w:t>
      </w:r>
      <w:r w:rsidR="00D51C8C">
        <w:rPr>
          <w:rFonts w:cs="Arial"/>
          <w:szCs w:val="26"/>
        </w:rPr>
        <w:t>O</w:t>
      </w:r>
      <w:r w:rsidRPr="001109B7">
        <w:rPr>
          <w:rFonts w:cs="Arial"/>
          <w:szCs w:val="26"/>
        </w:rPr>
        <w:t xml:space="preserve"> BAY PIPELINE COMPANY, Llc (plc-29)</w:t>
      </w:r>
    </w:p>
    <w:p w:rsidR="005A148C" w:rsidP="005A148C" w:rsidRDefault="005A148C" w14:paraId="73E3898A" w14:textId="77777777">
      <w:pPr>
        <w:pStyle w:val="Dummy"/>
      </w:pPr>
      <w:bookmarkStart w:name="_Toc8123714" w:id="0"/>
      <w:bookmarkStart w:name="_Toc133843842" w:id="1"/>
      <w:r>
        <w:t>Summary</w:t>
      </w:r>
      <w:bookmarkEnd w:id="0"/>
      <w:bookmarkEnd w:id="1"/>
    </w:p>
    <w:p w:rsidR="007E31AE" w:rsidP="006E6574" w:rsidRDefault="00495C05" w14:paraId="7EDEF3E9" w14:textId="028F4DD2">
      <w:pPr>
        <w:pStyle w:val="Standard"/>
      </w:pPr>
      <w:r>
        <w:t>This Decision grants the Joint Application</w:t>
      </w:r>
      <w:r w:rsidR="00F10001">
        <w:t> </w:t>
      </w:r>
      <w:r w:rsidR="007E31AE">
        <w:t xml:space="preserve">24-06-004 </w:t>
      </w:r>
      <w:r>
        <w:t>of Mr.</w:t>
      </w:r>
      <w:r w:rsidR="00F10001">
        <w:t> </w:t>
      </w:r>
      <w:r>
        <w:t>John</w:t>
      </w:r>
      <w:r w:rsidR="00F10001">
        <w:t> </w:t>
      </w:r>
      <w:r>
        <w:t>D.</w:t>
      </w:r>
      <w:r w:rsidR="00F10001">
        <w:t> </w:t>
      </w:r>
      <w:r>
        <w:t xml:space="preserve">Grier </w:t>
      </w:r>
      <w:r w:rsidR="000D7641">
        <w:t xml:space="preserve">for </w:t>
      </w:r>
      <w:r>
        <w:t xml:space="preserve">Authority to </w:t>
      </w:r>
      <w:r w:rsidR="00D117F4">
        <w:t>s</w:t>
      </w:r>
      <w:r>
        <w:t xml:space="preserve">ell and </w:t>
      </w:r>
      <w:r w:rsidR="00D117F4">
        <w:t xml:space="preserve">for </w:t>
      </w:r>
      <w:r>
        <w:t xml:space="preserve">CorEnergy Infrastructure Trust, Inc. to </w:t>
      </w:r>
      <w:r w:rsidR="00D117F4">
        <w:t>a</w:t>
      </w:r>
      <w:r>
        <w:t xml:space="preserve">cquire Control of Crimson </w:t>
      </w:r>
      <w:r w:rsidR="000D7641">
        <w:t xml:space="preserve">California </w:t>
      </w:r>
      <w:r>
        <w:t>Pipeline, L.P. (PLC-26) and San Pablo Bay Pipeline Comp</w:t>
      </w:r>
      <w:r w:rsidR="007E31AE">
        <w:t>a</w:t>
      </w:r>
      <w:r>
        <w:t>ny LLC (PLC-29)</w:t>
      </w:r>
      <w:r w:rsidR="007E31AE">
        <w:t xml:space="preserve"> pursuant </w:t>
      </w:r>
      <w:r w:rsidR="00210723">
        <w:t xml:space="preserve">to </w:t>
      </w:r>
      <w:r w:rsidR="00D117F4">
        <w:t xml:space="preserve">California </w:t>
      </w:r>
      <w:r w:rsidR="007E31AE">
        <w:t xml:space="preserve">Public Utilities </w:t>
      </w:r>
      <w:r w:rsidR="00281DE3">
        <w:t>Code</w:t>
      </w:r>
      <w:r w:rsidRPr="00281DE3" w:rsidR="00281DE3">
        <w:t xml:space="preserve"> </w:t>
      </w:r>
      <w:r w:rsidR="00281DE3">
        <w:t>§854</w:t>
      </w:r>
      <w:r w:rsidR="00F049CC">
        <w:t>(a)</w:t>
      </w:r>
      <w:r w:rsidR="007E31AE">
        <w:t>.</w:t>
      </w:r>
    </w:p>
    <w:p w:rsidR="00D117F4" w:rsidP="007E31AE" w:rsidRDefault="00D117F4" w14:paraId="6A08E111" w14:textId="1D9CF42B">
      <w:pPr>
        <w:pStyle w:val="Standard"/>
      </w:pPr>
      <w:r>
        <w:t>The Application is granted</w:t>
      </w:r>
      <w:r w:rsidR="00127948">
        <w:t>.</w:t>
      </w:r>
    </w:p>
    <w:p w:rsidR="002C7FE9" w:rsidP="007E31AE" w:rsidRDefault="00495C05" w14:paraId="251E1133" w14:textId="41C62867">
      <w:pPr>
        <w:pStyle w:val="Standard"/>
      </w:pPr>
      <w:r>
        <w:t xml:space="preserve">Application 24-06-004 </w:t>
      </w:r>
      <w:r w:rsidR="007E31AE">
        <w:t>is closed.</w:t>
      </w:r>
    </w:p>
    <w:p w:rsidR="005A148C" w:rsidP="00A55ACD" w:rsidRDefault="006A17CC" w14:paraId="013294CB" w14:textId="334387DA">
      <w:pPr>
        <w:pStyle w:val="Heading1"/>
        <w:numPr>
          <w:ilvl w:val="0"/>
          <w:numId w:val="1"/>
        </w:numPr>
      </w:pPr>
      <w:bookmarkStart w:name="_Toc8123715" w:id="2"/>
      <w:bookmarkStart w:name="_Toc133843843" w:id="3"/>
      <w:r>
        <w:t xml:space="preserve">Factual and Procedural </w:t>
      </w:r>
      <w:r w:rsidRPr="00121089" w:rsidR="002C7FE9">
        <w:t>Background</w:t>
      </w:r>
      <w:bookmarkEnd w:id="2"/>
      <w:bookmarkEnd w:id="3"/>
    </w:p>
    <w:p w:rsidR="00E74E71" w:rsidP="00E74E71" w:rsidRDefault="00127948" w14:paraId="109CF238" w14:textId="01E98E35">
      <w:pPr>
        <w:pStyle w:val="xstandard"/>
      </w:pPr>
      <w:r>
        <w:t xml:space="preserve">Mr. </w:t>
      </w:r>
      <w:r w:rsidR="00E74E71">
        <w:t>John D. Grier (Grier) and CorEnergy Infrastructure Trust, Inc. (CorEnergy) filed this</w:t>
      </w:r>
      <w:r w:rsidR="00CA179A">
        <w:t xml:space="preserve"> </w:t>
      </w:r>
      <w:r w:rsidR="00E74E71">
        <w:t>Joint Application</w:t>
      </w:r>
      <w:r w:rsidR="0033792B">
        <w:t xml:space="preserve"> A.24-06-004 (</w:t>
      </w:r>
      <w:r w:rsidR="00BF6262">
        <w:t xml:space="preserve">Joint </w:t>
      </w:r>
      <w:r w:rsidR="0033792B">
        <w:t>Application)</w:t>
      </w:r>
      <w:r w:rsidR="00E74E71">
        <w:t xml:space="preserve"> on June 14,</w:t>
      </w:r>
      <w:r w:rsidR="00F10001">
        <w:t> </w:t>
      </w:r>
      <w:r w:rsidR="00E74E71">
        <w:t xml:space="preserve">2024. </w:t>
      </w:r>
      <w:r w:rsidR="00F10001">
        <w:t xml:space="preserve"> </w:t>
      </w:r>
      <w:r w:rsidR="00E74E71">
        <w:t xml:space="preserve">Grier and CorEnergy are collectively </w:t>
      </w:r>
      <w:r w:rsidR="00D952D6">
        <w:t>(</w:t>
      </w:r>
      <w:r w:rsidR="00E74E71">
        <w:t>Applicants</w:t>
      </w:r>
      <w:r w:rsidR="00D952D6">
        <w:t>)</w:t>
      </w:r>
      <w:r w:rsidR="00E74E71">
        <w:t xml:space="preserve">. </w:t>
      </w:r>
      <w:r w:rsidR="00F10001">
        <w:t xml:space="preserve"> </w:t>
      </w:r>
      <w:r w:rsidR="00E74E71">
        <w:t xml:space="preserve">Pursuant to </w:t>
      </w:r>
      <w:r w:rsidR="0033792B">
        <w:t xml:space="preserve">Public Utilities Code </w:t>
      </w:r>
      <w:r w:rsidR="00E74E71">
        <w:t>(Pub. Util. Code)</w:t>
      </w:r>
      <w:r w:rsidR="00F10001">
        <w:t> </w:t>
      </w:r>
      <w:r w:rsidRPr="00557051" w:rsidR="00AD147B">
        <w:t>§</w:t>
      </w:r>
      <w:r w:rsidR="00E74E71">
        <w:t xml:space="preserve">854, the </w:t>
      </w:r>
      <w:r w:rsidR="00D952D6">
        <w:t xml:space="preserve">Joint </w:t>
      </w:r>
      <w:r w:rsidR="00E74E71">
        <w:t xml:space="preserve">Application requests to transfer </w:t>
      </w:r>
      <w:r w:rsidR="00E74E71">
        <w:lastRenderedPageBreak/>
        <w:t xml:space="preserve">control of Grier’s interest </w:t>
      </w:r>
      <w:r w:rsidRPr="007A1BB2" w:rsidR="00E74E71">
        <w:t xml:space="preserve">in </w:t>
      </w:r>
      <w:r w:rsidR="00210723">
        <w:t xml:space="preserve">Crimson </w:t>
      </w:r>
      <w:r w:rsidRPr="007A1BB2" w:rsidR="00E74E71">
        <w:t xml:space="preserve">California Pipeline, </w:t>
      </w:r>
      <w:r w:rsidR="00E74E71">
        <w:t>Limited Partnership (</w:t>
      </w:r>
      <w:r w:rsidRPr="007A1BB2" w:rsidR="00E74E71">
        <w:t>L.P.</w:t>
      </w:r>
      <w:r w:rsidR="00E74E71">
        <w:t>)</w:t>
      </w:r>
      <w:r w:rsidR="00AD147B">
        <w:t xml:space="preserve"> (PLC-26)</w:t>
      </w:r>
      <w:r w:rsidRPr="007A1BB2" w:rsidR="00E74E71">
        <w:t xml:space="preserve"> (Crimson </w:t>
      </w:r>
      <w:r w:rsidR="00AD147B">
        <w:t>Pipeline</w:t>
      </w:r>
      <w:r w:rsidRPr="007A1BB2" w:rsidR="00E74E71">
        <w:t>) and San Pablo Bay Pipeline, L</w:t>
      </w:r>
      <w:r w:rsidR="00E74E71">
        <w:t xml:space="preserve">imited Liability Company (LLC) </w:t>
      </w:r>
      <w:r w:rsidR="00AD147B">
        <w:t>(PLC-29)</w:t>
      </w:r>
      <w:r w:rsidR="00FE6BD8">
        <w:t xml:space="preserve"> </w:t>
      </w:r>
      <w:r w:rsidRPr="007A1BB2" w:rsidR="00E74E71">
        <w:t>(S</w:t>
      </w:r>
      <w:r w:rsidR="00CA179A">
        <w:t>an Pablo Pipeline</w:t>
      </w:r>
      <w:r w:rsidRPr="007A1BB2" w:rsidR="00E74E71">
        <w:t xml:space="preserve">), </w:t>
      </w:r>
      <w:r w:rsidR="00E74E71">
        <w:t xml:space="preserve">to CorEnergy. </w:t>
      </w:r>
      <w:r w:rsidR="00A32D6F">
        <w:t xml:space="preserve"> </w:t>
      </w:r>
      <w:r w:rsidR="00E74E71">
        <w:t>C</w:t>
      </w:r>
      <w:r w:rsidRPr="007A1BB2" w:rsidR="00E74E71">
        <w:t xml:space="preserve">ollectively, Crimson </w:t>
      </w:r>
      <w:r w:rsidR="00AD147B">
        <w:t xml:space="preserve">Pipeline </w:t>
      </w:r>
      <w:r w:rsidRPr="007A1BB2" w:rsidR="00E74E71">
        <w:t>and S</w:t>
      </w:r>
      <w:r w:rsidR="00CA179A">
        <w:t>an Pabl</w:t>
      </w:r>
      <w:r w:rsidR="0033792B">
        <w:t>o</w:t>
      </w:r>
      <w:r w:rsidR="00CA179A">
        <w:t xml:space="preserve"> Pipeline</w:t>
      </w:r>
      <w:r w:rsidRPr="007A1BB2" w:rsidR="00E74E71">
        <w:t xml:space="preserve"> are the </w:t>
      </w:r>
      <w:r w:rsidR="00D952D6">
        <w:t>(</w:t>
      </w:r>
      <w:r w:rsidRPr="007A1BB2" w:rsidR="00E74E71">
        <w:t>Crimson Utilities</w:t>
      </w:r>
      <w:r w:rsidR="00D952D6">
        <w:t>)</w:t>
      </w:r>
      <w:r w:rsidR="00E74E71">
        <w:t>.</w:t>
      </w:r>
    </w:p>
    <w:p w:rsidR="00E74E71" w:rsidP="00E74E71" w:rsidRDefault="00E74E71" w14:paraId="700513E0" w14:textId="19439C65">
      <w:pPr>
        <w:pStyle w:val="xstandard"/>
      </w:pPr>
      <w:r>
        <w:t xml:space="preserve">The Crimson Utilities transport oil extracted from California oil fields to California’s oil refineries. </w:t>
      </w:r>
      <w:r w:rsidR="00F10001">
        <w:t xml:space="preserve"> </w:t>
      </w:r>
      <w:r>
        <w:t xml:space="preserve">Crimson Utilities </w:t>
      </w:r>
      <w:r w:rsidR="000D7641">
        <w:t>are</w:t>
      </w:r>
      <w:r>
        <w:t xml:space="preserve"> public utilit</w:t>
      </w:r>
      <w:r w:rsidR="000D7641">
        <w:t>ies</w:t>
      </w:r>
      <w:r>
        <w:t xml:space="preserve"> regulated by the California Public Utilities Commission (Commission). </w:t>
      </w:r>
      <w:r w:rsidR="00F10001">
        <w:t xml:space="preserve"> </w:t>
      </w:r>
      <w:r>
        <w:t xml:space="preserve">Crimson Utilities </w:t>
      </w:r>
      <w:r w:rsidR="00D952D6">
        <w:t>are</w:t>
      </w:r>
      <w:r>
        <w:t xml:space="preserve"> owned and directly controlled by Crimson Midstream Holdings, LLC. (CMH), its parent corporation. </w:t>
      </w:r>
      <w:r w:rsidR="00F10001">
        <w:t xml:space="preserve"> </w:t>
      </w:r>
      <w:r w:rsidR="00951F00">
        <w:t>Gr</w:t>
      </w:r>
      <w:r w:rsidR="000965AF">
        <w:t>ie</w:t>
      </w:r>
      <w:r w:rsidR="00951F00">
        <w:t>r and his affiliates ha</w:t>
      </w:r>
      <w:r w:rsidR="000965AF">
        <w:t>ve</w:t>
      </w:r>
      <w:r w:rsidR="00951F00">
        <w:t xml:space="preserve"> a controlling interest in </w:t>
      </w:r>
      <w:r>
        <w:t xml:space="preserve">CMH and Crimson </w:t>
      </w:r>
      <w:r w:rsidR="00D952D6">
        <w:t>Utilities,</w:t>
      </w:r>
      <w:r>
        <w:t xml:space="preserve"> while CorEnergy </w:t>
      </w:r>
      <w:r w:rsidR="00951F00">
        <w:t>ha</w:t>
      </w:r>
      <w:r w:rsidR="000965AF">
        <w:t>s</w:t>
      </w:r>
      <w:r w:rsidR="00951F00">
        <w:t xml:space="preserve"> minority </w:t>
      </w:r>
      <w:r>
        <w:t>control</w:t>
      </w:r>
      <w:r w:rsidR="00951F00">
        <w:t xml:space="preserve"> of</w:t>
      </w:r>
      <w:r>
        <w:t xml:space="preserve"> the remaining interests.</w:t>
      </w:r>
      <w:r>
        <w:rPr>
          <w:rStyle w:val="FootnoteReference"/>
        </w:rPr>
        <w:footnoteReference w:id="2"/>
      </w:r>
    </w:p>
    <w:p w:rsidR="00E74E71" w:rsidP="00E74E71" w:rsidRDefault="00AD0401" w14:paraId="0DD867CC" w14:textId="6412CE19">
      <w:pPr>
        <w:pStyle w:val="xstandard"/>
      </w:pPr>
      <w:r>
        <w:t xml:space="preserve">Joint </w:t>
      </w:r>
      <w:r w:rsidR="00E74E71">
        <w:t>Applicants</w:t>
      </w:r>
      <w:r w:rsidR="00127948">
        <w:t>’</w:t>
      </w:r>
      <w:r w:rsidR="00E74E71">
        <w:t xml:space="preserve"> </w:t>
      </w:r>
      <w:r>
        <w:t xml:space="preserve">first </w:t>
      </w:r>
      <w:r w:rsidR="00E74E71">
        <w:t xml:space="preserve">Joint </w:t>
      </w:r>
      <w:r w:rsidR="006A17CC">
        <w:t>Application to</w:t>
      </w:r>
      <w:r w:rsidR="00E74E71">
        <w:t xml:space="preserve"> transfer exclusive control of the Crimson Utilities from Grier to CorEnergy</w:t>
      </w:r>
      <w:r w:rsidR="007C01D3">
        <w:t xml:space="preserve">, </w:t>
      </w:r>
      <w:r w:rsidR="00BF6262">
        <w:t>Application (A.)</w:t>
      </w:r>
      <w:r w:rsidR="007C01D3">
        <w:t xml:space="preserve">21-02-013, </w:t>
      </w:r>
      <w:r>
        <w:t>was denied in Decision (D.)</w:t>
      </w:r>
      <w:r w:rsidR="006A17CC">
        <w:t xml:space="preserve"> </w:t>
      </w:r>
      <w:r>
        <w:t>22</w:t>
      </w:r>
      <w:r w:rsidR="340EA0E6">
        <w:t>-</w:t>
      </w:r>
      <w:r w:rsidR="00F10001">
        <w:noBreakHyphen/>
      </w:r>
      <w:r>
        <w:t>12</w:t>
      </w:r>
      <w:r w:rsidR="707FE2A9">
        <w:t>-</w:t>
      </w:r>
      <w:r w:rsidR="00F10001">
        <w:noBreakHyphen/>
      </w:r>
      <w:r>
        <w:t>032.</w:t>
      </w:r>
      <w:r w:rsidR="00E74E71">
        <w:rPr>
          <w:rStyle w:val="FootnoteReference"/>
        </w:rPr>
        <w:footnoteReference w:id="3"/>
      </w:r>
      <w:r w:rsidR="00E74E71">
        <w:t xml:space="preserve">  </w:t>
      </w:r>
      <w:r>
        <w:t xml:space="preserve">D.22-12-032 </w:t>
      </w:r>
      <w:r w:rsidR="001543EA">
        <w:t>require</w:t>
      </w:r>
      <w:r w:rsidR="007C4E04">
        <w:t>s</w:t>
      </w:r>
      <w:r w:rsidR="001543EA">
        <w:t xml:space="preserve"> two conditions precedent for</w:t>
      </w:r>
      <w:r w:rsidR="00BF6262">
        <w:t xml:space="preserve"> </w:t>
      </w:r>
      <w:r w:rsidR="00C31D6A">
        <w:t>Joint Applicants</w:t>
      </w:r>
      <w:r>
        <w:t xml:space="preserve"> </w:t>
      </w:r>
      <w:r w:rsidR="00C31D6A">
        <w:t>future applications</w:t>
      </w:r>
      <w:r>
        <w:t xml:space="preserve"> for transfer of control, such as the instant Application</w:t>
      </w:r>
      <w:r w:rsidR="001543EA">
        <w:t>.</w:t>
      </w:r>
      <w:r w:rsidR="009526F7">
        <w:rPr>
          <w:rStyle w:val="FootnoteReference"/>
        </w:rPr>
        <w:footnoteReference w:id="4"/>
      </w:r>
      <w:r w:rsidR="001C1999">
        <w:t xml:space="preserve">  </w:t>
      </w:r>
      <w:r w:rsidR="001543EA">
        <w:t>The</w:t>
      </w:r>
      <w:r w:rsidR="006A17CC">
        <w:t>se</w:t>
      </w:r>
      <w:r w:rsidR="001543EA">
        <w:t xml:space="preserve"> </w:t>
      </w:r>
      <w:r w:rsidR="007C01D3">
        <w:t>conditions are that</w:t>
      </w:r>
      <w:r w:rsidR="00BF6262">
        <w:t xml:space="preserve"> </w:t>
      </w:r>
      <w:r w:rsidR="001543EA">
        <w:t xml:space="preserve">CorEnergy </w:t>
      </w:r>
      <w:r w:rsidR="006A17CC">
        <w:t xml:space="preserve">must </w:t>
      </w:r>
      <w:r w:rsidR="001543EA">
        <w:t xml:space="preserve">demonstrate </w:t>
      </w:r>
      <w:r>
        <w:t>improved financial strength</w:t>
      </w:r>
      <w:r w:rsidR="007C01D3">
        <w:t xml:space="preserve"> and a</w:t>
      </w:r>
      <w:r>
        <w:t xml:space="preserve"> clear ruling </w:t>
      </w:r>
      <w:r w:rsidR="007C4E04">
        <w:t xml:space="preserve">must be provided </w:t>
      </w:r>
      <w:r>
        <w:t xml:space="preserve">from the Internal Revenue Service </w:t>
      </w:r>
      <w:r w:rsidR="009526F7">
        <w:t xml:space="preserve">regarding </w:t>
      </w:r>
      <w:r>
        <w:t>Crimson Utilities status as a Real Estate Investment Trust (REIT).</w:t>
      </w:r>
      <w:r w:rsidRPr="007C01D3" w:rsidR="007C01D3">
        <w:rPr>
          <w:rStyle w:val="FootnoteReference"/>
        </w:rPr>
        <w:t xml:space="preserve"> </w:t>
      </w:r>
      <w:r w:rsidR="007C01D3">
        <w:rPr>
          <w:rStyle w:val="FootnoteReference"/>
        </w:rPr>
        <w:footnoteReference w:id="5"/>
      </w:r>
    </w:p>
    <w:p w:rsidR="00E74E71" w:rsidP="00E74E71" w:rsidRDefault="001407E1" w14:paraId="4212B47B" w14:textId="40797E6F">
      <w:pPr>
        <w:pStyle w:val="xstandard"/>
      </w:pPr>
      <w:r>
        <w:lastRenderedPageBreak/>
        <w:t>Joint Applicants</w:t>
      </w:r>
      <w:r w:rsidR="007C4E04">
        <w:t>’</w:t>
      </w:r>
      <w:r>
        <w:t xml:space="preserve"> commercial customers did not appear in this proceeding. </w:t>
      </w:r>
      <w:r w:rsidR="002A0EBA">
        <w:t>N</w:t>
      </w:r>
      <w:r w:rsidR="00E74E71">
        <w:t xml:space="preserve">o protests or responses were filed to the current Joint Application. </w:t>
      </w:r>
      <w:r w:rsidR="00E4787E">
        <w:t xml:space="preserve"> </w:t>
      </w:r>
      <w:r w:rsidR="002A0EBA">
        <w:t xml:space="preserve">There are no other parties to this </w:t>
      </w:r>
      <w:r w:rsidR="0080315F">
        <w:t>proceeding.</w:t>
      </w:r>
    </w:p>
    <w:p w:rsidRPr="00BD6873" w:rsidR="0033792B" w:rsidP="0033792B" w:rsidRDefault="0033792B" w14:paraId="124F1AAC" w14:textId="55B76A78">
      <w:pPr>
        <w:pStyle w:val="Standard"/>
      </w:pPr>
      <w:r>
        <w:t>A Prehearing Conference (PHC) was held on October 2, 2024.</w:t>
      </w:r>
    </w:p>
    <w:p w:rsidR="001155EC" w:rsidP="001155EC" w:rsidRDefault="001407E1" w14:paraId="4B6944FD" w14:textId="5CDE9C9D">
      <w:pPr>
        <w:pStyle w:val="xstandard"/>
      </w:pPr>
      <w:r>
        <w:t>On Januar</w:t>
      </w:r>
      <w:r w:rsidR="00782AAE">
        <w:t>y</w:t>
      </w:r>
      <w:r w:rsidR="007C4E04">
        <w:t xml:space="preserve"> </w:t>
      </w:r>
      <w:r>
        <w:t>2, 2025</w:t>
      </w:r>
      <w:r w:rsidR="00782AAE">
        <w:t>, the</w:t>
      </w:r>
      <w:r w:rsidR="007C4E04">
        <w:t xml:space="preserve"> </w:t>
      </w:r>
      <w:r w:rsidR="005839A6">
        <w:t>a</w:t>
      </w:r>
      <w:r w:rsidR="007C4E04">
        <w:t>ssigned Commissioner’s</w:t>
      </w:r>
      <w:r w:rsidR="00782AAE">
        <w:t xml:space="preserve"> Scoping Memo and Ruling </w:t>
      </w:r>
      <w:r w:rsidR="001155EC">
        <w:t xml:space="preserve">(Scoping Ruling) </w:t>
      </w:r>
      <w:r w:rsidR="001C1999">
        <w:t xml:space="preserve">was </w:t>
      </w:r>
      <w:r w:rsidR="001155EC">
        <w:t xml:space="preserve">issued. Evidentiary Hearings were not held. </w:t>
      </w:r>
    </w:p>
    <w:p w:rsidR="001155EC" w:rsidP="001155EC" w:rsidRDefault="001155EC" w14:paraId="3B15A65D" w14:textId="7C4FD17B">
      <w:pPr>
        <w:pStyle w:val="xstandard"/>
      </w:pPr>
      <w:r>
        <w:t xml:space="preserve">On February 7, 2025, an </w:t>
      </w:r>
      <w:r w:rsidR="006A17CC">
        <w:t>assign</w:t>
      </w:r>
      <w:r w:rsidR="00FE6BD8">
        <w:t>e</w:t>
      </w:r>
      <w:r w:rsidR="006A17CC">
        <w:t>d Administrative</w:t>
      </w:r>
      <w:r w:rsidR="00A15AA0">
        <w:t xml:space="preserve"> Law Judge (ALJ)</w:t>
      </w:r>
      <w:r>
        <w:t xml:space="preserve"> </w:t>
      </w:r>
      <w:r w:rsidR="0065766C">
        <w:t>R</w:t>
      </w:r>
      <w:r>
        <w:t xml:space="preserve">uling ordered Joint Applicants to provide </w:t>
      </w:r>
      <w:r w:rsidR="0065766C">
        <w:t xml:space="preserve">a Response </w:t>
      </w:r>
      <w:r w:rsidR="00BF6262">
        <w:t xml:space="preserve">regarding Joint </w:t>
      </w:r>
      <w:r>
        <w:t>Applicants</w:t>
      </w:r>
      <w:r w:rsidR="0065766C">
        <w:t>’</w:t>
      </w:r>
      <w:r>
        <w:t xml:space="preserve"> capital investments in Crimson Utilities. </w:t>
      </w:r>
    </w:p>
    <w:p w:rsidR="001155EC" w:rsidP="001155EC" w:rsidRDefault="001155EC" w14:paraId="68B36834" w14:textId="3EBD7273">
      <w:pPr>
        <w:pStyle w:val="xstandard"/>
      </w:pPr>
      <w:r>
        <w:t xml:space="preserve">On March 7, 2025, Joint Applicants filed a Response to the ALJ </w:t>
      </w:r>
      <w:r w:rsidR="0065766C">
        <w:t>R</w:t>
      </w:r>
      <w:r>
        <w:t xml:space="preserve">uling. </w:t>
      </w:r>
    </w:p>
    <w:p w:rsidR="00683B2C" w:rsidP="00E20064" w:rsidRDefault="00683B2C" w14:paraId="5184D17B" w14:textId="4714B92B">
      <w:pPr>
        <w:pStyle w:val="Heading2"/>
        <w:numPr>
          <w:ilvl w:val="0"/>
          <w:numId w:val="1"/>
        </w:numPr>
      </w:pPr>
      <w:bookmarkStart w:name="_Toc133843846" w:id="4"/>
      <w:r>
        <w:t>Submission Date</w:t>
      </w:r>
      <w:bookmarkEnd w:id="4"/>
    </w:p>
    <w:p w:rsidR="00683B2C" w:rsidP="00683B2C" w:rsidRDefault="00AA7092" w14:paraId="6F654076" w14:textId="5483B6E2">
      <w:pPr>
        <w:pStyle w:val="Standard"/>
      </w:pPr>
      <w:r>
        <w:t>O</w:t>
      </w:r>
      <w:r w:rsidRPr="00FF0265">
        <w:t xml:space="preserve">n </w:t>
      </w:r>
      <w:r>
        <w:t>March 7, 2025, t</w:t>
      </w:r>
      <w:r w:rsidRPr="00FF0265" w:rsidR="00683B2C">
        <w:t xml:space="preserve">his matter was submitted upon </w:t>
      </w:r>
      <w:r w:rsidR="009D5261">
        <w:t>the filing of Joint Applicants’ Response to ALJ Ruling</w:t>
      </w:r>
      <w:r>
        <w:t>.</w:t>
      </w:r>
    </w:p>
    <w:p w:rsidRPr="006E4154" w:rsidR="005A148C" w:rsidP="00E20064" w:rsidRDefault="0063491C" w14:paraId="75F1E51E" w14:textId="5C0BEAC5">
      <w:pPr>
        <w:pStyle w:val="Heading1"/>
        <w:numPr>
          <w:ilvl w:val="0"/>
          <w:numId w:val="1"/>
        </w:numPr>
        <w:rPr>
          <w:rFonts w:cs="Arial"/>
          <w:szCs w:val="26"/>
        </w:rPr>
      </w:pPr>
      <w:bookmarkStart w:name="_Toc8123718" w:id="5"/>
      <w:bookmarkStart w:name="_Toc133843847" w:id="6"/>
      <w:r w:rsidRPr="006E4154">
        <w:rPr>
          <w:rFonts w:cs="Arial"/>
          <w:szCs w:val="26"/>
        </w:rPr>
        <w:t>Jurisdiction</w:t>
      </w:r>
      <w:r w:rsidRPr="006E4154" w:rsidR="0011401B">
        <w:rPr>
          <w:rFonts w:cs="Arial"/>
          <w:szCs w:val="26"/>
        </w:rPr>
        <w:t xml:space="preserve"> and Issues Before the Commission</w:t>
      </w:r>
      <w:r w:rsidRPr="006E4154">
        <w:rPr>
          <w:rFonts w:cs="Arial"/>
          <w:szCs w:val="26"/>
        </w:rPr>
        <w:t xml:space="preserve"> </w:t>
      </w:r>
      <w:bookmarkEnd w:id="5"/>
      <w:bookmarkEnd w:id="6"/>
    </w:p>
    <w:p w:rsidR="00C03E83" w:rsidP="00BD6873" w:rsidRDefault="00C03E83" w14:paraId="2CFD767F" w14:textId="0C0F12AC">
      <w:pPr>
        <w:pStyle w:val="Standard"/>
      </w:pPr>
      <w:r>
        <w:t xml:space="preserve">The Scoping Ruling set the </w:t>
      </w:r>
      <w:r w:rsidR="006A17CC">
        <w:t xml:space="preserve">following </w:t>
      </w:r>
      <w:r>
        <w:t>issues to be determined</w:t>
      </w:r>
      <w:r w:rsidR="0095771F">
        <w:t xml:space="preserve"> in this </w:t>
      </w:r>
      <w:r w:rsidR="006A17CC">
        <w:t>proceeding:</w:t>
      </w:r>
    </w:p>
    <w:p w:rsidR="00C03E83" w:rsidRDefault="00C03E83" w14:paraId="3846BB78" w14:textId="1D246781">
      <w:pPr>
        <w:numPr>
          <w:ilvl w:val="0"/>
          <w:numId w:val="18"/>
        </w:numPr>
        <w:spacing w:after="120" w:line="240" w:lineRule="auto"/>
        <w:ind w:left="1080" w:right="1440"/>
      </w:pPr>
      <w:r w:rsidRPr="00C03E83">
        <w:t xml:space="preserve">Does the proposed change of control for Crimson Utilities and CMH meet the requirements of Pub. Util. Code </w:t>
      </w:r>
      <w:r w:rsidRPr="00557051" w:rsidR="00FE6BD8">
        <w:t>§</w:t>
      </w:r>
      <w:r w:rsidRPr="00C03E83">
        <w:t>854?</w:t>
      </w:r>
    </w:p>
    <w:p w:rsidRPr="00C03E83" w:rsidR="00FE6BD8" w:rsidP="0024094D" w:rsidRDefault="00C03E83" w14:paraId="770ED14E" w14:textId="368B3E9E">
      <w:pPr>
        <w:numPr>
          <w:ilvl w:val="0"/>
          <w:numId w:val="18"/>
        </w:numPr>
        <w:spacing w:after="240" w:line="240" w:lineRule="auto"/>
        <w:ind w:left="1080" w:right="1440"/>
      </w:pPr>
      <w:r w:rsidRPr="00C03E83">
        <w:t>Does the proposed change of control comport with the Commission’s Environmental and Social Justice Plan (ESJ)?</w:t>
      </w:r>
    </w:p>
    <w:p w:rsidR="0095771F" w:rsidP="0095771F" w:rsidRDefault="0095771F" w14:paraId="102229E4" w14:textId="2AB05D44">
      <w:pPr>
        <w:pStyle w:val="Standard"/>
      </w:pPr>
      <w:r>
        <w:t xml:space="preserve">Crimson Utilities </w:t>
      </w:r>
      <w:r w:rsidR="005C3830">
        <w:t>are</w:t>
      </w:r>
      <w:r>
        <w:t xml:space="preserve"> common carrier </w:t>
      </w:r>
      <w:r w:rsidR="00CB0624">
        <w:t xml:space="preserve">oil </w:t>
      </w:r>
      <w:r>
        <w:t>pipeline corporation</w:t>
      </w:r>
      <w:r w:rsidR="005C3830">
        <w:t>s</w:t>
      </w:r>
      <w:r>
        <w:t xml:space="preserve"> and public utilit</w:t>
      </w:r>
      <w:r w:rsidR="005C3830">
        <w:t>ies</w:t>
      </w:r>
      <w:r>
        <w:t xml:space="preserve"> regulated by the Commission pursuant to </w:t>
      </w:r>
      <w:r w:rsidRPr="008412CA">
        <w:t xml:space="preserve">Pub. Util. Code </w:t>
      </w:r>
      <w:bookmarkStart w:name="_Hlk96415621" w:id="7"/>
      <w:r w:rsidRPr="008412CA">
        <w:t>§</w:t>
      </w:r>
      <w:bookmarkEnd w:id="7"/>
      <w:r w:rsidRPr="008412CA">
        <w:t>§</w:t>
      </w:r>
      <w:r>
        <w:t>211 and</w:t>
      </w:r>
      <w:r w:rsidRPr="008412CA">
        <w:t> </w:t>
      </w:r>
      <w:r>
        <w:t xml:space="preserve">216.  Any transfer of control of a public utility doing business in California must be approved in advance by the Commission pursuant to Pub. Util. Code </w:t>
      </w:r>
      <w:bookmarkStart w:name="_Hlk204068004" w:id="8"/>
      <w:r w:rsidRPr="00557051">
        <w:t>§</w:t>
      </w:r>
      <w:bookmarkEnd w:id="8"/>
      <w:r>
        <w:t>854.</w:t>
      </w:r>
    </w:p>
    <w:p w:rsidR="005A148C" w:rsidP="00E20064" w:rsidRDefault="0011401B" w14:paraId="15F8BF1F" w14:textId="26913FEC">
      <w:pPr>
        <w:pStyle w:val="Heading1"/>
        <w:numPr>
          <w:ilvl w:val="0"/>
          <w:numId w:val="1"/>
        </w:numPr>
      </w:pPr>
      <w:r>
        <w:lastRenderedPageBreak/>
        <w:t>Standard of Review</w:t>
      </w:r>
    </w:p>
    <w:p w:rsidRPr="008E7579" w:rsidR="0011401B" w:rsidP="008E7579" w:rsidRDefault="0011401B" w14:paraId="12FCB519" w14:textId="4B2C6AAB">
      <w:pPr>
        <w:pStyle w:val="ListParagraph"/>
        <w:keepNext/>
        <w:keepLines/>
        <w:numPr>
          <w:ilvl w:val="0"/>
          <w:numId w:val="19"/>
        </w:numPr>
        <w:spacing w:after="120" w:line="240" w:lineRule="auto"/>
        <w:outlineLvl w:val="2"/>
        <w:rPr>
          <w:rFonts w:ascii="Arial" w:hAnsi="Arial" w:eastAsiaTheme="majorEastAsia" w:cstheme="majorBidi"/>
          <w:b/>
          <w:szCs w:val="24"/>
        </w:rPr>
      </w:pPr>
      <w:r w:rsidRPr="008E7579">
        <w:rPr>
          <w:rFonts w:ascii="Arial" w:hAnsi="Arial" w:eastAsiaTheme="majorEastAsia" w:cstheme="majorBidi"/>
          <w:b/>
          <w:szCs w:val="24"/>
        </w:rPr>
        <w:t>Public Util</w:t>
      </w:r>
      <w:r w:rsidR="00FF0A82">
        <w:rPr>
          <w:rFonts w:ascii="Arial" w:hAnsi="Arial" w:eastAsiaTheme="majorEastAsia" w:cstheme="majorBidi"/>
          <w:b/>
          <w:szCs w:val="24"/>
        </w:rPr>
        <w:t>.</w:t>
      </w:r>
      <w:r w:rsidRPr="008E7579">
        <w:rPr>
          <w:rFonts w:ascii="Arial" w:hAnsi="Arial" w:eastAsiaTheme="majorEastAsia" w:cstheme="majorBidi"/>
          <w:b/>
          <w:szCs w:val="24"/>
        </w:rPr>
        <w:t xml:space="preserve"> Code </w:t>
      </w:r>
      <w:r w:rsidRPr="008E7579">
        <w:rPr>
          <w:rFonts w:ascii="Times New Roman" w:hAnsi="Times New Roman" w:cs="Times New Roman" w:eastAsiaTheme="majorEastAsia"/>
          <w:b/>
          <w:szCs w:val="24"/>
        </w:rPr>
        <w:t>§</w:t>
      </w:r>
      <w:r w:rsidRPr="008E7579">
        <w:rPr>
          <w:rFonts w:ascii="Arial" w:hAnsi="Arial" w:eastAsiaTheme="majorEastAsia" w:cstheme="majorBidi"/>
          <w:b/>
          <w:szCs w:val="24"/>
        </w:rPr>
        <w:t>851</w:t>
      </w:r>
    </w:p>
    <w:p w:rsidRPr="008E7579" w:rsidR="0011401B" w:rsidP="00505E9D" w:rsidRDefault="0011401B" w14:paraId="64B41666" w14:textId="52354061">
      <w:pPr>
        <w:rPr>
          <w:rFonts w:ascii="Arial" w:hAnsi="Arial" w:eastAsiaTheme="majorEastAsia" w:cstheme="majorBidi"/>
          <w:b/>
          <w:szCs w:val="24"/>
        </w:rPr>
      </w:pPr>
      <w:r w:rsidRPr="006E4154">
        <w:t>Pub. Util. Code</w:t>
      </w:r>
      <w:r w:rsidRPr="008E7579">
        <w:rPr>
          <w:rFonts w:cs="Times New Roman"/>
        </w:rPr>
        <w:t> </w:t>
      </w:r>
      <w:r w:rsidRPr="00557051" w:rsidR="00FE6BD8">
        <w:t>§</w:t>
      </w:r>
      <w:r w:rsidRPr="006E4154">
        <w:t>851 requires that any transfer</w:t>
      </w:r>
      <w:r w:rsidRPr="006E4154" w:rsidR="00505E9D">
        <w:t xml:space="preserve"> or encumbrance of utility property requires Commission approval. </w:t>
      </w:r>
      <w:r w:rsidR="00A17866">
        <w:t xml:space="preserve"> </w:t>
      </w:r>
      <w:r w:rsidRPr="006E4154" w:rsidR="00505E9D">
        <w:t xml:space="preserve">The Application does not propose transferring or encumbering the property of Crimson Utilities. Therefore, the Pub. Util. Code </w:t>
      </w:r>
      <w:r w:rsidRPr="008E7579" w:rsidR="00505E9D">
        <w:rPr>
          <w:rFonts w:cs="Times New Roman"/>
        </w:rPr>
        <w:t>§</w:t>
      </w:r>
      <w:r w:rsidRPr="006E4154" w:rsidR="00505E9D">
        <w:rPr>
          <w:rFonts w:cs="Times New Roman"/>
        </w:rPr>
        <w:t>851 standard of review is not applicable to the Commission’s review of this Application.</w:t>
      </w:r>
    </w:p>
    <w:p w:rsidR="0011401B" w:rsidP="008E7579" w:rsidRDefault="0011401B" w14:paraId="6BCC247D" w14:textId="30ECE1CD">
      <w:pPr>
        <w:pStyle w:val="ListParagraph"/>
        <w:keepNext/>
        <w:keepLines/>
        <w:numPr>
          <w:ilvl w:val="0"/>
          <w:numId w:val="21"/>
        </w:numPr>
        <w:spacing w:before="120" w:after="120" w:line="240" w:lineRule="auto"/>
        <w:outlineLvl w:val="2"/>
        <w:rPr>
          <w:rFonts w:ascii="Arial" w:hAnsi="Arial" w:eastAsiaTheme="majorEastAsia" w:cstheme="majorBidi"/>
          <w:b/>
          <w:szCs w:val="24"/>
        </w:rPr>
      </w:pPr>
      <w:r w:rsidRPr="008E7579">
        <w:rPr>
          <w:rFonts w:ascii="Arial" w:hAnsi="Arial" w:eastAsiaTheme="majorEastAsia" w:cstheme="majorBidi"/>
          <w:b/>
          <w:szCs w:val="24"/>
        </w:rPr>
        <w:t xml:space="preserve">Pub. Util. Code </w:t>
      </w:r>
      <w:r w:rsidRPr="008E7579">
        <w:rPr>
          <w:rFonts w:ascii="Times New Roman" w:hAnsi="Times New Roman" w:cs="Times New Roman" w:eastAsiaTheme="majorEastAsia"/>
          <w:b/>
          <w:szCs w:val="24"/>
        </w:rPr>
        <w:t>§</w:t>
      </w:r>
      <w:r w:rsidRPr="008E7579">
        <w:rPr>
          <w:rFonts w:ascii="Arial" w:hAnsi="Arial" w:eastAsiaTheme="majorEastAsia" w:cstheme="majorBidi"/>
          <w:b/>
          <w:szCs w:val="24"/>
        </w:rPr>
        <w:t>854</w:t>
      </w:r>
    </w:p>
    <w:p w:rsidRPr="0085797B" w:rsidR="0085797B" w:rsidP="004C7BDB" w:rsidRDefault="0085797B" w14:paraId="4A2CCD1C" w14:textId="14FAD5C4">
      <w:pPr>
        <w:pStyle w:val="Standard"/>
      </w:pPr>
      <w:r w:rsidRPr="0011401B">
        <w:t xml:space="preserve">Commission decisions </w:t>
      </w:r>
      <w:r>
        <w:t>provide for</w:t>
      </w:r>
      <w:r w:rsidRPr="0011401B">
        <w:t xml:space="preserve"> different approaches to </w:t>
      </w:r>
      <w:r>
        <w:t>determine</w:t>
      </w:r>
      <w:r w:rsidRPr="0011401B">
        <w:t xml:space="preserve"> whether a transaction will be adverse to the public interest.</w:t>
      </w:r>
      <w:r>
        <w:t xml:space="preserve">  </w:t>
      </w:r>
      <w:r w:rsidRPr="0011401B">
        <w:t>We also observe that in certain past instances, questions have sometimes arisen as to whether, in the context of §854(a), the “adverse to public interest” standard is different from the “in the public interest” standard.</w:t>
      </w:r>
      <w:r w:rsidRPr="0011401B">
        <w:rPr>
          <w:vertAlign w:val="superscript"/>
        </w:rPr>
        <w:footnoteReference w:id="6"/>
      </w:r>
      <w:r w:rsidRPr="0011401B">
        <w:t xml:space="preserve">  In D.07-03-047, however, in determining whether a proposed transfer of control is not adverse to the public interest, the Commission was not applying a separate standard, but rather, “the same standard as demonstrating that the transaction is affirmatively in the public interest under §854(a).”</w:t>
      </w:r>
      <w:r w:rsidRPr="0011401B">
        <w:rPr>
          <w:vertAlign w:val="superscript"/>
        </w:rPr>
        <w:footnoteReference w:id="7"/>
      </w:r>
    </w:p>
    <w:p w:rsidRPr="006E4154" w:rsidR="0011401B" w:rsidP="0011401B" w:rsidRDefault="0011401B" w14:paraId="11A0BCA9" w14:textId="7A8B8840">
      <w:r w:rsidRPr="006E4154">
        <w:t>Pub. Util. Code</w:t>
      </w:r>
      <w:r w:rsidR="00A17866">
        <w:t xml:space="preserve"> </w:t>
      </w:r>
      <w:r w:rsidRPr="008E7579">
        <w:rPr>
          <w:rFonts w:cs="Times New Roman"/>
        </w:rPr>
        <w:t>§</w:t>
      </w:r>
      <w:r w:rsidRPr="006E4154">
        <w:t xml:space="preserve">854(a) requires any “person or corporation” to obtain the Commission's approval before acquiring direct or indirect control of a public utility.  The purpose of </w:t>
      </w:r>
      <w:r w:rsidR="005C3830">
        <w:t xml:space="preserve">Pub. Util. Code </w:t>
      </w:r>
      <w:r w:rsidRPr="008E7579">
        <w:rPr>
          <w:rFonts w:cs="Times New Roman"/>
        </w:rPr>
        <w:t>§</w:t>
      </w:r>
      <w:r w:rsidRPr="006E4154">
        <w:t xml:space="preserve">854(a) is to allow the Commission to review and evaluate a proposed transaction and to impose any conditions that the public interest requires before a transfer of public utility authority is </w:t>
      </w:r>
      <w:r w:rsidRPr="006E4154">
        <w:lastRenderedPageBreak/>
        <w:t>consummated, and therefore the primary issue in this application is whether the proposed transfer is contrary to the public interest.</w:t>
      </w:r>
    </w:p>
    <w:p w:rsidR="00027426" w:rsidP="0011401B" w:rsidRDefault="0011401B" w14:paraId="62D48C37" w14:textId="4826392C">
      <w:r w:rsidRPr="006E4154">
        <w:t>Pub. Util. Code §</w:t>
      </w:r>
      <w:r w:rsidRPr="0011401B" w:rsidR="00D75748">
        <w:t>§</w:t>
      </w:r>
      <w:r w:rsidRPr="006E4154">
        <w:t xml:space="preserve">854(b) and (c) apply only to transactions involving utilities with annual gross California revenues of more than $500,000,000.  </w:t>
      </w:r>
      <w:r w:rsidR="00C04EED">
        <w:t>There is no evidence that Crimson Utilities ha</w:t>
      </w:r>
      <w:r w:rsidR="000965AF">
        <w:t>ve</w:t>
      </w:r>
      <w:r w:rsidR="00C04EED">
        <w:t xml:space="preserve"> annual revenues </w:t>
      </w:r>
      <w:r w:rsidR="00B15A8A">
        <w:t xml:space="preserve">near or </w:t>
      </w:r>
      <w:r w:rsidR="00C04EED">
        <w:t>over this threshold amount.</w:t>
      </w:r>
      <w:r w:rsidR="00B15A8A">
        <w:rPr>
          <w:rStyle w:val="FootnoteReference"/>
        </w:rPr>
        <w:footnoteReference w:id="8"/>
      </w:r>
      <w:r w:rsidR="00C04EED">
        <w:t xml:space="preserve"> </w:t>
      </w:r>
      <w:r w:rsidRPr="006E4154">
        <w:t xml:space="preserve">Crimson </w:t>
      </w:r>
      <w:r w:rsidRPr="006E4154" w:rsidR="001C1999">
        <w:t>Utilities</w:t>
      </w:r>
      <w:r w:rsidRPr="006E4154" w:rsidR="00096ED6">
        <w:t xml:space="preserve"> </w:t>
      </w:r>
      <w:r w:rsidRPr="006E4154">
        <w:t>do not fall within this category</w:t>
      </w:r>
      <w:r w:rsidR="00027426">
        <w:t>.</w:t>
      </w:r>
      <w:r w:rsidRPr="006E4154">
        <w:t xml:space="preserve"> </w:t>
      </w:r>
      <w:r w:rsidR="00027426">
        <w:t xml:space="preserve"> </w:t>
      </w:r>
    </w:p>
    <w:p w:rsidRPr="006E4154" w:rsidR="0011401B" w:rsidP="0011401B" w:rsidRDefault="00027426" w14:paraId="5E724C93" w14:textId="7D6C36A1">
      <w:r>
        <w:t xml:space="preserve">The Commission also has discretion whether to apply the criteria of Pub. Util Code </w:t>
      </w:r>
      <w:r w:rsidRPr="006E4154">
        <w:t>§</w:t>
      </w:r>
      <w:r w:rsidRPr="0011401B" w:rsidR="00D75748">
        <w:t>§</w:t>
      </w:r>
      <w:r w:rsidRPr="006E4154">
        <w:t xml:space="preserve">854(b) and (c) </w:t>
      </w:r>
      <w:r>
        <w:t>to the instant Application.</w:t>
      </w:r>
      <w:r>
        <w:rPr>
          <w:rStyle w:val="FootnoteReference"/>
        </w:rPr>
        <w:footnoteReference w:id="9"/>
      </w:r>
      <w:r w:rsidR="005C3830">
        <w:t xml:space="preserve">  </w:t>
      </w:r>
      <w:r>
        <w:t xml:space="preserve">Here, the Commission declines to apply these standards because Pub. Util Code </w:t>
      </w:r>
      <w:r w:rsidRPr="006E4154">
        <w:t>§</w:t>
      </w:r>
      <w:r>
        <w:t>854</w:t>
      </w:r>
      <w:r w:rsidR="00FE6BD8">
        <w:t>(a)</w:t>
      </w:r>
      <w:r>
        <w:t xml:space="preserve"> is applicable. </w:t>
      </w:r>
    </w:p>
    <w:p w:rsidRPr="0011401B" w:rsidR="0011401B" w:rsidP="0011401B" w:rsidRDefault="0011401B" w14:paraId="61F0918C" w14:textId="3B78C309">
      <w:r w:rsidRPr="0011401B">
        <w:t xml:space="preserve">Pub. Util. Code </w:t>
      </w:r>
      <w:bookmarkStart w:name="_Hlk204674129" w:id="9"/>
      <w:r w:rsidRPr="0011401B">
        <w:t>§</w:t>
      </w:r>
      <w:bookmarkEnd w:id="9"/>
      <w:r w:rsidRPr="0011401B">
        <w:t xml:space="preserve">854(d) applies only to transactions involving utilities with annual gross California revenues of more than $400,000,000. </w:t>
      </w:r>
      <w:r w:rsidR="004C7BDB">
        <w:t xml:space="preserve"> </w:t>
      </w:r>
      <w:r w:rsidR="00B15A8A">
        <w:t>Similarly,</w:t>
      </w:r>
      <w:r w:rsidR="00C04EED">
        <w:t xml:space="preserve"> </w:t>
      </w:r>
      <w:r>
        <w:t>Crimson Utilities</w:t>
      </w:r>
      <w:r w:rsidRPr="0011401B">
        <w:t xml:space="preserve"> does not fall within this category and no further analysis under </w:t>
      </w:r>
      <w:r w:rsidRPr="0011401B" w:rsidR="001C1999">
        <w:t xml:space="preserve">Pub. Util. Code §854(d) </w:t>
      </w:r>
      <w:r w:rsidRPr="0011401B">
        <w:t>is n</w:t>
      </w:r>
      <w:r w:rsidR="00347678">
        <w:t>ecessary</w:t>
      </w:r>
      <w:r w:rsidRPr="0011401B">
        <w:t>.</w:t>
      </w:r>
      <w:r w:rsidR="00096ED6">
        <w:rPr>
          <w:rStyle w:val="FootnoteReference"/>
        </w:rPr>
        <w:footnoteReference w:id="10"/>
      </w:r>
    </w:p>
    <w:p w:rsidRPr="0011401B" w:rsidR="0011401B" w:rsidP="0011401B" w:rsidRDefault="0011401B" w14:paraId="650C8225" w14:textId="5FF3B3DC">
      <w:r w:rsidRPr="0011401B">
        <w:t xml:space="preserve">We find that this transaction should be </w:t>
      </w:r>
      <w:r w:rsidR="00027426">
        <w:t>analyzed</w:t>
      </w:r>
      <w:r w:rsidRPr="0011401B">
        <w:t xml:space="preserve"> pursuant to Pub. Util. Code </w:t>
      </w:r>
      <w:bookmarkStart w:name="_Hlk203730110" w:id="10"/>
      <w:r w:rsidRPr="0011401B">
        <w:t>§</w:t>
      </w:r>
      <w:bookmarkEnd w:id="10"/>
      <w:r w:rsidRPr="0011401B">
        <w:t>854(a).</w:t>
      </w:r>
    </w:p>
    <w:p w:rsidRPr="008E7579" w:rsidR="0011401B" w:rsidP="008E7579" w:rsidRDefault="0011401B" w14:paraId="2BE9C0ED" w14:textId="77777777">
      <w:pPr>
        <w:pStyle w:val="ListParagraph"/>
        <w:keepNext/>
        <w:keepLines/>
        <w:numPr>
          <w:ilvl w:val="0"/>
          <w:numId w:val="23"/>
        </w:numPr>
        <w:spacing w:after="120" w:line="240" w:lineRule="auto"/>
        <w:outlineLvl w:val="1"/>
        <w:rPr>
          <w:rFonts w:ascii="Arial" w:hAnsi="Arial" w:cs="Arial"/>
          <w:b/>
          <w:szCs w:val="26"/>
        </w:rPr>
      </w:pPr>
      <w:r w:rsidRPr="008E7579">
        <w:rPr>
          <w:rFonts w:ascii="Arial" w:hAnsi="Arial" w:cs="Arial"/>
          <w:b/>
          <w:szCs w:val="26"/>
        </w:rPr>
        <w:t>California Environmental Quality Act</w:t>
      </w:r>
    </w:p>
    <w:p w:rsidRPr="0011401B" w:rsidR="0011401B" w:rsidP="0011401B" w:rsidRDefault="0011401B" w14:paraId="419B04C3" w14:textId="2964FE31">
      <w:r w:rsidRPr="0011401B">
        <w:t xml:space="preserve">Commission Rules of Practice and Procedure’s (Rules) Rule 2.4 </w:t>
      </w:r>
      <w:r w:rsidR="007832B3">
        <w:t>lists</w:t>
      </w:r>
      <w:r w:rsidRPr="0011401B">
        <w:t xml:space="preserve"> the requirements for applications that are subject to the California Environmental Quality Act (CEQA). </w:t>
      </w:r>
      <w:r w:rsidR="00A17866">
        <w:t xml:space="preserve"> </w:t>
      </w:r>
      <w:r w:rsidRPr="0011401B">
        <w:t>This transaction involves only a chang</w:t>
      </w:r>
      <w:r>
        <w:t xml:space="preserve">e of </w:t>
      </w:r>
      <w:r w:rsidRPr="0011401B">
        <w:t xml:space="preserve">direct control of </w:t>
      </w:r>
      <w:r w:rsidR="003906B0">
        <w:t>Crimson Utilities</w:t>
      </w:r>
      <w:r w:rsidRPr="0011401B">
        <w:t xml:space="preserve">. </w:t>
      </w:r>
      <w:r w:rsidR="003906B0">
        <w:t xml:space="preserve">Joint </w:t>
      </w:r>
      <w:r w:rsidRPr="0011401B">
        <w:t>Applicants assert that the transaction will not result in any change in the operation</w:t>
      </w:r>
      <w:r w:rsidR="007832B3">
        <w:t>s</w:t>
      </w:r>
      <w:r w:rsidRPr="0011401B">
        <w:t xml:space="preserve"> of </w:t>
      </w:r>
      <w:r w:rsidR="003906B0">
        <w:t>Crimson Utilities</w:t>
      </w:r>
      <w:r w:rsidRPr="0011401B">
        <w:t xml:space="preserve"> </w:t>
      </w:r>
      <w:r w:rsidR="007832B3">
        <w:t xml:space="preserve">facilities </w:t>
      </w:r>
      <w:r w:rsidRPr="0011401B">
        <w:t xml:space="preserve">or in any additional construction. </w:t>
      </w:r>
      <w:r w:rsidR="00A17866">
        <w:t xml:space="preserve"> </w:t>
      </w:r>
      <w:r w:rsidRPr="0011401B">
        <w:t>The</w:t>
      </w:r>
      <w:r w:rsidR="007832B3">
        <w:t>refore, this Joint Application is exempt from CEQA review.</w:t>
      </w:r>
    </w:p>
    <w:p w:rsidRPr="0011401B" w:rsidR="0011401B" w:rsidP="0011401B" w:rsidRDefault="0011401B" w14:paraId="73127D4F" w14:textId="30972344">
      <w:r w:rsidRPr="0011401B">
        <w:lastRenderedPageBreak/>
        <w:t xml:space="preserve">We find this transaction </w:t>
      </w:r>
      <w:r w:rsidR="001859DE">
        <w:t>is</w:t>
      </w:r>
      <w:r w:rsidRPr="0011401B">
        <w:t xml:space="preserve"> exempt from CEQA review.</w:t>
      </w:r>
    </w:p>
    <w:p w:rsidRPr="008E7579" w:rsidR="0011401B" w:rsidP="008E7579" w:rsidRDefault="0011401B" w14:paraId="275E430D" w14:textId="77777777">
      <w:pPr>
        <w:pStyle w:val="ListParagraph"/>
        <w:keepNext/>
        <w:keepLines/>
        <w:numPr>
          <w:ilvl w:val="0"/>
          <w:numId w:val="24"/>
        </w:numPr>
        <w:spacing w:after="120" w:line="240" w:lineRule="auto"/>
        <w:outlineLvl w:val="1"/>
        <w:rPr>
          <w:rFonts w:ascii="Arial" w:hAnsi="Arial" w:cs="Arial"/>
          <w:b/>
          <w:szCs w:val="26"/>
        </w:rPr>
      </w:pPr>
      <w:r w:rsidRPr="008E7579">
        <w:rPr>
          <w:rFonts w:ascii="Arial" w:hAnsi="Arial" w:cs="Arial"/>
          <w:b/>
          <w:szCs w:val="26"/>
        </w:rPr>
        <w:t>Environmental and Social Justice Action Plan</w:t>
      </w:r>
    </w:p>
    <w:p w:rsidRPr="0011401B" w:rsidR="0011401B" w:rsidP="0011401B" w:rsidRDefault="00B96815" w14:paraId="663F0D3B" w14:textId="22DF168C">
      <w:r>
        <w:t xml:space="preserve">Crimson </w:t>
      </w:r>
      <w:r w:rsidR="003906B0">
        <w:t>Utilities’ customers</w:t>
      </w:r>
      <w:r w:rsidRPr="0011401B" w:rsidR="0011401B">
        <w:t xml:space="preserve"> are large commercial </w:t>
      </w:r>
      <w:r w:rsidR="003906B0">
        <w:t>oil refineries</w:t>
      </w:r>
      <w:r w:rsidRPr="0011401B" w:rsidR="0011401B">
        <w:t xml:space="preserve">, the transaction does not change rates, and therefore there are likely no </w:t>
      </w:r>
      <w:r w:rsidR="006A17CC">
        <w:t xml:space="preserve">additional </w:t>
      </w:r>
      <w:r w:rsidRPr="0011401B" w:rsidR="0011401B">
        <w:t xml:space="preserve">impacts on environmental and social justice communities, so that approval of this transfer of direct control of </w:t>
      </w:r>
      <w:r w:rsidR="003906B0">
        <w:t xml:space="preserve">Crimson Utilities </w:t>
      </w:r>
      <w:r w:rsidRPr="0011401B" w:rsidR="0011401B">
        <w:t>does not impact achievement of any of the nine goals of the Commission’s E</w:t>
      </w:r>
      <w:r w:rsidR="00A14C70">
        <w:t>SJ</w:t>
      </w:r>
      <w:r w:rsidRPr="0011401B" w:rsidR="0011401B">
        <w:t xml:space="preserve"> Plan.</w:t>
      </w:r>
    </w:p>
    <w:p w:rsidRPr="006E4154" w:rsidR="0045465C" w:rsidP="0045465C" w:rsidRDefault="005939A5" w14:paraId="0F4DB875" w14:textId="392F7FCE">
      <w:pPr>
        <w:pStyle w:val="Heading1"/>
        <w:numPr>
          <w:ilvl w:val="0"/>
          <w:numId w:val="1"/>
        </w:numPr>
        <w:rPr>
          <w:rFonts w:cs="Arial"/>
          <w:szCs w:val="26"/>
        </w:rPr>
      </w:pPr>
      <w:bookmarkStart w:name="_Toc8123720" w:id="11"/>
      <w:bookmarkStart w:name="_Toc133843849" w:id="12"/>
      <w:r w:rsidRPr="006E4154">
        <w:rPr>
          <w:rFonts w:cs="Arial"/>
          <w:szCs w:val="26"/>
        </w:rPr>
        <w:t>Analysi</w:t>
      </w:r>
      <w:bookmarkEnd w:id="11"/>
      <w:r w:rsidRPr="006E4154" w:rsidR="00A465B1">
        <w:rPr>
          <w:rFonts w:cs="Arial"/>
          <w:szCs w:val="26"/>
        </w:rPr>
        <w:t>s</w:t>
      </w:r>
      <w:bookmarkStart w:name="_Toc133843850" w:id="13"/>
      <w:bookmarkEnd w:id="12"/>
    </w:p>
    <w:p w:rsidR="00E210CE" w:rsidP="0045465C" w:rsidRDefault="00E210CE" w14:paraId="04E48917" w14:textId="6102E7A5">
      <w:pPr>
        <w:pStyle w:val="Standard"/>
      </w:pPr>
      <w:r>
        <w:t>This is Joint Applicant</w:t>
      </w:r>
      <w:r w:rsidR="006A17CC">
        <w:t>s</w:t>
      </w:r>
      <w:r w:rsidR="006519A1">
        <w:t>’</w:t>
      </w:r>
      <w:r>
        <w:t xml:space="preserve"> second </w:t>
      </w:r>
      <w:r w:rsidR="001F7E48">
        <w:t xml:space="preserve">Joint Application </w:t>
      </w:r>
      <w:r>
        <w:t>to the Commission to transfer control of Crimson Utilities from Grier to CorEnergy in the past four years.</w:t>
      </w:r>
    </w:p>
    <w:p w:rsidR="0045465C" w:rsidP="0045465C" w:rsidRDefault="00E5046D" w14:paraId="5467C0D6" w14:textId="13487AF7">
      <w:pPr>
        <w:pStyle w:val="Standard"/>
      </w:pPr>
      <w:r>
        <w:t>Joint Applicants</w:t>
      </w:r>
      <w:r w:rsidR="0045465C">
        <w:t xml:space="preserve"> </w:t>
      </w:r>
      <w:r w:rsidR="006772F6">
        <w:t>ha</w:t>
      </w:r>
      <w:r w:rsidR="00D26DAE">
        <w:t>ve</w:t>
      </w:r>
      <w:r w:rsidR="006772F6">
        <w:t xml:space="preserve"> </w:t>
      </w:r>
      <w:r w:rsidR="0045465C">
        <w:t>satisfied the two conditions of D.22-12-032</w:t>
      </w:r>
      <w:r w:rsidR="006772F6">
        <w:t>, discussed in §1 (</w:t>
      </w:r>
      <w:r w:rsidR="006772F6">
        <w:rPr>
          <w:i/>
          <w:iCs/>
        </w:rPr>
        <w:t>supra</w:t>
      </w:r>
      <w:r w:rsidR="006772F6">
        <w:t>)</w:t>
      </w:r>
      <w:r w:rsidR="0045465C">
        <w:t xml:space="preserve">. First, </w:t>
      </w:r>
      <w:r>
        <w:t xml:space="preserve">CorEnergy </w:t>
      </w:r>
      <w:r w:rsidR="008A3AD0">
        <w:t xml:space="preserve">demonstrated </w:t>
      </w:r>
      <w:r>
        <w:t xml:space="preserve">improved </w:t>
      </w:r>
      <w:r w:rsidR="0045465C">
        <w:t xml:space="preserve">financial strength after it restructured from bankruptcy proceeding and then invested heavily in the continued operation of </w:t>
      </w:r>
      <w:r>
        <w:t>Crimson Utilities.</w:t>
      </w:r>
      <w:r>
        <w:rPr>
          <w:rStyle w:val="FootnoteReference"/>
        </w:rPr>
        <w:footnoteReference w:id="11"/>
      </w:r>
      <w:r>
        <w:t xml:space="preserve"> These capital investments into Crimson </w:t>
      </w:r>
      <w:r w:rsidR="0085797B">
        <w:t>Utilities</w:t>
      </w:r>
      <w:r>
        <w:t xml:space="preserve"> </w:t>
      </w:r>
      <w:r w:rsidR="0045465C">
        <w:t xml:space="preserve">are necessary </w:t>
      </w:r>
      <w:r w:rsidR="0085797B">
        <w:t>for</w:t>
      </w:r>
      <w:r w:rsidR="0045465C">
        <w:t xml:space="preserve"> </w:t>
      </w:r>
      <w:r>
        <w:t>Crimson Utilities to operate and function</w:t>
      </w:r>
      <w:r w:rsidR="00D26DAE">
        <w:t xml:space="preserve"> in a safe and efficient manner,</w:t>
      </w:r>
      <w:r>
        <w:t xml:space="preserve"> </w:t>
      </w:r>
      <w:r w:rsidR="006519A1">
        <w:t>and in a way</w:t>
      </w:r>
      <w:r>
        <w:t xml:space="preserve"> that enables</w:t>
      </w:r>
      <w:r w:rsidR="0045465C">
        <w:t xml:space="preserve"> crude oil to be refined into gasoline for public use. </w:t>
      </w:r>
      <w:r w:rsidR="00BD23D9">
        <w:t xml:space="preserve"> </w:t>
      </w:r>
      <w:r w:rsidR="0045465C">
        <w:t>Second, Joint Applicants addressed the requirement of a more definitive categorization from the Internal Revenue Service regarding a Real Estate Investment Trust (REIT).</w:t>
      </w:r>
      <w:r w:rsidR="0045465C">
        <w:rPr>
          <w:rStyle w:val="FootnoteReference"/>
        </w:rPr>
        <w:footnoteReference w:id="12"/>
      </w:r>
      <w:r w:rsidR="0085797B">
        <w:t xml:space="preserve"> Joint Applicants met the conditions of D.22-12-03.</w:t>
      </w:r>
    </w:p>
    <w:p w:rsidR="00027426" w:rsidP="0045465C" w:rsidRDefault="00A465B1" w14:paraId="360466BC" w14:textId="23D88B7A">
      <w:pPr>
        <w:pStyle w:val="Standard"/>
      </w:pPr>
      <w:r>
        <w:t xml:space="preserve">Grier desires to sell his controlling interest in Crimson Utilities because he is advancing in age. </w:t>
      </w:r>
      <w:r w:rsidR="00BD23D9">
        <w:t xml:space="preserve"> </w:t>
      </w:r>
      <w:r w:rsidR="0045465C">
        <w:t>Pursuant</w:t>
      </w:r>
      <w:r>
        <w:t xml:space="preserve"> to the terms of CorEnergy and Grier’s operating </w:t>
      </w:r>
      <w:r>
        <w:lastRenderedPageBreak/>
        <w:t>agreement</w:t>
      </w:r>
      <w:r w:rsidR="0045465C">
        <w:t>s</w:t>
      </w:r>
      <w:r>
        <w:t xml:space="preserve"> that governs Crimson </w:t>
      </w:r>
      <w:r w:rsidR="0045465C">
        <w:t>Utilities</w:t>
      </w:r>
      <w:r>
        <w:t>, Grier ceased voluntarily investing in Crimson Utilities</w:t>
      </w:r>
      <w:r w:rsidR="0045465C">
        <w:t xml:space="preserve"> since 2021</w:t>
      </w:r>
      <w:r w:rsidR="00D26DAE">
        <w:t>,</w:t>
      </w:r>
      <w:bookmarkEnd w:id="13"/>
      <w:r w:rsidR="0045465C">
        <w:rPr>
          <w:rStyle w:val="FootnoteReference"/>
        </w:rPr>
        <w:footnoteReference w:id="13"/>
      </w:r>
      <w:r>
        <w:t xml:space="preserve"> </w:t>
      </w:r>
      <w:r w:rsidR="00D26DAE">
        <w:t>which the operating agreement allows him to do.</w:t>
      </w:r>
      <w:r w:rsidR="00252FA6">
        <w:t xml:space="preserve"> This created issue</w:t>
      </w:r>
      <w:r w:rsidR="00AE6562">
        <w:t>s</w:t>
      </w:r>
      <w:r w:rsidR="00252FA6">
        <w:t xml:space="preserve"> with Crimson Utilities</w:t>
      </w:r>
      <w:r w:rsidR="00AE6562">
        <w:t>’</w:t>
      </w:r>
      <w:r w:rsidR="00252FA6">
        <w:t xml:space="preserve"> operating capital.</w:t>
      </w:r>
      <w:r w:rsidR="00252FA6">
        <w:rPr>
          <w:rStyle w:val="FootnoteReference"/>
        </w:rPr>
        <w:footnoteReference w:id="14"/>
      </w:r>
      <w:r w:rsidR="00252FA6">
        <w:t xml:space="preserve"> </w:t>
      </w:r>
      <w:r w:rsidR="00D26DAE">
        <w:t xml:space="preserve">In addition, </w:t>
      </w:r>
      <w:r w:rsidR="00020070">
        <w:t>Joint Applicants maintain Crimson Utilities</w:t>
      </w:r>
      <w:r w:rsidR="00CD71E4">
        <w:t>’</w:t>
      </w:r>
      <w:r w:rsidR="00020070">
        <w:t xml:space="preserve"> financial condition was exacerbated by multiple pending rate proceedings with the Commission.</w:t>
      </w:r>
    </w:p>
    <w:p w:rsidR="00BD1E64" w:rsidP="00D26DAE" w:rsidRDefault="00D26DAE" w14:paraId="0AB291F8" w14:textId="35D160AE">
      <w:pPr>
        <w:pStyle w:val="Standard"/>
      </w:pPr>
      <w:r>
        <w:t>S</w:t>
      </w:r>
      <w:r w:rsidR="00027426">
        <w:t>ince 2021</w:t>
      </w:r>
      <w:r w:rsidR="0045465C">
        <w:t xml:space="preserve">, CorEnergy has infused </w:t>
      </w:r>
      <w:r w:rsidR="00027426">
        <w:t xml:space="preserve">necessary </w:t>
      </w:r>
      <w:r w:rsidR="0045465C">
        <w:t>operating capital into Crimson Utilities to ensure its operations, safety and maintenance to deliver crude to commercial oil refineries.</w:t>
      </w:r>
      <w:r w:rsidR="0045465C">
        <w:rPr>
          <w:rStyle w:val="FootnoteReference"/>
        </w:rPr>
        <w:footnoteReference w:id="15"/>
      </w:r>
      <w:r w:rsidR="0045465C">
        <w:t xml:space="preserve"> </w:t>
      </w:r>
      <w:r w:rsidR="00BD23D9">
        <w:t xml:space="preserve"> </w:t>
      </w:r>
      <w:r>
        <w:t xml:space="preserve">We find that </w:t>
      </w:r>
      <w:r w:rsidR="00BD1E64">
        <w:t xml:space="preserve">Crimson </w:t>
      </w:r>
      <w:r w:rsidR="00027426">
        <w:t>Utilities</w:t>
      </w:r>
      <w:r w:rsidR="00BD1E64">
        <w:t xml:space="preserve">’ role as the transporter of crude oil to </w:t>
      </w:r>
      <w:r w:rsidR="00027426">
        <w:t xml:space="preserve">California </w:t>
      </w:r>
      <w:r w:rsidR="00BD1E64">
        <w:t>refineries is pivotal to California’s economy</w:t>
      </w:r>
      <w:r w:rsidR="00027426">
        <w:t>. The continued financial health, operations and solvency of Crimson Utilities is in the public interest</w:t>
      </w:r>
      <w:r w:rsidR="00617E59">
        <w:t xml:space="preserve"> and therefore approval of control to CorEnergy is also in the public interest.</w:t>
      </w:r>
    </w:p>
    <w:p w:rsidR="00603238" w:rsidP="00E20064" w:rsidRDefault="00603238" w14:paraId="5E82F875" w14:textId="77777777">
      <w:pPr>
        <w:pStyle w:val="Heading1"/>
        <w:numPr>
          <w:ilvl w:val="0"/>
          <w:numId w:val="1"/>
        </w:numPr>
      </w:pPr>
      <w:bookmarkStart w:name="_Toc133843852" w:id="14"/>
      <w:bookmarkStart w:name="_Toc8123721" w:id="15"/>
      <w:r>
        <w:t>Summary of Public Comment</w:t>
      </w:r>
      <w:bookmarkEnd w:id="14"/>
    </w:p>
    <w:p w:rsidRPr="008E7579" w:rsidR="00603238" w:rsidP="00284D8D" w:rsidRDefault="00603238" w14:paraId="65E71047" w14:textId="36ADCF65">
      <w:pPr>
        <w:rPr>
          <w:rFonts w:ascii="Calibri" w:hAnsi="Calibri"/>
          <w:szCs w:val="26"/>
        </w:rPr>
      </w:pPr>
      <w:r w:rsidRPr="00DD4ED1">
        <w:t>Rule 1.18 allows any member of the public to submit written comment in any Commission proceeding using the “Public Comment” tab of the online Docket Card for that proceeding on the Commission’s website.</w:t>
      </w:r>
      <w:r w:rsidR="00BD23D9">
        <w:t xml:space="preserve">  </w:t>
      </w:r>
      <w:r w:rsidR="00BD1E64">
        <w:t xml:space="preserve">Pursuant to Pub. Util. Code </w:t>
      </w:r>
      <w:r w:rsidRPr="0011401B" w:rsidR="00BD1E64">
        <w:t>§</w:t>
      </w:r>
      <w:r w:rsidR="00BD1E64">
        <w:t xml:space="preserve">311(g)(2) and Rule 14.6, the public review period is reduced </w:t>
      </w:r>
      <w:r w:rsidR="00051E5F">
        <w:t>to 15</w:t>
      </w:r>
      <w:r w:rsidR="000B2AEC">
        <w:noBreakHyphen/>
      </w:r>
      <w:r w:rsidR="00051E5F">
        <w:t xml:space="preserve">days </w:t>
      </w:r>
      <w:r w:rsidR="00BD1E64">
        <w:t xml:space="preserve">by </w:t>
      </w:r>
      <w:r w:rsidR="00D26DAE">
        <w:t>Commissioner</w:t>
      </w:r>
      <w:r w:rsidR="00BD1E64">
        <w:t xml:space="preserve"> Baker. </w:t>
      </w:r>
      <w:r w:rsidR="00736638">
        <w:t xml:space="preserve">Public comments were not filed on the Docket Card regarding the proposed decision for this proceeding. </w:t>
      </w:r>
    </w:p>
    <w:p w:rsidR="00FA1B4F" w:rsidP="00E20064" w:rsidRDefault="005939A5" w14:paraId="79968496" w14:textId="77777777">
      <w:pPr>
        <w:pStyle w:val="Heading1"/>
        <w:numPr>
          <w:ilvl w:val="0"/>
          <w:numId w:val="1"/>
        </w:numPr>
      </w:pPr>
      <w:bookmarkStart w:name="_Toc133843853" w:id="16"/>
      <w:r>
        <w:t>Conclusion</w:t>
      </w:r>
      <w:bookmarkEnd w:id="15"/>
      <w:bookmarkEnd w:id="16"/>
    </w:p>
    <w:p w:rsidR="00C63CA3" w:rsidP="00697721" w:rsidRDefault="00697721" w14:paraId="77BA012D" w14:textId="1AD113A1">
      <w:pPr>
        <w:pStyle w:val="Standard"/>
        <w:rPr>
          <w:szCs w:val="26"/>
        </w:rPr>
      </w:pPr>
      <w:r w:rsidRPr="006E4154">
        <w:rPr>
          <w:szCs w:val="26"/>
        </w:rPr>
        <w:t xml:space="preserve">This uncontested </w:t>
      </w:r>
      <w:r w:rsidR="00D75748">
        <w:rPr>
          <w:szCs w:val="26"/>
        </w:rPr>
        <w:t>Joint</w:t>
      </w:r>
      <w:r w:rsidR="0045365A">
        <w:rPr>
          <w:szCs w:val="26"/>
        </w:rPr>
        <w:t xml:space="preserve"> </w:t>
      </w:r>
      <w:r w:rsidRPr="006E4154">
        <w:rPr>
          <w:szCs w:val="26"/>
        </w:rPr>
        <w:t>Application complies with all the statutory requirements necessary for the Commission to</w:t>
      </w:r>
      <w:r w:rsidR="004C7BDB">
        <w:rPr>
          <w:szCs w:val="26"/>
        </w:rPr>
        <w:t xml:space="preserve"> </w:t>
      </w:r>
      <w:r w:rsidRPr="006E4154">
        <w:rPr>
          <w:szCs w:val="26"/>
        </w:rPr>
        <w:t>grant the relief sought.</w:t>
      </w:r>
      <w:r w:rsidR="00BD23D9">
        <w:rPr>
          <w:szCs w:val="26"/>
        </w:rPr>
        <w:t xml:space="preserve"> </w:t>
      </w:r>
      <w:r w:rsidRPr="006E4154">
        <w:rPr>
          <w:szCs w:val="26"/>
        </w:rPr>
        <w:t xml:space="preserve"> The </w:t>
      </w:r>
      <w:r w:rsidRPr="006E4154">
        <w:rPr>
          <w:szCs w:val="26"/>
        </w:rPr>
        <w:lastRenderedPageBreak/>
        <w:t xml:space="preserve">transfer of control </w:t>
      </w:r>
      <w:r w:rsidR="009217FD">
        <w:rPr>
          <w:szCs w:val="26"/>
        </w:rPr>
        <w:t xml:space="preserve">of Crimson </w:t>
      </w:r>
      <w:r w:rsidR="004C7BDB">
        <w:rPr>
          <w:szCs w:val="26"/>
        </w:rPr>
        <w:t>Utilities</w:t>
      </w:r>
      <w:r w:rsidR="009217FD">
        <w:rPr>
          <w:szCs w:val="26"/>
        </w:rPr>
        <w:t xml:space="preserve"> from Grier to CorEnergy </w:t>
      </w:r>
      <w:r w:rsidRPr="006E4154">
        <w:rPr>
          <w:szCs w:val="26"/>
        </w:rPr>
        <w:t xml:space="preserve">is </w:t>
      </w:r>
      <w:r w:rsidR="00C63CA3">
        <w:rPr>
          <w:szCs w:val="26"/>
        </w:rPr>
        <w:t xml:space="preserve">in </w:t>
      </w:r>
      <w:r w:rsidRPr="006E4154">
        <w:rPr>
          <w:szCs w:val="26"/>
        </w:rPr>
        <w:t>the public interest and is therefore approved.</w:t>
      </w:r>
      <w:bookmarkStart w:name="_Toc8123723" w:id="17"/>
      <w:bookmarkStart w:name="_Toc133843854" w:id="18"/>
    </w:p>
    <w:p w:rsidRPr="006E4154" w:rsidR="004A1EAD" w:rsidP="004A1EAD" w:rsidRDefault="004A1EAD" w14:paraId="415BB282" w14:textId="50772E95">
      <w:pPr>
        <w:pStyle w:val="Standard"/>
        <w:rPr>
          <w:szCs w:val="26"/>
        </w:rPr>
      </w:pPr>
      <w:r w:rsidRPr="006E4154">
        <w:rPr>
          <w:szCs w:val="26"/>
        </w:rPr>
        <w:t xml:space="preserve">This </w:t>
      </w:r>
      <w:r w:rsidRPr="006E4154" w:rsidR="00697721">
        <w:rPr>
          <w:szCs w:val="26"/>
        </w:rPr>
        <w:t>D</w:t>
      </w:r>
      <w:r w:rsidRPr="006E4154">
        <w:rPr>
          <w:szCs w:val="26"/>
        </w:rPr>
        <w:t>ecision affirms all rulings made by the A</w:t>
      </w:r>
      <w:r w:rsidR="009217FD">
        <w:rPr>
          <w:szCs w:val="26"/>
        </w:rPr>
        <w:t>LJ</w:t>
      </w:r>
      <w:r w:rsidRPr="006E4154">
        <w:rPr>
          <w:szCs w:val="26"/>
        </w:rPr>
        <w:t xml:space="preserve"> and assigned Commissioner in this proceeding. </w:t>
      </w:r>
      <w:r w:rsidR="00BD23D9">
        <w:rPr>
          <w:szCs w:val="26"/>
        </w:rPr>
        <w:t xml:space="preserve"> </w:t>
      </w:r>
      <w:r w:rsidRPr="006E4154">
        <w:rPr>
          <w:szCs w:val="26"/>
        </w:rPr>
        <w:t>All motions not ruled on are deemed denied.</w:t>
      </w:r>
      <w:r w:rsidR="00D26DAE">
        <w:rPr>
          <w:szCs w:val="26"/>
        </w:rPr>
        <w:t xml:space="preserve"> The proceeding is closed.</w:t>
      </w:r>
    </w:p>
    <w:p w:rsidR="005939A5" w:rsidP="00E20064" w:rsidRDefault="005939A5" w14:paraId="75DBF8EB" w14:textId="77777777">
      <w:pPr>
        <w:pStyle w:val="Heading1"/>
        <w:numPr>
          <w:ilvl w:val="0"/>
          <w:numId w:val="1"/>
        </w:numPr>
      </w:pPr>
      <w:r>
        <w:t>Comments on Proposed Decision</w:t>
      </w:r>
      <w:bookmarkEnd w:id="17"/>
      <w:bookmarkEnd w:id="18"/>
    </w:p>
    <w:p w:rsidR="00E56C8E" w:rsidP="0045465C" w:rsidRDefault="005C58FA" w14:paraId="6DCF0E3E" w14:textId="5E2F2D33">
      <w:pPr>
        <w:pStyle w:val="Standard"/>
        <w:rPr>
          <w:szCs w:val="26"/>
        </w:rPr>
      </w:pPr>
      <w:r w:rsidRPr="006E4154">
        <w:rPr>
          <w:szCs w:val="26"/>
        </w:rPr>
        <w:t xml:space="preserve">The proposed decision of ALJ </w:t>
      </w:r>
      <w:r w:rsidRPr="006E4154" w:rsidR="007B44D4">
        <w:rPr>
          <w:szCs w:val="26"/>
        </w:rPr>
        <w:t xml:space="preserve">Patrick Petersen </w:t>
      </w:r>
      <w:r w:rsidRPr="006E4154">
        <w:rPr>
          <w:szCs w:val="26"/>
        </w:rPr>
        <w:t xml:space="preserve">in this matter was mailed to the parties in accordance with </w:t>
      </w:r>
      <w:r w:rsidRPr="006E4154" w:rsidR="007B44D4">
        <w:rPr>
          <w:szCs w:val="26"/>
        </w:rPr>
        <w:t xml:space="preserve">Pub. Util. Code </w:t>
      </w:r>
      <w:r w:rsidRPr="0011401B" w:rsidR="00A14C70">
        <w:t>§</w:t>
      </w:r>
      <w:r w:rsidRPr="006E4154">
        <w:rPr>
          <w:szCs w:val="26"/>
        </w:rPr>
        <w:t xml:space="preserve">311 </w:t>
      </w:r>
      <w:r w:rsidRPr="006E4154" w:rsidR="007B44D4">
        <w:rPr>
          <w:szCs w:val="26"/>
        </w:rPr>
        <w:t xml:space="preserve">and </w:t>
      </w:r>
      <w:r w:rsidRPr="006E4154">
        <w:rPr>
          <w:szCs w:val="26"/>
        </w:rPr>
        <w:t xml:space="preserve">comments were allowed under Rule 14.3. </w:t>
      </w:r>
      <w:r w:rsidR="00736638">
        <w:rPr>
          <w:szCs w:val="26"/>
        </w:rPr>
        <w:t>No party comments nor reply comments were filed.</w:t>
      </w:r>
      <w:r w:rsidRPr="006E4154" w:rsidR="00C878D5">
        <w:rPr>
          <w:szCs w:val="26"/>
        </w:rPr>
        <w:t xml:space="preserve"> </w:t>
      </w:r>
      <w:bookmarkStart w:name="_Toc8123724" w:id="19"/>
      <w:bookmarkStart w:name="_Toc133843855" w:id="20"/>
      <w:r w:rsidR="00BD23D9">
        <w:rPr>
          <w:szCs w:val="26"/>
        </w:rPr>
        <w:t xml:space="preserve"> </w:t>
      </w:r>
    </w:p>
    <w:p w:rsidRPr="00181569" w:rsidR="005939A5" w:rsidP="00181569" w:rsidRDefault="005939A5" w14:paraId="7B4FCE4D" w14:textId="301210B4">
      <w:pPr>
        <w:pStyle w:val="Standard"/>
        <w:numPr>
          <w:ilvl w:val="0"/>
          <w:numId w:val="1"/>
        </w:numPr>
        <w:rPr>
          <w:rFonts w:ascii="Arial" w:hAnsi="Arial" w:cs="Arial"/>
          <w:b/>
          <w:bCs/>
          <w:szCs w:val="26"/>
        </w:rPr>
      </w:pPr>
      <w:r w:rsidRPr="00181569">
        <w:rPr>
          <w:rFonts w:ascii="Arial" w:hAnsi="Arial" w:cs="Arial"/>
          <w:b/>
          <w:bCs/>
          <w:szCs w:val="26"/>
        </w:rPr>
        <w:t>Assignment of Proceeding</w:t>
      </w:r>
      <w:bookmarkEnd w:id="19"/>
      <w:bookmarkEnd w:id="20"/>
    </w:p>
    <w:p w:rsidRPr="006E4154" w:rsidR="005939A5" w:rsidP="006E6574" w:rsidRDefault="007B44D4" w14:paraId="3FAA6652" w14:textId="6689152C">
      <w:pPr>
        <w:pStyle w:val="Standard"/>
        <w:rPr>
          <w:szCs w:val="26"/>
        </w:rPr>
      </w:pPr>
      <w:r w:rsidRPr="006E4154">
        <w:rPr>
          <w:szCs w:val="26"/>
        </w:rPr>
        <w:t>Matthew Baker</w:t>
      </w:r>
      <w:r w:rsidRPr="006E4154" w:rsidR="005939A5">
        <w:rPr>
          <w:szCs w:val="26"/>
        </w:rPr>
        <w:t xml:space="preserve"> is the </w:t>
      </w:r>
      <w:r w:rsidR="005839A6">
        <w:rPr>
          <w:szCs w:val="26"/>
        </w:rPr>
        <w:t>a</w:t>
      </w:r>
      <w:r w:rsidRPr="006E4154" w:rsidR="005939A5">
        <w:rPr>
          <w:szCs w:val="26"/>
        </w:rPr>
        <w:t xml:space="preserve">ssigned Commissioner and </w:t>
      </w:r>
      <w:r w:rsidRPr="006E4154">
        <w:rPr>
          <w:szCs w:val="26"/>
        </w:rPr>
        <w:t>Patrick Petersen</w:t>
      </w:r>
      <w:r w:rsidRPr="006E4154" w:rsidR="005939A5">
        <w:rPr>
          <w:szCs w:val="26"/>
        </w:rPr>
        <w:t xml:space="preserve"> is the assigned A</w:t>
      </w:r>
      <w:r w:rsidR="005839A6">
        <w:rPr>
          <w:szCs w:val="26"/>
        </w:rPr>
        <w:t>LJ</w:t>
      </w:r>
      <w:r w:rsidRPr="006E4154" w:rsidR="005939A5">
        <w:rPr>
          <w:szCs w:val="26"/>
        </w:rPr>
        <w:t xml:space="preserve"> in this proceeding.</w:t>
      </w:r>
    </w:p>
    <w:p w:rsidRPr="006E4154" w:rsidR="005939A5" w:rsidP="005939A5" w:rsidRDefault="005939A5" w14:paraId="0724257E" w14:textId="77777777">
      <w:pPr>
        <w:pStyle w:val="Dummy"/>
      </w:pPr>
      <w:bookmarkStart w:name="_Toc8123725" w:id="21"/>
      <w:bookmarkStart w:name="_Toc133843856" w:id="22"/>
      <w:r w:rsidRPr="006E4154">
        <w:t>Findings of Fact</w:t>
      </w:r>
      <w:bookmarkEnd w:id="21"/>
      <w:bookmarkEnd w:id="22"/>
    </w:p>
    <w:p w:rsidRPr="009B631B" w:rsidR="00795920" w:rsidP="00BD23D9" w:rsidRDefault="00795920" w14:paraId="57C64A7E" w14:textId="3A54FE94">
      <w:pPr>
        <w:pStyle w:val="OP"/>
      </w:pPr>
      <w:r w:rsidRPr="009B631B">
        <w:t xml:space="preserve">John Grier </w:t>
      </w:r>
      <w:r w:rsidR="009217FD">
        <w:t>owns 50.5% of Crimson Midstream that is the parent company</w:t>
      </w:r>
      <w:r w:rsidR="00CD71E4">
        <w:t xml:space="preserve"> and majority owner </w:t>
      </w:r>
      <w:r w:rsidR="009217FD">
        <w:t>of Crimson Utilities</w:t>
      </w:r>
      <w:r w:rsidR="00CD71E4">
        <w:t>.</w:t>
      </w:r>
    </w:p>
    <w:p w:rsidRPr="009B631B" w:rsidR="00795920" w:rsidP="00E67A96" w:rsidRDefault="00795920" w14:paraId="4EA01B8F" w14:textId="2BBA4F38">
      <w:pPr>
        <w:pStyle w:val="OP"/>
      </w:pPr>
      <w:r w:rsidRPr="009B631B">
        <w:t xml:space="preserve">CorEnergy </w:t>
      </w:r>
      <w:r w:rsidR="009217FD">
        <w:t xml:space="preserve">owns 49.5% </w:t>
      </w:r>
      <w:r w:rsidR="00E67A96">
        <w:t xml:space="preserve">of Crimson Midstream </w:t>
      </w:r>
      <w:r w:rsidR="009217FD">
        <w:t xml:space="preserve">and </w:t>
      </w:r>
      <w:r w:rsidR="00051E5F">
        <w:t>has a</w:t>
      </w:r>
      <w:r w:rsidR="009217FD">
        <w:t xml:space="preserve"> minority interest in Crimson Utilities.</w:t>
      </w:r>
    </w:p>
    <w:p w:rsidR="00FC2B9A" w:rsidP="00E67A96" w:rsidRDefault="003843A4" w14:paraId="09FC97CA" w14:textId="08E42DA6">
      <w:pPr>
        <w:pStyle w:val="OP"/>
      </w:pPr>
      <w:r>
        <w:t xml:space="preserve">The </w:t>
      </w:r>
      <w:r w:rsidR="00FC2B9A">
        <w:t xml:space="preserve">Crimson </w:t>
      </w:r>
      <w:r w:rsidR="0045365A">
        <w:t>Utilities</w:t>
      </w:r>
      <w:r w:rsidR="006E54AB">
        <w:t xml:space="preserve"> are</w:t>
      </w:r>
      <w:r w:rsidR="004C7BDB">
        <w:t xml:space="preserve"> </w:t>
      </w:r>
      <w:r w:rsidR="0095771F">
        <w:t>common carriers that transport crude oil through pipe</w:t>
      </w:r>
      <w:r w:rsidR="00091777">
        <w:t>lines</w:t>
      </w:r>
      <w:r w:rsidR="0095771F">
        <w:t xml:space="preserve"> to commercial refineries</w:t>
      </w:r>
      <w:r w:rsidR="00E56C8E">
        <w:t xml:space="preserve"> </w:t>
      </w:r>
      <w:r w:rsidR="0095771F">
        <w:t>in</w:t>
      </w:r>
      <w:r w:rsidR="00E67A96">
        <w:t xml:space="preserve"> southern and northern </w:t>
      </w:r>
      <w:r w:rsidR="0095771F">
        <w:t>California</w:t>
      </w:r>
      <w:r w:rsidR="00091777">
        <w:t>.</w:t>
      </w:r>
    </w:p>
    <w:p w:rsidR="00130C23" w:rsidP="00E67A96" w:rsidRDefault="00130C23" w14:paraId="28238C95" w14:textId="4BA543F5">
      <w:pPr>
        <w:pStyle w:val="OP"/>
      </w:pPr>
      <w:r>
        <w:t xml:space="preserve">This is Joint Applicants’ second </w:t>
      </w:r>
      <w:r w:rsidR="001F7E48">
        <w:t xml:space="preserve">Joint Application </w:t>
      </w:r>
      <w:r>
        <w:t xml:space="preserve">to the Commission to request the transfer of control of Crimson Utilities. The Joint Applicants first request was </w:t>
      </w:r>
      <w:r w:rsidR="001F7E48">
        <w:t xml:space="preserve">in </w:t>
      </w:r>
      <w:r>
        <w:t xml:space="preserve">A.21-03-23 and </w:t>
      </w:r>
      <w:r w:rsidR="001F7E48">
        <w:t xml:space="preserve">that </w:t>
      </w:r>
      <w:r>
        <w:t>was denied in D.22-12-032.</w:t>
      </w:r>
    </w:p>
    <w:p w:rsidR="00795920" w:rsidP="00E67A96" w:rsidRDefault="00795920" w14:paraId="6671988C" w14:textId="10B859B9">
      <w:pPr>
        <w:pStyle w:val="OP"/>
      </w:pPr>
      <w:r w:rsidRPr="009B631B">
        <w:t xml:space="preserve">Joint Applicants </w:t>
      </w:r>
      <w:r w:rsidR="001F7E48">
        <w:t xml:space="preserve">through the Joint Application </w:t>
      </w:r>
      <w:r w:rsidRPr="009B631B">
        <w:t>propose to transfer control o</w:t>
      </w:r>
      <w:r w:rsidR="00051E5F">
        <w:t>f</w:t>
      </w:r>
      <w:r w:rsidRPr="009B631B">
        <w:t xml:space="preserve"> the Crimson Utilities from John Grier to CorEnergy.</w:t>
      </w:r>
    </w:p>
    <w:p w:rsidR="00F62B7A" w:rsidP="00E67A96" w:rsidRDefault="00FC2B9A" w14:paraId="0D735F00" w14:textId="1660DDBF">
      <w:pPr>
        <w:pStyle w:val="OP"/>
      </w:pPr>
      <w:r>
        <w:t xml:space="preserve">Crimson </w:t>
      </w:r>
      <w:r w:rsidR="006E54AB">
        <w:t xml:space="preserve">Utilities </w:t>
      </w:r>
      <w:r>
        <w:t>are public utilities subject to the jurisdiction of the Commission.</w:t>
      </w:r>
    </w:p>
    <w:p w:rsidR="00525115" w:rsidP="00E67A96" w:rsidRDefault="003140DB" w14:paraId="0472AB25" w14:textId="15D40A03">
      <w:pPr>
        <w:pStyle w:val="OP"/>
      </w:pPr>
      <w:r>
        <w:lastRenderedPageBreak/>
        <w:t>Since 202</w:t>
      </w:r>
      <w:r w:rsidR="00E56C8E">
        <w:t>1</w:t>
      </w:r>
      <w:r>
        <w:t xml:space="preserve">, </w:t>
      </w:r>
      <w:r w:rsidR="00525115">
        <w:t xml:space="preserve">Grier has </w:t>
      </w:r>
      <w:r>
        <w:t>ceased</w:t>
      </w:r>
      <w:r w:rsidR="00525115">
        <w:t xml:space="preserve"> investing </w:t>
      </w:r>
      <w:r>
        <w:t xml:space="preserve">operating </w:t>
      </w:r>
      <w:r w:rsidR="00525115">
        <w:t xml:space="preserve">capital in Crimson </w:t>
      </w:r>
      <w:r w:rsidR="001F7E48">
        <w:t>Utilities</w:t>
      </w:r>
      <w:r w:rsidR="006E54AB">
        <w:t>.</w:t>
      </w:r>
    </w:p>
    <w:p w:rsidRPr="001E2A62" w:rsidR="00525115" w:rsidP="00E67A96" w:rsidRDefault="003140DB" w14:paraId="3AB480BD" w14:textId="3FA1DD2F">
      <w:pPr>
        <w:pStyle w:val="OP"/>
      </w:pPr>
      <w:r>
        <w:t>Since 202</w:t>
      </w:r>
      <w:r w:rsidR="00E56C8E">
        <w:t>1</w:t>
      </w:r>
      <w:r w:rsidR="00E67A96">
        <w:t>,</w:t>
      </w:r>
      <w:r>
        <w:t xml:space="preserve"> </w:t>
      </w:r>
      <w:r w:rsidR="00525115">
        <w:t xml:space="preserve">CorEnergy has continually invested </w:t>
      </w:r>
      <w:r w:rsidR="006E54AB">
        <w:t xml:space="preserve">necessary </w:t>
      </w:r>
      <w:r w:rsidR="00525115">
        <w:t xml:space="preserve">operating capital in Crimson </w:t>
      </w:r>
      <w:r w:rsidR="006E54AB">
        <w:t>Utilities.</w:t>
      </w:r>
    </w:p>
    <w:p w:rsidRPr="00B26E3E" w:rsidR="38C4F3C6" w:rsidP="00BD19CA" w:rsidRDefault="001D6EDD" w14:paraId="74C24126" w14:textId="5EBA3665">
      <w:pPr>
        <w:pStyle w:val="OP"/>
        <w:rPr>
          <w:rFonts w:asciiTheme="minorHAnsi" w:hAnsiTheme="minorHAnsi"/>
        </w:rPr>
      </w:pPr>
      <w:r>
        <w:t>The Joint Application only requests the transfer of control of Crimson Utilities</w:t>
      </w:r>
      <w:r w:rsidRPr="00192B8E" w:rsidR="7AB67D0A">
        <w:t>, but not any rate increases.</w:t>
      </w:r>
    </w:p>
    <w:p w:rsidR="00817E99" w:rsidP="00E67A96" w:rsidRDefault="008B3834" w14:paraId="4AEBD1D8" w14:textId="29CBE0A7">
      <w:pPr>
        <w:pStyle w:val="OP"/>
      </w:pPr>
      <w:r>
        <w:t>CorEnergy demonstrated</w:t>
      </w:r>
      <w:r w:rsidR="004C7BDB">
        <w:t xml:space="preserve"> its</w:t>
      </w:r>
      <w:r>
        <w:t xml:space="preserve"> improved financial condition</w:t>
      </w:r>
      <w:r w:rsidRPr="00E67A96" w:rsidR="00E67A96">
        <w:t xml:space="preserve"> </w:t>
      </w:r>
      <w:r w:rsidR="00E67A96">
        <w:t>when it emerged from bankruptcy proceeding</w:t>
      </w:r>
      <w:r w:rsidR="003843A4">
        <w:t>s</w:t>
      </w:r>
      <w:r w:rsidR="00E67A96">
        <w:t xml:space="preserve"> with improved capital reserves and financial investments in Crimson Utilities</w:t>
      </w:r>
      <w:r w:rsidR="00817E99">
        <w:t xml:space="preserve"> before filing the Joint Application.</w:t>
      </w:r>
    </w:p>
    <w:p w:rsidR="00E67A96" w:rsidP="00817E99" w:rsidRDefault="00817E99" w14:paraId="65EB1AEC" w14:textId="1481F417">
      <w:pPr>
        <w:pStyle w:val="OP"/>
      </w:pPr>
      <w:r>
        <w:t xml:space="preserve"> Joint Applicants attached a </w:t>
      </w:r>
      <w:r w:rsidR="00E67A96">
        <w:t>private letter ruling</w:t>
      </w:r>
      <w:r>
        <w:t xml:space="preserve"> (PLR)-113145-23 PLR from the </w:t>
      </w:r>
      <w:r w:rsidR="00E67A96">
        <w:t>Internal Revenue Service that addresses the issue of Real Estate Investment Trust (REIT) to the proposed transfer of control of Crimson Utilities</w:t>
      </w:r>
      <w:r>
        <w:t xml:space="preserve"> pursuant to D.22-12-032.</w:t>
      </w:r>
    </w:p>
    <w:p w:rsidR="0088162D" w:rsidP="008E7579" w:rsidRDefault="0088162D" w14:paraId="7700E1ED" w14:textId="528AE8C5">
      <w:pPr>
        <w:pStyle w:val="OP"/>
        <w:ind w:firstLine="547"/>
      </w:pPr>
      <w:r>
        <w:t xml:space="preserve">The proposed change of control </w:t>
      </w:r>
      <w:r w:rsidR="00817E99">
        <w:t>of</w:t>
      </w:r>
      <w:r>
        <w:t xml:space="preserve"> Crimson Utilities</w:t>
      </w:r>
      <w:r w:rsidR="00E67A96">
        <w:t xml:space="preserve"> </w:t>
      </w:r>
      <w:r>
        <w:t xml:space="preserve">does not result in </w:t>
      </w:r>
      <w:r w:rsidR="00E67A96">
        <w:t>changes</w:t>
      </w:r>
      <w:r>
        <w:t xml:space="preserve"> that </w:t>
      </w:r>
      <w:r w:rsidR="00091777">
        <w:t>invoke</w:t>
      </w:r>
      <w:r>
        <w:t xml:space="preserve"> the Commission’s E</w:t>
      </w:r>
      <w:r w:rsidR="00DF35CE">
        <w:t xml:space="preserve">SJ </w:t>
      </w:r>
      <w:r>
        <w:t>Plan</w:t>
      </w:r>
      <w:r w:rsidR="00DF35CE">
        <w:t>.</w:t>
      </w:r>
    </w:p>
    <w:p w:rsidR="005939A5" w:rsidP="00E67A96" w:rsidRDefault="005939A5" w14:paraId="6FB0505C" w14:textId="4D7BCB9E">
      <w:pPr>
        <w:pStyle w:val="FoF"/>
        <w:ind w:firstLine="0"/>
      </w:pPr>
      <w:bookmarkStart w:name="_Toc8123726" w:id="23"/>
      <w:bookmarkStart w:name="_Toc133843857" w:id="24"/>
      <w:r w:rsidRPr="00026F2E">
        <w:rPr>
          <w:rFonts w:ascii="Arial" w:hAnsi="Arial" w:cs="Arial"/>
          <w:b/>
          <w:bCs/>
        </w:rPr>
        <w:t>Conclusions of Law</w:t>
      </w:r>
      <w:bookmarkEnd w:id="23"/>
      <w:bookmarkEnd w:id="24"/>
    </w:p>
    <w:p w:rsidR="00965F71" w:rsidP="008E7579" w:rsidRDefault="00965F71" w14:paraId="5202B85B" w14:textId="52E5F38A">
      <w:pPr>
        <w:pStyle w:val="CoL"/>
        <w:ind w:firstLine="360"/>
      </w:pPr>
      <w:r>
        <w:t xml:space="preserve">Crimson Utilities </w:t>
      </w:r>
      <w:r w:rsidR="00051E5F">
        <w:t>are</w:t>
      </w:r>
      <w:r>
        <w:t xml:space="preserve"> common carrier </w:t>
      </w:r>
      <w:r w:rsidR="00967225">
        <w:t xml:space="preserve">oil </w:t>
      </w:r>
      <w:r>
        <w:t>pipeline corporation</w:t>
      </w:r>
      <w:r w:rsidR="00051E5F">
        <w:t>s</w:t>
      </w:r>
      <w:r>
        <w:t xml:space="preserve"> and public utilit</w:t>
      </w:r>
      <w:r w:rsidR="00051E5F">
        <w:t>ies</w:t>
      </w:r>
      <w:r>
        <w:t xml:space="preserve"> regulated by the Commission pursuant to </w:t>
      </w:r>
      <w:r w:rsidRPr="008412CA">
        <w:t>Pub. Util. Code §§</w:t>
      </w:r>
      <w:r>
        <w:t>211 and</w:t>
      </w:r>
      <w:r w:rsidRPr="008412CA">
        <w:t> </w:t>
      </w:r>
      <w:r>
        <w:t>216.</w:t>
      </w:r>
    </w:p>
    <w:p w:rsidR="00A94E51" w:rsidP="008E7579" w:rsidRDefault="00A94E51" w14:paraId="7A4F73C5" w14:textId="5661C84F">
      <w:pPr>
        <w:pStyle w:val="CoL"/>
        <w:ind w:firstLine="360"/>
      </w:pPr>
      <w:r>
        <w:t>Joint Applicants satisfied the conditions set forth in D.22-12-032</w:t>
      </w:r>
      <w:r w:rsidR="00967225">
        <w:t xml:space="preserve"> before filing A.24-06-004.</w:t>
      </w:r>
    </w:p>
    <w:p w:rsidR="00932865" w:rsidP="008E7579" w:rsidRDefault="00CC787C" w14:paraId="5A07CC36" w14:textId="587DDD9C">
      <w:pPr>
        <w:pStyle w:val="CoL"/>
        <w:ind w:firstLine="360"/>
      </w:pPr>
      <w:r>
        <w:t xml:space="preserve">A.24-06-004 </w:t>
      </w:r>
      <w:r w:rsidR="00262B2E">
        <w:t xml:space="preserve">is not subject to </w:t>
      </w:r>
      <w:r>
        <w:t>Pub. Util</w:t>
      </w:r>
      <w:r w:rsidR="00D75748">
        <w:t>.</w:t>
      </w:r>
      <w:r>
        <w:t xml:space="preserve"> Code </w:t>
      </w:r>
      <w:r w:rsidRPr="0011401B" w:rsidR="00262B2E">
        <w:t>§</w:t>
      </w:r>
      <w:r>
        <w:t>851</w:t>
      </w:r>
      <w:r w:rsidR="00965F71">
        <w:t>.</w:t>
      </w:r>
    </w:p>
    <w:p w:rsidR="00CC787C" w:rsidP="008E7579" w:rsidRDefault="00CC787C" w14:paraId="66AFC5AC" w14:textId="70EF8D9E">
      <w:pPr>
        <w:pStyle w:val="CoL"/>
        <w:ind w:firstLine="360"/>
      </w:pPr>
      <w:r>
        <w:t>Pub. Util</w:t>
      </w:r>
      <w:r w:rsidR="00FE6BD8">
        <w:t>.</w:t>
      </w:r>
      <w:r>
        <w:t xml:space="preserve"> Code </w:t>
      </w:r>
      <w:r w:rsidRPr="0011401B" w:rsidR="001D7EE8">
        <w:t>§</w:t>
      </w:r>
      <w:r>
        <w:t xml:space="preserve">854(a) is met by the determination that the transfer of direct control is </w:t>
      </w:r>
      <w:r w:rsidR="00E56C8E">
        <w:t>in</w:t>
      </w:r>
      <w:r w:rsidR="00952FF9">
        <w:t xml:space="preserve"> </w:t>
      </w:r>
      <w:r>
        <w:t>the public interest.</w:t>
      </w:r>
    </w:p>
    <w:p w:rsidR="00CC787C" w:rsidP="008E7579" w:rsidRDefault="00CC787C" w14:paraId="0AEF276F" w14:textId="3118CFF9">
      <w:pPr>
        <w:pStyle w:val="CoL"/>
        <w:ind w:firstLine="360"/>
      </w:pPr>
      <w:r>
        <w:t xml:space="preserve">Pub. Util. Code </w:t>
      </w:r>
      <w:r w:rsidRPr="0011401B" w:rsidR="001D7EE8">
        <w:t>§§</w:t>
      </w:r>
      <w:r>
        <w:t>854(b), (c) and (d) do not apply to th</w:t>
      </w:r>
      <w:r w:rsidR="00262B2E">
        <w:t>e proposed transfer of control of Crimson Utilities</w:t>
      </w:r>
      <w:r w:rsidR="00A94E51">
        <w:t>.</w:t>
      </w:r>
    </w:p>
    <w:p w:rsidRPr="001E2A62" w:rsidR="0088162D" w:rsidP="008E7579" w:rsidRDefault="0088162D" w14:paraId="5526C51A" w14:textId="75BE3F49">
      <w:pPr>
        <w:pStyle w:val="CoL"/>
        <w:ind w:firstLine="360"/>
      </w:pPr>
      <w:r>
        <w:lastRenderedPageBreak/>
        <w:t xml:space="preserve">The proposed transfer of </w:t>
      </w:r>
      <w:r w:rsidR="00D75748">
        <w:t xml:space="preserve">direct </w:t>
      </w:r>
      <w:r>
        <w:t xml:space="preserve">control of Crimson </w:t>
      </w:r>
      <w:r w:rsidR="00965F71">
        <w:t>Utilities</w:t>
      </w:r>
      <w:r>
        <w:t xml:space="preserve"> comports with the Commission’s E</w:t>
      </w:r>
      <w:r w:rsidR="00B10FA4">
        <w:t>SJ</w:t>
      </w:r>
      <w:r>
        <w:t xml:space="preserve"> Plan.</w:t>
      </w:r>
    </w:p>
    <w:p w:rsidRPr="001E2A62" w:rsidR="00932865" w:rsidP="008E7579" w:rsidRDefault="0019262F" w14:paraId="783217F1" w14:textId="4E8C419F">
      <w:pPr>
        <w:pStyle w:val="CoL"/>
        <w:ind w:firstLine="360"/>
      </w:pPr>
      <w:r>
        <w:t xml:space="preserve">The transfer of direct control of </w:t>
      </w:r>
      <w:bookmarkStart w:name="_Hlk203474016" w:id="25"/>
      <w:r>
        <w:t xml:space="preserve">Crimson </w:t>
      </w:r>
      <w:r w:rsidR="006E54AB">
        <w:t xml:space="preserve">Utilities from Grier to CorEnergy </w:t>
      </w:r>
      <w:bookmarkEnd w:id="25"/>
      <w:r>
        <w:t>should be approved</w:t>
      </w:r>
      <w:r w:rsidR="000B2AEC">
        <w:t>.</w:t>
      </w:r>
    </w:p>
    <w:p w:rsidRPr="001E2A62" w:rsidR="008F143D" w:rsidP="000B2AEC" w:rsidRDefault="00774528" w14:paraId="34CD8112" w14:textId="12FFD944">
      <w:pPr>
        <w:pStyle w:val="CoL"/>
        <w:spacing w:after="240"/>
        <w:ind w:firstLine="360"/>
      </w:pPr>
      <w:r>
        <w:t>A.24-06-00</w:t>
      </w:r>
      <w:r w:rsidR="00CD0D8F">
        <w:t>4</w:t>
      </w:r>
      <w:r>
        <w:t xml:space="preserve"> should be closed.</w:t>
      </w:r>
    </w:p>
    <w:p w:rsidR="00BB0243" w:rsidP="000A6E05" w:rsidRDefault="005939A5" w14:paraId="4ADD6794" w14:textId="77777777">
      <w:pPr>
        <w:pStyle w:val="Mainex"/>
      </w:pPr>
      <w:bookmarkStart w:name="_Toc133843858" w:id="26"/>
      <w:r>
        <w:t>O</w:t>
      </w:r>
      <w:r w:rsidR="00722850">
        <w:t>RDER</w:t>
      </w:r>
      <w:bookmarkEnd w:id="26"/>
    </w:p>
    <w:p w:rsidRPr="006E4154" w:rsidR="00BB0243" w:rsidP="000A6E05" w:rsidRDefault="00BB0243" w14:paraId="2ADB8304" w14:textId="77777777">
      <w:pPr>
        <w:keepNext/>
        <w:rPr>
          <w:szCs w:val="26"/>
        </w:rPr>
      </w:pPr>
      <w:r w:rsidRPr="006E4154">
        <w:rPr>
          <w:b/>
          <w:szCs w:val="26"/>
        </w:rPr>
        <w:t>IT IS ORDERED</w:t>
      </w:r>
      <w:r w:rsidRPr="006E4154">
        <w:rPr>
          <w:szCs w:val="26"/>
        </w:rPr>
        <w:t xml:space="preserve"> that:</w:t>
      </w:r>
    </w:p>
    <w:p w:rsidRPr="00F05E8C" w:rsidR="00932865" w:rsidP="008E7579" w:rsidRDefault="0078438A" w14:paraId="423DF9A9" w14:textId="101A91DD">
      <w:pPr>
        <w:pStyle w:val="OP"/>
        <w:numPr>
          <w:ilvl w:val="0"/>
          <w:numId w:val="29"/>
        </w:numPr>
      </w:pPr>
      <w:r w:rsidRPr="00F05E8C">
        <w:t>The transfer of direct control of Crimson California Pipeline, L.P. (PLC</w:t>
      </w:r>
      <w:r w:rsidR="000B2AEC">
        <w:noBreakHyphen/>
      </w:r>
      <w:r w:rsidRPr="00F05E8C">
        <w:t xml:space="preserve">26) and San Pablo Pipeline Company, LLC (PLC-29) from Mr. John D. Grier </w:t>
      </w:r>
      <w:r w:rsidRPr="00F05E8C" w:rsidR="003A3E4A">
        <w:t xml:space="preserve">and his affiliates </w:t>
      </w:r>
      <w:r w:rsidRPr="00F05E8C">
        <w:t xml:space="preserve">to CorEnergy Infrastructure Trust, Inc. </w:t>
      </w:r>
      <w:r w:rsidRPr="00F05E8C" w:rsidR="007B44D4">
        <w:t xml:space="preserve">(CorEnergy) </w:t>
      </w:r>
      <w:r w:rsidRPr="00F05E8C">
        <w:t>is approved.</w:t>
      </w:r>
    </w:p>
    <w:p w:rsidRPr="00F05E8C" w:rsidR="007B44D4" w:rsidP="00F05E8C" w:rsidRDefault="007B44D4" w14:paraId="3AAC6C50" w14:textId="035EF027">
      <w:pPr>
        <w:pStyle w:val="OP"/>
      </w:pPr>
      <w:r w:rsidRPr="00F05E8C">
        <w:t>CorEnergy must file a Tier 1 Advice Letter (Advi</w:t>
      </w:r>
      <w:r w:rsidRPr="00F05E8C" w:rsidR="003A3E4A">
        <w:t>c</w:t>
      </w:r>
      <w:r w:rsidRPr="00F05E8C">
        <w:t xml:space="preserve">e Letter) </w:t>
      </w:r>
      <w:r w:rsidR="00E85BFA">
        <w:t>with</w:t>
      </w:r>
      <w:r w:rsidR="0045365A">
        <w:t xml:space="preserve"> the</w:t>
      </w:r>
      <w:r w:rsidRPr="00F05E8C">
        <w:t xml:space="preserve"> </w:t>
      </w:r>
      <w:r w:rsidR="005D6B1B">
        <w:t xml:space="preserve">California Public Utilities Commission’s </w:t>
      </w:r>
      <w:r w:rsidR="00950CCC">
        <w:t>Energy</w:t>
      </w:r>
      <w:r w:rsidRPr="00F05E8C">
        <w:t xml:space="preserve"> Division to </w:t>
      </w:r>
      <w:r w:rsidR="0045365A">
        <w:t xml:space="preserve">provide notice that the </w:t>
      </w:r>
      <w:r w:rsidRPr="00F05E8C">
        <w:t>tran</w:t>
      </w:r>
      <w:r w:rsidR="0045365A">
        <w:t>sfer of control is finalized</w:t>
      </w:r>
      <w:r w:rsidRPr="00F05E8C">
        <w:t xml:space="preserve">. The Advice Letter must be filed within </w:t>
      </w:r>
      <w:r w:rsidR="0080315F">
        <w:t>2</w:t>
      </w:r>
      <w:r w:rsidRPr="00F05E8C">
        <w:t>0 working days of the completion of the transaction.</w:t>
      </w:r>
    </w:p>
    <w:p w:rsidRPr="00F05E8C" w:rsidR="00F6397D" w:rsidP="00F05E8C" w:rsidRDefault="00E23CBB" w14:paraId="5E9F8DA0" w14:textId="2C10ED61">
      <w:pPr>
        <w:pStyle w:val="OP"/>
      </w:pPr>
      <w:r w:rsidRPr="00F05E8C">
        <w:t>Application</w:t>
      </w:r>
      <w:r w:rsidRPr="00F05E8C" w:rsidR="00674DAA">
        <w:t xml:space="preserve"> 24-0</w:t>
      </w:r>
      <w:r w:rsidRPr="00F05E8C" w:rsidR="00A94E51">
        <w:t>6</w:t>
      </w:r>
      <w:r w:rsidRPr="00F05E8C" w:rsidR="00674DAA">
        <w:t>-00</w:t>
      </w:r>
      <w:r w:rsidRPr="00F05E8C" w:rsidR="00A94E51">
        <w:t>4</w:t>
      </w:r>
      <w:r w:rsidRPr="00F05E8C" w:rsidR="00674DAA">
        <w:t xml:space="preserve"> </w:t>
      </w:r>
      <w:r w:rsidRPr="00F05E8C">
        <w:t>is closed.</w:t>
      </w:r>
    </w:p>
    <w:p w:rsidRPr="00B81239" w:rsidR="00FE6BD8" w:rsidP="00B81239" w:rsidRDefault="008F0116" w14:paraId="31609F6B" w14:textId="578CA465">
      <w:pPr>
        <w:rPr>
          <w:szCs w:val="26"/>
        </w:rPr>
      </w:pPr>
      <w:r w:rsidRPr="006E4154">
        <w:rPr>
          <w:szCs w:val="26"/>
        </w:rPr>
        <w:t>This order is effective today.</w:t>
      </w:r>
    </w:p>
    <w:p w:rsidR="00714CF2" w:rsidP="00816E05" w:rsidRDefault="008F0116" w14:paraId="3D117A0D" w14:textId="68BD125D">
      <w:r>
        <w:t>Dated</w:t>
      </w:r>
      <w:r w:rsidR="00B81239">
        <w:t> September 18</w:t>
      </w:r>
      <w:r>
        <w:t>,</w:t>
      </w:r>
      <w:r w:rsidR="006E4154">
        <w:t> 2025, </w:t>
      </w:r>
      <w:r>
        <w:t>at San Francisco, California</w:t>
      </w:r>
    </w:p>
    <w:p w:rsidR="00B81239" w:rsidP="00816E05" w:rsidRDefault="00B81239" w14:paraId="326F64E3" w14:textId="77777777"/>
    <w:p w:rsidR="00B81239" w:rsidP="00816E05" w:rsidRDefault="00B81239" w14:paraId="618515B5" w14:textId="77777777"/>
    <w:p w:rsidRPr="00B81239" w:rsidR="00B81239" w:rsidP="00B81239" w:rsidRDefault="00B81239" w14:paraId="7D51026C" w14:textId="77777777">
      <w:pPr>
        <w:autoSpaceDE w:val="0"/>
        <w:autoSpaceDN w:val="0"/>
        <w:adjustRightInd w:val="0"/>
        <w:spacing w:line="240" w:lineRule="auto"/>
        <w:ind w:left="6048" w:firstLine="0"/>
        <w:jc w:val="both"/>
        <w:rPr>
          <w:rFonts w:eastAsia="Calibri" w:cs="Arial"/>
          <w:szCs w:val="20"/>
        </w:rPr>
      </w:pPr>
      <w:bookmarkStart w:name="_Hlk188608089" w:id="27"/>
      <w:r w:rsidRPr="00B81239">
        <w:rPr>
          <w:rFonts w:eastAsia="Calibri" w:cs="Arial"/>
          <w:szCs w:val="20"/>
        </w:rPr>
        <w:t>ALICE REYNOLDS</w:t>
      </w:r>
    </w:p>
    <w:p w:rsidRPr="00B81239" w:rsidR="00B81239" w:rsidP="00B81239" w:rsidRDefault="00B81239" w14:paraId="27D6D548" w14:textId="6DBF152D">
      <w:pPr>
        <w:autoSpaceDE w:val="0"/>
        <w:autoSpaceDN w:val="0"/>
        <w:adjustRightInd w:val="0"/>
        <w:spacing w:line="240" w:lineRule="auto"/>
        <w:ind w:left="1728"/>
        <w:jc w:val="both"/>
        <w:rPr>
          <w:rFonts w:eastAsia="Calibri" w:cs="Arial"/>
          <w:szCs w:val="20"/>
        </w:rPr>
      </w:pPr>
      <w:r w:rsidRPr="00B81239">
        <w:rPr>
          <w:rFonts w:eastAsia="Calibri" w:cs="Arial"/>
          <w:szCs w:val="20"/>
        </w:rPr>
        <w:tab/>
      </w:r>
      <w:r w:rsidRPr="00B81239">
        <w:rPr>
          <w:rFonts w:eastAsia="Calibri" w:cs="Arial"/>
          <w:szCs w:val="20"/>
        </w:rPr>
        <w:tab/>
      </w:r>
      <w:r w:rsidRPr="00B81239">
        <w:rPr>
          <w:rFonts w:eastAsia="Calibri" w:cs="Arial"/>
          <w:szCs w:val="20"/>
        </w:rPr>
        <w:tab/>
      </w:r>
      <w:r w:rsidRPr="00B81239">
        <w:rPr>
          <w:rFonts w:eastAsia="Calibri" w:cs="Arial"/>
          <w:szCs w:val="20"/>
        </w:rPr>
        <w:tab/>
      </w:r>
      <w:r w:rsidRPr="00B81239">
        <w:rPr>
          <w:rFonts w:eastAsia="Calibri" w:cs="Arial"/>
          <w:szCs w:val="20"/>
        </w:rPr>
        <w:tab/>
      </w:r>
      <w:r>
        <w:rPr>
          <w:rFonts w:eastAsia="Calibri" w:cs="Arial"/>
          <w:szCs w:val="20"/>
        </w:rPr>
        <w:tab/>
      </w:r>
      <w:r>
        <w:rPr>
          <w:rFonts w:eastAsia="Calibri" w:cs="Arial"/>
          <w:szCs w:val="20"/>
        </w:rPr>
        <w:tab/>
      </w:r>
      <w:r>
        <w:rPr>
          <w:rFonts w:eastAsia="Calibri" w:cs="Arial"/>
          <w:szCs w:val="20"/>
        </w:rPr>
        <w:tab/>
      </w:r>
      <w:r>
        <w:rPr>
          <w:rFonts w:eastAsia="Calibri" w:cs="Arial"/>
          <w:szCs w:val="20"/>
        </w:rPr>
        <w:tab/>
      </w:r>
      <w:r>
        <w:rPr>
          <w:rFonts w:eastAsia="Calibri" w:cs="Arial"/>
          <w:szCs w:val="20"/>
        </w:rPr>
        <w:tab/>
      </w:r>
      <w:r>
        <w:rPr>
          <w:rFonts w:eastAsia="Calibri" w:cs="Arial"/>
          <w:szCs w:val="20"/>
        </w:rPr>
        <w:tab/>
      </w:r>
      <w:r>
        <w:rPr>
          <w:rFonts w:eastAsia="Calibri" w:cs="Arial"/>
          <w:szCs w:val="20"/>
        </w:rPr>
        <w:tab/>
      </w:r>
      <w:r w:rsidRPr="00B81239">
        <w:rPr>
          <w:rFonts w:eastAsia="Calibri" w:cs="Arial"/>
          <w:szCs w:val="20"/>
        </w:rPr>
        <w:t>President</w:t>
      </w:r>
    </w:p>
    <w:p w:rsidRPr="00B81239" w:rsidR="00B81239" w:rsidP="00B81239" w:rsidRDefault="00B81239" w14:paraId="77C1024B" w14:textId="77777777">
      <w:pPr>
        <w:autoSpaceDE w:val="0"/>
        <w:autoSpaceDN w:val="0"/>
        <w:adjustRightInd w:val="0"/>
        <w:spacing w:line="240" w:lineRule="auto"/>
        <w:ind w:left="5328"/>
        <w:jc w:val="both"/>
        <w:rPr>
          <w:rFonts w:eastAsia="Calibri" w:cs="Arial"/>
          <w:szCs w:val="20"/>
        </w:rPr>
      </w:pPr>
      <w:r w:rsidRPr="00B81239">
        <w:rPr>
          <w:rFonts w:eastAsia="Calibri" w:cs="Arial"/>
          <w:szCs w:val="20"/>
        </w:rPr>
        <w:t>DARCIE L. HOUCK</w:t>
      </w:r>
    </w:p>
    <w:p w:rsidRPr="00B81239" w:rsidR="00B81239" w:rsidP="00B81239" w:rsidRDefault="00B81239" w14:paraId="428200F7" w14:textId="77777777">
      <w:pPr>
        <w:autoSpaceDE w:val="0"/>
        <w:autoSpaceDN w:val="0"/>
        <w:adjustRightInd w:val="0"/>
        <w:spacing w:line="240" w:lineRule="auto"/>
        <w:ind w:left="5328"/>
        <w:jc w:val="both"/>
        <w:rPr>
          <w:rFonts w:eastAsia="Calibri" w:cs="Arial"/>
          <w:szCs w:val="20"/>
        </w:rPr>
      </w:pPr>
      <w:r w:rsidRPr="00B81239">
        <w:rPr>
          <w:rFonts w:eastAsia="Calibri" w:cs="Arial"/>
          <w:szCs w:val="20"/>
        </w:rPr>
        <w:t>JOHN REYNOLDS</w:t>
      </w:r>
    </w:p>
    <w:p w:rsidRPr="00B81239" w:rsidR="00B81239" w:rsidP="00B81239" w:rsidRDefault="00B81239" w14:paraId="106BD82E" w14:textId="77777777">
      <w:pPr>
        <w:autoSpaceDE w:val="0"/>
        <w:autoSpaceDN w:val="0"/>
        <w:adjustRightInd w:val="0"/>
        <w:spacing w:line="240" w:lineRule="auto"/>
        <w:ind w:left="5328"/>
        <w:jc w:val="both"/>
        <w:rPr>
          <w:rFonts w:eastAsia="Times New Roman" w:cs="Calibri"/>
          <w:color w:val="000000"/>
          <w:szCs w:val="26"/>
        </w:rPr>
      </w:pPr>
      <w:r w:rsidRPr="00B81239">
        <w:rPr>
          <w:rFonts w:eastAsia="Times New Roman" w:cs="Calibri"/>
          <w:color w:val="000000"/>
          <w:szCs w:val="26"/>
        </w:rPr>
        <w:t>KAREN DOUGLAS</w:t>
      </w:r>
    </w:p>
    <w:p w:rsidRPr="00B81239" w:rsidR="00B81239" w:rsidP="00B81239" w:rsidRDefault="00B81239" w14:paraId="14510506" w14:textId="77777777">
      <w:pPr>
        <w:autoSpaceDE w:val="0"/>
        <w:autoSpaceDN w:val="0"/>
        <w:adjustRightInd w:val="0"/>
        <w:spacing w:line="240" w:lineRule="auto"/>
        <w:ind w:left="5328"/>
        <w:jc w:val="both"/>
        <w:rPr>
          <w:rFonts w:eastAsia="Calibri" w:cs="Arial"/>
          <w:szCs w:val="20"/>
        </w:rPr>
      </w:pPr>
      <w:r w:rsidRPr="00B81239">
        <w:rPr>
          <w:rFonts w:eastAsia="Times New Roman" w:cs="Calibri"/>
          <w:color w:val="000000"/>
          <w:szCs w:val="26"/>
        </w:rPr>
        <w:t>MATTHEW BAKER</w:t>
      </w:r>
    </w:p>
    <w:p w:rsidRPr="00B81239" w:rsidR="00B81239" w:rsidP="00B81239" w:rsidRDefault="00B81239" w14:paraId="033A8662" w14:textId="2037A458">
      <w:pPr>
        <w:autoSpaceDE w:val="0"/>
        <w:autoSpaceDN w:val="0"/>
        <w:adjustRightInd w:val="0"/>
        <w:spacing w:line="240" w:lineRule="auto"/>
        <w:ind w:left="7344" w:firstLine="0"/>
        <w:jc w:val="both"/>
        <w:rPr>
          <w:rFonts w:eastAsia="Calibri" w:cs="Arial"/>
          <w:szCs w:val="20"/>
        </w:rPr>
      </w:pPr>
      <w:r w:rsidRPr="00B81239">
        <w:rPr>
          <w:rFonts w:eastAsia="Calibri" w:cs="Arial"/>
          <w:szCs w:val="20"/>
        </w:rPr>
        <w:t>Commissioners</w:t>
      </w:r>
    </w:p>
    <w:bookmarkEnd w:id="27"/>
    <w:p w:rsidRPr="00714CF2" w:rsidR="00B81239" w:rsidP="00816E05" w:rsidRDefault="00B81239" w14:paraId="64E287C9" w14:textId="77777777"/>
    <w:sectPr w:rsidRPr="00714CF2" w:rsidR="00B81239" w:rsidSect="003D293A">
      <w:headerReference w:type="default" r:id="rId12"/>
      <w:footerReference w:type="default" r:id="rId13"/>
      <w:footerReference w:type="first" r:id="rId14"/>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E18B" w14:textId="77777777" w:rsidR="00B266A7" w:rsidRDefault="00B266A7" w:rsidP="0098138E">
      <w:pPr>
        <w:spacing w:line="240" w:lineRule="auto"/>
      </w:pPr>
      <w:r>
        <w:separator/>
      </w:r>
    </w:p>
  </w:endnote>
  <w:endnote w:type="continuationSeparator" w:id="0">
    <w:p w14:paraId="316E5F3A" w14:textId="77777777" w:rsidR="00B266A7" w:rsidRDefault="00B266A7"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618912"/>
      <w:docPartObj>
        <w:docPartGallery w:val="Page Numbers (Bottom of Page)"/>
        <w:docPartUnique/>
      </w:docPartObj>
    </w:sdtPr>
    <w:sdtEndPr>
      <w:rPr>
        <w:noProof/>
      </w:rPr>
    </w:sdtEndPr>
    <w:sdtContent>
      <w:p w14:paraId="02803E8D" w14:textId="5899BBEF" w:rsidR="005C3006" w:rsidRDefault="005C3006" w:rsidP="005C30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370134"/>
      <w:docPartObj>
        <w:docPartGallery w:val="Page Numbers (Bottom of Page)"/>
        <w:docPartUnique/>
      </w:docPartObj>
    </w:sdtPr>
    <w:sdtEndPr>
      <w:rPr>
        <w:noProof/>
      </w:rPr>
    </w:sdtEndPr>
    <w:sdtContent>
      <w:p w14:paraId="02456A47" w14:textId="45861B1E" w:rsidR="003D293A" w:rsidRPr="003D293A" w:rsidRDefault="00DA7C8C" w:rsidP="00D92DB1">
        <w:pPr>
          <w:pStyle w:val="Footer"/>
          <w:ind w:firstLine="0"/>
        </w:pPr>
        <w:r w:rsidRPr="00DA7C8C">
          <w:rPr>
            <w:sz w:val="16"/>
            <w:szCs w:val="16"/>
          </w:rPr>
          <w:t>582115133</w:t>
        </w:r>
        <w:r w:rsidR="003D293A">
          <w:rPr>
            <w:sz w:val="16"/>
            <w:szCs w:val="16"/>
          </w:rPr>
          <w:tab/>
        </w:r>
        <w:r w:rsidR="003D293A">
          <w:fldChar w:fldCharType="begin"/>
        </w:r>
        <w:r w:rsidR="003D293A">
          <w:instrText xml:space="preserve"> PAGE   \* MERGEFORMAT </w:instrText>
        </w:r>
        <w:r w:rsidR="003D293A">
          <w:fldChar w:fldCharType="separate"/>
        </w:r>
        <w:r w:rsidR="003D293A">
          <w:rPr>
            <w:noProof/>
          </w:rPr>
          <w:t>2</w:t>
        </w:r>
        <w:r w:rsidR="003D293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3C06" w14:textId="77777777" w:rsidR="00B266A7" w:rsidRDefault="00B266A7" w:rsidP="00DF58E7">
      <w:pPr>
        <w:spacing w:line="240" w:lineRule="auto"/>
        <w:ind w:firstLine="0"/>
      </w:pPr>
      <w:r>
        <w:separator/>
      </w:r>
    </w:p>
  </w:footnote>
  <w:footnote w:type="continuationSeparator" w:id="0">
    <w:p w14:paraId="50644938" w14:textId="77777777" w:rsidR="00B266A7" w:rsidRDefault="00B266A7" w:rsidP="00DF58E7">
      <w:pPr>
        <w:spacing w:line="240" w:lineRule="auto"/>
        <w:ind w:firstLine="0"/>
      </w:pPr>
      <w:r>
        <w:continuationSeparator/>
      </w:r>
    </w:p>
  </w:footnote>
  <w:footnote w:type="continuationNotice" w:id="1">
    <w:p w14:paraId="3B2E3664" w14:textId="77777777" w:rsidR="00B266A7" w:rsidRPr="00DF58E7" w:rsidRDefault="00B266A7" w:rsidP="00DF58E7">
      <w:pPr>
        <w:spacing w:line="240" w:lineRule="auto"/>
        <w:ind w:firstLine="0"/>
        <w:jc w:val="right"/>
        <w:rPr>
          <w:i/>
          <w:sz w:val="22"/>
        </w:rPr>
      </w:pPr>
      <w:r w:rsidRPr="00DF58E7">
        <w:rPr>
          <w:i/>
          <w:sz w:val="22"/>
        </w:rPr>
        <w:t>Footnote continued on next page.</w:t>
      </w:r>
    </w:p>
  </w:footnote>
  <w:footnote w:id="2">
    <w:p w14:paraId="62A2B570" w14:textId="77777777" w:rsidR="00E74E71" w:rsidRDefault="00E74E71" w:rsidP="00E74E71">
      <w:pPr>
        <w:pStyle w:val="FootnoteText"/>
      </w:pPr>
      <w:r>
        <w:rPr>
          <w:rStyle w:val="FootnoteReference"/>
        </w:rPr>
        <w:footnoteRef/>
      </w:r>
      <w:r>
        <w:t xml:space="preserve"> Grier has direct control of Crimson Utilities based on Applicants’ Agreement. </w:t>
      </w:r>
      <w:r w:rsidRPr="00617CB6">
        <w:rPr>
          <w:i/>
          <w:iCs/>
        </w:rPr>
        <w:t xml:space="preserve">See </w:t>
      </w:r>
      <w:r>
        <w:t>Exhibit A to the Joint Application.</w:t>
      </w:r>
    </w:p>
  </w:footnote>
  <w:footnote w:id="3">
    <w:p w14:paraId="171772F7" w14:textId="76E582E5" w:rsidR="00E74E71" w:rsidRDefault="00E74E71" w:rsidP="00E74E71">
      <w:pPr>
        <w:pStyle w:val="FootnoteText"/>
      </w:pPr>
      <w:r>
        <w:rPr>
          <w:rStyle w:val="FootnoteReference"/>
        </w:rPr>
        <w:footnoteRef/>
      </w:r>
      <w:r>
        <w:t xml:space="preserve"> </w:t>
      </w:r>
      <w:r w:rsidR="00D847AC">
        <w:t xml:space="preserve"> D.22-12-032 at 44, Ordering Paragraph 1.</w:t>
      </w:r>
    </w:p>
  </w:footnote>
  <w:footnote w:id="4">
    <w:p w14:paraId="0CBEDF04" w14:textId="5DDB81F4" w:rsidR="009526F7" w:rsidRDefault="009526F7">
      <w:pPr>
        <w:pStyle w:val="FootnoteText"/>
      </w:pPr>
      <w:r>
        <w:rPr>
          <w:rStyle w:val="FootnoteReference"/>
        </w:rPr>
        <w:footnoteRef/>
      </w:r>
      <w:r>
        <w:t xml:space="preserve"> </w:t>
      </w:r>
      <w:r w:rsidR="00D847AC" w:rsidRPr="00192B8E">
        <w:rPr>
          <w:i/>
          <w:iCs/>
        </w:rPr>
        <w:t>Id.</w:t>
      </w:r>
      <w:r w:rsidR="00D847AC">
        <w:t xml:space="preserve"> </w:t>
      </w:r>
      <w:r>
        <w:t>at 33.</w:t>
      </w:r>
    </w:p>
  </w:footnote>
  <w:footnote w:id="5">
    <w:p w14:paraId="6C973FFC" w14:textId="77777777" w:rsidR="007C01D3" w:rsidRDefault="007C01D3" w:rsidP="007C01D3">
      <w:pPr>
        <w:pStyle w:val="FootnoteText"/>
      </w:pPr>
      <w:r>
        <w:rPr>
          <w:rStyle w:val="FootnoteReference"/>
        </w:rPr>
        <w:footnoteRef/>
      </w:r>
      <w:r>
        <w:t xml:space="preserve"> </w:t>
      </w:r>
      <w:r w:rsidRPr="0080591D">
        <w:rPr>
          <w:i/>
          <w:iCs/>
        </w:rPr>
        <w:t xml:space="preserve">Id. </w:t>
      </w:r>
    </w:p>
  </w:footnote>
  <w:footnote w:id="6">
    <w:p w14:paraId="4F9CCEEC" w14:textId="77777777" w:rsidR="0085797B" w:rsidRDefault="0085797B" w:rsidP="0085797B">
      <w:pPr>
        <w:pStyle w:val="FootnoteText"/>
      </w:pPr>
      <w:r>
        <w:rPr>
          <w:rStyle w:val="FootnoteReference"/>
        </w:rPr>
        <w:footnoteRef/>
      </w:r>
      <w:r>
        <w:t xml:space="preserve"> </w:t>
      </w:r>
      <w:r w:rsidRPr="0076116C">
        <w:rPr>
          <w:i/>
          <w:iCs/>
        </w:rPr>
        <w:t>See</w:t>
      </w:r>
      <w:r w:rsidRPr="008F0C34">
        <w:t xml:space="preserve"> D.07-03-047 (Order Modifying D.06-11-019 and Denying Rehearing of Decision as Modified).</w:t>
      </w:r>
    </w:p>
  </w:footnote>
  <w:footnote w:id="7">
    <w:p w14:paraId="4DBB09C0" w14:textId="77777777" w:rsidR="0085797B" w:rsidRPr="0076116C" w:rsidRDefault="0085797B" w:rsidP="0085797B">
      <w:pPr>
        <w:pStyle w:val="FootnoteText"/>
      </w:pPr>
      <w:r>
        <w:rPr>
          <w:rStyle w:val="FootnoteReference"/>
        </w:rPr>
        <w:footnoteRef/>
      </w:r>
      <w:r>
        <w:t xml:space="preserve"> </w:t>
      </w:r>
      <w:r w:rsidRPr="0076116C">
        <w:rPr>
          <w:i/>
          <w:iCs/>
        </w:rPr>
        <w:t>See</w:t>
      </w:r>
      <w:r>
        <w:t xml:space="preserve"> D.07-03-047 at 5.</w:t>
      </w:r>
    </w:p>
  </w:footnote>
  <w:footnote w:id="8">
    <w:p w14:paraId="5D654A6A" w14:textId="491543BC" w:rsidR="00B15A8A" w:rsidRDefault="00B15A8A">
      <w:pPr>
        <w:pStyle w:val="FootnoteText"/>
      </w:pPr>
      <w:r>
        <w:rPr>
          <w:rStyle w:val="FootnoteReference"/>
        </w:rPr>
        <w:footnoteRef/>
      </w:r>
      <w:r>
        <w:t xml:space="preserve"> Joint Applicants annual </w:t>
      </w:r>
      <w:r w:rsidR="001F7E48">
        <w:t xml:space="preserve">California </w:t>
      </w:r>
      <w:r>
        <w:t>revenues were</w:t>
      </w:r>
      <w:r w:rsidR="00D46556">
        <w:t xml:space="preserve"> under $100,000,000 in 2022 as</w:t>
      </w:r>
      <w:r>
        <w:t xml:space="preserve"> addressed in A.24-06-019 Application Exhibit MJW-2 at pdf page </w:t>
      </w:r>
      <w:r w:rsidR="00EC140E">
        <w:t>65</w:t>
      </w:r>
      <w:r>
        <w:t>, A.24-01-01</w:t>
      </w:r>
      <w:r w:rsidR="00A72C9E">
        <w:t>6</w:t>
      </w:r>
      <w:r>
        <w:t xml:space="preserve"> Application at pdf page 13 and A.23-08-018 Application at pdf page 14. </w:t>
      </w:r>
    </w:p>
  </w:footnote>
  <w:footnote w:id="9">
    <w:p w14:paraId="4DA1BB81" w14:textId="2931181B" w:rsidR="00027426" w:rsidRDefault="00027426">
      <w:pPr>
        <w:pStyle w:val="FootnoteText"/>
      </w:pPr>
      <w:r>
        <w:rPr>
          <w:rStyle w:val="FootnoteReference"/>
        </w:rPr>
        <w:footnoteRef/>
      </w:r>
      <w:r>
        <w:t xml:space="preserve"> </w:t>
      </w:r>
      <w:r w:rsidRPr="00181569">
        <w:rPr>
          <w:i/>
          <w:iCs/>
        </w:rPr>
        <w:t>See</w:t>
      </w:r>
      <w:r>
        <w:t xml:space="preserve"> D.16-06-014.</w:t>
      </w:r>
    </w:p>
  </w:footnote>
  <w:footnote w:id="10">
    <w:p w14:paraId="1B7E1FA0" w14:textId="5A03C0C8" w:rsidR="00096ED6" w:rsidRDefault="00096ED6">
      <w:pPr>
        <w:pStyle w:val="FootnoteText"/>
      </w:pPr>
      <w:r>
        <w:rPr>
          <w:rStyle w:val="FootnoteReference"/>
        </w:rPr>
        <w:footnoteRef/>
      </w:r>
      <w:r>
        <w:t xml:space="preserve"> </w:t>
      </w:r>
      <w:r w:rsidR="00B15A8A" w:rsidRPr="00181569">
        <w:rPr>
          <w:i/>
          <w:iCs/>
        </w:rPr>
        <w:t>Id.</w:t>
      </w:r>
    </w:p>
  </w:footnote>
  <w:footnote w:id="11">
    <w:p w14:paraId="267F0EC7" w14:textId="4150F227" w:rsidR="00E5046D" w:rsidRDefault="00E5046D">
      <w:pPr>
        <w:pStyle w:val="FootnoteText"/>
      </w:pPr>
      <w:r>
        <w:rPr>
          <w:rStyle w:val="FootnoteReference"/>
        </w:rPr>
        <w:footnoteRef/>
      </w:r>
      <w:r>
        <w:t xml:space="preserve"> </w:t>
      </w:r>
      <w:r w:rsidRPr="00181569">
        <w:rPr>
          <w:i/>
          <w:iCs/>
        </w:rPr>
        <w:t>See</w:t>
      </w:r>
      <w:r>
        <w:t xml:space="preserve"> Joint Applicants’ Response to ALJ Ruling dated March 7, 2025. </w:t>
      </w:r>
    </w:p>
  </w:footnote>
  <w:footnote w:id="12">
    <w:p w14:paraId="2B5DC702" w14:textId="477D87D9" w:rsidR="0045465C" w:rsidRDefault="0045465C" w:rsidP="0045465C">
      <w:pPr>
        <w:pStyle w:val="FootnoteText"/>
      </w:pPr>
      <w:r>
        <w:rPr>
          <w:rStyle w:val="FootnoteReference"/>
        </w:rPr>
        <w:footnoteRef/>
      </w:r>
      <w:r>
        <w:t xml:space="preserve"> Attachment A to Joint Application </w:t>
      </w:r>
      <w:r w:rsidR="006057ED">
        <w:t xml:space="preserve">is </w:t>
      </w:r>
      <w:r>
        <w:t>IRS PLR 113145-23. The Commission declines to delve further into Joint Applicants tax status with the Internal Revenue Service.</w:t>
      </w:r>
    </w:p>
  </w:footnote>
  <w:footnote w:id="13">
    <w:p w14:paraId="684A6A4A" w14:textId="08CDBC78" w:rsidR="0045465C" w:rsidRDefault="0045465C">
      <w:pPr>
        <w:pStyle w:val="FootnoteText"/>
      </w:pPr>
      <w:r>
        <w:rPr>
          <w:rStyle w:val="FootnoteReference"/>
        </w:rPr>
        <w:footnoteRef/>
      </w:r>
      <w:r>
        <w:t xml:space="preserve"> Application at p. 6. and </w:t>
      </w:r>
      <w:r w:rsidRPr="0045465C">
        <w:rPr>
          <w:i/>
          <w:iCs/>
        </w:rPr>
        <w:t xml:space="preserve">see </w:t>
      </w:r>
      <w:r>
        <w:t>Response to ALJ Ruling</w:t>
      </w:r>
      <w:r w:rsidR="00F439B9">
        <w:t xml:space="preserve"> dated March 7, 2025.</w:t>
      </w:r>
    </w:p>
  </w:footnote>
  <w:footnote w:id="14">
    <w:p w14:paraId="3567F95F" w14:textId="61EAD3D7" w:rsidR="00252FA6" w:rsidRDefault="00252FA6">
      <w:pPr>
        <w:pStyle w:val="FootnoteText"/>
      </w:pPr>
      <w:r>
        <w:rPr>
          <w:rStyle w:val="FootnoteReference"/>
        </w:rPr>
        <w:footnoteRef/>
      </w:r>
      <w:r>
        <w:t xml:space="preserve"> Joint Applicants </w:t>
      </w:r>
      <w:r w:rsidR="00F26B62">
        <w:t>Response to ALJ Ruling.</w:t>
      </w:r>
    </w:p>
  </w:footnote>
  <w:footnote w:id="15">
    <w:p w14:paraId="7AC17F0A" w14:textId="56AAD1DA" w:rsidR="0045465C" w:rsidRDefault="0045465C">
      <w:pPr>
        <w:pStyle w:val="FootnoteText"/>
      </w:pPr>
      <w:r>
        <w:rPr>
          <w:rStyle w:val="FootnoteReference"/>
        </w:rPr>
        <w:footnoteRef/>
      </w:r>
      <w:r>
        <w:t xml:space="preserve"> </w:t>
      </w:r>
      <w:r w:rsidRPr="0045465C">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02D1" w14:textId="253A8D6A" w:rsidR="007E2D6F" w:rsidRDefault="007E2D6F" w:rsidP="007E2D6F">
    <w:pPr>
      <w:pStyle w:val="Header"/>
      <w:tabs>
        <w:tab w:val="clear" w:pos="4680"/>
      </w:tabs>
      <w:ind w:firstLine="0"/>
      <w:rPr>
        <w:b/>
      </w:rPr>
    </w:pPr>
    <w:r w:rsidRPr="00073FCF">
      <w:t>A.24-06-004</w:t>
    </w:r>
    <w:r>
      <w:t xml:space="preserve">  </w:t>
    </w:r>
    <w:r w:rsidRPr="00073FCF">
      <w:t>ALJ/PPE/abb</w:t>
    </w:r>
    <w:r>
      <w:tab/>
    </w:r>
  </w:p>
  <w:p w14:paraId="5C0E4429" w14:textId="77777777" w:rsidR="007E2D6F" w:rsidRDefault="007E2D6F" w:rsidP="007E2D6F">
    <w:pPr>
      <w:pStyle w:val="Header"/>
      <w:tabs>
        <w:tab w:val="clear" w:pos="4680"/>
      </w:tabs>
      <w:ind w:firstLine="0"/>
      <w:rPr>
        <w:b/>
      </w:rPr>
    </w:pPr>
  </w:p>
  <w:p w14:paraId="51E4FD08" w14:textId="77777777" w:rsidR="007E2D6F" w:rsidRPr="007E2D6F" w:rsidRDefault="007E2D6F" w:rsidP="007E2D6F">
    <w:pPr>
      <w:pStyle w:val="Header"/>
      <w:tabs>
        <w:tab w:val="clear" w:pos="4680"/>
      </w:tabs>
      <w:ind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ED61B9"/>
    <w:multiLevelType w:val="hybridMultilevel"/>
    <w:tmpl w:val="87B48AD0"/>
    <w:lvl w:ilvl="0" w:tplc="50702E98">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6C1C14"/>
    <w:multiLevelType w:val="multilevel"/>
    <w:tmpl w:val="64987C74"/>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72D58B6"/>
    <w:multiLevelType w:val="singleLevel"/>
    <w:tmpl w:val="0409000F"/>
    <w:lvl w:ilvl="0">
      <w:start w:val="1"/>
      <w:numFmt w:val="decimal"/>
      <w:pStyle w:val="CoL"/>
      <w:lvlText w:val="%1."/>
      <w:lvlJc w:val="left"/>
      <w:pPr>
        <w:ind w:left="0" w:firstLine="540"/>
      </w:pPr>
      <w:rPr>
        <w:rFonts w:hint="default"/>
      </w:rPr>
    </w:lvl>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98B6DC2"/>
    <w:multiLevelType w:val="multilevel"/>
    <w:tmpl w:val="57885944"/>
    <w:styleLink w:val="Style1"/>
    <w:lvl w:ilvl="0">
      <w:start w:val="4"/>
      <w:numFmt w:val="decimal"/>
      <w:lvlText w:val="%1.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B08118E"/>
    <w:multiLevelType w:val="multilevel"/>
    <w:tmpl w:val="FE36F5C0"/>
    <w:lvl w:ilvl="0">
      <w:start w:val="1"/>
      <w:numFmt w:val="decimal"/>
      <w:lvlText w:val="%1."/>
      <w:lvlJc w:val="lef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1" w15:restartNumberingAfterBreak="0">
    <w:nsid w:val="2B8124D7"/>
    <w:multiLevelType w:val="multilevel"/>
    <w:tmpl w:val="3C526EDE"/>
    <w:numStyleLink w:val="Headings"/>
  </w:abstractNum>
  <w:abstractNum w:abstractNumId="12"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36B1518A"/>
    <w:multiLevelType w:val="singleLevel"/>
    <w:tmpl w:val="0409000F"/>
    <w:lvl w:ilvl="0">
      <w:start w:val="1"/>
      <w:numFmt w:val="decimal"/>
      <w:lvlText w:val="%1."/>
      <w:lvlJc w:val="left"/>
      <w:pPr>
        <w:ind w:left="0" w:firstLine="540"/>
      </w:pPr>
      <w:rPr>
        <w:rFonts w:hint="default"/>
      </w:rPr>
    </w:lvl>
  </w:abstractNum>
  <w:abstractNum w:abstractNumId="14" w15:restartNumberingAfterBreak="0">
    <w:nsid w:val="41DF4A06"/>
    <w:multiLevelType w:val="multilevel"/>
    <w:tmpl w:val="4A46DF08"/>
    <w:lvl w:ilvl="0">
      <w:start w:val="1"/>
      <w:numFmt w:val="none"/>
      <w:lvlText w:val="4.4"/>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45DA719E"/>
    <w:multiLevelType w:val="multilevel"/>
    <w:tmpl w:val="4A46DF08"/>
    <w:lvl w:ilvl="0">
      <w:start w:val="1"/>
      <w:numFmt w:val="none"/>
      <w:lvlText w:val="4.4"/>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9D042D7"/>
    <w:multiLevelType w:val="multilevel"/>
    <w:tmpl w:val="0AACB020"/>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7" w15:restartNumberingAfterBreak="0">
    <w:nsid w:val="5A9E2171"/>
    <w:multiLevelType w:val="multilevel"/>
    <w:tmpl w:val="3C526EDE"/>
    <w:numStyleLink w:val="Headings"/>
  </w:abstractNum>
  <w:abstractNum w:abstractNumId="18" w15:restartNumberingAfterBreak="0">
    <w:nsid w:val="61A25780"/>
    <w:multiLevelType w:val="multilevel"/>
    <w:tmpl w:val="3C526EDE"/>
    <w:numStyleLink w:val="Headings"/>
  </w:abstractNum>
  <w:abstractNum w:abstractNumId="19" w15:restartNumberingAfterBreak="0">
    <w:nsid w:val="64027046"/>
    <w:multiLevelType w:val="multilevel"/>
    <w:tmpl w:val="4A46DF08"/>
    <w:lvl w:ilvl="0">
      <w:start w:val="1"/>
      <w:numFmt w:val="none"/>
      <w:lvlText w:val="4.4"/>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646C447D"/>
    <w:multiLevelType w:val="multilevel"/>
    <w:tmpl w:val="8EEC814E"/>
    <w:lvl w:ilvl="0">
      <w:start w:val="4"/>
      <w:numFmt w:val="none"/>
      <w:lvlText w:val="4.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442A7B"/>
    <w:multiLevelType w:val="hybridMultilevel"/>
    <w:tmpl w:val="87EAA7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9A0AFE"/>
    <w:multiLevelType w:val="multilevel"/>
    <w:tmpl w:val="64987C74"/>
    <w:numStyleLink w:val="FoFCoLOP"/>
  </w:abstractNum>
  <w:num w:numId="1" w16cid:durableId="1354526949">
    <w:abstractNumId w:val="17"/>
  </w:num>
  <w:num w:numId="2" w16cid:durableId="140774137">
    <w:abstractNumId w:val="2"/>
  </w:num>
  <w:num w:numId="3" w16cid:durableId="1898543446">
    <w:abstractNumId w:val="16"/>
  </w:num>
  <w:num w:numId="4" w16cid:durableId="701521005">
    <w:abstractNumId w:val="3"/>
  </w:num>
  <w:num w:numId="5" w16cid:durableId="2017029027">
    <w:abstractNumId w:val="23"/>
  </w:num>
  <w:num w:numId="6" w16cid:durableId="973756952">
    <w:abstractNumId w:val="12"/>
  </w:num>
  <w:num w:numId="7" w16cid:durableId="827667741">
    <w:abstractNumId w:val="6"/>
  </w:num>
  <w:num w:numId="8" w16cid:durableId="1760327020">
    <w:abstractNumId w:val="21"/>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11"/>
  </w:num>
  <w:num w:numId="15" w16cid:durableId="1714382259">
    <w:abstractNumId w:val="18"/>
  </w:num>
  <w:num w:numId="16" w16cid:durableId="5481076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8"/>
  </w:num>
  <w:num w:numId="18" w16cid:durableId="1970356417">
    <w:abstractNumId w:val="22"/>
  </w:num>
  <w:num w:numId="19" w16cid:durableId="186721407">
    <w:abstractNumId w:val="20"/>
  </w:num>
  <w:num w:numId="20" w16cid:durableId="1963265686">
    <w:abstractNumId w:val="9"/>
  </w:num>
  <w:num w:numId="21" w16cid:durableId="1055355787">
    <w:abstractNumId w:val="20"/>
    <w:lvlOverride w:ilvl="0">
      <w:lvl w:ilvl="0">
        <w:start w:val="4"/>
        <w:numFmt w:val="none"/>
        <w:lvlText w:val="4.2"/>
        <w:lvlJc w:val="left"/>
        <w:pPr>
          <w:ind w:left="1080" w:hanging="360"/>
        </w:pPr>
        <w:rPr>
          <w:rFonts w:hint="default"/>
        </w:rPr>
      </w:lvl>
    </w:lvlOverride>
    <w:lvlOverride w:ilvl="1">
      <w:lvl w:ilvl="1">
        <w:start w:val="1"/>
        <w:numFmt w:val="lowerLetter"/>
        <w:lvlText w:val="%2."/>
        <w:lvlJc w:val="left"/>
        <w:pPr>
          <w:ind w:left="1800" w:hanging="360"/>
        </w:pPr>
        <w:rPr>
          <w:rFonts w:hint="default"/>
        </w:rPr>
      </w:lvl>
    </w:lvlOverride>
    <w:lvlOverride w:ilvl="2">
      <w:lvl w:ilvl="2">
        <w:start w:val="1"/>
        <w:numFmt w:val="lowerRoman"/>
        <w:lvlText w:val="%3."/>
        <w:lvlJc w:val="right"/>
        <w:pPr>
          <w:ind w:left="2520" w:hanging="18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960" w:hanging="360"/>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22" w16cid:durableId="369958556">
    <w:abstractNumId w:val="1"/>
  </w:num>
  <w:num w:numId="23" w16cid:durableId="1512338296">
    <w:abstractNumId w:val="1"/>
    <w:lvlOverride w:ilvl="0">
      <w:lvl w:ilvl="0" w:tplc="50702E98">
        <w:start w:val="1"/>
        <w:numFmt w:val="none"/>
        <w:lvlText w:val="4.3"/>
        <w:lvlJc w:val="left"/>
        <w:pPr>
          <w:ind w:left="1080" w:hanging="360"/>
        </w:pPr>
        <w:rPr>
          <w:rFonts w:hint="default"/>
        </w:rPr>
      </w:lvl>
    </w:lvlOverride>
    <w:lvlOverride w:ilvl="1">
      <w:lvl w:ilvl="1" w:tplc="04090019">
        <w:start w:val="1"/>
        <w:numFmt w:val="lowerLetter"/>
        <w:lvlText w:val="%2."/>
        <w:lvlJc w:val="left"/>
        <w:pPr>
          <w:ind w:left="1800" w:hanging="360"/>
        </w:pPr>
        <w:rPr>
          <w:rFonts w:hint="default"/>
        </w:rPr>
      </w:lvl>
    </w:lvlOverride>
    <w:lvlOverride w:ilvl="2">
      <w:lvl w:ilvl="2" w:tplc="0409001B">
        <w:start w:val="1"/>
        <w:numFmt w:val="lowerRoman"/>
        <w:lvlText w:val="%3."/>
        <w:lvlJc w:val="right"/>
        <w:pPr>
          <w:ind w:left="2520" w:hanging="180"/>
        </w:pPr>
        <w:rPr>
          <w:rFonts w:hint="default"/>
        </w:rPr>
      </w:lvl>
    </w:lvlOverride>
    <w:lvlOverride w:ilvl="3">
      <w:lvl w:ilvl="3" w:tplc="0409000F">
        <w:start w:val="1"/>
        <w:numFmt w:val="decimal"/>
        <w:lvlText w:val="%4."/>
        <w:lvlJc w:val="left"/>
        <w:pPr>
          <w:ind w:left="3240" w:hanging="360"/>
        </w:pPr>
        <w:rPr>
          <w:rFonts w:hint="default"/>
        </w:rPr>
      </w:lvl>
    </w:lvlOverride>
    <w:lvlOverride w:ilvl="4">
      <w:lvl w:ilvl="4" w:tplc="04090019">
        <w:start w:val="1"/>
        <w:numFmt w:val="lowerLetter"/>
        <w:lvlText w:val="%5."/>
        <w:lvlJc w:val="left"/>
        <w:pPr>
          <w:ind w:left="3960" w:hanging="360"/>
        </w:pPr>
        <w:rPr>
          <w:rFonts w:hint="default"/>
        </w:rPr>
      </w:lvl>
    </w:lvlOverride>
    <w:lvlOverride w:ilvl="5">
      <w:lvl w:ilvl="5" w:tplc="0409001B">
        <w:start w:val="1"/>
        <w:numFmt w:val="lowerRoman"/>
        <w:lvlText w:val="%6."/>
        <w:lvlJc w:val="right"/>
        <w:pPr>
          <w:ind w:left="4680" w:hanging="180"/>
        </w:pPr>
        <w:rPr>
          <w:rFonts w:hint="default"/>
        </w:rPr>
      </w:lvl>
    </w:lvlOverride>
    <w:lvlOverride w:ilvl="6">
      <w:lvl w:ilvl="6" w:tplc="0409000F">
        <w:start w:val="1"/>
        <w:numFmt w:val="decimal"/>
        <w:lvlText w:val="%7."/>
        <w:lvlJc w:val="left"/>
        <w:pPr>
          <w:ind w:left="5400" w:hanging="360"/>
        </w:pPr>
        <w:rPr>
          <w:rFonts w:hint="default"/>
        </w:rPr>
      </w:lvl>
    </w:lvlOverride>
    <w:lvlOverride w:ilvl="7">
      <w:lvl w:ilvl="7" w:tplc="04090019">
        <w:start w:val="1"/>
        <w:numFmt w:val="lowerLetter"/>
        <w:lvlText w:val="%8."/>
        <w:lvlJc w:val="left"/>
        <w:pPr>
          <w:ind w:left="6120" w:hanging="360"/>
        </w:pPr>
        <w:rPr>
          <w:rFonts w:hint="default"/>
        </w:rPr>
      </w:lvl>
    </w:lvlOverride>
    <w:lvlOverride w:ilvl="8">
      <w:lvl w:ilvl="8" w:tplc="0409001B">
        <w:start w:val="1"/>
        <w:numFmt w:val="lowerRoman"/>
        <w:lvlText w:val="%9."/>
        <w:lvlJc w:val="right"/>
        <w:pPr>
          <w:ind w:left="6840" w:hanging="180"/>
        </w:pPr>
        <w:rPr>
          <w:rFonts w:hint="default"/>
        </w:rPr>
      </w:lvl>
    </w:lvlOverride>
  </w:num>
  <w:num w:numId="24" w16cid:durableId="1670523070">
    <w:abstractNumId w:val="15"/>
  </w:num>
  <w:num w:numId="25" w16cid:durableId="1600412071">
    <w:abstractNumId w:val="13"/>
  </w:num>
  <w:num w:numId="26" w16cid:durableId="908811196">
    <w:abstractNumId w:val="10"/>
  </w:num>
  <w:num w:numId="27" w16cid:durableId="2115441413">
    <w:abstractNumId w:val="19"/>
  </w:num>
  <w:num w:numId="28" w16cid:durableId="1096052391">
    <w:abstractNumId w:val="14"/>
  </w:num>
  <w:num w:numId="29" w16cid:durableId="16633101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251274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43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F8"/>
    <w:rsid w:val="00000F6A"/>
    <w:rsid w:val="00011BDC"/>
    <w:rsid w:val="00020070"/>
    <w:rsid w:val="00026F2E"/>
    <w:rsid w:val="00027426"/>
    <w:rsid w:val="00027E86"/>
    <w:rsid w:val="00044892"/>
    <w:rsid w:val="00051E5F"/>
    <w:rsid w:val="0007115A"/>
    <w:rsid w:val="00091777"/>
    <w:rsid w:val="000965AF"/>
    <w:rsid w:val="00096ED6"/>
    <w:rsid w:val="000973C8"/>
    <w:rsid w:val="000A2AA9"/>
    <w:rsid w:val="000A37F9"/>
    <w:rsid w:val="000A4391"/>
    <w:rsid w:val="000A56F2"/>
    <w:rsid w:val="000A6E05"/>
    <w:rsid w:val="000B12FA"/>
    <w:rsid w:val="000B2AEC"/>
    <w:rsid w:val="000C08BF"/>
    <w:rsid w:val="000C3B9A"/>
    <w:rsid w:val="000D25A8"/>
    <w:rsid w:val="000D399C"/>
    <w:rsid w:val="000D7641"/>
    <w:rsid w:val="000E270A"/>
    <w:rsid w:val="000E4C53"/>
    <w:rsid w:val="000F48C6"/>
    <w:rsid w:val="001017ED"/>
    <w:rsid w:val="001109B7"/>
    <w:rsid w:val="0011401B"/>
    <w:rsid w:val="001155EC"/>
    <w:rsid w:val="00121089"/>
    <w:rsid w:val="00123946"/>
    <w:rsid w:val="00127948"/>
    <w:rsid w:val="00130C23"/>
    <w:rsid w:val="0014079F"/>
    <w:rsid w:val="001407E1"/>
    <w:rsid w:val="001543EA"/>
    <w:rsid w:val="00156252"/>
    <w:rsid w:val="001578E8"/>
    <w:rsid w:val="00161EF8"/>
    <w:rsid w:val="00181569"/>
    <w:rsid w:val="00184A8F"/>
    <w:rsid w:val="001859DE"/>
    <w:rsid w:val="00190F8F"/>
    <w:rsid w:val="0019262F"/>
    <w:rsid w:val="00192B8E"/>
    <w:rsid w:val="0019546F"/>
    <w:rsid w:val="001B28C0"/>
    <w:rsid w:val="001C1999"/>
    <w:rsid w:val="001C363F"/>
    <w:rsid w:val="001D254B"/>
    <w:rsid w:val="001D6EDD"/>
    <w:rsid w:val="001D7EE8"/>
    <w:rsid w:val="001E2A62"/>
    <w:rsid w:val="001F2819"/>
    <w:rsid w:val="001F7E48"/>
    <w:rsid w:val="00203749"/>
    <w:rsid w:val="002043EC"/>
    <w:rsid w:val="00210723"/>
    <w:rsid w:val="00223444"/>
    <w:rsid w:val="002311FA"/>
    <w:rsid w:val="0024094D"/>
    <w:rsid w:val="00243DC0"/>
    <w:rsid w:val="00247477"/>
    <w:rsid w:val="00252FA6"/>
    <w:rsid w:val="00262B2E"/>
    <w:rsid w:val="00270440"/>
    <w:rsid w:val="00277C50"/>
    <w:rsid w:val="00281DE3"/>
    <w:rsid w:val="00284D8D"/>
    <w:rsid w:val="00287BC5"/>
    <w:rsid w:val="00293DEE"/>
    <w:rsid w:val="002967D9"/>
    <w:rsid w:val="002A0B5D"/>
    <w:rsid w:val="002A0EBA"/>
    <w:rsid w:val="002C7FE9"/>
    <w:rsid w:val="002D0DC5"/>
    <w:rsid w:val="002D4EFD"/>
    <w:rsid w:val="003140DB"/>
    <w:rsid w:val="00315A97"/>
    <w:rsid w:val="00316071"/>
    <w:rsid w:val="0033792B"/>
    <w:rsid w:val="00341239"/>
    <w:rsid w:val="00343E5C"/>
    <w:rsid w:val="00344FB8"/>
    <w:rsid w:val="00345BA5"/>
    <w:rsid w:val="00347678"/>
    <w:rsid w:val="0036017B"/>
    <w:rsid w:val="00362755"/>
    <w:rsid w:val="00373B93"/>
    <w:rsid w:val="00380CD1"/>
    <w:rsid w:val="003843A4"/>
    <w:rsid w:val="003906B0"/>
    <w:rsid w:val="003A02CA"/>
    <w:rsid w:val="003A38F0"/>
    <w:rsid w:val="003A3E4A"/>
    <w:rsid w:val="003B058F"/>
    <w:rsid w:val="003C0F29"/>
    <w:rsid w:val="003D293A"/>
    <w:rsid w:val="003F069A"/>
    <w:rsid w:val="003F4329"/>
    <w:rsid w:val="00405DD1"/>
    <w:rsid w:val="00412534"/>
    <w:rsid w:val="00412C83"/>
    <w:rsid w:val="00426014"/>
    <w:rsid w:val="0044617E"/>
    <w:rsid w:val="0045365A"/>
    <w:rsid w:val="0045465C"/>
    <w:rsid w:val="0046078B"/>
    <w:rsid w:val="00460B7D"/>
    <w:rsid w:val="00465741"/>
    <w:rsid w:val="00480CB0"/>
    <w:rsid w:val="00483603"/>
    <w:rsid w:val="00495C05"/>
    <w:rsid w:val="004A1EAD"/>
    <w:rsid w:val="004A47BE"/>
    <w:rsid w:val="004B34EA"/>
    <w:rsid w:val="004B5494"/>
    <w:rsid w:val="004C7A2B"/>
    <w:rsid w:val="004C7BDB"/>
    <w:rsid w:val="004C7D3A"/>
    <w:rsid w:val="004D5A10"/>
    <w:rsid w:val="005018A8"/>
    <w:rsid w:val="00505A39"/>
    <w:rsid w:val="00505E9D"/>
    <w:rsid w:val="00507933"/>
    <w:rsid w:val="005125BE"/>
    <w:rsid w:val="005240BF"/>
    <w:rsid w:val="00525115"/>
    <w:rsid w:val="0053527A"/>
    <w:rsid w:val="00556B2E"/>
    <w:rsid w:val="00571082"/>
    <w:rsid w:val="005839A6"/>
    <w:rsid w:val="00585390"/>
    <w:rsid w:val="005939A5"/>
    <w:rsid w:val="005A148C"/>
    <w:rsid w:val="005B42A1"/>
    <w:rsid w:val="005C3006"/>
    <w:rsid w:val="005C3830"/>
    <w:rsid w:val="005C58FA"/>
    <w:rsid w:val="005C5CB0"/>
    <w:rsid w:val="005D6B1B"/>
    <w:rsid w:val="005D724A"/>
    <w:rsid w:val="005F47FC"/>
    <w:rsid w:val="00603238"/>
    <w:rsid w:val="006057ED"/>
    <w:rsid w:val="00617CB6"/>
    <w:rsid w:val="00617E59"/>
    <w:rsid w:val="006207E1"/>
    <w:rsid w:val="00632207"/>
    <w:rsid w:val="0063491C"/>
    <w:rsid w:val="00641A5C"/>
    <w:rsid w:val="006519A1"/>
    <w:rsid w:val="0065766C"/>
    <w:rsid w:val="00657A64"/>
    <w:rsid w:val="00661AFE"/>
    <w:rsid w:val="00671B97"/>
    <w:rsid w:val="00674DAA"/>
    <w:rsid w:val="006772F6"/>
    <w:rsid w:val="00680F19"/>
    <w:rsid w:val="00683B2C"/>
    <w:rsid w:val="00685034"/>
    <w:rsid w:val="00686EE8"/>
    <w:rsid w:val="00697721"/>
    <w:rsid w:val="006A17CC"/>
    <w:rsid w:val="006B6A30"/>
    <w:rsid w:val="006C1F10"/>
    <w:rsid w:val="006D6116"/>
    <w:rsid w:val="006E0181"/>
    <w:rsid w:val="006E4154"/>
    <w:rsid w:val="006E54AB"/>
    <w:rsid w:val="006E5E28"/>
    <w:rsid w:val="006E6574"/>
    <w:rsid w:val="006E7F7D"/>
    <w:rsid w:val="00714CF2"/>
    <w:rsid w:val="007156B9"/>
    <w:rsid w:val="00716411"/>
    <w:rsid w:val="007175DD"/>
    <w:rsid w:val="00720817"/>
    <w:rsid w:val="00722850"/>
    <w:rsid w:val="00725928"/>
    <w:rsid w:val="0073353F"/>
    <w:rsid w:val="00735A91"/>
    <w:rsid w:val="00736638"/>
    <w:rsid w:val="00742E45"/>
    <w:rsid w:val="007447AF"/>
    <w:rsid w:val="00750816"/>
    <w:rsid w:val="007657C1"/>
    <w:rsid w:val="00774528"/>
    <w:rsid w:val="0077755F"/>
    <w:rsid w:val="00782AAE"/>
    <w:rsid w:val="007832B3"/>
    <w:rsid w:val="0078438A"/>
    <w:rsid w:val="00795920"/>
    <w:rsid w:val="007A406D"/>
    <w:rsid w:val="007A62B0"/>
    <w:rsid w:val="007B44D4"/>
    <w:rsid w:val="007C01D3"/>
    <w:rsid w:val="007C4E04"/>
    <w:rsid w:val="007C5A0C"/>
    <w:rsid w:val="007D61E3"/>
    <w:rsid w:val="007E0FEE"/>
    <w:rsid w:val="007E2D6F"/>
    <w:rsid w:val="007E31AE"/>
    <w:rsid w:val="007F2017"/>
    <w:rsid w:val="0080315F"/>
    <w:rsid w:val="0080390E"/>
    <w:rsid w:val="008159CF"/>
    <w:rsid w:val="00816E05"/>
    <w:rsid w:val="00817E99"/>
    <w:rsid w:val="00822F3D"/>
    <w:rsid w:val="008339BB"/>
    <w:rsid w:val="0084696D"/>
    <w:rsid w:val="0085797B"/>
    <w:rsid w:val="0086216C"/>
    <w:rsid w:val="0086419A"/>
    <w:rsid w:val="008671E8"/>
    <w:rsid w:val="0087023B"/>
    <w:rsid w:val="0088162D"/>
    <w:rsid w:val="008A04A2"/>
    <w:rsid w:val="008A08BF"/>
    <w:rsid w:val="008A179F"/>
    <w:rsid w:val="008A3AD0"/>
    <w:rsid w:val="008B0864"/>
    <w:rsid w:val="008B175A"/>
    <w:rsid w:val="008B3834"/>
    <w:rsid w:val="008B7235"/>
    <w:rsid w:val="008C2DD6"/>
    <w:rsid w:val="008C3CB7"/>
    <w:rsid w:val="008C7413"/>
    <w:rsid w:val="008D16B7"/>
    <w:rsid w:val="008D5393"/>
    <w:rsid w:val="008E6AE6"/>
    <w:rsid w:val="008E7579"/>
    <w:rsid w:val="008F0116"/>
    <w:rsid w:val="008F143D"/>
    <w:rsid w:val="009016FD"/>
    <w:rsid w:val="009217FD"/>
    <w:rsid w:val="00932865"/>
    <w:rsid w:val="009432D6"/>
    <w:rsid w:val="00950CCC"/>
    <w:rsid w:val="00951F00"/>
    <w:rsid w:val="009526F7"/>
    <w:rsid w:val="00952FF9"/>
    <w:rsid w:val="0095771F"/>
    <w:rsid w:val="00957A0C"/>
    <w:rsid w:val="00965F71"/>
    <w:rsid w:val="00965FD2"/>
    <w:rsid w:val="00967225"/>
    <w:rsid w:val="0098138E"/>
    <w:rsid w:val="0098655A"/>
    <w:rsid w:val="009A6E36"/>
    <w:rsid w:val="009D5261"/>
    <w:rsid w:val="009E6052"/>
    <w:rsid w:val="009E7C7F"/>
    <w:rsid w:val="009F3501"/>
    <w:rsid w:val="00A02A5E"/>
    <w:rsid w:val="00A11CEC"/>
    <w:rsid w:val="00A14C70"/>
    <w:rsid w:val="00A15AA0"/>
    <w:rsid w:val="00A17866"/>
    <w:rsid w:val="00A17CE0"/>
    <w:rsid w:val="00A23D48"/>
    <w:rsid w:val="00A32D6F"/>
    <w:rsid w:val="00A42306"/>
    <w:rsid w:val="00A44E8D"/>
    <w:rsid w:val="00A465B1"/>
    <w:rsid w:val="00A46EA8"/>
    <w:rsid w:val="00A55ACD"/>
    <w:rsid w:val="00A72C9E"/>
    <w:rsid w:val="00A8058D"/>
    <w:rsid w:val="00A85D27"/>
    <w:rsid w:val="00A928F0"/>
    <w:rsid w:val="00A94E51"/>
    <w:rsid w:val="00AA39A3"/>
    <w:rsid w:val="00AA7092"/>
    <w:rsid w:val="00AB7875"/>
    <w:rsid w:val="00AC68EE"/>
    <w:rsid w:val="00AD0401"/>
    <w:rsid w:val="00AD147B"/>
    <w:rsid w:val="00AE6562"/>
    <w:rsid w:val="00AF0B79"/>
    <w:rsid w:val="00AF185D"/>
    <w:rsid w:val="00B01F7E"/>
    <w:rsid w:val="00B02FEC"/>
    <w:rsid w:val="00B03DB4"/>
    <w:rsid w:val="00B10FA4"/>
    <w:rsid w:val="00B15A8A"/>
    <w:rsid w:val="00B16C2A"/>
    <w:rsid w:val="00B263F5"/>
    <w:rsid w:val="00B266A7"/>
    <w:rsid w:val="00B26E3E"/>
    <w:rsid w:val="00B3087D"/>
    <w:rsid w:val="00B34794"/>
    <w:rsid w:val="00B5204E"/>
    <w:rsid w:val="00B60421"/>
    <w:rsid w:val="00B81239"/>
    <w:rsid w:val="00B81EB6"/>
    <w:rsid w:val="00B96815"/>
    <w:rsid w:val="00BB0243"/>
    <w:rsid w:val="00BB47DB"/>
    <w:rsid w:val="00BD19CA"/>
    <w:rsid w:val="00BD1E64"/>
    <w:rsid w:val="00BD23D9"/>
    <w:rsid w:val="00BD6873"/>
    <w:rsid w:val="00BF6262"/>
    <w:rsid w:val="00C03E83"/>
    <w:rsid w:val="00C04EED"/>
    <w:rsid w:val="00C10B5F"/>
    <w:rsid w:val="00C31D6A"/>
    <w:rsid w:val="00C423BB"/>
    <w:rsid w:val="00C63CA3"/>
    <w:rsid w:val="00C661F8"/>
    <w:rsid w:val="00C755F1"/>
    <w:rsid w:val="00C878D5"/>
    <w:rsid w:val="00C9033B"/>
    <w:rsid w:val="00C903D1"/>
    <w:rsid w:val="00C913A1"/>
    <w:rsid w:val="00CA179A"/>
    <w:rsid w:val="00CB0624"/>
    <w:rsid w:val="00CB55AF"/>
    <w:rsid w:val="00CC6A99"/>
    <w:rsid w:val="00CC787C"/>
    <w:rsid w:val="00CD0D8F"/>
    <w:rsid w:val="00CD332F"/>
    <w:rsid w:val="00CD71E4"/>
    <w:rsid w:val="00D00AA3"/>
    <w:rsid w:val="00D0504E"/>
    <w:rsid w:val="00D07F73"/>
    <w:rsid w:val="00D117F4"/>
    <w:rsid w:val="00D14844"/>
    <w:rsid w:val="00D2041C"/>
    <w:rsid w:val="00D217B1"/>
    <w:rsid w:val="00D25ADE"/>
    <w:rsid w:val="00D26DAE"/>
    <w:rsid w:val="00D43297"/>
    <w:rsid w:val="00D44DB6"/>
    <w:rsid w:val="00D46556"/>
    <w:rsid w:val="00D50119"/>
    <w:rsid w:val="00D51C8C"/>
    <w:rsid w:val="00D54BD2"/>
    <w:rsid w:val="00D6012F"/>
    <w:rsid w:val="00D75748"/>
    <w:rsid w:val="00D759C8"/>
    <w:rsid w:val="00D761D4"/>
    <w:rsid w:val="00D82A43"/>
    <w:rsid w:val="00D847AC"/>
    <w:rsid w:val="00D92DB1"/>
    <w:rsid w:val="00D952D6"/>
    <w:rsid w:val="00DA7B5D"/>
    <w:rsid w:val="00DA7C8C"/>
    <w:rsid w:val="00DD4ED1"/>
    <w:rsid w:val="00DF35CE"/>
    <w:rsid w:val="00DF58E7"/>
    <w:rsid w:val="00E11876"/>
    <w:rsid w:val="00E20064"/>
    <w:rsid w:val="00E210CE"/>
    <w:rsid w:val="00E23CBB"/>
    <w:rsid w:val="00E31CC2"/>
    <w:rsid w:val="00E37B59"/>
    <w:rsid w:val="00E457B2"/>
    <w:rsid w:val="00E4787E"/>
    <w:rsid w:val="00E47FF5"/>
    <w:rsid w:val="00E5046D"/>
    <w:rsid w:val="00E53438"/>
    <w:rsid w:val="00E5689D"/>
    <w:rsid w:val="00E56C8E"/>
    <w:rsid w:val="00E63955"/>
    <w:rsid w:val="00E6763C"/>
    <w:rsid w:val="00E67A96"/>
    <w:rsid w:val="00E725FC"/>
    <w:rsid w:val="00E74E71"/>
    <w:rsid w:val="00E85BFA"/>
    <w:rsid w:val="00EA36C6"/>
    <w:rsid w:val="00EA7464"/>
    <w:rsid w:val="00EB464A"/>
    <w:rsid w:val="00EC140E"/>
    <w:rsid w:val="00EC1E09"/>
    <w:rsid w:val="00EC30F9"/>
    <w:rsid w:val="00ED5725"/>
    <w:rsid w:val="00ED7031"/>
    <w:rsid w:val="00ED7F24"/>
    <w:rsid w:val="00EE3060"/>
    <w:rsid w:val="00EE4315"/>
    <w:rsid w:val="00EE4DDB"/>
    <w:rsid w:val="00EE6D41"/>
    <w:rsid w:val="00EF6925"/>
    <w:rsid w:val="00F049CC"/>
    <w:rsid w:val="00F05E8C"/>
    <w:rsid w:val="00F10001"/>
    <w:rsid w:val="00F12118"/>
    <w:rsid w:val="00F26B62"/>
    <w:rsid w:val="00F26ED3"/>
    <w:rsid w:val="00F43593"/>
    <w:rsid w:val="00F439B9"/>
    <w:rsid w:val="00F62B7A"/>
    <w:rsid w:val="00F6397D"/>
    <w:rsid w:val="00F71571"/>
    <w:rsid w:val="00F7293E"/>
    <w:rsid w:val="00F76650"/>
    <w:rsid w:val="00F871E1"/>
    <w:rsid w:val="00F9187B"/>
    <w:rsid w:val="00F92385"/>
    <w:rsid w:val="00FA1B4F"/>
    <w:rsid w:val="00FA2535"/>
    <w:rsid w:val="00FA7487"/>
    <w:rsid w:val="00FB5C04"/>
    <w:rsid w:val="00FC2B9A"/>
    <w:rsid w:val="00FC349A"/>
    <w:rsid w:val="00FC47F9"/>
    <w:rsid w:val="00FD0578"/>
    <w:rsid w:val="00FE2351"/>
    <w:rsid w:val="00FE337D"/>
    <w:rsid w:val="00FE5580"/>
    <w:rsid w:val="00FE6BD8"/>
    <w:rsid w:val="00FF0A82"/>
    <w:rsid w:val="00FF110C"/>
    <w:rsid w:val="0D975C12"/>
    <w:rsid w:val="2587CC84"/>
    <w:rsid w:val="340EA0E6"/>
    <w:rsid w:val="38C4F3C6"/>
    <w:rsid w:val="3D13995A"/>
    <w:rsid w:val="707FE2A9"/>
    <w:rsid w:val="75DCE4AD"/>
    <w:rsid w:val="7AB6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5B87F"/>
  <w15:chartTrackingRefBased/>
  <w15:docId w15:val="{28A79196-8780-4ECD-B035-D6330056BDD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3"/>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7B44D4"/>
    <w:rPr>
      <w:sz w:val="16"/>
      <w:szCs w:val="16"/>
    </w:rPr>
  </w:style>
  <w:style w:type="paragraph" w:styleId="CommentText">
    <w:name w:val="annotation text"/>
    <w:basedOn w:val="Normal"/>
    <w:link w:val="CommentTextChar"/>
    <w:uiPriority w:val="99"/>
    <w:unhideWhenUsed/>
    <w:rsid w:val="007B44D4"/>
    <w:pPr>
      <w:spacing w:line="240" w:lineRule="auto"/>
    </w:pPr>
    <w:rPr>
      <w:sz w:val="20"/>
      <w:szCs w:val="20"/>
    </w:rPr>
  </w:style>
  <w:style w:type="character" w:customStyle="1" w:styleId="CommentTextChar">
    <w:name w:val="Comment Text Char"/>
    <w:basedOn w:val="DefaultParagraphFont"/>
    <w:link w:val="CommentText"/>
    <w:uiPriority w:val="99"/>
    <w:rsid w:val="007B44D4"/>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7B44D4"/>
    <w:rPr>
      <w:b/>
      <w:bCs/>
    </w:rPr>
  </w:style>
  <w:style w:type="character" w:customStyle="1" w:styleId="CommentSubjectChar">
    <w:name w:val="Comment Subject Char"/>
    <w:basedOn w:val="CommentTextChar"/>
    <w:link w:val="CommentSubject"/>
    <w:uiPriority w:val="99"/>
    <w:semiHidden/>
    <w:rsid w:val="007B44D4"/>
    <w:rPr>
      <w:rFonts w:ascii="Book Antiqua" w:hAnsi="Book Antiqua"/>
      <w:b/>
      <w:bCs/>
      <w:sz w:val="20"/>
      <w:szCs w:val="20"/>
    </w:rPr>
  </w:style>
  <w:style w:type="paragraph" w:customStyle="1" w:styleId="xstandard">
    <w:name w:val="x_standard"/>
    <w:basedOn w:val="Normal"/>
    <w:rsid w:val="00E74E71"/>
    <w:rPr>
      <w:rFonts w:cs="Calibri"/>
      <w:szCs w:val="26"/>
    </w:rPr>
  </w:style>
  <w:style w:type="numbering" w:customStyle="1" w:styleId="Headings1">
    <w:name w:val="Headings1"/>
    <w:uiPriority w:val="99"/>
    <w:rsid w:val="0011401B"/>
  </w:style>
  <w:style w:type="paragraph" w:styleId="Revision">
    <w:name w:val="Revision"/>
    <w:hidden/>
    <w:uiPriority w:val="99"/>
    <w:semiHidden/>
    <w:rsid w:val="001109B7"/>
    <w:pPr>
      <w:spacing w:after="0" w:line="240" w:lineRule="auto"/>
    </w:pPr>
    <w:rPr>
      <w:rFonts w:ascii="Book Antiqua" w:hAnsi="Book Antiqua"/>
      <w:sz w:val="26"/>
    </w:rPr>
  </w:style>
  <w:style w:type="paragraph" w:styleId="ListParagraph">
    <w:name w:val="List Paragraph"/>
    <w:basedOn w:val="Normal"/>
    <w:uiPriority w:val="34"/>
    <w:rsid w:val="00A17866"/>
    <w:pPr>
      <w:ind w:left="720"/>
      <w:contextualSpacing/>
    </w:pPr>
  </w:style>
  <w:style w:type="numbering" w:customStyle="1" w:styleId="Style1">
    <w:name w:val="Style1"/>
    <w:uiPriority w:val="99"/>
    <w:rsid w:val="00A17866"/>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eadb811a423ef882cafa2f2e1b4b1b05">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9576be6e8b018745c3568d6a9572ab2c"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82F5A30A-7FAD-4ABA-9639-99F93CD90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2081</ap:Words>
  <ap:Characters>11862</ap:Characters>
  <ap:Application>Microsoft Office Word</ap:Application>
  <ap:DocSecurity>0</ap:DocSecurity>
  <ap:Lines>98</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13916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2025-07-30T22:30:00Z</cp:lastPrinted>
  <dcterms:created xsi:type="dcterms:W3CDTF">2026-06-08T13:28:35Z</dcterms:created>
  <dcterms:modified xsi:type="dcterms:W3CDTF">2026-06-08T13:28:35Z</dcterms:modified>
</cp:coreProperties>
</file>