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09C" w:rsidP="009C03BB" w:rsidRDefault="008309EA" w14:paraId="2ECBE20C" w14:textId="5EABAD51">
      <w:pPr>
        <w:tabs>
          <w:tab w:val="center" w:pos="4680"/>
          <w:tab w:val="right" w:pos="9360"/>
        </w:tabs>
        <w:spacing w:line="240" w:lineRule="auto"/>
        <w:ind w:firstLine="0"/>
        <w:rPr>
          <w:b/>
          <w:bCs/>
        </w:rPr>
      </w:pPr>
      <w:r>
        <w:t>ALJ/AN4</w:t>
      </w:r>
      <w:r w:rsidR="00D9772D">
        <w:t>/</w:t>
      </w:r>
      <w:r w:rsidR="00B72C1B">
        <w:t>kp7</w:t>
      </w:r>
      <w:r w:rsidR="00F8772C">
        <w:t xml:space="preserve">            </w:t>
      </w:r>
      <w:r w:rsidRPr="00D81A03" w:rsidR="007E0FEE">
        <w:tab/>
      </w:r>
      <w:r w:rsidR="00F8772C">
        <w:t xml:space="preserve">    </w:t>
      </w:r>
      <w:r w:rsidRPr="00BA66DA" w:rsidR="00DA7B5D">
        <w:rPr>
          <w:rFonts w:ascii="Arial" w:hAnsi="Arial" w:cs="Arial"/>
          <w:b/>
          <w:bCs/>
        </w:rPr>
        <w:t>PROPOSED DECISION</w:t>
      </w:r>
      <w:r w:rsidR="00F8772C">
        <w:t xml:space="preserve"> </w:t>
      </w:r>
      <w:r w:rsidR="0092709C">
        <w:tab/>
      </w:r>
      <w:r w:rsidRPr="00056DA1" w:rsidR="00DA7B5D">
        <w:rPr>
          <w:b/>
          <w:bCs/>
        </w:rPr>
        <w:t>Agenda ID #</w:t>
      </w:r>
      <w:r w:rsidRPr="00056DA1" w:rsidR="0000395F">
        <w:rPr>
          <w:b/>
          <w:bCs/>
        </w:rPr>
        <w:t>23756</w:t>
      </w:r>
      <w:r w:rsidRPr="00056DA1" w:rsidR="00DE67DE">
        <w:rPr>
          <w:b/>
          <w:bCs/>
        </w:rPr>
        <w:t>(Rev.1)</w:t>
      </w:r>
    </w:p>
    <w:p w:rsidR="00DA7B5D" w:rsidP="0092709C" w:rsidRDefault="008309EA" w14:paraId="2FFD3CBB" w14:textId="6DE6154B">
      <w:pPr>
        <w:tabs>
          <w:tab w:val="center" w:pos="4680"/>
          <w:tab w:val="right" w:pos="9360"/>
        </w:tabs>
        <w:spacing w:line="240" w:lineRule="auto"/>
        <w:ind w:firstLine="0"/>
        <w:jc w:val="right"/>
        <w:rPr>
          <w:b/>
        </w:rPr>
      </w:pPr>
      <w:r>
        <w:rPr>
          <w:b/>
        </w:rPr>
        <w:t>Ratesetting</w:t>
      </w:r>
    </w:p>
    <w:p w:rsidRPr="00F8772C" w:rsidR="00A93B8C" w:rsidP="009C03BB" w:rsidRDefault="00A93B8C" w14:paraId="457985FD" w14:textId="7D3900CD">
      <w:pPr>
        <w:tabs>
          <w:tab w:val="center" w:pos="4680"/>
          <w:tab w:val="right" w:pos="9360"/>
        </w:tabs>
        <w:spacing w:line="240" w:lineRule="auto"/>
        <w:ind w:firstLine="0"/>
        <w:jc w:val="right"/>
      </w:pPr>
      <w:r>
        <w:rPr>
          <w:b/>
        </w:rPr>
        <w:t>10/</w:t>
      </w:r>
      <w:r w:rsidR="00BB2F36">
        <w:rPr>
          <w:b/>
        </w:rPr>
        <w:t>2</w:t>
      </w:r>
      <w:r w:rsidR="00F25A5D">
        <w:rPr>
          <w:b/>
        </w:rPr>
        <w:t>7</w:t>
      </w:r>
      <w:r>
        <w:rPr>
          <w:b/>
        </w:rPr>
        <w:t>/2025 Item#</w:t>
      </w:r>
      <w:r w:rsidR="00BB2F36">
        <w:rPr>
          <w:b/>
        </w:rPr>
        <w:t>6</w:t>
      </w:r>
    </w:p>
    <w:p w:rsidRPr="00B72C1B" w:rsidR="00DA7B5D" w:rsidP="00B72C1B" w:rsidRDefault="00DA7B5D" w14:paraId="210FA867" w14:textId="77777777">
      <w:pPr>
        <w:spacing w:line="240" w:lineRule="auto"/>
        <w:ind w:firstLine="0"/>
        <w:rPr>
          <w:sz w:val="24"/>
          <w:szCs w:val="24"/>
        </w:rPr>
      </w:pPr>
    </w:p>
    <w:p w:rsidR="00D9772D" w:rsidP="00B72C1B" w:rsidRDefault="00D9772D" w14:paraId="220AA208" w14:textId="77777777">
      <w:pPr>
        <w:spacing w:line="240" w:lineRule="auto"/>
        <w:ind w:firstLine="0"/>
        <w:rPr>
          <w:sz w:val="24"/>
          <w:szCs w:val="24"/>
          <w:u w:val="single"/>
        </w:rPr>
      </w:pPr>
    </w:p>
    <w:p w:rsidRPr="009831B8" w:rsidR="009831B8" w:rsidP="00B72C1B" w:rsidRDefault="009831B8" w14:paraId="6D6EB169" w14:textId="14D93A26">
      <w:pPr>
        <w:spacing w:line="240" w:lineRule="auto"/>
        <w:ind w:firstLine="0"/>
        <w:rPr>
          <w:szCs w:val="26"/>
          <w:u w:val="single"/>
        </w:rPr>
      </w:pPr>
      <w:r w:rsidRPr="009831B8">
        <w:rPr>
          <w:szCs w:val="26"/>
        </w:rPr>
        <w:t>Decision</w:t>
      </w:r>
      <w:r w:rsidRPr="009831B8">
        <w:rPr>
          <w:szCs w:val="26"/>
          <w:u w:val="single"/>
        </w:rPr>
        <w:tab/>
      </w:r>
      <w:r w:rsidRPr="009831B8">
        <w:rPr>
          <w:szCs w:val="26"/>
          <w:u w:val="single"/>
        </w:rPr>
        <w:tab/>
      </w:r>
      <w:r w:rsidRPr="009831B8">
        <w:rPr>
          <w:szCs w:val="26"/>
          <w:u w:val="single"/>
        </w:rPr>
        <w:tab/>
      </w:r>
    </w:p>
    <w:p w:rsidR="009831B8" w:rsidP="00B72C1B" w:rsidRDefault="009831B8" w14:paraId="681A5A57" w14:textId="77777777">
      <w:pPr>
        <w:spacing w:line="240" w:lineRule="auto"/>
        <w:ind w:firstLine="0"/>
        <w:rPr>
          <w:sz w:val="24"/>
          <w:szCs w:val="24"/>
        </w:rPr>
      </w:pPr>
    </w:p>
    <w:p w:rsidRPr="009831B8" w:rsidR="009831B8" w:rsidP="00B72C1B" w:rsidRDefault="009831B8" w14:paraId="276E5D5D" w14:textId="5608B2E4">
      <w:pPr>
        <w:spacing w:line="240" w:lineRule="auto"/>
        <w:ind w:firstLine="0"/>
        <w:rPr>
          <w:sz w:val="24"/>
          <w:szCs w:val="24"/>
        </w:rPr>
      </w:pPr>
    </w:p>
    <w:p w:rsidRPr="00D81A03" w:rsidR="00DA7B5D" w:rsidP="00BB0243" w:rsidRDefault="00DA7B5D" w14:paraId="01762D59" w14:textId="77777777">
      <w:pPr>
        <w:spacing w:line="240" w:lineRule="auto"/>
        <w:ind w:firstLine="0"/>
        <w:jc w:val="center"/>
        <w:rPr>
          <w:rFonts w:ascii="Arial" w:hAnsi="Arial" w:cs="Arial"/>
          <w:sz w:val="24"/>
          <w:szCs w:val="24"/>
        </w:rPr>
      </w:pPr>
      <w:r w:rsidRPr="00D81A03">
        <w:rPr>
          <w:rFonts w:ascii="Arial" w:hAnsi="Arial" w:cs="Arial"/>
          <w:b/>
          <w:sz w:val="24"/>
          <w:szCs w:val="24"/>
        </w:rPr>
        <w:t>BEFORE THE PUBLIC UTILITIES COMMISSION OF THE STATE OF CALIFORNIA</w:t>
      </w:r>
    </w:p>
    <w:p w:rsidR="00DA7B5D" w:rsidP="008F0116" w:rsidRDefault="00DA7B5D" w14:paraId="2DB659BE" w14:textId="77777777">
      <w:pPr>
        <w:spacing w:line="240" w:lineRule="auto"/>
        <w:ind w:firstLine="0"/>
        <w:rPr>
          <w:rFonts w:ascii="Arial" w:hAnsi="Arial" w:cs="Arial"/>
          <w:sz w:val="24"/>
          <w:szCs w:val="24"/>
        </w:rPr>
      </w:pPr>
    </w:p>
    <w:p w:rsidRPr="00D81A03" w:rsidR="00B72C1B" w:rsidP="008F0116" w:rsidRDefault="00B72C1B" w14:paraId="630B182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D81A03" w:rsidR="00D81A03" w:rsidTr="00E725FC" w14:paraId="572901AC" w14:textId="77777777">
        <w:trPr>
          <w:jc w:val="center"/>
        </w:trPr>
        <w:tc>
          <w:tcPr>
            <w:tcW w:w="5040" w:type="dxa"/>
            <w:tcBorders>
              <w:top w:val="nil"/>
              <w:left w:val="nil"/>
              <w:bottom w:val="single" w:color="auto" w:sz="4" w:space="0"/>
              <w:right w:val="single" w:color="auto" w:sz="4" w:space="0"/>
            </w:tcBorders>
          </w:tcPr>
          <w:p w:rsidR="00DA7B5D" w:rsidP="001D4FA7" w:rsidRDefault="0061237A" w14:paraId="4236A89A" w14:textId="77777777">
            <w:pPr>
              <w:autoSpaceDE w:val="0"/>
              <w:autoSpaceDN w:val="0"/>
              <w:adjustRightInd w:val="0"/>
              <w:spacing w:line="240" w:lineRule="auto"/>
              <w:ind w:firstLine="0"/>
              <w:rPr>
                <w:rFonts w:cs="Arial"/>
                <w:szCs w:val="26"/>
              </w:rPr>
            </w:pPr>
            <w:r w:rsidRPr="00FD7517">
              <w:rPr>
                <w:rFonts w:cs="Arial"/>
                <w:szCs w:val="26"/>
              </w:rPr>
              <w:t>Application of the GOLDEN STATE WATER COMPANY (U 133 W) for an order authorizing initial rates for water service in its Sutter Pointe Customer Service Area for the years 2026, 2027, and 2028.</w:t>
            </w:r>
          </w:p>
          <w:p w:rsidRPr="001D4FA7" w:rsidR="00B72C1B" w:rsidP="001D4FA7" w:rsidRDefault="00B72C1B" w14:paraId="479DAC05" w14:textId="60365239">
            <w:pPr>
              <w:autoSpaceDE w:val="0"/>
              <w:autoSpaceDN w:val="0"/>
              <w:adjustRightInd w:val="0"/>
              <w:spacing w:line="240" w:lineRule="auto"/>
              <w:ind w:firstLine="0"/>
              <w:rPr>
                <w:rFonts w:ascii="TimesNewRomanPSMT" w:hAnsi="TimesNewRomanPSMT" w:cs="TimesNewRomanPSMT"/>
                <w:sz w:val="24"/>
                <w:szCs w:val="24"/>
              </w:rPr>
            </w:pPr>
          </w:p>
        </w:tc>
        <w:tc>
          <w:tcPr>
            <w:tcW w:w="5040" w:type="dxa"/>
            <w:tcBorders>
              <w:top w:val="nil"/>
              <w:left w:val="single" w:color="auto" w:sz="4" w:space="0"/>
              <w:bottom w:val="nil"/>
              <w:right w:val="nil"/>
            </w:tcBorders>
            <w:vAlign w:val="center"/>
          </w:tcPr>
          <w:p w:rsidRPr="00D81A03" w:rsidR="00DA7B5D" w:rsidP="00412C83" w:rsidRDefault="00D81A03" w14:paraId="06DD0CC8" w14:textId="3ACBD690">
            <w:pPr>
              <w:spacing w:line="240" w:lineRule="auto"/>
              <w:ind w:firstLine="0"/>
              <w:jc w:val="center"/>
              <w:rPr>
                <w:rFonts w:cs="Arial"/>
                <w:szCs w:val="26"/>
              </w:rPr>
            </w:pPr>
            <w:r w:rsidRPr="00D81A03">
              <w:rPr>
                <w:rFonts w:cs="Arial"/>
                <w:szCs w:val="26"/>
              </w:rPr>
              <w:t>Application 2</w:t>
            </w:r>
            <w:r w:rsidR="00490A60">
              <w:rPr>
                <w:rFonts w:cs="Arial"/>
                <w:szCs w:val="26"/>
              </w:rPr>
              <w:t>4-08-011</w:t>
            </w:r>
          </w:p>
          <w:p w:rsidRPr="00D81A03" w:rsidR="00D81A03" w:rsidP="00412C83" w:rsidRDefault="00D81A03" w14:paraId="693FFF10" w14:textId="24159510">
            <w:pPr>
              <w:spacing w:line="240" w:lineRule="auto"/>
              <w:ind w:firstLine="0"/>
              <w:jc w:val="center"/>
              <w:rPr>
                <w:rFonts w:cs="Arial"/>
                <w:szCs w:val="26"/>
              </w:rPr>
            </w:pPr>
          </w:p>
        </w:tc>
      </w:tr>
    </w:tbl>
    <w:p w:rsidRPr="009831B8" w:rsidR="00DA7B5D" w:rsidP="008F0116" w:rsidRDefault="00DA7B5D" w14:paraId="5B31FCCC" w14:textId="77777777">
      <w:pPr>
        <w:spacing w:line="240" w:lineRule="auto"/>
        <w:ind w:firstLine="0"/>
        <w:rPr>
          <w:rFonts w:ascii="Arial" w:hAnsi="Arial" w:cs="Arial"/>
          <w:sz w:val="24"/>
          <w:szCs w:val="24"/>
        </w:rPr>
      </w:pPr>
    </w:p>
    <w:p w:rsidRPr="009831B8" w:rsidR="00DA7B5D" w:rsidP="008F0116" w:rsidRDefault="00DA7B5D" w14:paraId="27BC0BBB" w14:textId="77777777">
      <w:pPr>
        <w:spacing w:line="240" w:lineRule="auto"/>
        <w:ind w:firstLine="0"/>
        <w:rPr>
          <w:rFonts w:ascii="Arial" w:hAnsi="Arial" w:cs="Arial"/>
          <w:sz w:val="24"/>
          <w:szCs w:val="24"/>
        </w:rPr>
      </w:pPr>
    </w:p>
    <w:p w:rsidR="00F92385" w:rsidP="00B3087D" w:rsidRDefault="00D81A03" w14:paraId="2D659B21" w14:textId="0DB4AC34">
      <w:pPr>
        <w:pStyle w:val="Dummy"/>
        <w:jc w:val="center"/>
        <w:rPr>
          <w:rFonts w:ascii="Book Antiqua" w:hAnsi="Book Antiqua" w:eastAsiaTheme="majorEastAsia" w:cstheme="majorBidi"/>
          <w:caps/>
          <w:szCs w:val="56"/>
        </w:rPr>
      </w:pPr>
      <w:bookmarkStart w:name="_Toc181307545" w:id="0"/>
      <w:bookmarkStart w:name="_Toc212447307" w:id="1"/>
      <w:r w:rsidRPr="00D81A03">
        <w:t>DECISIO</w:t>
      </w:r>
      <w:r w:rsidR="00FD094E">
        <w:t xml:space="preserve">N </w:t>
      </w:r>
      <w:r w:rsidR="00C14EBF">
        <w:t>ADOPTING SETTLEMENT AGREEMENT</w:t>
      </w:r>
      <w:r w:rsidR="00882FA5">
        <w:t xml:space="preserve"> AND AUTHORI</w:t>
      </w:r>
      <w:r w:rsidR="00330B67">
        <w:t>ZI</w:t>
      </w:r>
      <w:r w:rsidR="00882FA5">
        <w:t>NG INITIAL RATES FOR WATER SERVICE IN SUTTER POINTE CUSTOMER SERVICE AREA FOR 2026, 2027, AND 2028</w:t>
      </w:r>
      <w:bookmarkEnd w:id="0"/>
      <w:bookmarkEnd w:id="1"/>
    </w:p>
    <w:p w:rsidRPr="004830C4" w:rsidR="004830C4" w:rsidP="009831B8" w:rsidRDefault="004830C4" w14:paraId="62348619" w14:textId="77777777">
      <w:pPr>
        <w:ind w:firstLine="0"/>
      </w:pPr>
    </w:p>
    <w:p w:rsidRPr="004830C4" w:rsidR="004830C4" w:rsidP="009831B8" w:rsidRDefault="004830C4" w14:paraId="47C6A5CC" w14:textId="77777777">
      <w:pPr>
        <w:ind w:firstLine="0"/>
      </w:pPr>
    </w:p>
    <w:p w:rsidRPr="004830C4" w:rsidR="004830C4" w:rsidP="009831B8" w:rsidRDefault="004830C4" w14:paraId="0876B567" w14:textId="77777777">
      <w:pPr>
        <w:ind w:firstLine="0"/>
      </w:pPr>
    </w:p>
    <w:p w:rsidRPr="004830C4" w:rsidR="004830C4" w:rsidP="009831B8" w:rsidRDefault="004830C4" w14:paraId="76344F41" w14:textId="77777777">
      <w:pPr>
        <w:ind w:firstLine="0"/>
      </w:pPr>
    </w:p>
    <w:p w:rsidRPr="004830C4" w:rsidR="004830C4" w:rsidP="009831B8" w:rsidRDefault="004830C4" w14:paraId="31EA47C7" w14:textId="77777777">
      <w:pPr>
        <w:ind w:firstLine="0"/>
      </w:pPr>
    </w:p>
    <w:p w:rsidRPr="004830C4" w:rsidR="004830C4" w:rsidP="009831B8" w:rsidRDefault="004830C4" w14:paraId="6B5DF43A" w14:textId="77777777">
      <w:pPr>
        <w:ind w:firstLine="0"/>
      </w:pPr>
    </w:p>
    <w:p w:rsidR="004830C4" w:rsidP="009831B8" w:rsidRDefault="004830C4" w14:paraId="5B89C541" w14:textId="77777777">
      <w:pPr>
        <w:ind w:firstLine="0"/>
        <w:rPr>
          <w:rFonts w:eastAsiaTheme="majorEastAsia" w:cstheme="majorBidi"/>
          <w:b/>
          <w:caps/>
          <w:szCs w:val="56"/>
        </w:rPr>
      </w:pPr>
    </w:p>
    <w:p w:rsidR="004830C4" w:rsidP="009831B8" w:rsidRDefault="004830C4" w14:paraId="7C73E442" w14:textId="0A8AB374">
      <w:pPr>
        <w:tabs>
          <w:tab w:val="left" w:pos="4131"/>
        </w:tabs>
        <w:ind w:firstLine="0"/>
        <w:rPr>
          <w:rFonts w:eastAsiaTheme="majorEastAsia" w:cstheme="majorBidi"/>
          <w:b/>
          <w:caps/>
          <w:szCs w:val="56"/>
        </w:rPr>
      </w:pPr>
    </w:p>
    <w:p w:rsidR="004830C4" w:rsidP="009831B8" w:rsidRDefault="004830C4" w14:paraId="694FFA8E" w14:textId="77777777">
      <w:pPr>
        <w:ind w:firstLine="0"/>
        <w:rPr>
          <w:rFonts w:eastAsiaTheme="majorEastAsia" w:cstheme="majorBidi"/>
          <w:b/>
          <w:caps/>
          <w:szCs w:val="56"/>
        </w:rPr>
      </w:pPr>
    </w:p>
    <w:p w:rsidRPr="004830C4" w:rsidR="004830C4" w:rsidP="004830C4" w:rsidRDefault="004830C4" w14:paraId="741AD4CE" w14:textId="6392C770">
      <w:pPr>
        <w:sectPr w:rsidRPr="004830C4" w:rsidR="004830C4" w:rsidSect="00C55C92">
          <w:headerReference w:type="first" r:id="rId11"/>
          <w:footerReference w:type="first" r:id="rId12"/>
          <w:pgSz w:w="12240" w:h="15840"/>
          <w:pgMar w:top="1440" w:right="1440" w:bottom="1440" w:left="1440" w:header="720" w:footer="720" w:gutter="0"/>
          <w:pgNumType w:start="1"/>
          <w:cols w:space="720"/>
          <w:titlePg/>
          <w:docGrid w:linePitch="360"/>
        </w:sectPr>
      </w:pPr>
    </w:p>
    <w:p w:rsidRPr="004830C4" w:rsidR="00D50119" w:rsidP="00F76650" w:rsidRDefault="00D50119" w14:paraId="4462D4CD" w14:textId="77777777">
      <w:pPr>
        <w:pStyle w:val="Main"/>
        <w:rPr>
          <w:rFonts w:ascii="Book Antiqua" w:hAnsi="Book Antiqua"/>
        </w:rPr>
      </w:pPr>
      <w:r w:rsidRPr="004830C4">
        <w:rPr>
          <w:rFonts w:ascii="Book Antiqua" w:hAnsi="Book Antiqua"/>
        </w:rPr>
        <w:lastRenderedPageBreak/>
        <w:t>TABLE OF CONTENTS</w:t>
      </w:r>
    </w:p>
    <w:p w:rsidRPr="004830C4" w:rsidR="00D50119" w:rsidP="007E0FEE" w:rsidRDefault="00D50119" w14:paraId="1E8AA0F4" w14:textId="77777777">
      <w:pPr>
        <w:tabs>
          <w:tab w:val="right" w:pos="9360"/>
        </w:tabs>
        <w:ind w:firstLine="0"/>
      </w:pPr>
      <w:r w:rsidRPr="004830C4">
        <w:rPr>
          <w:b/>
        </w:rPr>
        <w:t>Title</w:t>
      </w:r>
      <w:r w:rsidRPr="004830C4">
        <w:tab/>
      </w:r>
      <w:r w:rsidRPr="004830C4">
        <w:rPr>
          <w:b/>
        </w:rPr>
        <w:t>Page</w:t>
      </w:r>
    </w:p>
    <w:p w:rsidR="005B1C33" w:rsidRDefault="00E56FAA" w14:paraId="0A0E4EBC" w14:textId="30A5A60B">
      <w:pPr>
        <w:pStyle w:val="TOC1"/>
        <w:tabs>
          <w:tab w:val="right" w:leader="dot" w:pos="9350"/>
        </w:tabs>
        <w:rPr>
          <w:rFonts w:asciiTheme="minorHAnsi" w:hAnsiTheme="minorHAnsi" w:cstheme="minorBidi"/>
          <w:noProof/>
          <w:kern w:val="2"/>
          <w:sz w:val="24"/>
          <w:szCs w:val="24"/>
          <w14:ligatures w14:val="standardContextual"/>
        </w:rPr>
      </w:pPr>
      <w:r>
        <w:fldChar w:fldCharType="begin"/>
      </w:r>
      <w:r w:rsidR="008C7413">
        <w:instrText>TOC \o "1-6" \z \u \h</w:instrText>
      </w:r>
      <w:r>
        <w:fldChar w:fldCharType="separate"/>
      </w:r>
      <w:hyperlink w:history="1" w:anchor="_Toc212447307">
        <w:r w:rsidRPr="00600870" w:rsidR="005B1C33">
          <w:rPr>
            <w:rStyle w:val="Hyperlink"/>
            <w:noProof/>
          </w:rPr>
          <w:t>DECISION ADOPTING SETTLEMENT AGREEMENT AND AUTHORIZING INITIAL RATES FOR WATER SERVICE IN SUTTER POINTE CUSTOMER SERVICE AREA FOR 2026, 2027, AND 2028</w:t>
        </w:r>
        <w:r w:rsidR="005B1C33">
          <w:rPr>
            <w:noProof/>
            <w:webHidden/>
          </w:rPr>
          <w:tab/>
        </w:r>
        <w:r w:rsidR="005B1C33">
          <w:rPr>
            <w:noProof/>
            <w:webHidden/>
          </w:rPr>
          <w:fldChar w:fldCharType="begin"/>
        </w:r>
        <w:r w:rsidR="005B1C33">
          <w:rPr>
            <w:noProof/>
            <w:webHidden/>
          </w:rPr>
          <w:instrText xml:space="preserve"> PAGEREF _Toc212447307 \h </w:instrText>
        </w:r>
        <w:r w:rsidR="005B1C33">
          <w:rPr>
            <w:noProof/>
            <w:webHidden/>
          </w:rPr>
        </w:r>
        <w:r w:rsidR="005B1C33">
          <w:rPr>
            <w:noProof/>
            <w:webHidden/>
          </w:rPr>
          <w:fldChar w:fldCharType="separate"/>
        </w:r>
        <w:r w:rsidR="005B1C33">
          <w:rPr>
            <w:noProof/>
            <w:webHidden/>
          </w:rPr>
          <w:t>1</w:t>
        </w:r>
        <w:r w:rsidR="005B1C33">
          <w:rPr>
            <w:noProof/>
            <w:webHidden/>
          </w:rPr>
          <w:fldChar w:fldCharType="end"/>
        </w:r>
      </w:hyperlink>
    </w:p>
    <w:p w:rsidR="005B1C33" w:rsidRDefault="005B1C33" w14:paraId="61EF32A0" w14:textId="6A3F4692">
      <w:pPr>
        <w:pStyle w:val="TOC1"/>
        <w:tabs>
          <w:tab w:val="right" w:leader="dot" w:pos="9350"/>
        </w:tabs>
        <w:rPr>
          <w:rFonts w:asciiTheme="minorHAnsi" w:hAnsiTheme="minorHAnsi" w:cstheme="minorBidi"/>
          <w:noProof/>
          <w:kern w:val="2"/>
          <w:sz w:val="24"/>
          <w:szCs w:val="24"/>
          <w14:ligatures w14:val="standardContextual"/>
        </w:rPr>
      </w:pPr>
      <w:hyperlink w:history="1" w:anchor="_Toc212447308">
        <w:r w:rsidRPr="00600870">
          <w:rPr>
            <w:rStyle w:val="Hyperlink"/>
            <w:noProof/>
          </w:rPr>
          <w:t>Summary</w:t>
        </w:r>
        <w:r>
          <w:rPr>
            <w:noProof/>
            <w:webHidden/>
          </w:rPr>
          <w:tab/>
        </w:r>
        <w:r>
          <w:rPr>
            <w:noProof/>
            <w:webHidden/>
          </w:rPr>
          <w:fldChar w:fldCharType="begin"/>
        </w:r>
        <w:r>
          <w:rPr>
            <w:noProof/>
            <w:webHidden/>
          </w:rPr>
          <w:instrText xml:space="preserve"> PAGEREF _Toc212447308 \h </w:instrText>
        </w:r>
        <w:r>
          <w:rPr>
            <w:noProof/>
            <w:webHidden/>
          </w:rPr>
        </w:r>
        <w:r>
          <w:rPr>
            <w:noProof/>
            <w:webHidden/>
          </w:rPr>
          <w:fldChar w:fldCharType="separate"/>
        </w:r>
        <w:r>
          <w:rPr>
            <w:noProof/>
            <w:webHidden/>
          </w:rPr>
          <w:t>2</w:t>
        </w:r>
        <w:r>
          <w:rPr>
            <w:noProof/>
            <w:webHidden/>
          </w:rPr>
          <w:fldChar w:fldCharType="end"/>
        </w:r>
      </w:hyperlink>
    </w:p>
    <w:p w:rsidR="005B1C33" w:rsidRDefault="005B1C33" w14:paraId="30760409" w14:textId="008F4EAF">
      <w:pPr>
        <w:pStyle w:val="TOC1"/>
        <w:tabs>
          <w:tab w:val="right" w:leader="dot" w:pos="9350"/>
        </w:tabs>
        <w:rPr>
          <w:rFonts w:asciiTheme="minorHAnsi" w:hAnsiTheme="minorHAnsi" w:cstheme="minorBidi"/>
          <w:noProof/>
          <w:kern w:val="2"/>
          <w:sz w:val="24"/>
          <w:szCs w:val="24"/>
          <w14:ligatures w14:val="standardContextual"/>
        </w:rPr>
      </w:pPr>
      <w:hyperlink w:history="1" w:anchor="_Toc212447309">
        <w:r w:rsidRPr="00600870">
          <w:rPr>
            <w:rStyle w:val="Hyperlink"/>
            <w:noProof/>
          </w:rPr>
          <w:t>1.</w:t>
        </w:r>
        <w:r>
          <w:rPr>
            <w:rFonts w:asciiTheme="minorHAnsi" w:hAnsiTheme="minorHAnsi" w:cstheme="minorBidi"/>
            <w:noProof/>
            <w:kern w:val="2"/>
            <w:sz w:val="24"/>
            <w:szCs w:val="24"/>
            <w14:ligatures w14:val="standardContextual"/>
          </w:rPr>
          <w:tab/>
        </w:r>
        <w:r w:rsidRPr="00600870">
          <w:rPr>
            <w:rStyle w:val="Hyperlink"/>
            <w:noProof/>
          </w:rPr>
          <w:t>Procedural Background</w:t>
        </w:r>
        <w:r>
          <w:rPr>
            <w:noProof/>
            <w:webHidden/>
          </w:rPr>
          <w:tab/>
        </w:r>
        <w:r>
          <w:rPr>
            <w:noProof/>
            <w:webHidden/>
          </w:rPr>
          <w:fldChar w:fldCharType="begin"/>
        </w:r>
        <w:r>
          <w:rPr>
            <w:noProof/>
            <w:webHidden/>
          </w:rPr>
          <w:instrText xml:space="preserve"> PAGEREF _Toc212447309 \h </w:instrText>
        </w:r>
        <w:r>
          <w:rPr>
            <w:noProof/>
            <w:webHidden/>
          </w:rPr>
        </w:r>
        <w:r>
          <w:rPr>
            <w:noProof/>
            <w:webHidden/>
          </w:rPr>
          <w:fldChar w:fldCharType="separate"/>
        </w:r>
        <w:r>
          <w:rPr>
            <w:noProof/>
            <w:webHidden/>
          </w:rPr>
          <w:t>2</w:t>
        </w:r>
        <w:r>
          <w:rPr>
            <w:noProof/>
            <w:webHidden/>
          </w:rPr>
          <w:fldChar w:fldCharType="end"/>
        </w:r>
      </w:hyperlink>
    </w:p>
    <w:p w:rsidR="005B1C33" w:rsidRDefault="005B1C33" w14:paraId="3A8593ED" w14:textId="2BF178A0">
      <w:pPr>
        <w:pStyle w:val="TOC1"/>
        <w:tabs>
          <w:tab w:val="right" w:leader="dot" w:pos="9350"/>
        </w:tabs>
        <w:rPr>
          <w:rFonts w:asciiTheme="minorHAnsi" w:hAnsiTheme="minorHAnsi" w:cstheme="minorBidi"/>
          <w:noProof/>
          <w:kern w:val="2"/>
          <w:sz w:val="24"/>
          <w:szCs w:val="24"/>
          <w14:ligatures w14:val="standardContextual"/>
        </w:rPr>
      </w:pPr>
      <w:hyperlink w:history="1" w:anchor="_Toc212447310">
        <w:r w:rsidRPr="00600870">
          <w:rPr>
            <w:rStyle w:val="Hyperlink"/>
            <w:noProof/>
          </w:rPr>
          <w:t>2.</w:t>
        </w:r>
        <w:r>
          <w:rPr>
            <w:rFonts w:asciiTheme="minorHAnsi" w:hAnsiTheme="minorHAnsi" w:cstheme="minorBidi"/>
            <w:noProof/>
            <w:kern w:val="2"/>
            <w:sz w:val="24"/>
            <w:szCs w:val="24"/>
            <w14:ligatures w14:val="standardContextual"/>
          </w:rPr>
          <w:tab/>
        </w:r>
        <w:r w:rsidRPr="00600870">
          <w:rPr>
            <w:rStyle w:val="Hyperlink"/>
            <w:noProof/>
          </w:rPr>
          <w:t>Issues Before the Commission</w:t>
        </w:r>
        <w:r>
          <w:rPr>
            <w:noProof/>
            <w:webHidden/>
          </w:rPr>
          <w:tab/>
        </w:r>
        <w:r>
          <w:rPr>
            <w:noProof/>
            <w:webHidden/>
          </w:rPr>
          <w:fldChar w:fldCharType="begin"/>
        </w:r>
        <w:r>
          <w:rPr>
            <w:noProof/>
            <w:webHidden/>
          </w:rPr>
          <w:instrText xml:space="preserve"> PAGEREF _Toc212447310 \h </w:instrText>
        </w:r>
        <w:r>
          <w:rPr>
            <w:noProof/>
            <w:webHidden/>
          </w:rPr>
        </w:r>
        <w:r>
          <w:rPr>
            <w:noProof/>
            <w:webHidden/>
          </w:rPr>
          <w:fldChar w:fldCharType="separate"/>
        </w:r>
        <w:r>
          <w:rPr>
            <w:noProof/>
            <w:webHidden/>
          </w:rPr>
          <w:t>3</w:t>
        </w:r>
        <w:r>
          <w:rPr>
            <w:noProof/>
            <w:webHidden/>
          </w:rPr>
          <w:fldChar w:fldCharType="end"/>
        </w:r>
      </w:hyperlink>
    </w:p>
    <w:p w:rsidR="005B1C33" w:rsidRDefault="005B1C33" w14:paraId="3188CFF4" w14:textId="3A94212E">
      <w:pPr>
        <w:pStyle w:val="TOC1"/>
        <w:tabs>
          <w:tab w:val="right" w:leader="dot" w:pos="9350"/>
        </w:tabs>
        <w:rPr>
          <w:rFonts w:asciiTheme="minorHAnsi" w:hAnsiTheme="minorHAnsi" w:cstheme="minorBidi"/>
          <w:noProof/>
          <w:kern w:val="2"/>
          <w:sz w:val="24"/>
          <w:szCs w:val="24"/>
          <w14:ligatures w14:val="standardContextual"/>
        </w:rPr>
      </w:pPr>
      <w:hyperlink w:history="1" w:anchor="_Toc212447311">
        <w:r w:rsidRPr="00600870">
          <w:rPr>
            <w:rStyle w:val="Hyperlink"/>
            <w:noProof/>
          </w:rPr>
          <w:t>3.</w:t>
        </w:r>
        <w:r>
          <w:rPr>
            <w:rFonts w:asciiTheme="minorHAnsi" w:hAnsiTheme="minorHAnsi" w:cstheme="minorBidi"/>
            <w:noProof/>
            <w:kern w:val="2"/>
            <w:sz w:val="24"/>
            <w:szCs w:val="24"/>
            <w14:ligatures w14:val="standardContextual"/>
          </w:rPr>
          <w:tab/>
        </w:r>
        <w:r w:rsidRPr="00600870">
          <w:rPr>
            <w:rStyle w:val="Hyperlink"/>
            <w:noProof/>
          </w:rPr>
          <w:t>Settlement Agreement</w:t>
        </w:r>
        <w:r>
          <w:rPr>
            <w:noProof/>
            <w:webHidden/>
          </w:rPr>
          <w:tab/>
        </w:r>
        <w:r>
          <w:rPr>
            <w:noProof/>
            <w:webHidden/>
          </w:rPr>
          <w:fldChar w:fldCharType="begin"/>
        </w:r>
        <w:r>
          <w:rPr>
            <w:noProof/>
            <w:webHidden/>
          </w:rPr>
          <w:instrText xml:space="preserve"> PAGEREF _Toc212447311 \h </w:instrText>
        </w:r>
        <w:r>
          <w:rPr>
            <w:noProof/>
            <w:webHidden/>
          </w:rPr>
        </w:r>
        <w:r>
          <w:rPr>
            <w:noProof/>
            <w:webHidden/>
          </w:rPr>
          <w:fldChar w:fldCharType="separate"/>
        </w:r>
        <w:r>
          <w:rPr>
            <w:noProof/>
            <w:webHidden/>
          </w:rPr>
          <w:t>4</w:t>
        </w:r>
        <w:r>
          <w:rPr>
            <w:noProof/>
            <w:webHidden/>
          </w:rPr>
          <w:fldChar w:fldCharType="end"/>
        </w:r>
      </w:hyperlink>
    </w:p>
    <w:p w:rsidR="005B1C33" w:rsidRDefault="005B1C33" w14:paraId="689E89D9" w14:textId="55A92A5F">
      <w:pPr>
        <w:pStyle w:val="TOC2"/>
        <w:tabs>
          <w:tab w:val="right" w:leader="dot" w:pos="9350"/>
        </w:tabs>
        <w:rPr>
          <w:rFonts w:asciiTheme="minorHAnsi" w:hAnsiTheme="minorHAnsi" w:cstheme="minorBidi"/>
          <w:noProof/>
          <w:kern w:val="2"/>
          <w:sz w:val="24"/>
          <w:szCs w:val="24"/>
          <w14:ligatures w14:val="standardContextual"/>
        </w:rPr>
      </w:pPr>
      <w:hyperlink w:history="1" w:anchor="_Toc212447312">
        <w:r w:rsidRPr="00600870">
          <w:rPr>
            <w:rStyle w:val="Hyperlink"/>
            <w:noProof/>
          </w:rPr>
          <w:t>3.1.</w:t>
        </w:r>
        <w:r>
          <w:rPr>
            <w:rFonts w:asciiTheme="minorHAnsi" w:hAnsiTheme="minorHAnsi" w:cstheme="minorBidi"/>
            <w:noProof/>
            <w:kern w:val="2"/>
            <w:sz w:val="24"/>
            <w:szCs w:val="24"/>
            <w14:ligatures w14:val="standardContextual"/>
          </w:rPr>
          <w:tab/>
        </w:r>
        <w:r w:rsidRPr="00600870">
          <w:rPr>
            <w:rStyle w:val="Hyperlink"/>
            <w:noProof/>
          </w:rPr>
          <w:t>Reasonableness of Initial Rates</w:t>
        </w:r>
        <w:r>
          <w:rPr>
            <w:noProof/>
            <w:webHidden/>
          </w:rPr>
          <w:tab/>
        </w:r>
        <w:r>
          <w:rPr>
            <w:noProof/>
            <w:webHidden/>
          </w:rPr>
          <w:fldChar w:fldCharType="begin"/>
        </w:r>
        <w:r>
          <w:rPr>
            <w:noProof/>
            <w:webHidden/>
          </w:rPr>
          <w:instrText xml:space="preserve"> PAGEREF _Toc212447312 \h </w:instrText>
        </w:r>
        <w:r>
          <w:rPr>
            <w:noProof/>
            <w:webHidden/>
          </w:rPr>
        </w:r>
        <w:r>
          <w:rPr>
            <w:noProof/>
            <w:webHidden/>
          </w:rPr>
          <w:fldChar w:fldCharType="separate"/>
        </w:r>
        <w:r>
          <w:rPr>
            <w:noProof/>
            <w:webHidden/>
          </w:rPr>
          <w:t>5</w:t>
        </w:r>
        <w:r>
          <w:rPr>
            <w:noProof/>
            <w:webHidden/>
          </w:rPr>
          <w:fldChar w:fldCharType="end"/>
        </w:r>
      </w:hyperlink>
    </w:p>
    <w:p w:rsidR="005B1C33" w:rsidRDefault="005B1C33" w14:paraId="251B2B3E" w14:textId="788CFDE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2447313">
        <w:r w:rsidRPr="00600870">
          <w:rPr>
            <w:rStyle w:val="Hyperlink"/>
            <w:noProof/>
          </w:rPr>
          <w:t>3.1.1.</w:t>
        </w:r>
        <w:r>
          <w:rPr>
            <w:rFonts w:asciiTheme="minorHAnsi" w:hAnsiTheme="minorHAnsi" w:cstheme="minorBidi"/>
            <w:noProof/>
            <w:kern w:val="2"/>
            <w:sz w:val="24"/>
            <w:szCs w:val="24"/>
            <w14:ligatures w14:val="standardContextual"/>
          </w:rPr>
          <w:tab/>
        </w:r>
        <w:r w:rsidRPr="00600870">
          <w:rPr>
            <w:rStyle w:val="Hyperlink"/>
            <w:noProof/>
          </w:rPr>
          <w:t>Reasonableness of Estimates for Operations &amp; Maintenance and Administrative &amp; General Expenses</w:t>
        </w:r>
        <w:r>
          <w:rPr>
            <w:noProof/>
            <w:webHidden/>
          </w:rPr>
          <w:tab/>
        </w:r>
        <w:r>
          <w:rPr>
            <w:noProof/>
            <w:webHidden/>
          </w:rPr>
          <w:fldChar w:fldCharType="begin"/>
        </w:r>
        <w:r>
          <w:rPr>
            <w:noProof/>
            <w:webHidden/>
          </w:rPr>
          <w:instrText xml:space="preserve"> PAGEREF _Toc212447313 \h </w:instrText>
        </w:r>
        <w:r>
          <w:rPr>
            <w:noProof/>
            <w:webHidden/>
          </w:rPr>
        </w:r>
        <w:r>
          <w:rPr>
            <w:noProof/>
            <w:webHidden/>
          </w:rPr>
          <w:fldChar w:fldCharType="separate"/>
        </w:r>
        <w:r>
          <w:rPr>
            <w:noProof/>
            <w:webHidden/>
          </w:rPr>
          <w:t>6</w:t>
        </w:r>
        <w:r>
          <w:rPr>
            <w:noProof/>
            <w:webHidden/>
          </w:rPr>
          <w:fldChar w:fldCharType="end"/>
        </w:r>
      </w:hyperlink>
    </w:p>
    <w:p w:rsidR="005B1C33" w:rsidRDefault="005B1C33" w14:paraId="1E56A219" w14:textId="72A854F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2447314">
        <w:r w:rsidRPr="00600870">
          <w:rPr>
            <w:rStyle w:val="Hyperlink"/>
            <w:noProof/>
          </w:rPr>
          <w:t>3.1.2.</w:t>
        </w:r>
        <w:r>
          <w:rPr>
            <w:rFonts w:asciiTheme="minorHAnsi" w:hAnsiTheme="minorHAnsi" w:cstheme="minorBidi"/>
            <w:noProof/>
            <w:kern w:val="2"/>
            <w:sz w:val="24"/>
            <w:szCs w:val="24"/>
            <w14:ligatures w14:val="standardContextual"/>
          </w:rPr>
          <w:tab/>
        </w:r>
        <w:r w:rsidRPr="00600870">
          <w:rPr>
            <w:rStyle w:val="Hyperlink"/>
            <w:noProof/>
          </w:rPr>
          <w:t>Reasonableness of GSW’s Rate Base Estimates</w:t>
        </w:r>
        <w:r>
          <w:rPr>
            <w:noProof/>
            <w:webHidden/>
          </w:rPr>
          <w:tab/>
        </w:r>
        <w:r>
          <w:rPr>
            <w:noProof/>
            <w:webHidden/>
          </w:rPr>
          <w:fldChar w:fldCharType="begin"/>
        </w:r>
        <w:r>
          <w:rPr>
            <w:noProof/>
            <w:webHidden/>
          </w:rPr>
          <w:instrText xml:space="preserve"> PAGEREF _Toc212447314 \h </w:instrText>
        </w:r>
        <w:r>
          <w:rPr>
            <w:noProof/>
            <w:webHidden/>
          </w:rPr>
        </w:r>
        <w:r>
          <w:rPr>
            <w:noProof/>
            <w:webHidden/>
          </w:rPr>
          <w:fldChar w:fldCharType="separate"/>
        </w:r>
        <w:r>
          <w:rPr>
            <w:noProof/>
            <w:webHidden/>
          </w:rPr>
          <w:t>7</w:t>
        </w:r>
        <w:r>
          <w:rPr>
            <w:noProof/>
            <w:webHidden/>
          </w:rPr>
          <w:fldChar w:fldCharType="end"/>
        </w:r>
      </w:hyperlink>
    </w:p>
    <w:p w:rsidR="005B1C33" w:rsidRDefault="005B1C33" w14:paraId="7C9551E0" w14:textId="683F79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2447315">
        <w:r w:rsidRPr="00600870">
          <w:rPr>
            <w:rStyle w:val="Hyperlink"/>
            <w:noProof/>
          </w:rPr>
          <w:t>3.1.3.</w:t>
        </w:r>
        <w:r>
          <w:rPr>
            <w:rFonts w:asciiTheme="minorHAnsi" w:hAnsiTheme="minorHAnsi" w:cstheme="minorBidi"/>
            <w:noProof/>
            <w:kern w:val="2"/>
            <w:sz w:val="24"/>
            <w:szCs w:val="24"/>
            <w14:ligatures w14:val="standardContextual"/>
          </w:rPr>
          <w:tab/>
        </w:r>
        <w:r w:rsidRPr="00600870">
          <w:rPr>
            <w:rStyle w:val="Hyperlink"/>
            <w:noProof/>
          </w:rPr>
          <w:t>Reasonableness of GSW’s Sales Forecasts and Rate Designs</w:t>
        </w:r>
        <w:r>
          <w:rPr>
            <w:noProof/>
            <w:webHidden/>
          </w:rPr>
          <w:tab/>
        </w:r>
        <w:r>
          <w:rPr>
            <w:noProof/>
            <w:webHidden/>
          </w:rPr>
          <w:fldChar w:fldCharType="begin"/>
        </w:r>
        <w:r>
          <w:rPr>
            <w:noProof/>
            <w:webHidden/>
          </w:rPr>
          <w:instrText xml:space="preserve"> PAGEREF _Toc212447315 \h </w:instrText>
        </w:r>
        <w:r>
          <w:rPr>
            <w:noProof/>
            <w:webHidden/>
          </w:rPr>
        </w:r>
        <w:r>
          <w:rPr>
            <w:noProof/>
            <w:webHidden/>
          </w:rPr>
          <w:fldChar w:fldCharType="separate"/>
        </w:r>
        <w:r>
          <w:rPr>
            <w:noProof/>
            <w:webHidden/>
          </w:rPr>
          <w:t>10</w:t>
        </w:r>
        <w:r>
          <w:rPr>
            <w:noProof/>
            <w:webHidden/>
          </w:rPr>
          <w:fldChar w:fldCharType="end"/>
        </w:r>
      </w:hyperlink>
    </w:p>
    <w:p w:rsidR="005B1C33" w:rsidRDefault="005B1C33" w14:paraId="0772F271" w14:textId="6ADB223D">
      <w:pPr>
        <w:pStyle w:val="TOC2"/>
        <w:tabs>
          <w:tab w:val="right" w:leader="dot" w:pos="9350"/>
        </w:tabs>
        <w:rPr>
          <w:rFonts w:asciiTheme="minorHAnsi" w:hAnsiTheme="minorHAnsi" w:cstheme="minorBidi"/>
          <w:noProof/>
          <w:kern w:val="2"/>
          <w:sz w:val="24"/>
          <w:szCs w:val="24"/>
          <w14:ligatures w14:val="standardContextual"/>
        </w:rPr>
      </w:pPr>
      <w:hyperlink w:history="1" w:anchor="_Toc212447316">
        <w:r w:rsidRPr="00600870">
          <w:rPr>
            <w:rStyle w:val="Hyperlink"/>
            <w:noProof/>
          </w:rPr>
          <w:t>3.2.</w:t>
        </w:r>
        <w:r>
          <w:rPr>
            <w:rFonts w:asciiTheme="minorHAnsi" w:hAnsiTheme="minorHAnsi" w:cstheme="minorBidi"/>
            <w:noProof/>
            <w:kern w:val="2"/>
            <w:sz w:val="24"/>
            <w:szCs w:val="24"/>
            <w14:ligatures w14:val="standardContextual"/>
          </w:rPr>
          <w:tab/>
        </w:r>
        <w:r w:rsidRPr="00600870">
          <w:rPr>
            <w:rStyle w:val="Hyperlink"/>
            <w:noProof/>
          </w:rPr>
          <w:t>Customer Service and Safety Programs</w:t>
        </w:r>
        <w:r>
          <w:rPr>
            <w:noProof/>
            <w:webHidden/>
          </w:rPr>
          <w:tab/>
        </w:r>
        <w:r>
          <w:rPr>
            <w:noProof/>
            <w:webHidden/>
          </w:rPr>
          <w:fldChar w:fldCharType="begin"/>
        </w:r>
        <w:r>
          <w:rPr>
            <w:noProof/>
            <w:webHidden/>
          </w:rPr>
          <w:instrText xml:space="preserve"> PAGEREF _Toc212447316 \h </w:instrText>
        </w:r>
        <w:r>
          <w:rPr>
            <w:noProof/>
            <w:webHidden/>
          </w:rPr>
        </w:r>
        <w:r>
          <w:rPr>
            <w:noProof/>
            <w:webHidden/>
          </w:rPr>
          <w:fldChar w:fldCharType="separate"/>
        </w:r>
        <w:r>
          <w:rPr>
            <w:noProof/>
            <w:webHidden/>
          </w:rPr>
          <w:t>10</w:t>
        </w:r>
        <w:r>
          <w:rPr>
            <w:noProof/>
            <w:webHidden/>
          </w:rPr>
          <w:fldChar w:fldCharType="end"/>
        </w:r>
      </w:hyperlink>
    </w:p>
    <w:p w:rsidR="005B1C33" w:rsidRDefault="005B1C33" w14:paraId="5FCB9A76" w14:textId="43641879">
      <w:pPr>
        <w:pStyle w:val="TOC2"/>
        <w:tabs>
          <w:tab w:val="right" w:leader="dot" w:pos="9350"/>
        </w:tabs>
        <w:rPr>
          <w:rFonts w:asciiTheme="minorHAnsi" w:hAnsiTheme="minorHAnsi" w:cstheme="minorBidi"/>
          <w:noProof/>
          <w:kern w:val="2"/>
          <w:sz w:val="24"/>
          <w:szCs w:val="24"/>
          <w14:ligatures w14:val="standardContextual"/>
        </w:rPr>
      </w:pPr>
      <w:hyperlink w:history="1" w:anchor="_Toc212447317">
        <w:r w:rsidRPr="00600870">
          <w:rPr>
            <w:rStyle w:val="Hyperlink"/>
            <w:noProof/>
          </w:rPr>
          <w:t>3.3.</w:t>
        </w:r>
        <w:r>
          <w:rPr>
            <w:rFonts w:asciiTheme="minorHAnsi" w:hAnsiTheme="minorHAnsi" w:cstheme="minorBidi"/>
            <w:noProof/>
            <w:kern w:val="2"/>
            <w:sz w:val="24"/>
            <w:szCs w:val="24"/>
            <w14:ligatures w14:val="standardContextual"/>
          </w:rPr>
          <w:tab/>
        </w:r>
        <w:r w:rsidRPr="00600870">
          <w:rPr>
            <w:rStyle w:val="Hyperlink"/>
            <w:noProof/>
          </w:rPr>
          <w:t>Statutory and Regulatory Requirements</w:t>
        </w:r>
        <w:r>
          <w:rPr>
            <w:noProof/>
            <w:webHidden/>
          </w:rPr>
          <w:tab/>
        </w:r>
        <w:r>
          <w:rPr>
            <w:noProof/>
            <w:webHidden/>
          </w:rPr>
          <w:fldChar w:fldCharType="begin"/>
        </w:r>
        <w:r>
          <w:rPr>
            <w:noProof/>
            <w:webHidden/>
          </w:rPr>
          <w:instrText xml:space="preserve"> PAGEREF _Toc212447317 \h </w:instrText>
        </w:r>
        <w:r>
          <w:rPr>
            <w:noProof/>
            <w:webHidden/>
          </w:rPr>
        </w:r>
        <w:r>
          <w:rPr>
            <w:noProof/>
            <w:webHidden/>
          </w:rPr>
          <w:fldChar w:fldCharType="separate"/>
        </w:r>
        <w:r>
          <w:rPr>
            <w:noProof/>
            <w:webHidden/>
          </w:rPr>
          <w:t>11</w:t>
        </w:r>
        <w:r>
          <w:rPr>
            <w:noProof/>
            <w:webHidden/>
          </w:rPr>
          <w:fldChar w:fldCharType="end"/>
        </w:r>
      </w:hyperlink>
    </w:p>
    <w:p w:rsidR="005B1C33" w:rsidRDefault="005B1C33" w14:paraId="20F190AA" w14:textId="44487E70">
      <w:pPr>
        <w:pStyle w:val="TOC2"/>
        <w:tabs>
          <w:tab w:val="right" w:leader="dot" w:pos="9350"/>
        </w:tabs>
        <w:rPr>
          <w:rFonts w:asciiTheme="minorHAnsi" w:hAnsiTheme="minorHAnsi" w:cstheme="minorBidi"/>
          <w:noProof/>
          <w:kern w:val="2"/>
          <w:sz w:val="24"/>
          <w:szCs w:val="24"/>
          <w14:ligatures w14:val="standardContextual"/>
        </w:rPr>
      </w:pPr>
      <w:hyperlink w:history="1" w:anchor="_Toc212447318">
        <w:r w:rsidRPr="00600870">
          <w:rPr>
            <w:rStyle w:val="Hyperlink"/>
            <w:noProof/>
          </w:rPr>
          <w:t>3.4.</w:t>
        </w:r>
        <w:r>
          <w:rPr>
            <w:rFonts w:asciiTheme="minorHAnsi" w:hAnsiTheme="minorHAnsi" w:cstheme="minorBidi"/>
            <w:noProof/>
            <w:kern w:val="2"/>
            <w:sz w:val="24"/>
            <w:szCs w:val="24"/>
            <w14:ligatures w14:val="standardContextual"/>
          </w:rPr>
          <w:tab/>
        </w:r>
        <w:r w:rsidRPr="00600870">
          <w:rPr>
            <w:rStyle w:val="Hyperlink"/>
            <w:noProof/>
          </w:rPr>
          <w:t>Special Request 1: Inclusion of Sutter Pointe CSA in Companywide GRC</w:t>
        </w:r>
        <w:r>
          <w:rPr>
            <w:noProof/>
            <w:webHidden/>
          </w:rPr>
          <w:tab/>
        </w:r>
        <w:r>
          <w:rPr>
            <w:noProof/>
            <w:webHidden/>
          </w:rPr>
          <w:fldChar w:fldCharType="begin"/>
        </w:r>
        <w:r>
          <w:rPr>
            <w:noProof/>
            <w:webHidden/>
          </w:rPr>
          <w:instrText xml:space="preserve"> PAGEREF _Toc212447318 \h </w:instrText>
        </w:r>
        <w:r>
          <w:rPr>
            <w:noProof/>
            <w:webHidden/>
          </w:rPr>
        </w:r>
        <w:r>
          <w:rPr>
            <w:noProof/>
            <w:webHidden/>
          </w:rPr>
          <w:fldChar w:fldCharType="separate"/>
        </w:r>
        <w:r>
          <w:rPr>
            <w:noProof/>
            <w:webHidden/>
          </w:rPr>
          <w:t>11</w:t>
        </w:r>
        <w:r>
          <w:rPr>
            <w:noProof/>
            <w:webHidden/>
          </w:rPr>
          <w:fldChar w:fldCharType="end"/>
        </w:r>
      </w:hyperlink>
    </w:p>
    <w:p w:rsidR="005B1C33" w:rsidRDefault="005B1C33" w14:paraId="6E477D88" w14:textId="00B93F82">
      <w:pPr>
        <w:pStyle w:val="TOC2"/>
        <w:tabs>
          <w:tab w:val="right" w:leader="dot" w:pos="9350"/>
        </w:tabs>
        <w:rPr>
          <w:rFonts w:asciiTheme="minorHAnsi" w:hAnsiTheme="minorHAnsi" w:cstheme="minorBidi"/>
          <w:noProof/>
          <w:kern w:val="2"/>
          <w:sz w:val="24"/>
          <w:szCs w:val="24"/>
          <w14:ligatures w14:val="standardContextual"/>
        </w:rPr>
      </w:pPr>
      <w:hyperlink w:history="1" w:anchor="_Toc212447319">
        <w:r w:rsidRPr="00600870">
          <w:rPr>
            <w:rStyle w:val="Hyperlink"/>
            <w:noProof/>
          </w:rPr>
          <w:t>3.5.</w:t>
        </w:r>
        <w:r>
          <w:rPr>
            <w:rFonts w:asciiTheme="minorHAnsi" w:hAnsiTheme="minorHAnsi" w:cstheme="minorBidi"/>
            <w:noProof/>
            <w:kern w:val="2"/>
            <w:sz w:val="24"/>
            <w:szCs w:val="24"/>
            <w14:ligatures w14:val="standardContextual"/>
          </w:rPr>
          <w:tab/>
        </w:r>
        <w:r w:rsidRPr="00600870">
          <w:rPr>
            <w:rStyle w:val="Hyperlink"/>
            <w:noProof/>
          </w:rPr>
          <w:t>Special Request 2: Interim Rates Request</w:t>
        </w:r>
        <w:r>
          <w:rPr>
            <w:noProof/>
            <w:webHidden/>
          </w:rPr>
          <w:tab/>
        </w:r>
        <w:r>
          <w:rPr>
            <w:noProof/>
            <w:webHidden/>
          </w:rPr>
          <w:fldChar w:fldCharType="begin"/>
        </w:r>
        <w:r>
          <w:rPr>
            <w:noProof/>
            <w:webHidden/>
          </w:rPr>
          <w:instrText xml:space="preserve"> PAGEREF _Toc212447319 \h </w:instrText>
        </w:r>
        <w:r>
          <w:rPr>
            <w:noProof/>
            <w:webHidden/>
          </w:rPr>
        </w:r>
        <w:r>
          <w:rPr>
            <w:noProof/>
            <w:webHidden/>
          </w:rPr>
          <w:fldChar w:fldCharType="separate"/>
        </w:r>
        <w:r>
          <w:rPr>
            <w:noProof/>
            <w:webHidden/>
          </w:rPr>
          <w:t>12</w:t>
        </w:r>
        <w:r>
          <w:rPr>
            <w:noProof/>
            <w:webHidden/>
          </w:rPr>
          <w:fldChar w:fldCharType="end"/>
        </w:r>
      </w:hyperlink>
    </w:p>
    <w:p w:rsidR="005B1C33" w:rsidRDefault="005B1C33" w14:paraId="47A7B7F4" w14:textId="14C41F7F">
      <w:pPr>
        <w:pStyle w:val="TOC2"/>
        <w:tabs>
          <w:tab w:val="right" w:leader="dot" w:pos="9350"/>
        </w:tabs>
        <w:rPr>
          <w:rFonts w:asciiTheme="minorHAnsi" w:hAnsiTheme="minorHAnsi" w:cstheme="minorBidi"/>
          <w:noProof/>
          <w:kern w:val="2"/>
          <w:sz w:val="24"/>
          <w:szCs w:val="24"/>
          <w14:ligatures w14:val="standardContextual"/>
        </w:rPr>
      </w:pPr>
      <w:hyperlink w:history="1" w:anchor="_Toc212447320">
        <w:r w:rsidRPr="00600870">
          <w:rPr>
            <w:rStyle w:val="Hyperlink"/>
            <w:noProof/>
          </w:rPr>
          <w:t>3.6.</w:t>
        </w:r>
        <w:r>
          <w:rPr>
            <w:rFonts w:asciiTheme="minorHAnsi" w:hAnsiTheme="minorHAnsi" w:cstheme="minorBidi"/>
            <w:noProof/>
            <w:kern w:val="2"/>
            <w:sz w:val="24"/>
            <w:szCs w:val="24"/>
            <w14:ligatures w14:val="standardContextual"/>
          </w:rPr>
          <w:tab/>
        </w:r>
        <w:r w:rsidRPr="00600870">
          <w:rPr>
            <w:rStyle w:val="Hyperlink"/>
            <w:noProof/>
          </w:rPr>
          <w:t>Special Request 3: Request to Track Costs Related to Sutter Pointe CSA in Balancing and Memorandum Accounts</w:t>
        </w:r>
        <w:r>
          <w:rPr>
            <w:noProof/>
            <w:webHidden/>
          </w:rPr>
          <w:tab/>
        </w:r>
        <w:r>
          <w:rPr>
            <w:noProof/>
            <w:webHidden/>
          </w:rPr>
          <w:fldChar w:fldCharType="begin"/>
        </w:r>
        <w:r>
          <w:rPr>
            <w:noProof/>
            <w:webHidden/>
          </w:rPr>
          <w:instrText xml:space="preserve"> PAGEREF _Toc212447320 \h </w:instrText>
        </w:r>
        <w:r>
          <w:rPr>
            <w:noProof/>
            <w:webHidden/>
          </w:rPr>
        </w:r>
        <w:r>
          <w:rPr>
            <w:noProof/>
            <w:webHidden/>
          </w:rPr>
          <w:fldChar w:fldCharType="separate"/>
        </w:r>
        <w:r>
          <w:rPr>
            <w:noProof/>
            <w:webHidden/>
          </w:rPr>
          <w:t>12</w:t>
        </w:r>
        <w:r>
          <w:rPr>
            <w:noProof/>
            <w:webHidden/>
          </w:rPr>
          <w:fldChar w:fldCharType="end"/>
        </w:r>
      </w:hyperlink>
    </w:p>
    <w:p w:rsidR="005B1C33" w:rsidRDefault="005B1C33" w14:paraId="0848D4B3" w14:textId="649786DA">
      <w:pPr>
        <w:pStyle w:val="TOC2"/>
        <w:tabs>
          <w:tab w:val="right" w:leader="dot" w:pos="9350"/>
        </w:tabs>
        <w:rPr>
          <w:rFonts w:asciiTheme="minorHAnsi" w:hAnsiTheme="minorHAnsi" w:cstheme="minorBidi"/>
          <w:noProof/>
          <w:kern w:val="2"/>
          <w:sz w:val="24"/>
          <w:szCs w:val="24"/>
          <w14:ligatures w14:val="standardContextual"/>
        </w:rPr>
      </w:pPr>
      <w:hyperlink w:history="1" w:anchor="_Toc212447321">
        <w:r w:rsidRPr="00600870">
          <w:rPr>
            <w:rStyle w:val="Hyperlink"/>
            <w:noProof/>
          </w:rPr>
          <w:t>3.7.</w:t>
        </w:r>
        <w:r>
          <w:rPr>
            <w:rFonts w:asciiTheme="minorHAnsi" w:hAnsiTheme="minorHAnsi" w:cstheme="minorBidi"/>
            <w:noProof/>
            <w:kern w:val="2"/>
            <w:sz w:val="24"/>
            <w:szCs w:val="24"/>
            <w14:ligatures w14:val="standardContextual"/>
          </w:rPr>
          <w:tab/>
        </w:r>
        <w:r w:rsidRPr="00600870">
          <w:rPr>
            <w:rStyle w:val="Hyperlink"/>
            <w:noProof/>
          </w:rPr>
          <w:t>Special Request 4: Commission Review of SPGRCMA Costs and Status of Memo Account</w:t>
        </w:r>
        <w:r>
          <w:rPr>
            <w:noProof/>
            <w:webHidden/>
          </w:rPr>
          <w:tab/>
        </w:r>
        <w:r>
          <w:rPr>
            <w:noProof/>
            <w:webHidden/>
          </w:rPr>
          <w:fldChar w:fldCharType="begin"/>
        </w:r>
        <w:r>
          <w:rPr>
            <w:noProof/>
            <w:webHidden/>
          </w:rPr>
          <w:instrText xml:space="preserve"> PAGEREF _Toc212447321 \h </w:instrText>
        </w:r>
        <w:r>
          <w:rPr>
            <w:noProof/>
            <w:webHidden/>
          </w:rPr>
        </w:r>
        <w:r>
          <w:rPr>
            <w:noProof/>
            <w:webHidden/>
          </w:rPr>
          <w:fldChar w:fldCharType="separate"/>
        </w:r>
        <w:r>
          <w:rPr>
            <w:noProof/>
            <w:webHidden/>
          </w:rPr>
          <w:t>12</w:t>
        </w:r>
        <w:r>
          <w:rPr>
            <w:noProof/>
            <w:webHidden/>
          </w:rPr>
          <w:fldChar w:fldCharType="end"/>
        </w:r>
      </w:hyperlink>
    </w:p>
    <w:p w:rsidR="005B1C33" w:rsidRDefault="005B1C33" w14:paraId="6D148E52" w14:textId="13941FE5">
      <w:pPr>
        <w:pStyle w:val="TOC2"/>
        <w:tabs>
          <w:tab w:val="right" w:leader="dot" w:pos="9350"/>
        </w:tabs>
        <w:rPr>
          <w:rFonts w:asciiTheme="minorHAnsi" w:hAnsiTheme="minorHAnsi" w:cstheme="minorBidi"/>
          <w:noProof/>
          <w:kern w:val="2"/>
          <w:sz w:val="24"/>
          <w:szCs w:val="24"/>
          <w14:ligatures w14:val="standardContextual"/>
        </w:rPr>
      </w:pPr>
      <w:hyperlink w:history="1" w:anchor="_Toc212447322">
        <w:r w:rsidRPr="00600870">
          <w:rPr>
            <w:rStyle w:val="Hyperlink"/>
            <w:noProof/>
          </w:rPr>
          <w:t>3.8.</w:t>
        </w:r>
        <w:r>
          <w:rPr>
            <w:rFonts w:asciiTheme="minorHAnsi" w:hAnsiTheme="minorHAnsi" w:cstheme="minorBidi"/>
            <w:noProof/>
            <w:kern w:val="2"/>
            <w:sz w:val="24"/>
            <w:szCs w:val="24"/>
            <w14:ligatures w14:val="standardContextual"/>
          </w:rPr>
          <w:tab/>
        </w:r>
        <w:r w:rsidRPr="00600870">
          <w:rPr>
            <w:rStyle w:val="Hyperlink"/>
            <w:noProof/>
          </w:rPr>
          <w:t>Special Request 5: Applicability of Findings From D.25-01-036</w:t>
        </w:r>
        <w:r>
          <w:rPr>
            <w:noProof/>
            <w:webHidden/>
          </w:rPr>
          <w:tab/>
        </w:r>
        <w:r>
          <w:rPr>
            <w:noProof/>
            <w:webHidden/>
          </w:rPr>
          <w:fldChar w:fldCharType="begin"/>
        </w:r>
        <w:r>
          <w:rPr>
            <w:noProof/>
            <w:webHidden/>
          </w:rPr>
          <w:instrText xml:space="preserve"> PAGEREF _Toc212447322 \h </w:instrText>
        </w:r>
        <w:r>
          <w:rPr>
            <w:noProof/>
            <w:webHidden/>
          </w:rPr>
        </w:r>
        <w:r>
          <w:rPr>
            <w:noProof/>
            <w:webHidden/>
          </w:rPr>
          <w:fldChar w:fldCharType="separate"/>
        </w:r>
        <w:r>
          <w:rPr>
            <w:noProof/>
            <w:webHidden/>
          </w:rPr>
          <w:t>13</w:t>
        </w:r>
        <w:r>
          <w:rPr>
            <w:noProof/>
            <w:webHidden/>
          </w:rPr>
          <w:fldChar w:fldCharType="end"/>
        </w:r>
      </w:hyperlink>
    </w:p>
    <w:p w:rsidR="005B1C33" w:rsidRDefault="005B1C33" w14:paraId="48A4E1F0" w14:textId="5366813F">
      <w:pPr>
        <w:pStyle w:val="TOC2"/>
        <w:tabs>
          <w:tab w:val="right" w:leader="dot" w:pos="9350"/>
        </w:tabs>
        <w:rPr>
          <w:rFonts w:asciiTheme="minorHAnsi" w:hAnsiTheme="minorHAnsi" w:cstheme="minorBidi"/>
          <w:noProof/>
          <w:kern w:val="2"/>
          <w:sz w:val="24"/>
          <w:szCs w:val="24"/>
          <w14:ligatures w14:val="standardContextual"/>
        </w:rPr>
      </w:pPr>
      <w:hyperlink w:history="1" w:anchor="_Toc212447323">
        <w:r w:rsidRPr="00600870">
          <w:rPr>
            <w:rStyle w:val="Hyperlink"/>
            <w:noProof/>
          </w:rPr>
          <w:t>3.9.</w:t>
        </w:r>
        <w:r>
          <w:rPr>
            <w:rFonts w:asciiTheme="minorHAnsi" w:hAnsiTheme="minorHAnsi" w:cstheme="minorBidi"/>
            <w:noProof/>
            <w:kern w:val="2"/>
            <w:sz w:val="24"/>
            <w:szCs w:val="24"/>
            <w14:ligatures w14:val="standardContextual"/>
          </w:rPr>
          <w:tab/>
        </w:r>
        <w:r w:rsidRPr="00600870">
          <w:rPr>
            <w:rStyle w:val="Hyperlink"/>
            <w:noProof/>
          </w:rPr>
          <w:t>Special Request 6: Exception to Attrition Filing Methodology and Inclusion of Costs in Attrition Year 2027</w:t>
        </w:r>
        <w:r>
          <w:rPr>
            <w:noProof/>
            <w:webHidden/>
          </w:rPr>
          <w:tab/>
        </w:r>
        <w:r>
          <w:rPr>
            <w:noProof/>
            <w:webHidden/>
          </w:rPr>
          <w:fldChar w:fldCharType="begin"/>
        </w:r>
        <w:r>
          <w:rPr>
            <w:noProof/>
            <w:webHidden/>
          </w:rPr>
          <w:instrText xml:space="preserve"> PAGEREF _Toc212447323 \h </w:instrText>
        </w:r>
        <w:r>
          <w:rPr>
            <w:noProof/>
            <w:webHidden/>
          </w:rPr>
        </w:r>
        <w:r>
          <w:rPr>
            <w:noProof/>
            <w:webHidden/>
          </w:rPr>
          <w:fldChar w:fldCharType="separate"/>
        </w:r>
        <w:r>
          <w:rPr>
            <w:noProof/>
            <w:webHidden/>
          </w:rPr>
          <w:t>14</w:t>
        </w:r>
        <w:r>
          <w:rPr>
            <w:noProof/>
            <w:webHidden/>
          </w:rPr>
          <w:fldChar w:fldCharType="end"/>
        </w:r>
      </w:hyperlink>
    </w:p>
    <w:p w:rsidR="005B1C33" w:rsidRDefault="005B1C33" w14:paraId="787CA1A8" w14:textId="2993F522">
      <w:pPr>
        <w:pStyle w:val="TOC1"/>
        <w:tabs>
          <w:tab w:val="right" w:leader="dot" w:pos="9350"/>
        </w:tabs>
        <w:rPr>
          <w:rFonts w:asciiTheme="minorHAnsi" w:hAnsiTheme="minorHAnsi" w:cstheme="minorBidi"/>
          <w:noProof/>
          <w:kern w:val="2"/>
          <w:sz w:val="24"/>
          <w:szCs w:val="24"/>
          <w14:ligatures w14:val="standardContextual"/>
        </w:rPr>
      </w:pPr>
      <w:hyperlink w:history="1" w:anchor="_Toc212447324">
        <w:r w:rsidRPr="00600870">
          <w:rPr>
            <w:rStyle w:val="Hyperlink"/>
            <w:noProof/>
          </w:rPr>
          <w:t>4.</w:t>
        </w:r>
        <w:r>
          <w:rPr>
            <w:rFonts w:asciiTheme="minorHAnsi" w:hAnsiTheme="minorHAnsi" w:cstheme="minorBidi"/>
            <w:noProof/>
            <w:kern w:val="2"/>
            <w:sz w:val="24"/>
            <w:szCs w:val="24"/>
            <w14:ligatures w14:val="standardContextual"/>
          </w:rPr>
          <w:tab/>
        </w:r>
        <w:r w:rsidRPr="00600870">
          <w:rPr>
            <w:rStyle w:val="Hyperlink"/>
            <w:noProof/>
          </w:rPr>
          <w:t>Burdens on the Parties and Standard of Review</w:t>
        </w:r>
        <w:r>
          <w:rPr>
            <w:noProof/>
            <w:webHidden/>
          </w:rPr>
          <w:tab/>
        </w:r>
        <w:r>
          <w:rPr>
            <w:noProof/>
            <w:webHidden/>
          </w:rPr>
          <w:fldChar w:fldCharType="begin"/>
        </w:r>
        <w:r>
          <w:rPr>
            <w:noProof/>
            <w:webHidden/>
          </w:rPr>
          <w:instrText xml:space="preserve"> PAGEREF _Toc212447324 \h </w:instrText>
        </w:r>
        <w:r>
          <w:rPr>
            <w:noProof/>
            <w:webHidden/>
          </w:rPr>
        </w:r>
        <w:r>
          <w:rPr>
            <w:noProof/>
            <w:webHidden/>
          </w:rPr>
          <w:fldChar w:fldCharType="separate"/>
        </w:r>
        <w:r>
          <w:rPr>
            <w:noProof/>
            <w:webHidden/>
          </w:rPr>
          <w:t>15</w:t>
        </w:r>
        <w:r>
          <w:rPr>
            <w:noProof/>
            <w:webHidden/>
          </w:rPr>
          <w:fldChar w:fldCharType="end"/>
        </w:r>
      </w:hyperlink>
    </w:p>
    <w:p w:rsidR="005B1C33" w:rsidRDefault="005B1C33" w14:paraId="60529254" w14:textId="41478D63">
      <w:pPr>
        <w:pStyle w:val="TOC1"/>
        <w:tabs>
          <w:tab w:val="right" w:leader="dot" w:pos="9350"/>
        </w:tabs>
        <w:rPr>
          <w:rFonts w:asciiTheme="minorHAnsi" w:hAnsiTheme="minorHAnsi" w:cstheme="minorBidi"/>
          <w:noProof/>
          <w:kern w:val="2"/>
          <w:sz w:val="24"/>
          <w:szCs w:val="24"/>
          <w14:ligatures w14:val="standardContextual"/>
        </w:rPr>
      </w:pPr>
      <w:hyperlink w:history="1" w:anchor="_Toc212447325">
        <w:r w:rsidRPr="00600870">
          <w:rPr>
            <w:rStyle w:val="Hyperlink"/>
            <w:noProof/>
          </w:rPr>
          <w:t>5.</w:t>
        </w:r>
        <w:r>
          <w:rPr>
            <w:rFonts w:asciiTheme="minorHAnsi" w:hAnsiTheme="minorHAnsi" w:cstheme="minorBidi"/>
            <w:noProof/>
            <w:kern w:val="2"/>
            <w:sz w:val="24"/>
            <w:szCs w:val="24"/>
            <w14:ligatures w14:val="standardContextual"/>
          </w:rPr>
          <w:tab/>
        </w:r>
        <w:r w:rsidRPr="00600870">
          <w:rPr>
            <w:rStyle w:val="Hyperlink"/>
            <w:noProof/>
          </w:rPr>
          <w:t>Approval of the Proposed Settlement</w:t>
        </w:r>
        <w:r>
          <w:rPr>
            <w:noProof/>
            <w:webHidden/>
          </w:rPr>
          <w:tab/>
        </w:r>
        <w:r>
          <w:rPr>
            <w:noProof/>
            <w:webHidden/>
          </w:rPr>
          <w:fldChar w:fldCharType="begin"/>
        </w:r>
        <w:r>
          <w:rPr>
            <w:noProof/>
            <w:webHidden/>
          </w:rPr>
          <w:instrText xml:space="preserve"> PAGEREF _Toc212447325 \h </w:instrText>
        </w:r>
        <w:r>
          <w:rPr>
            <w:noProof/>
            <w:webHidden/>
          </w:rPr>
        </w:r>
        <w:r>
          <w:rPr>
            <w:noProof/>
            <w:webHidden/>
          </w:rPr>
          <w:fldChar w:fldCharType="separate"/>
        </w:r>
        <w:r>
          <w:rPr>
            <w:noProof/>
            <w:webHidden/>
          </w:rPr>
          <w:t>15</w:t>
        </w:r>
        <w:r>
          <w:rPr>
            <w:noProof/>
            <w:webHidden/>
          </w:rPr>
          <w:fldChar w:fldCharType="end"/>
        </w:r>
      </w:hyperlink>
    </w:p>
    <w:p w:rsidR="005B1C33" w:rsidRDefault="005B1C33" w14:paraId="5AC49AB9" w14:textId="5516B40E">
      <w:pPr>
        <w:pStyle w:val="TOC1"/>
        <w:tabs>
          <w:tab w:val="right" w:leader="dot" w:pos="9350"/>
        </w:tabs>
        <w:rPr>
          <w:rFonts w:asciiTheme="minorHAnsi" w:hAnsiTheme="minorHAnsi" w:cstheme="minorBidi"/>
          <w:noProof/>
          <w:kern w:val="2"/>
          <w:sz w:val="24"/>
          <w:szCs w:val="24"/>
          <w14:ligatures w14:val="standardContextual"/>
        </w:rPr>
      </w:pPr>
      <w:hyperlink w:history="1" w:anchor="_Toc212447326">
        <w:r w:rsidRPr="00600870">
          <w:rPr>
            <w:rStyle w:val="Hyperlink"/>
            <w:noProof/>
          </w:rPr>
          <w:t>6.</w:t>
        </w:r>
        <w:r>
          <w:rPr>
            <w:rFonts w:asciiTheme="minorHAnsi" w:hAnsiTheme="minorHAnsi" w:cstheme="minorBidi"/>
            <w:noProof/>
            <w:kern w:val="2"/>
            <w:sz w:val="24"/>
            <w:szCs w:val="24"/>
            <w14:ligatures w14:val="standardContextual"/>
          </w:rPr>
          <w:tab/>
        </w:r>
        <w:r w:rsidRPr="00600870">
          <w:rPr>
            <w:rStyle w:val="Hyperlink"/>
            <w:noProof/>
          </w:rPr>
          <w:t>Public Participation Hearings</w:t>
        </w:r>
        <w:r>
          <w:rPr>
            <w:noProof/>
            <w:webHidden/>
          </w:rPr>
          <w:tab/>
        </w:r>
        <w:r>
          <w:rPr>
            <w:noProof/>
            <w:webHidden/>
          </w:rPr>
          <w:fldChar w:fldCharType="begin"/>
        </w:r>
        <w:r>
          <w:rPr>
            <w:noProof/>
            <w:webHidden/>
          </w:rPr>
          <w:instrText xml:space="preserve"> PAGEREF _Toc212447326 \h </w:instrText>
        </w:r>
        <w:r>
          <w:rPr>
            <w:noProof/>
            <w:webHidden/>
          </w:rPr>
        </w:r>
        <w:r>
          <w:rPr>
            <w:noProof/>
            <w:webHidden/>
          </w:rPr>
          <w:fldChar w:fldCharType="separate"/>
        </w:r>
        <w:r>
          <w:rPr>
            <w:noProof/>
            <w:webHidden/>
          </w:rPr>
          <w:t>17</w:t>
        </w:r>
        <w:r>
          <w:rPr>
            <w:noProof/>
            <w:webHidden/>
          </w:rPr>
          <w:fldChar w:fldCharType="end"/>
        </w:r>
      </w:hyperlink>
    </w:p>
    <w:p w:rsidR="005B1C33" w:rsidRDefault="005B1C33" w14:paraId="43708EDD" w14:textId="0483DC4F">
      <w:pPr>
        <w:pStyle w:val="TOC1"/>
        <w:tabs>
          <w:tab w:val="right" w:leader="dot" w:pos="9350"/>
        </w:tabs>
        <w:rPr>
          <w:rFonts w:asciiTheme="minorHAnsi" w:hAnsiTheme="minorHAnsi" w:cstheme="minorBidi"/>
          <w:noProof/>
          <w:kern w:val="2"/>
          <w:sz w:val="24"/>
          <w:szCs w:val="24"/>
          <w14:ligatures w14:val="standardContextual"/>
        </w:rPr>
      </w:pPr>
      <w:hyperlink w:history="1" w:anchor="_Toc212447327">
        <w:r w:rsidRPr="00600870">
          <w:rPr>
            <w:rStyle w:val="Hyperlink"/>
            <w:noProof/>
          </w:rPr>
          <w:t>7.</w:t>
        </w:r>
        <w:r>
          <w:rPr>
            <w:rFonts w:asciiTheme="minorHAnsi" w:hAnsiTheme="minorHAnsi" w:cstheme="minorBidi"/>
            <w:noProof/>
            <w:kern w:val="2"/>
            <w:sz w:val="24"/>
            <w:szCs w:val="24"/>
            <w14:ligatures w14:val="standardContextual"/>
          </w:rPr>
          <w:tab/>
        </w:r>
        <w:r w:rsidRPr="00600870">
          <w:rPr>
            <w:rStyle w:val="Hyperlink"/>
            <w:noProof/>
          </w:rPr>
          <w:t>Exemption from Comment Period</w:t>
        </w:r>
        <w:r>
          <w:rPr>
            <w:noProof/>
            <w:webHidden/>
          </w:rPr>
          <w:tab/>
        </w:r>
        <w:r>
          <w:rPr>
            <w:noProof/>
            <w:webHidden/>
          </w:rPr>
          <w:fldChar w:fldCharType="begin"/>
        </w:r>
        <w:r>
          <w:rPr>
            <w:noProof/>
            <w:webHidden/>
          </w:rPr>
          <w:instrText xml:space="preserve"> PAGEREF _Toc212447327 \h </w:instrText>
        </w:r>
        <w:r>
          <w:rPr>
            <w:noProof/>
            <w:webHidden/>
          </w:rPr>
        </w:r>
        <w:r>
          <w:rPr>
            <w:noProof/>
            <w:webHidden/>
          </w:rPr>
          <w:fldChar w:fldCharType="separate"/>
        </w:r>
        <w:r>
          <w:rPr>
            <w:noProof/>
            <w:webHidden/>
          </w:rPr>
          <w:t>17</w:t>
        </w:r>
        <w:r>
          <w:rPr>
            <w:noProof/>
            <w:webHidden/>
          </w:rPr>
          <w:fldChar w:fldCharType="end"/>
        </w:r>
      </w:hyperlink>
    </w:p>
    <w:p w:rsidR="005B1C33" w:rsidRDefault="005B1C33" w14:paraId="50257E17" w14:textId="20E068D9">
      <w:pPr>
        <w:pStyle w:val="TOC1"/>
        <w:tabs>
          <w:tab w:val="right" w:leader="dot" w:pos="9350"/>
        </w:tabs>
        <w:rPr>
          <w:rFonts w:asciiTheme="minorHAnsi" w:hAnsiTheme="minorHAnsi" w:cstheme="minorBidi"/>
          <w:noProof/>
          <w:kern w:val="2"/>
          <w:sz w:val="24"/>
          <w:szCs w:val="24"/>
          <w14:ligatures w14:val="standardContextual"/>
        </w:rPr>
      </w:pPr>
      <w:hyperlink w:history="1" w:anchor="_Toc212447328">
        <w:r w:rsidRPr="00600870">
          <w:rPr>
            <w:rStyle w:val="Hyperlink"/>
            <w:noProof/>
          </w:rPr>
          <w:t>8.</w:t>
        </w:r>
        <w:r>
          <w:rPr>
            <w:rFonts w:asciiTheme="minorHAnsi" w:hAnsiTheme="minorHAnsi" w:cstheme="minorBidi"/>
            <w:noProof/>
            <w:kern w:val="2"/>
            <w:sz w:val="24"/>
            <w:szCs w:val="24"/>
            <w14:ligatures w14:val="standardContextual"/>
          </w:rPr>
          <w:tab/>
        </w:r>
        <w:r w:rsidRPr="00600870">
          <w:rPr>
            <w:rStyle w:val="Hyperlink"/>
            <w:noProof/>
          </w:rPr>
          <w:t>Assignment of Proceeding</w:t>
        </w:r>
        <w:r>
          <w:rPr>
            <w:noProof/>
            <w:webHidden/>
          </w:rPr>
          <w:tab/>
        </w:r>
        <w:r>
          <w:rPr>
            <w:noProof/>
            <w:webHidden/>
          </w:rPr>
          <w:fldChar w:fldCharType="begin"/>
        </w:r>
        <w:r>
          <w:rPr>
            <w:noProof/>
            <w:webHidden/>
          </w:rPr>
          <w:instrText xml:space="preserve"> PAGEREF _Toc212447328 \h </w:instrText>
        </w:r>
        <w:r>
          <w:rPr>
            <w:noProof/>
            <w:webHidden/>
          </w:rPr>
        </w:r>
        <w:r>
          <w:rPr>
            <w:noProof/>
            <w:webHidden/>
          </w:rPr>
          <w:fldChar w:fldCharType="separate"/>
        </w:r>
        <w:r>
          <w:rPr>
            <w:noProof/>
            <w:webHidden/>
          </w:rPr>
          <w:t>17</w:t>
        </w:r>
        <w:r>
          <w:rPr>
            <w:noProof/>
            <w:webHidden/>
          </w:rPr>
          <w:fldChar w:fldCharType="end"/>
        </w:r>
      </w:hyperlink>
    </w:p>
    <w:p w:rsidR="005B1C33" w:rsidRDefault="005B1C33" w14:paraId="49630EF9" w14:textId="49C93A97">
      <w:pPr>
        <w:pStyle w:val="TOC1"/>
        <w:tabs>
          <w:tab w:val="right" w:leader="dot" w:pos="9350"/>
        </w:tabs>
        <w:rPr>
          <w:rFonts w:asciiTheme="minorHAnsi" w:hAnsiTheme="minorHAnsi" w:cstheme="minorBidi"/>
          <w:noProof/>
          <w:kern w:val="2"/>
          <w:sz w:val="24"/>
          <w:szCs w:val="24"/>
          <w14:ligatures w14:val="standardContextual"/>
        </w:rPr>
      </w:pPr>
      <w:hyperlink w:history="1" w:anchor="_Toc212447329">
        <w:r w:rsidRPr="00600870">
          <w:rPr>
            <w:rStyle w:val="Hyperlink"/>
            <w:noProof/>
          </w:rPr>
          <w:t>Findings of Fact</w:t>
        </w:r>
        <w:r>
          <w:rPr>
            <w:noProof/>
            <w:webHidden/>
          </w:rPr>
          <w:tab/>
        </w:r>
        <w:r>
          <w:rPr>
            <w:noProof/>
            <w:webHidden/>
          </w:rPr>
          <w:fldChar w:fldCharType="begin"/>
        </w:r>
        <w:r>
          <w:rPr>
            <w:noProof/>
            <w:webHidden/>
          </w:rPr>
          <w:instrText xml:space="preserve"> PAGEREF _Toc212447329 \h </w:instrText>
        </w:r>
        <w:r>
          <w:rPr>
            <w:noProof/>
            <w:webHidden/>
          </w:rPr>
        </w:r>
        <w:r>
          <w:rPr>
            <w:noProof/>
            <w:webHidden/>
          </w:rPr>
          <w:fldChar w:fldCharType="separate"/>
        </w:r>
        <w:r>
          <w:rPr>
            <w:noProof/>
            <w:webHidden/>
          </w:rPr>
          <w:t>17</w:t>
        </w:r>
        <w:r>
          <w:rPr>
            <w:noProof/>
            <w:webHidden/>
          </w:rPr>
          <w:fldChar w:fldCharType="end"/>
        </w:r>
      </w:hyperlink>
    </w:p>
    <w:p w:rsidR="005B1C33" w:rsidRDefault="005B1C33" w14:paraId="78423F65" w14:textId="7FBDDCEB">
      <w:pPr>
        <w:pStyle w:val="TOC1"/>
        <w:tabs>
          <w:tab w:val="right" w:leader="dot" w:pos="9350"/>
        </w:tabs>
        <w:rPr>
          <w:rFonts w:asciiTheme="minorHAnsi" w:hAnsiTheme="minorHAnsi" w:cstheme="minorBidi"/>
          <w:noProof/>
          <w:kern w:val="2"/>
          <w:sz w:val="24"/>
          <w:szCs w:val="24"/>
          <w14:ligatures w14:val="standardContextual"/>
        </w:rPr>
      </w:pPr>
      <w:hyperlink w:history="1" w:anchor="_Toc212447330">
        <w:r w:rsidRPr="00600870">
          <w:rPr>
            <w:rStyle w:val="Hyperlink"/>
            <w:noProof/>
          </w:rPr>
          <w:t>Conclusions of Law</w:t>
        </w:r>
        <w:r>
          <w:rPr>
            <w:noProof/>
            <w:webHidden/>
          </w:rPr>
          <w:tab/>
        </w:r>
        <w:r>
          <w:rPr>
            <w:noProof/>
            <w:webHidden/>
          </w:rPr>
          <w:fldChar w:fldCharType="begin"/>
        </w:r>
        <w:r>
          <w:rPr>
            <w:noProof/>
            <w:webHidden/>
          </w:rPr>
          <w:instrText xml:space="preserve"> PAGEREF _Toc212447330 \h </w:instrText>
        </w:r>
        <w:r>
          <w:rPr>
            <w:noProof/>
            <w:webHidden/>
          </w:rPr>
        </w:r>
        <w:r>
          <w:rPr>
            <w:noProof/>
            <w:webHidden/>
          </w:rPr>
          <w:fldChar w:fldCharType="separate"/>
        </w:r>
        <w:r>
          <w:rPr>
            <w:noProof/>
            <w:webHidden/>
          </w:rPr>
          <w:t>18</w:t>
        </w:r>
        <w:r>
          <w:rPr>
            <w:noProof/>
            <w:webHidden/>
          </w:rPr>
          <w:fldChar w:fldCharType="end"/>
        </w:r>
      </w:hyperlink>
    </w:p>
    <w:p w:rsidR="005B1C33" w:rsidRDefault="005B1C33" w14:paraId="2086F6D6" w14:textId="4017C719">
      <w:pPr>
        <w:pStyle w:val="TOC1"/>
        <w:tabs>
          <w:tab w:val="right" w:leader="dot" w:pos="9350"/>
        </w:tabs>
        <w:rPr>
          <w:rFonts w:asciiTheme="minorHAnsi" w:hAnsiTheme="minorHAnsi" w:cstheme="minorBidi"/>
          <w:noProof/>
          <w:kern w:val="2"/>
          <w:sz w:val="24"/>
          <w:szCs w:val="24"/>
          <w14:ligatures w14:val="standardContextual"/>
        </w:rPr>
      </w:pPr>
      <w:hyperlink w:history="1" w:anchor="_Toc212447331">
        <w:r w:rsidRPr="00600870">
          <w:rPr>
            <w:rStyle w:val="Hyperlink"/>
            <w:noProof/>
          </w:rPr>
          <w:t>ORDER</w:t>
        </w:r>
        <w:r>
          <w:rPr>
            <w:noProof/>
            <w:webHidden/>
          </w:rPr>
          <w:tab/>
        </w:r>
        <w:r>
          <w:rPr>
            <w:noProof/>
            <w:webHidden/>
          </w:rPr>
          <w:fldChar w:fldCharType="begin"/>
        </w:r>
        <w:r>
          <w:rPr>
            <w:noProof/>
            <w:webHidden/>
          </w:rPr>
          <w:instrText xml:space="preserve"> PAGEREF _Toc212447331 \h </w:instrText>
        </w:r>
        <w:r>
          <w:rPr>
            <w:noProof/>
            <w:webHidden/>
          </w:rPr>
        </w:r>
        <w:r>
          <w:rPr>
            <w:noProof/>
            <w:webHidden/>
          </w:rPr>
          <w:fldChar w:fldCharType="separate"/>
        </w:r>
        <w:r>
          <w:rPr>
            <w:noProof/>
            <w:webHidden/>
          </w:rPr>
          <w:t>19</w:t>
        </w:r>
        <w:r>
          <w:rPr>
            <w:noProof/>
            <w:webHidden/>
          </w:rPr>
          <w:fldChar w:fldCharType="end"/>
        </w:r>
      </w:hyperlink>
    </w:p>
    <w:p w:rsidR="005B1C33" w:rsidRDefault="005B1C33" w14:paraId="74B82E01" w14:textId="691ADB8A">
      <w:pPr>
        <w:pStyle w:val="TOC1"/>
        <w:tabs>
          <w:tab w:val="right" w:leader="dot" w:pos="9350"/>
        </w:tabs>
        <w:rPr>
          <w:rFonts w:asciiTheme="minorHAnsi" w:hAnsiTheme="minorHAnsi" w:cstheme="minorBidi"/>
          <w:noProof/>
          <w:kern w:val="2"/>
          <w:sz w:val="24"/>
          <w:szCs w:val="24"/>
          <w14:ligatures w14:val="standardContextual"/>
        </w:rPr>
      </w:pPr>
      <w:hyperlink w:history="1" w:anchor="_Toc212447332">
        <w:r w:rsidRPr="00600870">
          <w:rPr>
            <w:rStyle w:val="Hyperlink"/>
            <w:noProof/>
          </w:rPr>
          <w:t>ATTACHMENT A</w:t>
        </w:r>
        <w:r>
          <w:rPr>
            <w:noProof/>
            <w:webHidden/>
          </w:rPr>
          <w:tab/>
        </w:r>
        <w:r>
          <w:rPr>
            <w:noProof/>
            <w:webHidden/>
          </w:rPr>
          <w:fldChar w:fldCharType="begin"/>
        </w:r>
        <w:r>
          <w:rPr>
            <w:noProof/>
            <w:webHidden/>
          </w:rPr>
          <w:instrText xml:space="preserve"> PAGEREF _Toc212447332 \h </w:instrText>
        </w:r>
        <w:r>
          <w:rPr>
            <w:noProof/>
            <w:webHidden/>
          </w:rPr>
        </w:r>
        <w:r>
          <w:rPr>
            <w:noProof/>
            <w:webHidden/>
          </w:rPr>
          <w:fldChar w:fldCharType="separate"/>
        </w:r>
        <w:r>
          <w:rPr>
            <w:noProof/>
            <w:webHidden/>
          </w:rPr>
          <w:t xml:space="preserve"> 21</w:t>
        </w:r>
        <w:r>
          <w:rPr>
            <w:noProof/>
            <w:webHidden/>
          </w:rPr>
          <w:fldChar w:fldCharType="end"/>
        </w:r>
      </w:hyperlink>
    </w:p>
    <w:p w:rsidR="006F2B97" w:rsidP="009C6CE9" w:rsidRDefault="00E56FAA" w14:paraId="5405ADEE" w14:textId="58C9DA64">
      <w:pPr>
        <w:pStyle w:val="TOC1"/>
        <w:tabs>
          <w:tab w:val="right" w:leader="dot" w:pos="9345"/>
        </w:tabs>
        <w:ind w:left="0" w:firstLine="0"/>
      </w:pPr>
      <w:r>
        <w:fldChar w:fldCharType="end"/>
      </w:r>
    </w:p>
    <w:p w:rsidRPr="00D81A03" w:rsidR="00586BF7" w:rsidP="00D44DB6" w:rsidRDefault="00586BF7" w14:paraId="46CC5969" w14:textId="2E743C85">
      <w:pPr>
        <w:spacing w:line="240" w:lineRule="auto"/>
        <w:ind w:firstLine="0"/>
        <w:rPr>
          <w:rFonts w:cs="Arial"/>
          <w:i/>
          <w:color w:val="FF0000"/>
          <w:szCs w:val="26"/>
        </w:rPr>
        <w:sectPr w:rsidRPr="00D81A03" w:rsidR="00586BF7" w:rsidSect="00D44DB6">
          <w:headerReference w:type="default" r:id="rId13"/>
          <w:footerReference w:type="default" r:id="rId14"/>
          <w:pgSz w:w="12240" w:h="15840"/>
          <w:pgMar w:top="1728" w:right="1440" w:bottom="1440" w:left="1440" w:header="720" w:footer="720" w:gutter="0"/>
          <w:pgNumType w:fmt="lowerRoman" w:start="1"/>
          <w:cols w:space="720"/>
          <w:docGrid w:linePitch="360"/>
        </w:sectPr>
      </w:pPr>
    </w:p>
    <w:p w:rsidRPr="00B72C1B" w:rsidR="00D65C7B" w:rsidP="00B72C1B" w:rsidRDefault="00882FA5" w14:paraId="38FBFFE1" w14:textId="79DF521E">
      <w:pPr>
        <w:spacing w:line="240" w:lineRule="auto"/>
        <w:jc w:val="center"/>
        <w:rPr>
          <w:rFonts w:ascii="Arial" w:hAnsi="Arial" w:cs="Arial"/>
          <w:b/>
          <w:bCs/>
        </w:rPr>
      </w:pPr>
      <w:bookmarkStart w:name="_Toc8123714" w:id="2"/>
      <w:r w:rsidRPr="00B72C1B">
        <w:rPr>
          <w:rFonts w:ascii="Arial" w:hAnsi="Arial" w:cs="Arial"/>
          <w:b/>
          <w:bCs/>
        </w:rPr>
        <w:lastRenderedPageBreak/>
        <w:t>DECISION ADOPTING SETTLEMENT AGREEMENT AND AUTHOR</w:t>
      </w:r>
      <w:r w:rsidRPr="00B72C1B" w:rsidR="00330B67">
        <w:rPr>
          <w:rFonts w:ascii="Arial" w:hAnsi="Arial" w:cs="Arial"/>
          <w:b/>
          <w:bCs/>
        </w:rPr>
        <w:t>IZ</w:t>
      </w:r>
      <w:r w:rsidRPr="00B72C1B">
        <w:rPr>
          <w:rFonts w:ascii="Arial" w:hAnsi="Arial" w:cs="Arial"/>
          <w:b/>
          <w:bCs/>
        </w:rPr>
        <w:t>ING INITIAL RATES FOR WATER SERVICE IN SUTTER POINTE CUSTOMER SERVICE AREA FOR 2026, 2027, AND 2028</w:t>
      </w:r>
    </w:p>
    <w:p w:rsidRPr="00EE36D3" w:rsidR="005A148C" w:rsidP="00D65C7B" w:rsidRDefault="005A148C" w14:paraId="0E01D569" w14:textId="3B61FB8C">
      <w:pPr>
        <w:pStyle w:val="Dummy"/>
      </w:pPr>
      <w:bookmarkStart w:name="_Toc212447308" w:id="3"/>
      <w:r w:rsidRPr="00EE36D3">
        <w:t>Summary</w:t>
      </w:r>
      <w:bookmarkEnd w:id="2"/>
      <w:bookmarkEnd w:id="3"/>
    </w:p>
    <w:p w:rsidR="009C2174" w:rsidP="00C73417" w:rsidRDefault="00EE36D3" w14:paraId="157B37EC" w14:textId="59EE1C58">
      <w:pPr>
        <w:pStyle w:val="Standard"/>
      </w:pPr>
      <w:r w:rsidRPr="00EE36D3">
        <w:t>This decision</w:t>
      </w:r>
      <w:r w:rsidR="00527899">
        <w:t xml:space="preserve"> grants the joint motion by the Public Advocates Office </w:t>
      </w:r>
      <w:r w:rsidR="0093538D">
        <w:t xml:space="preserve">at the California Public Utilities Commission </w:t>
      </w:r>
      <w:r w:rsidR="00527899">
        <w:t xml:space="preserve">and Golden State Water Company </w:t>
      </w:r>
      <w:r w:rsidR="00F11D44">
        <w:t xml:space="preserve">for adoption of </w:t>
      </w:r>
      <w:r w:rsidR="00071941">
        <w:t xml:space="preserve">a </w:t>
      </w:r>
      <w:r w:rsidR="00F11D44">
        <w:t xml:space="preserve">settlement agreement attached to this decision as </w:t>
      </w:r>
      <w:r w:rsidR="007A6118">
        <w:t xml:space="preserve">Attachment </w:t>
      </w:r>
      <w:r w:rsidR="00F11D44">
        <w:t>A</w:t>
      </w:r>
    </w:p>
    <w:p w:rsidR="00131C7C" w:rsidP="003A6229" w:rsidRDefault="00701673" w14:paraId="01C621C2" w14:textId="546950D6">
      <w:pPr>
        <w:pStyle w:val="Standard"/>
      </w:pPr>
      <w:r>
        <w:t>This decision also adopts the revenue requirement for test year 2026 and two subsequent years</w:t>
      </w:r>
      <w:r w:rsidR="003A6229">
        <w:t xml:space="preserve">, as follows: </w:t>
      </w:r>
      <w:r w:rsidR="00F90C0A">
        <w:t>$229,366</w:t>
      </w:r>
      <w:r w:rsidR="003A6229">
        <w:t xml:space="preserve"> for 2026; </w:t>
      </w:r>
      <w:r w:rsidR="00DC284E">
        <w:t>$596,104</w:t>
      </w:r>
      <w:r w:rsidR="003A6229">
        <w:t xml:space="preserve"> for 2027, and </w:t>
      </w:r>
      <w:r w:rsidR="00DC284E">
        <w:t>$872,417</w:t>
      </w:r>
      <w:r w:rsidR="003A6229">
        <w:t xml:space="preserve"> for 2028. </w:t>
      </w:r>
    </w:p>
    <w:p w:rsidRPr="00EE36D3" w:rsidR="00EE36D3" w:rsidP="00EE36D3" w:rsidRDefault="009C2174" w14:paraId="73C0325A" w14:textId="1A1B3107">
      <w:pPr>
        <w:pStyle w:val="Standard"/>
      </w:pPr>
      <w:r>
        <w:t xml:space="preserve">This proceeding is closed. </w:t>
      </w:r>
      <w:r w:rsidR="00EE36D3">
        <w:t xml:space="preserve"> </w:t>
      </w:r>
    </w:p>
    <w:p w:rsidR="0063491C" w:rsidP="00EE36D3" w:rsidRDefault="0063491C" w14:paraId="31E7B74C" w14:textId="203494D0">
      <w:pPr>
        <w:pStyle w:val="Heading1"/>
      </w:pPr>
      <w:bookmarkStart w:name="_Toc8123717" w:id="4"/>
      <w:bookmarkStart w:name="_Toc212447309" w:id="5"/>
      <w:r w:rsidRPr="00C33ED6">
        <w:t>Procedural Background</w:t>
      </w:r>
      <w:bookmarkEnd w:id="4"/>
      <w:bookmarkEnd w:id="5"/>
    </w:p>
    <w:p w:rsidR="00D53FAB" w:rsidP="00D53FAB" w:rsidRDefault="00EF1EF3" w14:paraId="48E8F087" w14:textId="77777777">
      <w:pPr>
        <w:pStyle w:val="Standard"/>
      </w:pPr>
      <w:r>
        <w:t>On August 26, 202</w:t>
      </w:r>
      <w:r w:rsidR="00776250">
        <w:t xml:space="preserve">4, Golden State Water Company (GSW) filed Application (A.) 24-08-011 for </w:t>
      </w:r>
      <w:r w:rsidRPr="00776250" w:rsidR="00776250">
        <w:t>an order authorizing initial rates for water service in its Sutter Pointe Customer Service Area for the years 2026, 2027, and 2028</w:t>
      </w:r>
      <w:r w:rsidR="00C0561B">
        <w:t>.</w:t>
      </w:r>
    </w:p>
    <w:p w:rsidR="00E76595" w:rsidP="00E76595" w:rsidRDefault="00BC47B0" w14:paraId="362220A5" w14:textId="6EE0350F">
      <w:pPr>
        <w:pStyle w:val="Standard"/>
      </w:pPr>
      <w:r>
        <w:t>On September 25, 2024</w:t>
      </w:r>
      <w:r w:rsidR="00E76595">
        <w:t xml:space="preserve">, </w:t>
      </w:r>
      <w:r w:rsidR="00C0561B">
        <w:t xml:space="preserve">the Public Advocates Office </w:t>
      </w:r>
      <w:r w:rsidR="00AC536B">
        <w:t>at the California Public Utilities Commission (</w:t>
      </w:r>
      <w:r w:rsidR="000C2E05">
        <w:t>Commission</w:t>
      </w:r>
      <w:r w:rsidR="00AC536B">
        <w:t xml:space="preserve">) </w:t>
      </w:r>
      <w:r w:rsidR="00C0561B">
        <w:t xml:space="preserve">filed a Protest to the Application. </w:t>
      </w:r>
    </w:p>
    <w:p w:rsidR="00C0561B" w:rsidP="00C0561B" w:rsidRDefault="00C0561B" w14:paraId="64EA4C03" w14:textId="570E3412">
      <w:pPr>
        <w:pStyle w:val="Standard"/>
      </w:pPr>
      <w:r>
        <w:t xml:space="preserve">On October </w:t>
      </w:r>
      <w:r w:rsidR="00E76595">
        <w:t>7</w:t>
      </w:r>
      <w:r>
        <w:t>, 202</w:t>
      </w:r>
      <w:r w:rsidR="00E76595">
        <w:t>4</w:t>
      </w:r>
      <w:r>
        <w:t xml:space="preserve">, </w:t>
      </w:r>
      <w:r w:rsidR="006405D0">
        <w:t>GSW</w:t>
      </w:r>
      <w:r>
        <w:t xml:space="preserve"> filed a Reply to Protest. </w:t>
      </w:r>
    </w:p>
    <w:p w:rsidR="00C33ED6" w:rsidP="00C0561B" w:rsidRDefault="00C0561B" w14:paraId="354D8180" w14:textId="7A05BEA4">
      <w:pPr>
        <w:pStyle w:val="Standard"/>
      </w:pPr>
      <w:r>
        <w:t>The Commission held a telephonic prehearing conference on October</w:t>
      </w:r>
      <w:r w:rsidR="00EC5419">
        <w:t> </w:t>
      </w:r>
      <w:r w:rsidR="00E76595">
        <w:t>29, 2024,</w:t>
      </w:r>
      <w:r>
        <w:t xml:space="preserve"> to determine the schedule and scope of the proceeding</w:t>
      </w:r>
      <w:r w:rsidR="00A57A0E">
        <w:t>.</w:t>
      </w:r>
      <w:r w:rsidR="00902DDF">
        <w:t xml:space="preserve"> </w:t>
      </w:r>
    </w:p>
    <w:p w:rsidR="000334EA" w:rsidP="00B72C1B" w:rsidRDefault="00B653B7" w14:paraId="6A7F55CB" w14:textId="19CC7731">
      <w:pPr>
        <w:pStyle w:val="Standard"/>
      </w:pPr>
      <w:r>
        <w:t xml:space="preserve">On </w:t>
      </w:r>
      <w:r w:rsidR="00164FD9">
        <w:t xml:space="preserve">December </w:t>
      </w:r>
      <w:r w:rsidR="00611A60">
        <w:t xml:space="preserve">13, </w:t>
      </w:r>
      <w:r>
        <w:t xml:space="preserve">2024, </w:t>
      </w:r>
      <w:r w:rsidR="00DD02B1">
        <w:t xml:space="preserve">Commissioner </w:t>
      </w:r>
      <w:r w:rsidR="00611A60">
        <w:t>Houck</w:t>
      </w:r>
      <w:r w:rsidR="00DD02B1">
        <w:t xml:space="preserve"> issued Assigned Commissioner’s Scoping Memo and Ruling (Scoping Ruling or Scoping Memo). </w:t>
      </w:r>
    </w:p>
    <w:p w:rsidR="000334EA" w:rsidP="00C0561B" w:rsidRDefault="00A671A1" w14:paraId="729D2599" w14:textId="685BDBBF">
      <w:pPr>
        <w:pStyle w:val="Standard"/>
      </w:pPr>
      <w:r>
        <w:t xml:space="preserve">On January 15, 2025, GSW filed a Settlement Status Report that </w:t>
      </w:r>
      <w:r w:rsidR="00E035C5">
        <w:t xml:space="preserve">stated </w:t>
      </w:r>
      <w:proofErr w:type="gramStart"/>
      <w:r w:rsidR="00E035C5">
        <w:t>GSW</w:t>
      </w:r>
      <w:proofErr w:type="gramEnd"/>
      <w:r w:rsidR="00E035C5">
        <w:t xml:space="preserve"> and the Public Advocates Office reached a settlement on all disputed issues in the proceeding and requested the cancellation of evidentiary hearing. </w:t>
      </w:r>
    </w:p>
    <w:p w:rsidR="00E035C5" w:rsidP="00C0561B" w:rsidRDefault="004D518A" w14:paraId="162C0F32" w14:textId="0535D17C">
      <w:pPr>
        <w:pStyle w:val="Standard"/>
      </w:pPr>
      <w:r>
        <w:t xml:space="preserve">On February 14, 2025, the </w:t>
      </w:r>
      <w:r w:rsidR="000C2E05">
        <w:t>assigned Administrative Law Judge (ALJ)</w:t>
      </w:r>
      <w:r>
        <w:t xml:space="preserve"> issued a Ruling Setting a Deadline for Settlement Agreement. </w:t>
      </w:r>
    </w:p>
    <w:p w:rsidR="003D356F" w:rsidP="00C22E33" w:rsidRDefault="004D518A" w14:paraId="351F5243" w14:textId="203CC230">
      <w:pPr>
        <w:pStyle w:val="Standard"/>
      </w:pPr>
      <w:r>
        <w:lastRenderedPageBreak/>
        <w:t xml:space="preserve">On March 7, 2025, </w:t>
      </w:r>
      <w:r w:rsidR="00C22E33">
        <w:t>GSW and the Public Advocates Office filed a Joint Motion for Adoption of Settlement Agreement</w:t>
      </w:r>
      <w:r w:rsidR="004E7FC5">
        <w:t xml:space="preserve">. </w:t>
      </w:r>
    </w:p>
    <w:p w:rsidR="003A6229" w:rsidP="00C22E33" w:rsidRDefault="003A6229" w14:paraId="41861BD8" w14:textId="19D9A0E0">
      <w:pPr>
        <w:pStyle w:val="Standard"/>
      </w:pPr>
      <w:r>
        <w:t xml:space="preserve">On </w:t>
      </w:r>
      <w:r w:rsidR="00645C5F">
        <w:t>June 19, 2025, the ALJ issued a ruling directing the filing of additional information. On June 24, 2025, the Settling Parties filed a Joint Response to the ALJ Ruling</w:t>
      </w:r>
      <w:r w:rsidR="00D42441">
        <w:t xml:space="preserve"> (Joint Response)</w:t>
      </w:r>
      <w:r w:rsidR="00645C5F">
        <w:t xml:space="preserve">. </w:t>
      </w:r>
    </w:p>
    <w:p w:rsidR="001757A7" w:rsidP="00A03F74" w:rsidRDefault="001757A7" w14:paraId="75C64CCB" w14:textId="47E4CAEE">
      <w:pPr>
        <w:pStyle w:val="Standard"/>
      </w:pPr>
      <w:r>
        <w:t xml:space="preserve">This proceeding was submitted on </w:t>
      </w:r>
      <w:r w:rsidR="00516FDC">
        <w:t>June 24,</w:t>
      </w:r>
      <w:r w:rsidR="00C22E33">
        <w:t xml:space="preserve"> 2025</w:t>
      </w:r>
      <w:r w:rsidR="00D67568">
        <w:t>.</w:t>
      </w:r>
      <w:r>
        <w:t xml:space="preserve"> </w:t>
      </w:r>
    </w:p>
    <w:p w:rsidR="001757A7" w:rsidP="00C33ED6" w:rsidRDefault="001757A7" w14:paraId="582AD058" w14:textId="3CD3C26E">
      <w:pPr>
        <w:pStyle w:val="Heading1"/>
      </w:pPr>
      <w:bookmarkStart w:name="_Toc212447310" w:id="6"/>
      <w:r>
        <w:t>Issues Before the Commission</w:t>
      </w:r>
      <w:bookmarkEnd w:id="6"/>
    </w:p>
    <w:p w:rsidR="00517080" w:rsidP="00AA2469" w:rsidRDefault="003A63BB" w14:paraId="18089B12" w14:textId="134874A6">
      <w:pPr>
        <w:pStyle w:val="Standard"/>
      </w:pPr>
      <w:r>
        <w:t xml:space="preserve">The Settlement Agreement in this proceeding resolves </w:t>
      </w:r>
      <w:r w:rsidR="00212853">
        <w:t>all</w:t>
      </w:r>
      <w:r>
        <w:t xml:space="preserve"> issues</w:t>
      </w:r>
      <w:r w:rsidR="00DB60D6">
        <w:t xml:space="preserve"> presented for Commission consideration</w:t>
      </w:r>
      <w:r>
        <w:t xml:space="preserve">. </w:t>
      </w:r>
      <w:r w:rsidR="001757A7">
        <w:t xml:space="preserve">The issues </w:t>
      </w:r>
      <w:r w:rsidR="002406C5">
        <w:t>are as follows</w:t>
      </w:r>
      <w:r w:rsidR="00D5134E">
        <w:t xml:space="preserve">, numbered according to </w:t>
      </w:r>
      <w:r w:rsidR="000C2E05">
        <w:t>order</w:t>
      </w:r>
      <w:r w:rsidR="00D5134E">
        <w:t xml:space="preserve"> presented in the Scoping Ruling</w:t>
      </w:r>
      <w:r w:rsidR="002406C5">
        <w:t>:</w:t>
      </w:r>
    </w:p>
    <w:p w:rsidR="00517080" w:rsidP="00517080" w:rsidRDefault="00517080" w14:paraId="34DB78A9" w14:textId="77777777">
      <w:pPr>
        <w:pStyle w:val="ListNum"/>
        <w:ind w:right="1440"/>
      </w:pPr>
      <w:r w:rsidRPr="0009336E">
        <w:t>Whether Golden State Water’s proposed initial rate revenues for 2026, 2027, and 2028 are just and reasonable, including:</w:t>
      </w:r>
    </w:p>
    <w:p w:rsidR="00517080" w:rsidP="008C6406" w:rsidRDefault="00517080" w14:paraId="5435F5A4" w14:textId="7E174198">
      <w:pPr>
        <w:pStyle w:val="ListAlpha"/>
        <w:ind w:left="1530" w:right="1440"/>
      </w:pPr>
      <w:r w:rsidRPr="0009336E">
        <w:t xml:space="preserve">Whether Golden State Water’s estimates for its O&amp;M and A&amp;G expenses are just and </w:t>
      </w:r>
      <w:proofErr w:type="gramStart"/>
      <w:r w:rsidRPr="0009336E">
        <w:t>reasonable;</w:t>
      </w:r>
      <w:proofErr w:type="gramEnd"/>
      <w:r w:rsidRPr="0009336E">
        <w:t xml:space="preserve"> </w:t>
      </w:r>
    </w:p>
    <w:p w:rsidRPr="0009336E" w:rsidR="00517080" w:rsidP="008C6406" w:rsidRDefault="00517080" w14:paraId="21C5DC4B" w14:textId="7A1D53CE">
      <w:pPr>
        <w:pStyle w:val="ListAlpha"/>
        <w:ind w:left="1530" w:right="1440"/>
      </w:pPr>
      <w:r w:rsidRPr="0009336E">
        <w:t xml:space="preserve">Whether Golden State Water’s estimates of rate base are just and </w:t>
      </w:r>
      <w:proofErr w:type="gramStart"/>
      <w:r w:rsidRPr="0009336E">
        <w:t>reasonable;</w:t>
      </w:r>
      <w:proofErr w:type="gramEnd"/>
      <w:r w:rsidRPr="0009336E">
        <w:t xml:space="preserve"> </w:t>
      </w:r>
    </w:p>
    <w:p w:rsidRPr="0009336E" w:rsidR="00517080" w:rsidP="008C6406" w:rsidRDefault="00517080" w14:paraId="3EA0EDA8" w14:textId="6715AA01">
      <w:pPr>
        <w:pStyle w:val="ListAlpha"/>
        <w:ind w:left="1530" w:right="1440"/>
      </w:pPr>
      <w:r w:rsidRPr="0009336E">
        <w:t xml:space="preserve">Whether Golden State Water’s proposed additions to its plant budgets are accurate, just, and </w:t>
      </w:r>
      <w:proofErr w:type="gramStart"/>
      <w:r w:rsidRPr="0009336E">
        <w:t>reasonable;</w:t>
      </w:r>
      <w:proofErr w:type="gramEnd"/>
      <w:r w:rsidRPr="0009336E">
        <w:t xml:space="preserve"> </w:t>
      </w:r>
    </w:p>
    <w:p w:rsidRPr="0009336E" w:rsidR="00517080" w:rsidP="008C6406" w:rsidRDefault="00517080" w14:paraId="3ECA19A7" w14:textId="333D6D25">
      <w:pPr>
        <w:pStyle w:val="ListAlpha"/>
        <w:ind w:left="1530" w:right="1440"/>
      </w:pPr>
      <w:r w:rsidRPr="0009336E">
        <w:t xml:space="preserve">Whether Golden State Water’s proposed sales forecasts and rate designs are just and reasonable. </w:t>
      </w:r>
    </w:p>
    <w:p w:rsidRPr="0009336E" w:rsidR="00517080" w:rsidP="00517080" w:rsidRDefault="00517080" w14:paraId="6A46EA6A" w14:textId="77777777">
      <w:pPr>
        <w:pStyle w:val="Standard"/>
        <w:spacing w:after="120" w:line="240" w:lineRule="auto"/>
        <w:ind w:left="1080" w:right="1440" w:hanging="360"/>
      </w:pPr>
      <w:r w:rsidRPr="0009336E">
        <w:t>2.</w:t>
      </w:r>
      <w:r w:rsidRPr="0009336E">
        <w:tab/>
        <w:t xml:space="preserve">Whether Golden State Water’s customer service and safety programs are adequately designed to address customer </w:t>
      </w:r>
      <w:proofErr w:type="gramStart"/>
      <w:r w:rsidRPr="0009336E">
        <w:t>needs;</w:t>
      </w:r>
      <w:proofErr w:type="gramEnd"/>
      <w:r w:rsidRPr="0009336E">
        <w:t xml:space="preserve"> </w:t>
      </w:r>
    </w:p>
    <w:p w:rsidRPr="0009336E" w:rsidR="00517080" w:rsidP="00517080" w:rsidRDefault="00517080" w14:paraId="3D9BE10A" w14:textId="77777777">
      <w:pPr>
        <w:pStyle w:val="CoL"/>
        <w:numPr>
          <w:ilvl w:val="0"/>
          <w:numId w:val="0"/>
        </w:numPr>
        <w:spacing w:after="120" w:line="240" w:lineRule="auto"/>
        <w:ind w:left="1080" w:right="1440" w:hanging="360"/>
      </w:pPr>
      <w:r w:rsidRPr="0009336E">
        <w:t>3.</w:t>
      </w:r>
      <w:r w:rsidRPr="0009336E">
        <w:tab/>
        <w:t xml:space="preserve">Whether Golden State Water’s Application complies with all statutory and regulatory </w:t>
      </w:r>
      <w:proofErr w:type="gramStart"/>
      <w:r w:rsidRPr="0009336E">
        <w:t>requirements;</w:t>
      </w:r>
      <w:proofErr w:type="gramEnd"/>
      <w:r w:rsidRPr="0009336E">
        <w:t xml:space="preserve"> </w:t>
      </w:r>
    </w:p>
    <w:p w:rsidRPr="0009336E" w:rsidR="00517080" w:rsidP="00517080" w:rsidRDefault="00517080" w14:paraId="20151221" w14:textId="26F73D63">
      <w:pPr>
        <w:pStyle w:val="CoL"/>
        <w:numPr>
          <w:ilvl w:val="0"/>
          <w:numId w:val="0"/>
        </w:numPr>
        <w:spacing w:after="120" w:line="240" w:lineRule="auto"/>
        <w:ind w:left="1080" w:right="1440" w:hanging="360"/>
      </w:pPr>
      <w:r w:rsidRPr="0009336E">
        <w:t>4.</w:t>
      </w:r>
      <w:r w:rsidRPr="0009336E">
        <w:tab/>
      </w:r>
      <w:r w:rsidRPr="004826DA">
        <w:rPr>
          <w:u w:val="single"/>
        </w:rPr>
        <w:t>Special Request 1</w:t>
      </w:r>
      <w:r w:rsidRPr="0009336E">
        <w:t>:</w:t>
      </w:r>
      <w:r>
        <w:t xml:space="preserve"> </w:t>
      </w:r>
      <w:r w:rsidRPr="0009336E">
        <w:t xml:space="preserve">Whether Golden State’s request to include Sutter Pointe CSA in its next Companywide General Rate Case (GRC) is reasonable and in </w:t>
      </w:r>
      <w:proofErr w:type="gramStart"/>
      <w:r w:rsidRPr="0009336E">
        <w:t>the public</w:t>
      </w:r>
      <w:proofErr w:type="gramEnd"/>
      <w:r w:rsidRPr="0009336E">
        <w:t xml:space="preserve"> </w:t>
      </w:r>
      <w:proofErr w:type="gramStart"/>
      <w:r w:rsidRPr="0009336E">
        <w:t>interest;</w:t>
      </w:r>
      <w:proofErr w:type="gramEnd"/>
    </w:p>
    <w:p w:rsidRPr="0009336E" w:rsidR="00517080" w:rsidP="00517080" w:rsidRDefault="00517080" w14:paraId="63653921" w14:textId="77777777">
      <w:pPr>
        <w:pStyle w:val="CoL"/>
        <w:numPr>
          <w:ilvl w:val="0"/>
          <w:numId w:val="0"/>
        </w:numPr>
        <w:spacing w:after="120" w:line="240" w:lineRule="auto"/>
        <w:ind w:left="1080" w:right="1440" w:hanging="360"/>
      </w:pPr>
      <w:r w:rsidRPr="0009336E">
        <w:lastRenderedPageBreak/>
        <w:t>5.</w:t>
      </w:r>
      <w:r w:rsidRPr="0009336E">
        <w:tab/>
      </w:r>
      <w:r w:rsidRPr="004826DA">
        <w:rPr>
          <w:u w:val="single"/>
        </w:rPr>
        <w:t>Special Request 2</w:t>
      </w:r>
      <w:r w:rsidRPr="0009336E">
        <w:t>:</w:t>
      </w:r>
      <w:r>
        <w:t xml:space="preserve">  </w:t>
      </w:r>
      <w:r w:rsidRPr="0009336E">
        <w:t xml:space="preserve">Whether Golden State’s request for interim rates for 2025, prior to Test Year 2026, and authority to establish a memorandum account to track any over or </w:t>
      </w:r>
      <w:r>
        <w:t>under-collection</w:t>
      </w:r>
      <w:r w:rsidRPr="0009336E">
        <w:t xml:space="preserve"> that </w:t>
      </w:r>
      <w:r>
        <w:t>may</w:t>
      </w:r>
      <w:r w:rsidRPr="0009336E">
        <w:t xml:space="preserve"> occur in 2025 based on final rates approved for 2026 through a preliminary ruling is reasonable and in </w:t>
      </w:r>
      <w:proofErr w:type="gramStart"/>
      <w:r w:rsidRPr="0009336E">
        <w:t>the public</w:t>
      </w:r>
      <w:proofErr w:type="gramEnd"/>
      <w:r w:rsidRPr="0009336E">
        <w:t xml:space="preserve"> </w:t>
      </w:r>
      <w:proofErr w:type="gramStart"/>
      <w:r w:rsidRPr="0009336E">
        <w:t>interest;</w:t>
      </w:r>
      <w:proofErr w:type="gramEnd"/>
      <w:r w:rsidRPr="0009336E">
        <w:t xml:space="preserve"> </w:t>
      </w:r>
    </w:p>
    <w:p w:rsidRPr="0009336E" w:rsidR="00517080" w:rsidP="00517080" w:rsidRDefault="00517080" w14:paraId="3D4D8938" w14:textId="77777777">
      <w:pPr>
        <w:pStyle w:val="CoL"/>
        <w:numPr>
          <w:ilvl w:val="0"/>
          <w:numId w:val="0"/>
        </w:numPr>
        <w:spacing w:after="120" w:line="240" w:lineRule="auto"/>
        <w:ind w:left="1080" w:right="1440" w:hanging="360"/>
      </w:pPr>
      <w:r w:rsidRPr="0009336E">
        <w:t>6.</w:t>
      </w:r>
      <w:r w:rsidRPr="0009336E">
        <w:tab/>
      </w:r>
      <w:r w:rsidRPr="004826DA">
        <w:rPr>
          <w:u w:val="single"/>
        </w:rPr>
        <w:t>Special Request 3</w:t>
      </w:r>
      <w:r w:rsidRPr="0009336E">
        <w:t>:</w:t>
      </w:r>
      <w:r>
        <w:t xml:space="preserve">  </w:t>
      </w:r>
      <w:r w:rsidRPr="0009336E">
        <w:t xml:space="preserve">Whether Golden State’s request to seek authorization to track costs related to Sutter Pointe CSA in certain company-wide balancing and memorandum accounts, such as the Customer Assistance Program Balancing Account, Catastrophic Event Memorandum Account, and Public Safety Power Shut-Offs Memorandum Account, is </w:t>
      </w:r>
      <w:proofErr w:type="gramStart"/>
      <w:r w:rsidRPr="0009336E">
        <w:t>reasonable;</w:t>
      </w:r>
      <w:proofErr w:type="gramEnd"/>
    </w:p>
    <w:p w:rsidRPr="0009336E" w:rsidR="00517080" w:rsidP="00517080" w:rsidRDefault="00517080" w14:paraId="62960834" w14:textId="77777777">
      <w:pPr>
        <w:pStyle w:val="CoL"/>
        <w:numPr>
          <w:ilvl w:val="0"/>
          <w:numId w:val="0"/>
        </w:numPr>
        <w:spacing w:after="120" w:line="240" w:lineRule="auto"/>
        <w:ind w:left="1080" w:right="1440" w:hanging="360"/>
      </w:pPr>
      <w:r w:rsidRPr="0009336E">
        <w:t>7.</w:t>
      </w:r>
      <w:r w:rsidRPr="0009336E">
        <w:tab/>
      </w:r>
      <w:r w:rsidRPr="004826DA">
        <w:rPr>
          <w:u w:val="single"/>
        </w:rPr>
        <w:t>Special Request 4</w:t>
      </w:r>
      <w:r w:rsidRPr="0009336E">
        <w:t>:</w:t>
      </w:r>
      <w:r>
        <w:t xml:space="preserve"> </w:t>
      </w:r>
      <w:r w:rsidRPr="0009336E">
        <w:t xml:space="preserve"> Whether Golden State’s request that the Commission review the costs recorded as of April 30, 2024</w:t>
      </w:r>
      <w:r>
        <w:t>,</w:t>
      </w:r>
      <w:r w:rsidRPr="0009336E">
        <w:t xml:space="preserve"> in the previously approved SPGRCMA is reasonable, and whether the memo account should remain open until a final decision in the current GRC is </w:t>
      </w:r>
      <w:proofErr w:type="gramStart"/>
      <w:r w:rsidRPr="0009336E">
        <w:t>issued;</w:t>
      </w:r>
      <w:proofErr w:type="gramEnd"/>
    </w:p>
    <w:p w:rsidR="00517080" w:rsidP="00517080" w:rsidRDefault="00517080" w14:paraId="1084AA09" w14:textId="77777777">
      <w:pPr>
        <w:pStyle w:val="CoL"/>
        <w:numPr>
          <w:ilvl w:val="0"/>
          <w:numId w:val="0"/>
        </w:numPr>
        <w:spacing w:after="120" w:line="240" w:lineRule="auto"/>
        <w:ind w:left="1080" w:right="1440" w:hanging="360"/>
      </w:pPr>
      <w:r w:rsidRPr="0009336E">
        <w:t>8.</w:t>
      </w:r>
      <w:r w:rsidRPr="0009336E">
        <w:tab/>
      </w:r>
      <w:r w:rsidRPr="004826DA">
        <w:rPr>
          <w:u w:val="single"/>
        </w:rPr>
        <w:t>Special Request 5</w:t>
      </w:r>
      <w:r w:rsidRPr="0009336E">
        <w:t>:</w:t>
      </w:r>
      <w:r>
        <w:t xml:space="preserve"> </w:t>
      </w:r>
      <w:r w:rsidRPr="0009336E">
        <w:t xml:space="preserve"> Whether Golden State’s request to apply any findings in its current GRC Application</w:t>
      </w:r>
      <w:r>
        <w:br/>
      </w:r>
      <w:r w:rsidRPr="0009336E">
        <w:t>(A.)23-08-010 with regards to its proposed new revenue decoupling program, the Water Conservation Advancement Plan (WCAP), is reasonable; and</w:t>
      </w:r>
    </w:p>
    <w:p w:rsidRPr="001757A7" w:rsidR="002406C5" w:rsidP="00517080" w:rsidRDefault="00517080" w14:paraId="3A640D7F" w14:textId="4D8F6F44">
      <w:pPr>
        <w:pStyle w:val="CoL"/>
        <w:numPr>
          <w:ilvl w:val="0"/>
          <w:numId w:val="0"/>
        </w:numPr>
        <w:spacing w:after="120" w:line="240" w:lineRule="auto"/>
        <w:ind w:left="1080" w:right="1440" w:hanging="360"/>
      </w:pPr>
      <w:r>
        <w:t xml:space="preserve">9.  </w:t>
      </w:r>
      <w:r w:rsidRPr="004826DA">
        <w:rPr>
          <w:u w:val="single"/>
        </w:rPr>
        <w:t>Special Request 6</w:t>
      </w:r>
      <w:r w:rsidRPr="0009336E">
        <w:t>: Whether Golden State’s request for an exception to the required attrition filing methodology in the Rate Case Plan and inclusion of rent and related costs of a temporary trailer in the attrition year 2027 is reasonabl</w:t>
      </w:r>
      <w:r>
        <w:t>e</w:t>
      </w:r>
      <w:r w:rsidR="00014369">
        <w:t xml:space="preserve">. </w:t>
      </w:r>
    </w:p>
    <w:p w:rsidR="008B1548" w:rsidP="00C33ED6" w:rsidRDefault="008B1548" w14:paraId="076FB423" w14:textId="2472D432">
      <w:pPr>
        <w:pStyle w:val="Heading1"/>
      </w:pPr>
      <w:bookmarkStart w:name="_Toc212447311" w:id="7"/>
      <w:r>
        <w:t>Settlement Agreement</w:t>
      </w:r>
      <w:bookmarkEnd w:id="7"/>
      <w:r>
        <w:t xml:space="preserve"> </w:t>
      </w:r>
    </w:p>
    <w:p w:rsidRPr="008B1548" w:rsidR="008B1548" w:rsidP="009A7001" w:rsidRDefault="00AA2469" w14:paraId="05251B72" w14:textId="3BFEA4BD">
      <w:pPr>
        <w:pStyle w:val="Standard"/>
      </w:pPr>
      <w:r>
        <w:t>On March 7, 2025, GSW and the Public Advocates Office filed a Joint Motion for Adoption of Settlement Agreement</w:t>
      </w:r>
      <w:r w:rsidR="009C49A8">
        <w:t xml:space="preserve"> (Settlement Agreement)</w:t>
      </w:r>
      <w:r>
        <w:t xml:space="preserve">. </w:t>
      </w:r>
      <w:r w:rsidR="0073237C">
        <w:t xml:space="preserve">As noted in Section 2 of the instant decision, the Settlement Agreement resolves all contested issues in this proceeding. </w:t>
      </w:r>
      <w:r w:rsidR="00D126AE">
        <w:t xml:space="preserve">Section 3 is dedicated to </w:t>
      </w:r>
      <w:r w:rsidR="00B5060C">
        <w:t>present</w:t>
      </w:r>
      <w:r w:rsidR="00D126AE">
        <w:t xml:space="preserve">ing </w:t>
      </w:r>
      <w:r w:rsidR="00B5060C">
        <w:t xml:space="preserve">a </w:t>
      </w:r>
      <w:r w:rsidR="00B5060C">
        <w:lastRenderedPageBreak/>
        <w:t>summary of the specific items in the Settlement Agreement</w:t>
      </w:r>
      <w:r w:rsidR="003E4054">
        <w:t xml:space="preserve"> </w:t>
      </w:r>
      <w:r w:rsidR="00D126AE">
        <w:t>consistent with</w:t>
      </w:r>
      <w:r w:rsidR="003E4054">
        <w:t xml:space="preserve"> the order in which the issues were presented in the Scoping Ruling.</w:t>
      </w:r>
    </w:p>
    <w:p w:rsidRPr="00CF02B6" w:rsidR="00CF02B6" w:rsidP="00CF02B6" w:rsidRDefault="00F243AE" w14:paraId="0CE7C862" w14:textId="73042E57">
      <w:pPr>
        <w:pStyle w:val="Heading2"/>
      </w:pPr>
      <w:bookmarkStart w:name="_Toc212447312" w:id="8"/>
      <w:r>
        <w:t>Reasonableness of Initial Rates</w:t>
      </w:r>
      <w:bookmarkEnd w:id="8"/>
      <w:r w:rsidR="00FA67D9">
        <w:t xml:space="preserve"> </w:t>
      </w:r>
    </w:p>
    <w:p w:rsidR="002668D6" w:rsidP="002668D6" w:rsidRDefault="000932E1" w14:paraId="62AC03EE" w14:textId="144AA903">
      <w:pPr>
        <w:pStyle w:val="Standard"/>
      </w:pPr>
      <w:r>
        <w:t>Revenue Requirement is the sum of forecasted Operating Expenses, Depreciation and Amortization, Total Taxes Not on Income, Total Income Taxes and Return on Base, multipl</w:t>
      </w:r>
      <w:r w:rsidR="006B58CF">
        <w:t>i</w:t>
      </w:r>
      <w:r>
        <w:t xml:space="preserve">ed by the Net to Gross multiplier. </w:t>
      </w:r>
      <w:r w:rsidR="006B58CF">
        <w:t xml:space="preserve">In the instant application, GSW requested $229,366 for 2026, $602,644 for 2027, and $879,828 for 2028. </w:t>
      </w:r>
      <w:r w:rsidR="009E27BC">
        <w:t>GSW used a Rate of Return of 7.93%, which it reports as its most recently authorized Rate of Return.</w:t>
      </w:r>
      <w:r w:rsidR="009E27BC">
        <w:rPr>
          <w:rStyle w:val="FootnoteReference"/>
        </w:rPr>
        <w:footnoteReference w:id="2"/>
      </w:r>
    </w:p>
    <w:p w:rsidR="009E27BC" w:rsidP="002668D6" w:rsidRDefault="009E27BC" w14:paraId="79CD2788" w14:textId="5B7209C8">
      <w:pPr>
        <w:pStyle w:val="Standard"/>
      </w:pPr>
      <w:r>
        <w:t xml:space="preserve">The Public Advocates Office </w:t>
      </w:r>
      <w:r w:rsidR="002D3003">
        <w:t>recommended the following Revenue Requirement: $229,366 for 2026</w:t>
      </w:r>
      <w:r w:rsidR="00212794">
        <w:t xml:space="preserve">; $578,797 for 2027; and $853,835 for 2028. </w:t>
      </w:r>
    </w:p>
    <w:p w:rsidRPr="002668D6" w:rsidR="00212794" w:rsidP="002668D6" w:rsidRDefault="00212794" w14:paraId="0B8EF7B7" w14:textId="3B320DF3">
      <w:pPr>
        <w:pStyle w:val="Standard"/>
      </w:pPr>
      <w:r>
        <w:t xml:space="preserve">The Settling Parties agreed to </w:t>
      </w:r>
      <w:r w:rsidR="00FA7D44">
        <w:t>recommend the Commission adopt the following figures: $229,366 for 2026; $596, 104 for 2027; and $872,417 for 2028. Th</w:t>
      </w:r>
      <w:r w:rsidR="003356DE">
        <w:t xml:space="preserve">e escalation year amounts fall between the initial recommendations of the two parties. </w:t>
      </w:r>
      <w:r w:rsidR="0078144A">
        <w:t>The Settling Parties state that the actual increases for escalation years will be determine</w:t>
      </w:r>
      <w:r w:rsidR="002A41EC">
        <w:t>d</w:t>
      </w:r>
      <w:r w:rsidR="0078144A">
        <w:t xml:space="preserve"> at the time the Commission approves advice letters to implement the increases and will be calculated pursuant to the Rate Case Plan methodology.</w:t>
      </w:r>
      <w:r w:rsidR="0078144A">
        <w:rPr>
          <w:rStyle w:val="FootnoteReference"/>
        </w:rPr>
        <w:footnoteReference w:id="3"/>
      </w:r>
      <w:r w:rsidR="005B57DF">
        <w:t xml:space="preserve"> A more detailed </w:t>
      </w:r>
      <w:r w:rsidR="00FE1601">
        <w:t>breakdow</w:t>
      </w:r>
      <w:r w:rsidR="005B57DF">
        <w:t>n</w:t>
      </w:r>
      <w:r w:rsidR="00FE1601">
        <w:t xml:space="preserve"> of the 2026 Test Year Revenue Requirement</w:t>
      </w:r>
      <w:r w:rsidR="005B57DF">
        <w:t xml:space="preserve"> </w:t>
      </w:r>
      <w:r w:rsidR="00FE1601">
        <w:t xml:space="preserve">can be found in Section 5.1.3 of the Settlement Agreement. </w:t>
      </w:r>
    </w:p>
    <w:p w:rsidR="00CF02B6" w:rsidP="00CF02B6" w:rsidRDefault="002C00E0" w14:paraId="61517F46" w14:textId="00DB0A31">
      <w:pPr>
        <w:pStyle w:val="Heading3"/>
      </w:pPr>
      <w:bookmarkStart w:name="_Toc212447313" w:id="9"/>
      <w:r>
        <w:lastRenderedPageBreak/>
        <w:t>Reasonableness of Estimates for O</w:t>
      </w:r>
      <w:r w:rsidR="000C2E05">
        <w:t>perations &amp; Maintenance</w:t>
      </w:r>
      <w:r>
        <w:t xml:space="preserve"> and A</w:t>
      </w:r>
      <w:r w:rsidR="000C2E05">
        <w:t xml:space="preserve">dministrative &amp; General </w:t>
      </w:r>
      <w:r>
        <w:t>Expenses</w:t>
      </w:r>
      <w:bookmarkEnd w:id="9"/>
      <w:r>
        <w:t xml:space="preserve"> </w:t>
      </w:r>
    </w:p>
    <w:p w:rsidR="00B30827" w:rsidP="00B30827" w:rsidRDefault="00306C89" w14:paraId="316FC7C3" w14:textId="0BD27E20">
      <w:pPr>
        <w:pStyle w:val="Standard"/>
      </w:pPr>
      <w:r>
        <w:t xml:space="preserve">For Total Operating Expenses, </w:t>
      </w:r>
      <w:r w:rsidR="00172814">
        <w:t xml:space="preserve">GSW requests </w:t>
      </w:r>
      <w:r>
        <w:t>$272,557 for 2026</w:t>
      </w:r>
      <w:r w:rsidR="00E5154A">
        <w:t xml:space="preserve">. The Public Advocates Office recommended $276,272 for 2026. The Settling Parties agreed to </w:t>
      </w:r>
      <w:r w:rsidR="000261F3">
        <w:t>$291,775 for 2026.</w:t>
      </w:r>
      <w:r w:rsidR="000261F3">
        <w:rPr>
          <w:rStyle w:val="FootnoteReference"/>
        </w:rPr>
        <w:footnoteReference w:id="4"/>
      </w:r>
      <w:r w:rsidR="000261F3">
        <w:t xml:space="preserve"> </w:t>
      </w:r>
    </w:p>
    <w:p w:rsidR="000261F3" w:rsidP="00B30827" w:rsidRDefault="00AC3D53" w14:paraId="33A2E907" w14:textId="6AD6686F">
      <w:pPr>
        <w:pStyle w:val="Standard"/>
      </w:pPr>
      <w:r>
        <w:t xml:space="preserve">GSW’s forecasted Supply </w:t>
      </w:r>
      <w:r w:rsidR="00C31AE8">
        <w:t>v</w:t>
      </w:r>
      <w:r>
        <w:t>olume was estimated by adding the total forecasted sales and the total volume of Water Loss.</w:t>
      </w:r>
      <w:r w:rsidR="00167B77">
        <w:rPr>
          <w:rStyle w:val="FootnoteReference"/>
        </w:rPr>
        <w:footnoteReference w:id="5"/>
      </w:r>
      <w:r w:rsidR="009147F4">
        <w:t xml:space="preserve"> GSW forecasted Water Loss for Sutter Pointe at 7.0%. The Public Advocates Office </w:t>
      </w:r>
      <w:r w:rsidR="00A57C60">
        <w:t xml:space="preserve">argued that Sutter Pointe, being a new system, should have a lower water loss rate. The Public Advocates Office recommended a water loss rate of 2.5%, which would be consistent with the nearby water loss percentage from GSW’s Arden system. The Settling Parties </w:t>
      </w:r>
      <w:r w:rsidR="005775B1">
        <w:t>agreed to a water-loss rate of 4.6%. This rate is calculated based on the average of 15 GSW systems with a 7% or lower water loss rate. GSW’s O</w:t>
      </w:r>
      <w:r w:rsidR="00C31AE8">
        <w:t xml:space="preserve">perations </w:t>
      </w:r>
      <w:r w:rsidR="005775B1">
        <w:t>&amp;</w:t>
      </w:r>
      <w:r w:rsidR="00C31AE8">
        <w:t xml:space="preserve"> </w:t>
      </w:r>
      <w:r w:rsidR="005775B1">
        <w:t>M</w:t>
      </w:r>
      <w:r w:rsidR="00C31AE8">
        <w:t>aintenance (O&amp;M)</w:t>
      </w:r>
      <w:r w:rsidR="005775B1">
        <w:t xml:space="preserve"> expense costs for Purchased Power, Chemical, and Uncollectible are reduced accordingly based on this new water-loss rate.</w:t>
      </w:r>
      <w:r w:rsidR="005775B1">
        <w:rPr>
          <w:rStyle w:val="FootnoteReference"/>
        </w:rPr>
        <w:footnoteReference w:id="6"/>
      </w:r>
    </w:p>
    <w:p w:rsidR="005775B1" w:rsidP="00B30827" w:rsidRDefault="003A3CCF" w14:paraId="2C8E002F" w14:textId="1EEFA3CF">
      <w:pPr>
        <w:pStyle w:val="Standard"/>
      </w:pPr>
      <w:r>
        <w:t>GSW’s forecasted expenses for Supply Expenses</w:t>
      </w:r>
      <w:r w:rsidR="00C22A6E">
        <w:t xml:space="preserve"> included costs incurred acquiring the necessary water supply and the fuel costs associated with the transmission and distribution of the water. </w:t>
      </w:r>
      <w:r w:rsidR="00E31B64">
        <w:t>GSW also included a forecast for power expenses and a forecast for availability payments. The Public Advocates Office did not oppose the forecasts. The Settling Parties agreed to GSW’s forecasts.</w:t>
      </w:r>
      <w:r w:rsidR="00E31B64">
        <w:rPr>
          <w:rStyle w:val="FootnoteReference"/>
        </w:rPr>
        <w:footnoteReference w:id="7"/>
      </w:r>
    </w:p>
    <w:p w:rsidR="00E31B64" w:rsidP="00B30827" w:rsidRDefault="00E31B64" w14:paraId="6FF9C4DC" w14:textId="297DD4FE">
      <w:pPr>
        <w:pStyle w:val="Standard"/>
      </w:pPr>
      <w:r>
        <w:lastRenderedPageBreak/>
        <w:t xml:space="preserve">For O&amp;M Expenses, GSW forecasted </w:t>
      </w:r>
      <w:r w:rsidR="000E0615">
        <w:t xml:space="preserve">Chemicals, </w:t>
      </w:r>
      <w:proofErr w:type="spellStart"/>
      <w:r w:rsidR="000E0615">
        <w:t>Uncollectibles</w:t>
      </w:r>
      <w:proofErr w:type="spellEnd"/>
      <w:r w:rsidR="000E0615">
        <w:t xml:space="preserve">, Operation and Maintenance Labor, and All Other Operating and Maintenance Expenses. The Public Advocates Office did not oppose GSW’s forecasts. The </w:t>
      </w:r>
      <w:r w:rsidR="00487FC6">
        <w:t>Settling Parties agreed to GSW’s forecasts.</w:t>
      </w:r>
      <w:r w:rsidR="00487FC6">
        <w:rPr>
          <w:rStyle w:val="FootnoteReference"/>
        </w:rPr>
        <w:footnoteReference w:id="8"/>
      </w:r>
    </w:p>
    <w:p w:rsidRPr="00B30827" w:rsidR="00487FC6" w:rsidP="003B21E0" w:rsidRDefault="00487FC6" w14:paraId="3B123606" w14:textId="6E22A841">
      <w:pPr>
        <w:pStyle w:val="Standard"/>
      </w:pPr>
      <w:r>
        <w:t>For Administrative and General</w:t>
      </w:r>
      <w:r w:rsidR="00C31AE8">
        <w:t xml:space="preserve"> (A&amp;G</w:t>
      </w:r>
      <w:r w:rsidR="000C2E05">
        <w:t>)</w:t>
      </w:r>
      <w:r>
        <w:t xml:space="preserve"> Expenses, GSW forecasted </w:t>
      </w:r>
      <w:r w:rsidR="00411FEE">
        <w:t>expenses for Office Supplies, Pension</w:t>
      </w:r>
      <w:r w:rsidR="00804EA8">
        <w:t xml:space="preserve"> and Benefits, Business Meals, Outside Services and Miscellaneous Expenses, and Rent. </w:t>
      </w:r>
      <w:r w:rsidR="00BC7B16">
        <w:t xml:space="preserve">For </w:t>
      </w:r>
      <w:r w:rsidR="008A6EA5">
        <w:t xml:space="preserve">Pension and Benefits, GSW forecasted $33,262. The Public Advocates Office opposed this request and recommended $20,974. The Settling Parties agreed to a Pension and Benefits forecast of $27,740 for 2026. </w:t>
      </w:r>
      <w:r w:rsidR="00FD01D2">
        <w:t>The Settling Parties agreed to GSW’s forecast for all other</w:t>
      </w:r>
      <w:r w:rsidR="00C31AE8">
        <w:t xml:space="preserve"> </w:t>
      </w:r>
      <w:r w:rsidR="003B21E0">
        <w:t>A&amp;G</w:t>
      </w:r>
      <w:r w:rsidR="00FD01D2">
        <w:t xml:space="preserve"> expenses.</w:t>
      </w:r>
      <w:r w:rsidR="00FD01D2">
        <w:rPr>
          <w:rStyle w:val="FootnoteReference"/>
        </w:rPr>
        <w:footnoteReference w:id="9"/>
      </w:r>
    </w:p>
    <w:p w:rsidR="008873D1" w:rsidP="008873D1" w:rsidRDefault="008873D1" w14:paraId="591265B4" w14:textId="08709A9E">
      <w:pPr>
        <w:pStyle w:val="Heading3"/>
      </w:pPr>
      <w:bookmarkStart w:name="_Toc212447314" w:id="10"/>
      <w:r>
        <w:t>Reasonableness of GSW’s Rate Base Estimates</w:t>
      </w:r>
      <w:bookmarkEnd w:id="10"/>
      <w:r>
        <w:t xml:space="preserve"> </w:t>
      </w:r>
    </w:p>
    <w:p w:rsidR="00E67CE9" w:rsidP="00E67CE9" w:rsidRDefault="00BE4D8D" w14:paraId="7AAC02E5" w14:textId="67D2B168">
      <w:pPr>
        <w:pStyle w:val="Standard"/>
      </w:pPr>
      <w:r>
        <w:t xml:space="preserve">GSW’s rate base estimates </w:t>
      </w:r>
      <w:r w:rsidR="008B47BC">
        <w:t xml:space="preserve">included costs related to utility plant additions, utility plant schedule, depreciation reserve schedule, advances and contribution schedules, </w:t>
      </w:r>
      <w:r w:rsidR="00063BD1">
        <w:t>weighted average rate base schedule, and working cash.</w:t>
      </w:r>
      <w:r w:rsidR="00063BD1">
        <w:rPr>
          <w:rStyle w:val="FootnoteReference"/>
        </w:rPr>
        <w:footnoteReference w:id="10"/>
      </w:r>
      <w:r w:rsidR="008B47BC">
        <w:t xml:space="preserve"> </w:t>
      </w:r>
      <w:r w:rsidR="00D40EE7">
        <w:t>Each is discussed briefly below.</w:t>
      </w:r>
    </w:p>
    <w:p w:rsidR="00D40EE7" w:rsidP="00E67CE9" w:rsidRDefault="00D40EE7" w14:paraId="4DE7679B" w14:textId="7F33D36D">
      <w:pPr>
        <w:pStyle w:val="Standard"/>
      </w:pPr>
      <w:r>
        <w:t xml:space="preserve">For utility plant additions, GSW </w:t>
      </w:r>
      <w:r w:rsidR="000F34D6">
        <w:t>recommended that Sutter Pointe developer</w:t>
      </w:r>
      <w:r w:rsidR="007C17A5">
        <w:t xml:space="preserve"> initially fund the infrastructure costs, with GSW reimbursing developers for a portion of the infrastructure through incremental acquisition payments and refundable advances once the infrastructure </w:t>
      </w:r>
      <w:r w:rsidR="00737A3A">
        <w:t xml:space="preserve">becomes used and useful. GSW calculated the number of </w:t>
      </w:r>
      <w:r w:rsidR="001F7A8D">
        <w:t>Equivalent Dwelling Units (</w:t>
      </w:r>
      <w:r w:rsidR="00737A3A">
        <w:t>EDUs</w:t>
      </w:r>
      <w:r w:rsidR="001F7A8D">
        <w:t>)</w:t>
      </w:r>
      <w:r w:rsidR="00737A3A">
        <w:t xml:space="preserve"> in the instant application based on expected water demand per acre-foot per year </w:t>
      </w:r>
      <w:r w:rsidR="00737A3A">
        <w:lastRenderedPageBreak/>
        <w:t xml:space="preserve">(AFY) for the development. </w:t>
      </w:r>
      <w:r w:rsidR="007A2151">
        <w:t>GSW also forecasted $93,000 for new vehicles and tools in 2026.</w:t>
      </w:r>
      <w:r w:rsidR="00784998">
        <w:t xml:space="preserve"> GSW’s capital request included an amount for blanket work orders of $49.46 per EDU beginning in 2028 to cover small routine parts and replacements for the water system equipment and/or spares that were not provided by the developers. GSW did not forecast any Construction Work in Progress (CWIP). </w:t>
      </w:r>
      <w:r w:rsidR="00ED6D26">
        <w:t>The Public Advocates Office did not oppose the forecasts. The Settling Parties agreed to GSW’s forecasts for utility plant additions.</w:t>
      </w:r>
      <w:r w:rsidR="00ED6D26">
        <w:rPr>
          <w:rStyle w:val="FootnoteReference"/>
        </w:rPr>
        <w:footnoteReference w:id="11"/>
      </w:r>
    </w:p>
    <w:p w:rsidR="00CE3A3B" w:rsidP="008873D1" w:rsidRDefault="008B7A2C" w14:paraId="55A88CB5" w14:textId="1C500829">
      <w:pPr>
        <w:pStyle w:val="Standard"/>
      </w:pPr>
      <w:r>
        <w:t xml:space="preserve">GSW forecasted its utility plant </w:t>
      </w:r>
      <w:r w:rsidR="005F1E5B">
        <w:t>in service for 2026 through 2028 on a detailed cost basis. GSW’s forecast was $19,106,506 for 2026, $39,922,246 for 2027, and $46,224,669 for 2028. The Public Advocates Office did not oppose the forecasts. The Settling Parties agreed to GSW’s forecasts.</w:t>
      </w:r>
      <w:r w:rsidR="004637E3">
        <w:rPr>
          <w:rStyle w:val="FootnoteReference"/>
        </w:rPr>
        <w:footnoteReference w:id="12"/>
      </w:r>
      <w:r w:rsidR="005F1E5B">
        <w:t xml:space="preserve"> </w:t>
      </w:r>
    </w:p>
    <w:p w:rsidR="005F1E5B" w:rsidP="008873D1" w:rsidRDefault="005F1E5B" w14:paraId="0F66F5C4" w14:textId="2DA219E4">
      <w:pPr>
        <w:pStyle w:val="Standard"/>
      </w:pPr>
      <w:r>
        <w:t>GSW forecasted net depreciation expenses</w:t>
      </w:r>
      <w:r w:rsidR="001E71A5">
        <w:rPr>
          <w:rStyle w:val="FootnoteReference"/>
        </w:rPr>
        <w:footnoteReference w:id="13"/>
      </w:r>
      <w:r w:rsidR="001E71A5">
        <w:t xml:space="preserve"> </w:t>
      </w:r>
      <w:r w:rsidR="004637E3">
        <w:t>as $53,796 for 2026 and $127,663 for 2027. The Public Advocates Office did not oppose the forecasts. The Settling Parties agreed to GSW’s forecasts.</w:t>
      </w:r>
      <w:r w:rsidR="004637E3">
        <w:rPr>
          <w:rStyle w:val="FootnoteReference"/>
        </w:rPr>
        <w:footnoteReference w:id="14"/>
      </w:r>
      <w:r w:rsidR="004637E3">
        <w:t xml:space="preserve"> </w:t>
      </w:r>
    </w:p>
    <w:p w:rsidR="004637E3" w:rsidP="008873D1" w:rsidRDefault="00047795" w14:paraId="3FCFA740" w14:textId="3F35BED4">
      <w:pPr>
        <w:pStyle w:val="Standard"/>
      </w:pPr>
      <w:r>
        <w:t xml:space="preserve">For Advances &amp; Contribution Schedules, </w:t>
      </w:r>
      <w:r w:rsidR="007A27EF">
        <w:t xml:space="preserve">GSW states that </w:t>
      </w:r>
      <w:r w:rsidR="00CE58D1">
        <w:t xml:space="preserve">the Advances for Construction account </w:t>
      </w:r>
      <w:r w:rsidR="00AE6F2F">
        <w:t xml:space="preserve">represents the amount of money or properties advanced for construction purposes, including the portion of the water infrastructure related to </w:t>
      </w:r>
      <w:r w:rsidR="00E86F1F">
        <w:t xml:space="preserve">the distribution of drinking water to customers. GSW states that </w:t>
      </w:r>
      <w:r w:rsidR="00310973">
        <w:t xml:space="preserve">as the </w:t>
      </w:r>
      <w:r w:rsidR="00065A00">
        <w:t>Customer Service Area (</w:t>
      </w:r>
      <w:r w:rsidR="00310973">
        <w:t>CSA</w:t>
      </w:r>
      <w:r w:rsidR="00065A00">
        <w:t>)</w:t>
      </w:r>
      <w:r w:rsidR="00310973">
        <w:t xml:space="preserve"> grows, GSW will reimburse developers by way of incremental acquisition of water infrastructure according to occupancy at a rate of $2,571 per EDU twice a year. </w:t>
      </w:r>
      <w:r w:rsidR="00FC7CB8">
        <w:t xml:space="preserve">These incremental acquisition payments are </w:t>
      </w:r>
      <w:r w:rsidR="00FC7CB8">
        <w:lastRenderedPageBreak/>
        <w:t>treated as refunds of contributed capital or negative contributions and result in plant funded additions to rate base. The Public Advocates Office did not oppose the forecasts. The Settling Parties agreed to GSW’s forecasts.</w:t>
      </w:r>
      <w:r w:rsidR="00FC7CB8">
        <w:rPr>
          <w:rStyle w:val="FootnoteReference"/>
        </w:rPr>
        <w:footnoteReference w:id="15"/>
      </w:r>
    </w:p>
    <w:p w:rsidR="00FC7CB8" w:rsidP="008873D1" w:rsidRDefault="004A595C" w14:paraId="6806B796" w14:textId="069C04D4">
      <w:pPr>
        <w:pStyle w:val="Standard"/>
      </w:pPr>
      <w:r>
        <w:t xml:space="preserve">GSW’s Weighted </w:t>
      </w:r>
      <w:r w:rsidR="00EC5FBD">
        <w:t xml:space="preserve">Average Depreciated Rate Base reflected investment in utility </w:t>
      </w:r>
      <w:proofErr w:type="gramStart"/>
      <w:r w:rsidR="00EC5FBD">
        <w:t>plant</w:t>
      </w:r>
      <w:proofErr w:type="gramEnd"/>
      <w:r w:rsidR="00EC5FBD">
        <w:t xml:space="preserve"> and the working capital necessary to purify and distribute water. </w:t>
      </w:r>
      <w:r w:rsidR="003504EA">
        <w:t>Additions to Rate Base included Utility Plant in Service and Working Cash. Deductions from Rate Base included Depreciation, Advances for Construction, and Deferred Taxes. The Public Advocates Office did not oppose the forecasts. The Settling Parties agreed to GSW’s forecasts.</w:t>
      </w:r>
      <w:r w:rsidR="003504EA">
        <w:rPr>
          <w:rStyle w:val="FootnoteReference"/>
        </w:rPr>
        <w:footnoteReference w:id="16"/>
      </w:r>
    </w:p>
    <w:p w:rsidR="00043999" w:rsidP="00043999" w:rsidRDefault="007641DF" w14:paraId="407A8D39" w14:textId="6B44827C">
      <w:pPr>
        <w:pStyle w:val="Standard"/>
      </w:pPr>
      <w:r>
        <w:t xml:space="preserve">GSW’s states that its forecast methodology for Allowance for Working Cash complied with the Commission’s Standard Practice U-16. </w:t>
      </w:r>
      <w:r w:rsidR="00D76F6F">
        <w:t>GSW states that because Sutter Pointe CSA is a new, standalone water system with no historical data, it used the simplified method</w:t>
      </w:r>
      <w:r w:rsidR="00043999">
        <w:t>, which entails using data from the Functional Summary of Earnings for the Estimated Test Year. The Public Advocates Office did not oppose the forecasts. The Settling Parties agreed to GSW’s forecasts.</w:t>
      </w:r>
      <w:r w:rsidR="00043999">
        <w:rPr>
          <w:rStyle w:val="FootnoteReference"/>
        </w:rPr>
        <w:footnoteReference w:id="17"/>
      </w:r>
    </w:p>
    <w:p w:rsidRPr="008873D1" w:rsidR="00043999" w:rsidP="008D2995" w:rsidRDefault="00043999" w14:paraId="19AE65B0" w14:textId="25CA63C7">
      <w:pPr>
        <w:pStyle w:val="Standard"/>
      </w:pPr>
      <w:r>
        <w:t xml:space="preserve">GSW’s </w:t>
      </w:r>
      <w:r w:rsidR="008D2995">
        <w:t xml:space="preserve">overall request for </w:t>
      </w:r>
      <w:proofErr w:type="gramStart"/>
      <w:r w:rsidR="008D2995">
        <w:t>rate base</w:t>
      </w:r>
      <w:proofErr w:type="gramEnd"/>
      <w:r w:rsidR="008D2995">
        <w:t xml:space="preserve"> was </w:t>
      </w:r>
      <w:r w:rsidR="00307582">
        <w:t xml:space="preserve">$465,418 for 2026 and $1,670,603 for 2027. The Public Advocates Office recommended $466,365 for 2026 and $1,671,890 for 2027. </w:t>
      </w:r>
      <w:r w:rsidR="00093320">
        <w:t>The Settling Parties agreed to $470,412 for 2026 and $1,677,356 for 2027. The Settling Parties also note that they agreed to include the Sutter Pointe CSA within the next GSW Statewide GRC for 2028</w:t>
      </w:r>
      <w:r w:rsidR="000215C9">
        <w:t xml:space="preserve">, with the caveat that if it is not superseded by the next GRC, the revenue requirement including </w:t>
      </w:r>
      <w:r w:rsidR="000215C9">
        <w:lastRenderedPageBreak/>
        <w:t>rate base will be calculated in accordance with the R</w:t>
      </w:r>
      <w:r w:rsidR="00CF1A0E">
        <w:t xml:space="preserve">ate </w:t>
      </w:r>
      <w:r w:rsidR="000215C9">
        <w:t>C</w:t>
      </w:r>
      <w:r w:rsidR="00CF1A0E">
        <w:t xml:space="preserve">ase </w:t>
      </w:r>
      <w:r w:rsidR="000215C9">
        <w:t>P</w:t>
      </w:r>
      <w:r w:rsidR="00CF1A0E">
        <w:t>lan (RCP)</w:t>
      </w:r>
      <w:r w:rsidR="000215C9">
        <w:t xml:space="preserve"> methodology as addressed in D.25-01-036.</w:t>
      </w:r>
      <w:r w:rsidR="000215C9">
        <w:rPr>
          <w:rStyle w:val="FootnoteReference"/>
        </w:rPr>
        <w:footnoteReference w:id="18"/>
      </w:r>
      <w:r>
        <w:t xml:space="preserve"> </w:t>
      </w:r>
    </w:p>
    <w:p w:rsidR="008873D1" w:rsidP="008873D1" w:rsidRDefault="00EC0394" w14:paraId="1D0FDD81" w14:textId="385FB8D6">
      <w:pPr>
        <w:pStyle w:val="Heading3"/>
      </w:pPr>
      <w:bookmarkStart w:name="_Toc212447315" w:id="11"/>
      <w:r>
        <w:t>Reasonableness of GSW’s Sales Forecasts and Rate Designs</w:t>
      </w:r>
      <w:bookmarkEnd w:id="11"/>
    </w:p>
    <w:p w:rsidR="009C146E" w:rsidP="009C146E" w:rsidRDefault="00EC2A78" w14:paraId="0C6C1736" w14:textId="2E773D04">
      <w:pPr>
        <w:pStyle w:val="Standard"/>
      </w:pPr>
      <w:r>
        <w:t xml:space="preserve">GSW forecasted an average of </w:t>
      </w:r>
      <w:r w:rsidR="00316D87">
        <w:t>8 centum cubic feet (</w:t>
      </w:r>
      <w:r w:rsidR="009D7029">
        <w:t>CCF</w:t>
      </w:r>
      <w:r w:rsidR="00316D87">
        <w:t xml:space="preserve">) per month for residential EDU. The </w:t>
      </w:r>
      <w:r w:rsidR="00CA5DBA">
        <w:t xml:space="preserve">average water consumption figure was based on an analysis </w:t>
      </w:r>
      <w:r w:rsidR="002B3A60">
        <w:t xml:space="preserve">of expected indoor and outdoor water use in the CSA, given various factors such as it being an age-restricted (55+) community. For parks in the CSA, GSW’s estimate was based on seven years of usage for a park in the greater Sacramento </w:t>
      </w:r>
      <w:r w:rsidR="007046BF">
        <w:t xml:space="preserve">area. </w:t>
      </w:r>
    </w:p>
    <w:p w:rsidR="007046BF" w:rsidP="009C146E" w:rsidRDefault="007046BF" w14:paraId="72F34721" w14:textId="75D0CEC0">
      <w:pPr>
        <w:pStyle w:val="Standard"/>
      </w:pPr>
      <w:r>
        <w:t xml:space="preserve">The Public Advocates Office did not oppose GSW’s sales forecast. </w:t>
      </w:r>
    </w:p>
    <w:p w:rsidR="009E1DF6" w:rsidP="009C146E" w:rsidRDefault="009E1DF6" w14:paraId="59021B8D" w14:textId="6E1DB5C1">
      <w:pPr>
        <w:pStyle w:val="Standard"/>
      </w:pPr>
      <w:r>
        <w:t>GSW’s rate design methodology for Sutter Pointe utilizes multiple tiers for residential customers. GSW proposed</w:t>
      </w:r>
      <w:r w:rsidR="00867AAE">
        <w:t xml:space="preserve"> recovering 40 percent of the revenue requirement from fixed service charges and 60 percent from quantity charges. </w:t>
      </w:r>
    </w:p>
    <w:p w:rsidR="00867AAE" w:rsidP="009C146E" w:rsidRDefault="00867AAE" w14:paraId="1FBA807C" w14:textId="6F843E37">
      <w:pPr>
        <w:pStyle w:val="Standard"/>
      </w:pPr>
      <w:r>
        <w:t xml:space="preserve">The Public Advocates Office did not oppose the two-tier residential rate </w:t>
      </w:r>
      <w:r w:rsidR="007C50A1">
        <w:t>design but</w:t>
      </w:r>
      <w:r>
        <w:t xml:space="preserve"> argued in favor of 30 percent </w:t>
      </w:r>
      <w:r w:rsidR="00DD35B1">
        <w:t xml:space="preserve">of revenue requirement from fixed charges and 70 percent from quantity charges. </w:t>
      </w:r>
    </w:p>
    <w:p w:rsidRPr="009C146E" w:rsidR="007046BF" w:rsidP="00ED3A93" w:rsidRDefault="00DD35B1" w14:paraId="088F66C9" w14:textId="0D4C924B">
      <w:pPr>
        <w:pStyle w:val="Standard"/>
      </w:pPr>
      <w:r>
        <w:t xml:space="preserve">The Settling Parties </w:t>
      </w:r>
      <w:r w:rsidR="00CB21C2">
        <w:t>agreed to GSW’s proposal of 40 percent recovery of revenue requirement from fixed charges and 60 percent fro</w:t>
      </w:r>
      <w:r w:rsidR="00ED3A93">
        <w:t>m volumetric charges, as well as GSW’s other proposed rate design components.</w:t>
      </w:r>
      <w:r w:rsidR="00ED3A93">
        <w:rPr>
          <w:rStyle w:val="FootnoteReference"/>
        </w:rPr>
        <w:footnoteReference w:id="19"/>
      </w:r>
    </w:p>
    <w:p w:rsidR="009B0367" w:rsidP="002819F3" w:rsidRDefault="009B0367" w14:paraId="4BB6DED9" w14:textId="5F460A8E">
      <w:pPr>
        <w:pStyle w:val="Heading2"/>
      </w:pPr>
      <w:bookmarkStart w:name="_Toc212447316" w:id="12"/>
      <w:r>
        <w:t>Customer Service and Safety Programs</w:t>
      </w:r>
      <w:bookmarkEnd w:id="12"/>
      <w:r w:rsidR="00FA67D9">
        <w:t xml:space="preserve"> </w:t>
      </w:r>
    </w:p>
    <w:p w:rsidRPr="00123639" w:rsidR="00123639" w:rsidP="00123639" w:rsidRDefault="00D42441" w14:paraId="381A0E49" w14:textId="542D1676">
      <w:pPr>
        <w:pStyle w:val="Standard"/>
      </w:pPr>
      <w:r>
        <w:t xml:space="preserve">The Settling Parties note in the Joint Response that </w:t>
      </w:r>
      <w:r w:rsidR="00252CB1">
        <w:t xml:space="preserve">the same customer service and safety programs that apply to GSW’s other service areas (as reviewed </w:t>
      </w:r>
      <w:r w:rsidR="00252CB1">
        <w:lastRenderedPageBreak/>
        <w:t>in GSW’s routine General Rate Cases) will also apply to the new Sutter Pointe CSA</w:t>
      </w:r>
      <w:r w:rsidR="00D943DA">
        <w:t>. Therefore, the Settling Parties agree that this item is satisfied.</w:t>
      </w:r>
      <w:r w:rsidR="00D943DA">
        <w:rPr>
          <w:rStyle w:val="FootnoteReference"/>
        </w:rPr>
        <w:footnoteReference w:id="20"/>
      </w:r>
      <w:r>
        <w:t xml:space="preserve"> </w:t>
      </w:r>
    </w:p>
    <w:p w:rsidR="009B0367" w:rsidP="002819F3" w:rsidRDefault="006E00CC" w14:paraId="74E91172" w14:textId="335867DA">
      <w:pPr>
        <w:pStyle w:val="Heading2"/>
      </w:pPr>
      <w:bookmarkStart w:name="_Toc212447317" w:id="13"/>
      <w:r>
        <w:t>Statutory and Regulatory Requirements</w:t>
      </w:r>
      <w:bookmarkEnd w:id="13"/>
    </w:p>
    <w:p w:rsidRPr="006A599A" w:rsidR="006A599A" w:rsidP="006A599A" w:rsidRDefault="00AB25C2" w14:paraId="4E5C96FF" w14:textId="6AE5FCD2">
      <w:pPr>
        <w:pStyle w:val="Standard"/>
      </w:pPr>
      <w:r>
        <w:t xml:space="preserve">This issue was proposed </w:t>
      </w:r>
      <w:r w:rsidR="00497F48">
        <w:t xml:space="preserve">in the Public Advocates Office’s protest to the Application. Despite its inclusion </w:t>
      </w:r>
      <w:r w:rsidR="007579AE">
        <w:t xml:space="preserve">in the Scoping Ruling, the Joint </w:t>
      </w:r>
      <w:r w:rsidR="00D42441">
        <w:t>Response</w:t>
      </w:r>
      <w:r w:rsidR="007579AE">
        <w:t xml:space="preserve"> to the ALJ Ruling notes that </w:t>
      </w:r>
      <w:r w:rsidR="00C34BF3">
        <w:t>the Public Advocates Office “did not challenge in its direct testimony whether Golden State’s Application complies with all statutory and regulatory requirements</w:t>
      </w:r>
      <w:r w:rsidR="00283003">
        <w:t>.”</w:t>
      </w:r>
      <w:r w:rsidR="00283003">
        <w:rPr>
          <w:rStyle w:val="FootnoteReference"/>
        </w:rPr>
        <w:footnoteReference w:id="21"/>
      </w:r>
      <w:r w:rsidR="00283003">
        <w:t xml:space="preserve"> The</w:t>
      </w:r>
      <w:r w:rsidR="00246914">
        <w:t>refore, the issue was not disputed and</w:t>
      </w:r>
      <w:r w:rsidR="00283003">
        <w:t xml:space="preserve"> </w:t>
      </w:r>
      <w:r w:rsidR="00246914">
        <w:t xml:space="preserve">is uncontested. </w:t>
      </w:r>
    </w:p>
    <w:p w:rsidR="006E00CC" w:rsidP="002819F3" w:rsidRDefault="006E00CC" w14:paraId="26B89E40" w14:textId="020DB0A8">
      <w:pPr>
        <w:pStyle w:val="Heading2"/>
      </w:pPr>
      <w:bookmarkStart w:name="_Toc212447318" w:id="14"/>
      <w:r w:rsidRPr="007728A8">
        <w:rPr>
          <w:u w:val="single"/>
        </w:rPr>
        <w:t>Special Request 1</w:t>
      </w:r>
      <w:r>
        <w:t xml:space="preserve">: Inclusion of Sutter Pointe CSA in </w:t>
      </w:r>
      <w:r w:rsidR="007728A8">
        <w:t>Companywide GRC</w:t>
      </w:r>
      <w:bookmarkEnd w:id="14"/>
    </w:p>
    <w:p w:rsidR="00123639" w:rsidP="00123639" w:rsidRDefault="00123639" w14:paraId="0A3EA612" w14:textId="77777777">
      <w:pPr>
        <w:pStyle w:val="Standard"/>
      </w:pPr>
      <w:r>
        <w:t>The Commission requires GSW to file its request to establish initial rates for water service in Sutter Pointe CSA ratemaking as a standalone GRC, separate from GSW’s company-wide GRC. GSW seeks Commission confirmation that it may include Sutter Pointe in its next company-wide GRC, which will set rates for 2028, 2029, and 2030. If this request is granted, GSW states that it intends to have the company-wide rates for 2028 supersede those set for Sutter Pointe as part of this proceeding. This request was not opposed by the Public Advocates Office.</w:t>
      </w:r>
      <w:r>
        <w:rPr>
          <w:rStyle w:val="FootnoteReference"/>
        </w:rPr>
        <w:footnoteReference w:id="22"/>
      </w:r>
    </w:p>
    <w:p w:rsidRPr="009B0367" w:rsidR="00123639" w:rsidP="00123639" w:rsidRDefault="00123639" w14:paraId="2075C7A6" w14:textId="47A5E1DE">
      <w:pPr>
        <w:pStyle w:val="Standard"/>
      </w:pPr>
      <w:r>
        <w:t xml:space="preserve">Including a new customer service area in its companywide GRC is more efficient and can allow for a comprehensive review as part of its general ratemaking cycle. </w:t>
      </w:r>
      <w:r w:rsidR="00423613">
        <w:t xml:space="preserve">The Settling Parties recommend the Commission adopt Special Request 1. </w:t>
      </w:r>
    </w:p>
    <w:p w:rsidR="007728A8" w:rsidP="002819F3" w:rsidRDefault="007728A8" w14:paraId="206A0A8A" w14:textId="64374DD6">
      <w:pPr>
        <w:pStyle w:val="Heading2"/>
      </w:pPr>
      <w:bookmarkStart w:name="_Toc212447319" w:id="15"/>
      <w:r w:rsidRPr="007728A8">
        <w:rPr>
          <w:u w:val="single"/>
        </w:rPr>
        <w:lastRenderedPageBreak/>
        <w:t>Special Request 2</w:t>
      </w:r>
      <w:r>
        <w:t xml:space="preserve">: </w:t>
      </w:r>
      <w:r w:rsidR="006116B1">
        <w:t>Interim Rates Request</w:t>
      </w:r>
      <w:bookmarkEnd w:id="15"/>
    </w:p>
    <w:p w:rsidRPr="0026568B" w:rsidR="0026568B" w:rsidP="0026568B" w:rsidRDefault="009C2A26" w14:paraId="3C19C95F" w14:textId="24A386AB">
      <w:pPr>
        <w:pStyle w:val="Standard"/>
      </w:pPr>
      <w:r>
        <w:t xml:space="preserve">The Sutter Pointe CSA did not have any customers at the time of the filing of the instant application. </w:t>
      </w:r>
      <w:r w:rsidR="00E53C12">
        <w:t>GSW requests authority to establish interim rates for 2025</w:t>
      </w:r>
      <w:r w:rsidR="009C222F">
        <w:t xml:space="preserve"> </w:t>
      </w:r>
      <w:r w:rsidR="00E53C12">
        <w:t>based on the rates requested for 2026, along with a memorandum account to track any over or under collection that occurs in 2025 should Sutter Pointe customers require water service prior to 2026. The Public Advocates Office did not oppose GSW’s Special Request 2. Th</w:t>
      </w:r>
      <w:r w:rsidR="00B85409">
        <w:t>e Settling Parties recommend the Commission adopt Special Request 2.</w:t>
      </w:r>
      <w:r w:rsidR="0021733B">
        <w:rPr>
          <w:rStyle w:val="FootnoteReference"/>
        </w:rPr>
        <w:footnoteReference w:id="23"/>
      </w:r>
    </w:p>
    <w:p w:rsidR="005274A5" w:rsidP="002819F3" w:rsidRDefault="005274A5" w14:paraId="33F56BBD" w14:textId="3BBC3328">
      <w:pPr>
        <w:pStyle w:val="Heading2"/>
      </w:pPr>
      <w:bookmarkStart w:name="_Toc212447320" w:id="16"/>
      <w:r>
        <w:rPr>
          <w:u w:val="single"/>
        </w:rPr>
        <w:t>Special Request 3</w:t>
      </w:r>
      <w:r>
        <w:t>: Request to Track Costs Related to Sutter Pointe CSA in Balancing and Memorandum Accounts</w:t>
      </w:r>
      <w:bookmarkEnd w:id="16"/>
    </w:p>
    <w:p w:rsidRPr="00085F69" w:rsidR="003E09FB" w:rsidP="00085F69" w:rsidRDefault="00843968" w14:paraId="44687988" w14:textId="1E1CF55E">
      <w:pPr>
        <w:pStyle w:val="Standard"/>
        <w:rPr>
          <w:rFonts w:ascii="Arial" w:hAnsi="Arial" w:cs="Arial"/>
          <w:bCs/>
          <w:szCs w:val="26"/>
        </w:rPr>
      </w:pPr>
      <w:r w:rsidRPr="001559E9">
        <w:t xml:space="preserve">GSW </w:t>
      </w:r>
      <w:r w:rsidRPr="001559E9" w:rsidR="007B3E9B">
        <w:t xml:space="preserve">has </w:t>
      </w:r>
      <w:r w:rsidRPr="001559E9" w:rsidR="00450AED">
        <w:t xml:space="preserve">pre-existing </w:t>
      </w:r>
      <w:r w:rsidRPr="001559E9" w:rsidR="007B3E9B">
        <w:t>authority</w:t>
      </w:r>
      <w:r w:rsidRPr="001559E9" w:rsidR="00450AED">
        <w:t>, granted by the Commission,</w:t>
      </w:r>
      <w:r w:rsidRPr="001559E9" w:rsidR="007B3E9B">
        <w:t xml:space="preserve"> to track costs in various company-wide balancing and memorandum accoun</w:t>
      </w:r>
      <w:r w:rsidRPr="001559E9" w:rsidR="00450AED">
        <w:t>t</w:t>
      </w:r>
      <w:r w:rsidRPr="001559E9" w:rsidR="00674199">
        <w:t>s</w:t>
      </w:r>
      <w:r w:rsidRPr="001559E9" w:rsidR="00450AED">
        <w:t xml:space="preserve">. </w:t>
      </w:r>
      <w:r w:rsidRPr="001559E9" w:rsidR="001F78BB">
        <w:t>In</w:t>
      </w:r>
      <w:r w:rsidRPr="001559E9" w:rsidR="00450AED">
        <w:t xml:space="preserve"> Special Request 3, GSW seeks authority to</w:t>
      </w:r>
      <w:r w:rsidRPr="001559E9" w:rsidR="001F78BB">
        <w:t xml:space="preserve">, where appropriate, </w:t>
      </w:r>
      <w:r w:rsidRPr="001559E9" w:rsidR="003E09FB">
        <w:t>track costs associated with its Sutter Pointe CSA in the relevant balancing and memorandum accounts.</w:t>
      </w:r>
      <w:r w:rsidRPr="001559E9" w:rsidR="00085F69">
        <w:t xml:space="preserve"> GSW lists various </w:t>
      </w:r>
      <w:proofErr w:type="gramStart"/>
      <w:r w:rsidRPr="001559E9" w:rsidR="00085F69">
        <w:t>memorandum</w:t>
      </w:r>
      <w:proofErr w:type="gramEnd"/>
      <w:r w:rsidRPr="001559E9" w:rsidR="00085F69">
        <w:t xml:space="preserve"> </w:t>
      </w:r>
      <w:r w:rsidRPr="001559E9" w:rsidR="00EC4701">
        <w:t xml:space="preserve">and balancing </w:t>
      </w:r>
      <w:r w:rsidRPr="001559E9" w:rsidR="00085F69">
        <w:t>accounts as examples</w:t>
      </w:r>
      <w:r w:rsidRPr="001559E9" w:rsidR="00EC4701">
        <w:t xml:space="preserve">. GSW also requests that all low-income residential customers in its Sutter Pointe CSA be </w:t>
      </w:r>
      <w:r w:rsidRPr="001559E9" w:rsidR="0021733B">
        <w:t>eligible to participate in its Customer Assistance Program (CAP). The Public</w:t>
      </w:r>
      <w:r w:rsidRPr="002268F5" w:rsidR="0021733B">
        <w:t xml:space="preserve"> Advocates Office does not oppose this request. The Settling </w:t>
      </w:r>
      <w:r w:rsidRPr="002268F5" w:rsidR="00252B48">
        <w:t xml:space="preserve">Parties recommend the Commission </w:t>
      </w:r>
      <w:r w:rsidRPr="002268F5" w:rsidR="009176C7">
        <w:t>adopt Special Request 3</w:t>
      </w:r>
      <w:r w:rsidR="009176C7">
        <w:rPr>
          <w:rFonts w:ascii="Arial" w:hAnsi="Arial" w:cs="Arial"/>
          <w:bCs/>
          <w:szCs w:val="26"/>
        </w:rPr>
        <w:t>.</w:t>
      </w:r>
      <w:r w:rsidRPr="002268F5" w:rsidR="009176C7">
        <w:rPr>
          <w:rStyle w:val="FootnoteReference"/>
          <w:rFonts w:cs="Arial"/>
          <w:bCs/>
          <w:szCs w:val="26"/>
        </w:rPr>
        <w:footnoteReference w:id="24"/>
      </w:r>
    </w:p>
    <w:p w:rsidR="005274A5" w:rsidP="002819F3" w:rsidRDefault="005274A5" w14:paraId="212CAB22" w14:textId="7297B362">
      <w:pPr>
        <w:pStyle w:val="Heading2"/>
      </w:pPr>
      <w:bookmarkStart w:name="_Toc212447321" w:id="17"/>
      <w:r>
        <w:rPr>
          <w:u w:val="single"/>
        </w:rPr>
        <w:t>Special Request 4</w:t>
      </w:r>
      <w:r>
        <w:t xml:space="preserve">: </w:t>
      </w:r>
      <w:r w:rsidR="00084369">
        <w:t>Commission Review of SPGRCMA Costs</w:t>
      </w:r>
      <w:r w:rsidR="005F4E9B">
        <w:t xml:space="preserve"> and Status of Memo Account</w:t>
      </w:r>
      <w:bookmarkEnd w:id="17"/>
    </w:p>
    <w:p w:rsidRPr="00D4388B" w:rsidR="009304F7" w:rsidP="009304F7" w:rsidRDefault="00446E8C" w14:paraId="2FA156B9" w14:textId="4EDEE8BE">
      <w:pPr>
        <w:pStyle w:val="Standard"/>
        <w:rPr>
          <w:rFonts w:cs="Arial"/>
          <w:bCs/>
          <w:szCs w:val="26"/>
        </w:rPr>
      </w:pPr>
      <w:r w:rsidRPr="00D4388B">
        <w:rPr>
          <w:rFonts w:cs="Arial"/>
          <w:bCs/>
          <w:szCs w:val="26"/>
        </w:rPr>
        <w:t xml:space="preserve">GSW is requesting </w:t>
      </w:r>
      <w:r w:rsidRPr="00D4388B" w:rsidR="005E5ADA">
        <w:rPr>
          <w:rFonts w:cs="Arial"/>
          <w:bCs/>
          <w:szCs w:val="26"/>
        </w:rPr>
        <w:t xml:space="preserve">the </w:t>
      </w:r>
      <w:r w:rsidRPr="00D4388B">
        <w:rPr>
          <w:rFonts w:cs="Arial"/>
          <w:bCs/>
          <w:szCs w:val="26"/>
        </w:rPr>
        <w:t>Commission review its Sutter Pointe General Rate Case Memorandum Account (SPGRCMA)</w:t>
      </w:r>
      <w:r w:rsidRPr="00D4388B" w:rsidR="00AD7377">
        <w:rPr>
          <w:rFonts w:cs="Arial"/>
          <w:bCs/>
          <w:szCs w:val="26"/>
        </w:rPr>
        <w:t>, recorded through April 30</w:t>
      </w:r>
      <w:proofErr w:type="gramStart"/>
      <w:r w:rsidRPr="00D4388B" w:rsidR="00AD7377">
        <w:rPr>
          <w:rFonts w:cs="Arial"/>
          <w:bCs/>
          <w:szCs w:val="26"/>
        </w:rPr>
        <w:t xml:space="preserve"> 2024</w:t>
      </w:r>
      <w:proofErr w:type="gramEnd"/>
      <w:r w:rsidRPr="00D4388B" w:rsidR="00AD7377">
        <w:rPr>
          <w:rFonts w:cs="Arial"/>
          <w:bCs/>
          <w:szCs w:val="26"/>
        </w:rPr>
        <w:t xml:space="preserve">, and find those costs to be reasonable. GSW also </w:t>
      </w:r>
      <w:proofErr w:type="gramStart"/>
      <w:r w:rsidRPr="00D4388B" w:rsidR="00AD7377">
        <w:rPr>
          <w:rFonts w:cs="Arial"/>
          <w:bCs/>
          <w:szCs w:val="26"/>
        </w:rPr>
        <w:t>request</w:t>
      </w:r>
      <w:r w:rsidR="00964A63">
        <w:rPr>
          <w:rFonts w:cs="Arial"/>
          <w:bCs/>
          <w:szCs w:val="26"/>
        </w:rPr>
        <w:t>s</w:t>
      </w:r>
      <w:proofErr w:type="gramEnd"/>
      <w:r w:rsidRPr="00D4388B" w:rsidR="00AD7377">
        <w:rPr>
          <w:rFonts w:cs="Arial"/>
          <w:bCs/>
          <w:szCs w:val="26"/>
        </w:rPr>
        <w:t xml:space="preserve"> the account remain open </w:t>
      </w:r>
      <w:r w:rsidRPr="00D4388B" w:rsidR="00AD7377">
        <w:rPr>
          <w:rFonts w:cs="Arial"/>
          <w:bCs/>
          <w:szCs w:val="26"/>
        </w:rPr>
        <w:lastRenderedPageBreak/>
        <w:t xml:space="preserve">until a decision is issued </w:t>
      </w:r>
      <w:r w:rsidRPr="00D4388B" w:rsidR="009E69B1">
        <w:rPr>
          <w:rFonts w:cs="Arial"/>
          <w:bCs/>
          <w:szCs w:val="26"/>
        </w:rPr>
        <w:t>resolving the instant application</w:t>
      </w:r>
      <w:r w:rsidR="00964A63">
        <w:rPr>
          <w:rFonts w:cs="Arial"/>
          <w:bCs/>
          <w:szCs w:val="26"/>
        </w:rPr>
        <w:t xml:space="preserve"> is issued</w:t>
      </w:r>
      <w:r w:rsidRPr="00D4388B" w:rsidR="009E69B1">
        <w:rPr>
          <w:rFonts w:cs="Arial"/>
          <w:bCs/>
          <w:szCs w:val="26"/>
        </w:rPr>
        <w:t>. GSW did not request amortization of the account in this proceeding, and instead requests amortization be delayed to the next GRC.</w:t>
      </w:r>
    </w:p>
    <w:p w:rsidRPr="00D4388B" w:rsidR="009E69B1" w:rsidP="009304F7" w:rsidRDefault="009E69B1" w14:paraId="19398DD3" w14:textId="7FB3EE09">
      <w:pPr>
        <w:pStyle w:val="Standard"/>
        <w:rPr>
          <w:rFonts w:cs="Arial"/>
          <w:bCs/>
          <w:szCs w:val="26"/>
        </w:rPr>
      </w:pPr>
      <w:r w:rsidRPr="00D4388B">
        <w:rPr>
          <w:rFonts w:cs="Arial"/>
          <w:bCs/>
          <w:szCs w:val="26"/>
        </w:rPr>
        <w:t xml:space="preserve">The Public Advocates Office opposes this request, arguing </w:t>
      </w:r>
      <w:r w:rsidRPr="00D4388B" w:rsidR="001409A0">
        <w:rPr>
          <w:rFonts w:cs="Arial"/>
          <w:bCs/>
          <w:szCs w:val="26"/>
        </w:rPr>
        <w:t xml:space="preserve">costs and services associated with this account are ongoing. The Public Advocates Office recommends </w:t>
      </w:r>
      <w:r w:rsidRPr="00D4388B" w:rsidR="00396671">
        <w:rPr>
          <w:rFonts w:cs="Arial"/>
          <w:bCs/>
          <w:szCs w:val="26"/>
        </w:rPr>
        <w:t>Commission review of the costs recorded in the SP</w:t>
      </w:r>
      <w:r w:rsidRPr="00D4388B" w:rsidR="00253D65">
        <w:rPr>
          <w:rFonts w:cs="Arial"/>
          <w:bCs/>
          <w:szCs w:val="26"/>
        </w:rPr>
        <w:t xml:space="preserve">GRCMA be delayed until the next GRC so that a comprehensive review of reasonableness and amortization of the account can be determined at the same time. </w:t>
      </w:r>
    </w:p>
    <w:p w:rsidRPr="00D4388B" w:rsidR="00253D65" w:rsidP="009304F7" w:rsidRDefault="00253D65" w14:paraId="3F9AEEB4" w14:textId="0B00C6DC">
      <w:pPr>
        <w:pStyle w:val="Standard"/>
        <w:rPr>
          <w:bCs/>
        </w:rPr>
      </w:pPr>
      <w:r w:rsidRPr="00D4388B">
        <w:rPr>
          <w:rFonts w:cs="Arial"/>
          <w:bCs/>
          <w:szCs w:val="26"/>
        </w:rPr>
        <w:t>The Settling Parties agreed to adopt the Public Advocates Office’s position on this issue, deferring review of the regulatory expenses in the SPGRCMA until the next GRC.</w:t>
      </w:r>
      <w:r w:rsidRPr="00D4388B">
        <w:rPr>
          <w:rStyle w:val="FootnoteReference"/>
          <w:rFonts w:cs="Arial"/>
          <w:bCs/>
          <w:szCs w:val="26"/>
        </w:rPr>
        <w:footnoteReference w:id="25"/>
      </w:r>
    </w:p>
    <w:p w:rsidR="005F4E9B" w:rsidP="002819F3" w:rsidRDefault="005F4E9B" w14:paraId="1634860D" w14:textId="3E2A16BD">
      <w:pPr>
        <w:pStyle w:val="Heading2"/>
      </w:pPr>
      <w:bookmarkStart w:name="_Toc212447322" w:id="18"/>
      <w:r>
        <w:rPr>
          <w:u w:val="single"/>
        </w:rPr>
        <w:t>Special Request 5</w:t>
      </w:r>
      <w:r w:rsidR="0022021E">
        <w:t xml:space="preserve">: Applicability of Findings </w:t>
      </w:r>
      <w:proofErr w:type="gramStart"/>
      <w:r w:rsidR="0022021E">
        <w:t>From</w:t>
      </w:r>
      <w:proofErr w:type="gramEnd"/>
      <w:r w:rsidR="0022021E">
        <w:t xml:space="preserve"> D.25-01-036</w:t>
      </w:r>
      <w:bookmarkEnd w:id="18"/>
      <w:r w:rsidR="0022021E">
        <w:t xml:space="preserve"> </w:t>
      </w:r>
    </w:p>
    <w:p w:rsidRPr="00D4388B" w:rsidR="00454B22" w:rsidP="00454B22" w:rsidRDefault="00A61649" w14:paraId="704209B0" w14:textId="678EBF72">
      <w:pPr>
        <w:pStyle w:val="Standard"/>
        <w:rPr>
          <w:rFonts w:cs="Arial"/>
          <w:bCs/>
          <w:szCs w:val="26"/>
        </w:rPr>
      </w:pPr>
      <w:r w:rsidRPr="00D4388B">
        <w:rPr>
          <w:rFonts w:cs="Arial"/>
          <w:bCs/>
          <w:szCs w:val="26"/>
        </w:rPr>
        <w:t>At the time of the filing of the instant application, GSW’s company</w:t>
      </w:r>
      <w:r w:rsidRPr="00D4388B" w:rsidR="00F96E6B">
        <w:rPr>
          <w:rFonts w:cs="Arial"/>
          <w:bCs/>
          <w:szCs w:val="26"/>
        </w:rPr>
        <w:t>-</w:t>
      </w:r>
      <w:r w:rsidRPr="00D4388B">
        <w:rPr>
          <w:rFonts w:cs="Arial"/>
          <w:bCs/>
          <w:szCs w:val="26"/>
        </w:rPr>
        <w:t xml:space="preserve">wide GRC, A.23-08-010, was still under Commission review. In </w:t>
      </w:r>
      <w:r w:rsidRPr="00D4388B" w:rsidR="001E3B9D">
        <w:rPr>
          <w:rFonts w:cs="Arial"/>
          <w:bCs/>
          <w:szCs w:val="26"/>
        </w:rPr>
        <w:t>A.23-08-010, GSW requested authority to implement a revenue decoupling program. In Special Request 5, GSW requests that the Commission apply any findings in A.23-08-010 related to its revenue decoupling program</w:t>
      </w:r>
      <w:r w:rsidRPr="00D4388B" w:rsidR="005275B6">
        <w:rPr>
          <w:rFonts w:cs="Arial"/>
          <w:bCs/>
          <w:szCs w:val="26"/>
        </w:rPr>
        <w:t xml:space="preserve"> or alternative mechanisms adopted by the CPUC to its Sutter Pointe CSA as well. </w:t>
      </w:r>
    </w:p>
    <w:p w:rsidRPr="00D4388B" w:rsidR="005275B6" w:rsidP="00454B22" w:rsidRDefault="005275B6" w14:paraId="44CF8FA1" w14:textId="120575BD">
      <w:pPr>
        <w:pStyle w:val="Standard"/>
        <w:rPr>
          <w:rFonts w:cs="Arial"/>
          <w:bCs/>
          <w:szCs w:val="26"/>
        </w:rPr>
      </w:pPr>
      <w:r w:rsidRPr="00D4388B">
        <w:rPr>
          <w:rFonts w:cs="Arial"/>
          <w:bCs/>
          <w:szCs w:val="26"/>
        </w:rPr>
        <w:t xml:space="preserve">The Public Advocates Office does not oppose </w:t>
      </w:r>
      <w:r w:rsidRPr="00D4388B" w:rsidR="001342DC">
        <w:rPr>
          <w:rFonts w:cs="Arial"/>
          <w:bCs/>
          <w:szCs w:val="26"/>
        </w:rPr>
        <w:t xml:space="preserve">this request. </w:t>
      </w:r>
    </w:p>
    <w:p w:rsidRPr="00D4388B" w:rsidR="001342DC" w:rsidP="00454B22" w:rsidRDefault="00F96E6B" w14:paraId="07AF8517" w14:textId="48AC510E">
      <w:pPr>
        <w:pStyle w:val="Standard"/>
        <w:rPr>
          <w:bCs/>
        </w:rPr>
      </w:pPr>
      <w:r w:rsidRPr="00D4388B">
        <w:rPr>
          <w:rFonts w:cs="Arial"/>
          <w:bCs/>
          <w:szCs w:val="26"/>
        </w:rPr>
        <w:t xml:space="preserve">Commission </w:t>
      </w:r>
      <w:r w:rsidRPr="00D4388B" w:rsidR="001342DC">
        <w:rPr>
          <w:rFonts w:cs="Arial"/>
          <w:bCs/>
          <w:szCs w:val="26"/>
        </w:rPr>
        <w:t>D.25-01-036</w:t>
      </w:r>
      <w:r w:rsidRPr="00D4388B" w:rsidR="00604BA9">
        <w:rPr>
          <w:rFonts w:cs="Arial"/>
          <w:bCs/>
          <w:szCs w:val="26"/>
        </w:rPr>
        <w:t>, which resolved A.23-08-010, requires</w:t>
      </w:r>
      <w:r w:rsidRPr="00D4388B" w:rsidR="003A03E2">
        <w:rPr>
          <w:rFonts w:cs="Arial"/>
          <w:bCs/>
          <w:szCs w:val="26"/>
        </w:rPr>
        <w:t xml:space="preserve"> GSW to transition from decoupled rates to the Monterey Revenue Adjustment Mechanism and establish an Incremental Cost Balancing Account. The</w:t>
      </w:r>
      <w:r w:rsidRPr="00D4388B">
        <w:rPr>
          <w:rFonts w:cs="Arial"/>
          <w:bCs/>
          <w:szCs w:val="26"/>
        </w:rPr>
        <w:t xml:space="preserve"> Settling </w:t>
      </w:r>
      <w:r w:rsidRPr="00D4388B">
        <w:rPr>
          <w:rFonts w:cs="Arial"/>
          <w:bCs/>
          <w:szCs w:val="26"/>
        </w:rPr>
        <w:lastRenderedPageBreak/>
        <w:t>Parties agree that these two mechanisms are to be established for the Sutter Pointe CSA.</w:t>
      </w:r>
      <w:r w:rsidRPr="00D4388B">
        <w:rPr>
          <w:rStyle w:val="FootnoteReference"/>
          <w:rFonts w:cs="Arial"/>
          <w:bCs/>
          <w:szCs w:val="26"/>
        </w:rPr>
        <w:footnoteReference w:id="26"/>
      </w:r>
    </w:p>
    <w:p w:rsidR="00F53B1A" w:rsidP="002819F3" w:rsidRDefault="00F53B1A" w14:paraId="3C4B29A3" w14:textId="1D50CC2C">
      <w:pPr>
        <w:pStyle w:val="Heading2"/>
      </w:pPr>
      <w:bookmarkStart w:name="_Toc212447323" w:id="19"/>
      <w:r>
        <w:rPr>
          <w:u w:val="single"/>
        </w:rPr>
        <w:t>Special Request 6</w:t>
      </w:r>
      <w:r>
        <w:t xml:space="preserve">: Exception to Attrition Filing Methodology </w:t>
      </w:r>
      <w:r w:rsidR="00F26830">
        <w:t>and Inclusion of Costs in Attrition Year 2027</w:t>
      </w:r>
      <w:bookmarkEnd w:id="19"/>
    </w:p>
    <w:p w:rsidR="00F96E6B" w:rsidP="00F96E6B" w:rsidRDefault="009B7CA0" w14:paraId="09AE4006" w14:textId="5A6BECEC">
      <w:pPr>
        <w:pStyle w:val="Standard"/>
      </w:pPr>
      <w:r>
        <w:t xml:space="preserve">GSW </w:t>
      </w:r>
      <w:r w:rsidR="0004336F">
        <w:t xml:space="preserve">states it plans to rent a temporary trailer to provide support to the Sutter Pointe CSA, beginning in 2027. GSW </w:t>
      </w:r>
      <w:r w:rsidR="002B6130">
        <w:t xml:space="preserve">requested an exemption </w:t>
      </w:r>
      <w:proofErr w:type="gramStart"/>
      <w:r w:rsidR="002B6130">
        <w:t>to</w:t>
      </w:r>
      <w:proofErr w:type="gramEnd"/>
      <w:r w:rsidR="002B6130">
        <w:t xml:space="preserve"> the required attrition filing methodology of the Rate Case Plan (RCP). Specifically, GSW requests </w:t>
      </w:r>
      <w:r w:rsidR="00BA2C0A">
        <w:t xml:space="preserve">authority to include additional costs related to the temporary trailer in its 2027 attrition filing. </w:t>
      </w:r>
    </w:p>
    <w:p w:rsidR="00BA2C0A" w:rsidP="00F96E6B" w:rsidRDefault="00BA2C0A" w14:paraId="6375C3D3" w14:textId="3FEF4198">
      <w:pPr>
        <w:pStyle w:val="Standard"/>
      </w:pPr>
      <w:r>
        <w:t xml:space="preserve">The Public Advocates Office </w:t>
      </w:r>
      <w:r w:rsidR="00446065">
        <w:t xml:space="preserve">did not contest the costs GSW presented for this </w:t>
      </w:r>
      <w:proofErr w:type="gramStart"/>
      <w:r w:rsidR="00446065">
        <w:t>request, but</w:t>
      </w:r>
      <w:proofErr w:type="gramEnd"/>
      <w:r w:rsidR="00446065">
        <w:t xml:space="preserve"> o</w:t>
      </w:r>
      <w:r>
        <w:t xml:space="preserve">pposed </w:t>
      </w:r>
      <w:r w:rsidR="00FA757A">
        <w:t xml:space="preserve">GSW’s request to </w:t>
      </w:r>
      <w:r w:rsidR="0004027F">
        <w:t xml:space="preserve">deviate from RCP guidelines for forecasting attrition year expenses. The Public Advocates Office recommended the Commission require GSW to comply with the </w:t>
      </w:r>
      <w:r w:rsidR="0042440D">
        <w:t xml:space="preserve">RCP and include trailer rental fee and related costs in its Test Year 2026 </w:t>
      </w:r>
      <w:r w:rsidR="002A7407">
        <w:t>costs and</w:t>
      </w:r>
      <w:r w:rsidR="00290D29">
        <w:t xml:space="preserve"> escalate by the appropriate factors for Attrition Years 2027 and 2028.</w:t>
      </w:r>
    </w:p>
    <w:p w:rsidRPr="00F96E6B" w:rsidR="00290D29" w:rsidP="00F96E6B" w:rsidRDefault="00290D29" w14:paraId="19023691" w14:textId="486B320E">
      <w:pPr>
        <w:pStyle w:val="Standard"/>
      </w:pPr>
      <w:r>
        <w:t xml:space="preserve">The Settling Parties agreed to a modified version of the Public Advocates Office’s recommendation. Specifically, </w:t>
      </w:r>
      <w:r w:rsidR="00FE371B">
        <w:t xml:space="preserve">the Settling Parties agree to </w:t>
      </w:r>
      <w:r w:rsidR="007F62BD">
        <w:t xml:space="preserve">the methodology recommended by the Public Advocates Office and adherence to the RCP, </w:t>
      </w:r>
      <w:r w:rsidR="00A23739">
        <w:t xml:space="preserve">however </w:t>
      </w:r>
      <w:r w:rsidR="00AA5F16">
        <w:t>the Settling Parties agree to include $25,259 of trailer rental fees and related costs in test year 2026. This amount would be escalated by the appropriate RCP escalation factors for 2027 and 2028.</w:t>
      </w:r>
      <w:r w:rsidR="00AA5F16">
        <w:rPr>
          <w:rStyle w:val="FootnoteReference"/>
        </w:rPr>
        <w:footnoteReference w:id="27"/>
      </w:r>
    </w:p>
    <w:p w:rsidR="004E09A4" w:rsidP="00C33ED6" w:rsidRDefault="004E09A4" w14:paraId="1BEBE14A" w14:textId="157B5CD0">
      <w:pPr>
        <w:pStyle w:val="Heading1"/>
      </w:pPr>
      <w:bookmarkStart w:name="_Toc212447324" w:id="20"/>
      <w:r>
        <w:lastRenderedPageBreak/>
        <w:t>Burdens on the Parties and Standard of Review</w:t>
      </w:r>
      <w:bookmarkEnd w:id="20"/>
    </w:p>
    <w:p w:rsidR="00000B68" w:rsidP="00000B68" w:rsidRDefault="00000B68" w14:paraId="07DD7FAE" w14:textId="2E12F10E">
      <w:pPr>
        <w:pStyle w:val="Standard"/>
        <w:rPr>
          <w:rFonts w:cs="Arial"/>
          <w:szCs w:val="26"/>
        </w:rPr>
      </w:pPr>
      <w:r>
        <w:rPr>
          <w:rFonts w:cs="Arial"/>
          <w:szCs w:val="26"/>
        </w:rPr>
        <w:t xml:space="preserve">As joint moving parties, the Settling Parties jointly bear the burden of establishing that the Settlement Agreement (attached to this decision as </w:t>
      </w:r>
      <w:r w:rsidR="007A6118">
        <w:rPr>
          <w:rFonts w:cs="Arial"/>
          <w:szCs w:val="26"/>
        </w:rPr>
        <w:t xml:space="preserve">Attachment </w:t>
      </w:r>
      <w:r>
        <w:rPr>
          <w:rFonts w:cs="Arial"/>
          <w:szCs w:val="26"/>
        </w:rPr>
        <w:t>A) meets the criteria set forth in Rule 12.1(d).</w:t>
      </w:r>
      <w:r>
        <w:rPr>
          <w:rStyle w:val="FootnoteReference"/>
          <w:rFonts w:cs="Arial"/>
          <w:szCs w:val="26"/>
        </w:rPr>
        <w:footnoteReference w:id="28"/>
      </w:r>
      <w:r>
        <w:rPr>
          <w:rFonts w:cs="Arial"/>
          <w:szCs w:val="26"/>
        </w:rPr>
        <w:t xml:space="preserve">  </w:t>
      </w:r>
    </w:p>
    <w:p w:rsidR="002B62E8" w:rsidP="004137BA" w:rsidRDefault="004137BA" w14:paraId="4C030076" w14:textId="01F709AF">
      <w:pPr>
        <w:pStyle w:val="Standard"/>
        <w:rPr>
          <w:rFonts w:cs="Arial"/>
          <w:szCs w:val="26"/>
        </w:rPr>
      </w:pPr>
      <w:r>
        <w:rPr>
          <w:rFonts w:cs="Arial"/>
          <w:szCs w:val="26"/>
        </w:rPr>
        <w:t>GSW bears the burden of production and burden of proof with respect to the contested Special Requests and must show by a preponderance of all the evidence in the record that its positions should be adopted by the Commission.</w:t>
      </w:r>
      <w:r w:rsidR="005404F6">
        <w:rPr>
          <w:rFonts w:cs="Arial"/>
          <w:szCs w:val="26"/>
        </w:rPr>
        <w:t xml:space="preserve"> </w:t>
      </w:r>
    </w:p>
    <w:p w:rsidRPr="004137BA" w:rsidR="005404F6" w:rsidP="004137BA" w:rsidRDefault="005404F6" w14:paraId="6371C918" w14:textId="70ABB10E">
      <w:pPr>
        <w:pStyle w:val="Standard"/>
        <w:rPr>
          <w:rFonts w:cs="Arial"/>
          <w:szCs w:val="26"/>
        </w:rPr>
      </w:pPr>
      <w:r>
        <w:rPr>
          <w:rFonts w:cs="Arial"/>
          <w:szCs w:val="26"/>
        </w:rPr>
        <w:t xml:space="preserve">We will proceed with a discussion </w:t>
      </w:r>
      <w:r w:rsidR="00964A63">
        <w:rPr>
          <w:rFonts w:cs="Arial"/>
          <w:szCs w:val="26"/>
        </w:rPr>
        <w:t xml:space="preserve">regarding </w:t>
      </w:r>
      <w:r>
        <w:rPr>
          <w:rFonts w:cs="Arial"/>
          <w:szCs w:val="26"/>
        </w:rPr>
        <w:t xml:space="preserve">whether the </w:t>
      </w:r>
      <w:r w:rsidR="00B02D72">
        <w:rPr>
          <w:rFonts w:cs="Arial"/>
          <w:szCs w:val="26"/>
        </w:rPr>
        <w:t>S</w:t>
      </w:r>
      <w:r>
        <w:rPr>
          <w:rFonts w:cs="Arial"/>
          <w:szCs w:val="26"/>
        </w:rPr>
        <w:t xml:space="preserve">ettlement </w:t>
      </w:r>
      <w:r w:rsidR="00B02D72">
        <w:rPr>
          <w:rFonts w:cs="Arial"/>
          <w:szCs w:val="26"/>
        </w:rPr>
        <w:t>A</w:t>
      </w:r>
      <w:r>
        <w:rPr>
          <w:rFonts w:cs="Arial"/>
          <w:szCs w:val="26"/>
        </w:rPr>
        <w:t xml:space="preserve">greement meets the </w:t>
      </w:r>
      <w:r w:rsidR="00BD537C">
        <w:rPr>
          <w:rFonts w:cs="Arial"/>
          <w:szCs w:val="26"/>
        </w:rPr>
        <w:t>specified criteria for approval pursuant to Rule 12.1(d)</w:t>
      </w:r>
      <w:r w:rsidR="00D97A71">
        <w:rPr>
          <w:rFonts w:cs="Arial"/>
          <w:szCs w:val="26"/>
        </w:rPr>
        <w:t xml:space="preserve"> of the Commission’s Rules of Practice and Procedure (Rule)</w:t>
      </w:r>
      <w:r w:rsidR="00BD537C">
        <w:rPr>
          <w:rFonts w:cs="Arial"/>
          <w:szCs w:val="26"/>
        </w:rPr>
        <w:t xml:space="preserve">. </w:t>
      </w:r>
    </w:p>
    <w:p w:rsidR="00AB0E0F" w:rsidP="00C33ED6" w:rsidRDefault="00AB0E0F" w14:paraId="320FC155" w14:textId="061C362E">
      <w:pPr>
        <w:pStyle w:val="Heading1"/>
      </w:pPr>
      <w:bookmarkStart w:name="_Toc212447325" w:id="21"/>
      <w:r>
        <w:t>Approval of the Proposed Settlement</w:t>
      </w:r>
      <w:bookmarkEnd w:id="21"/>
    </w:p>
    <w:p w:rsidR="00AB0E0F" w:rsidP="00170C04" w:rsidRDefault="00D179AC" w14:paraId="7FC655FB" w14:textId="5E78831D">
      <w:pPr>
        <w:pStyle w:val="Standard"/>
      </w:pPr>
      <w:r>
        <w:t xml:space="preserve">When considering whether to adopt a settlement agreement, Rule 12.1(d) </w:t>
      </w:r>
      <w:r w:rsidR="0090189C">
        <w:t>require</w:t>
      </w:r>
      <w:r w:rsidR="00D97A71">
        <w:t>s</w:t>
      </w:r>
      <w:r w:rsidR="0090189C">
        <w:t xml:space="preserve"> that the settlement: </w:t>
      </w:r>
      <w:r w:rsidR="00925580">
        <w:t>(</w:t>
      </w:r>
      <w:proofErr w:type="spellStart"/>
      <w:r w:rsidR="00925580">
        <w:t>i</w:t>
      </w:r>
      <w:proofErr w:type="spellEnd"/>
      <w:r w:rsidR="00925580">
        <w:t>)</w:t>
      </w:r>
      <w:r w:rsidR="0090189C">
        <w:t xml:space="preserve"> be</w:t>
      </w:r>
      <w:r w:rsidR="00925580">
        <w:t xml:space="preserve"> reasonable </w:t>
      </w:r>
      <w:proofErr w:type="gramStart"/>
      <w:r w:rsidR="00925580">
        <w:t>in light of</w:t>
      </w:r>
      <w:proofErr w:type="gramEnd"/>
      <w:r w:rsidR="00925580">
        <w:t xml:space="preserve"> the record; (ii) </w:t>
      </w:r>
      <w:r w:rsidR="0090189C">
        <w:t xml:space="preserve">be </w:t>
      </w:r>
      <w:r w:rsidR="00925580">
        <w:t xml:space="preserve">consistent with the law; and (iii) in the public interest. </w:t>
      </w:r>
      <w:r w:rsidR="009B019E">
        <w:t xml:space="preserve">We evaluate the </w:t>
      </w:r>
      <w:r w:rsidR="00D32B96">
        <w:t>Se</w:t>
      </w:r>
      <w:r w:rsidR="009B019E">
        <w:t xml:space="preserve">ttlement </w:t>
      </w:r>
      <w:r w:rsidR="002D79FC">
        <w:t>on all three criteria</w:t>
      </w:r>
      <w:r w:rsidR="00D32B96">
        <w:t xml:space="preserve">, </w:t>
      </w:r>
      <w:r w:rsidR="002D79FC">
        <w:t>follow</w:t>
      </w:r>
      <w:r w:rsidR="00D32B96">
        <w:t>ing the summary</w:t>
      </w:r>
      <w:r w:rsidR="002D79FC">
        <w:t xml:space="preserve"> of the </w:t>
      </w:r>
      <w:r w:rsidR="00F02677">
        <w:t>settled issues</w:t>
      </w:r>
      <w:r w:rsidR="00D32B96">
        <w:t xml:space="preserve"> presented in Section 3 of the instant decision</w:t>
      </w:r>
      <w:r w:rsidR="00F02677">
        <w:t xml:space="preserve">. </w:t>
      </w:r>
    </w:p>
    <w:p w:rsidRPr="00834DD1" w:rsidR="0021196F" w:rsidP="0021196F" w:rsidRDefault="0021196F" w14:paraId="588BF8EC" w14:textId="018570D7">
      <w:pPr>
        <w:pStyle w:val="Standard"/>
      </w:pPr>
      <w:r w:rsidRPr="00834DD1">
        <w:t xml:space="preserve">We find that the Settlement Agreement is reasonable </w:t>
      </w:r>
      <w:proofErr w:type="gramStart"/>
      <w:r w:rsidRPr="00834DD1">
        <w:t>in light of</w:t>
      </w:r>
      <w:proofErr w:type="gramEnd"/>
      <w:r w:rsidRPr="00834DD1">
        <w:t xml:space="preserve"> the whole</w:t>
      </w:r>
    </w:p>
    <w:p w:rsidRPr="00834DD1" w:rsidR="0021196F" w:rsidP="00964A63" w:rsidRDefault="0021196F" w14:paraId="0CD96CE0" w14:textId="13D60B6D">
      <w:pPr>
        <w:pStyle w:val="Standard"/>
        <w:ind w:firstLine="0"/>
      </w:pPr>
      <w:r w:rsidRPr="00834DD1">
        <w:t xml:space="preserve">record. </w:t>
      </w:r>
      <w:r>
        <w:t>W</w:t>
      </w:r>
      <w:r w:rsidRPr="00834DD1">
        <w:t xml:space="preserve">e recognize that the </w:t>
      </w:r>
      <w:r>
        <w:t xml:space="preserve">Settling </w:t>
      </w:r>
      <w:r w:rsidRPr="00834DD1">
        <w:t>Parties carefully considered</w:t>
      </w:r>
      <w:r>
        <w:t xml:space="preserve"> </w:t>
      </w:r>
      <w:r w:rsidRPr="00834DD1">
        <w:t>the facts relevant to each issue. We have weighed each party’s argument, noting</w:t>
      </w:r>
      <w:r>
        <w:t xml:space="preserve"> </w:t>
      </w:r>
      <w:r w:rsidRPr="00834DD1">
        <w:t>that each party reasonably and mutually compromised on the issues resulting in</w:t>
      </w:r>
      <w:r>
        <w:t xml:space="preserve"> </w:t>
      </w:r>
      <w:r w:rsidRPr="00834DD1">
        <w:t>compromises in the Settlement Agreement that substantially lessen the burden</w:t>
      </w:r>
      <w:r>
        <w:t xml:space="preserve"> </w:t>
      </w:r>
      <w:r w:rsidRPr="00834DD1">
        <w:t xml:space="preserve">on ratepayers relative to </w:t>
      </w:r>
      <w:r>
        <w:t>GSW’s</w:t>
      </w:r>
      <w:r w:rsidRPr="00834DD1">
        <w:t xml:space="preserve"> initially requested rate</w:t>
      </w:r>
      <w:r w:rsidR="003153A1">
        <w:t xml:space="preserve">s </w:t>
      </w:r>
      <w:r w:rsidRPr="00834DD1">
        <w:t>in the</w:t>
      </w:r>
      <w:r>
        <w:t xml:space="preserve"> </w:t>
      </w:r>
      <w:r w:rsidRPr="00834DD1">
        <w:t>instant application. In turn, the Settlement Agreement will keep the rate burden</w:t>
      </w:r>
      <w:r>
        <w:t xml:space="preserve"> </w:t>
      </w:r>
      <w:r w:rsidRPr="00834DD1">
        <w:t xml:space="preserve">as low </w:t>
      </w:r>
      <w:r w:rsidRPr="00834DD1">
        <w:lastRenderedPageBreak/>
        <w:t xml:space="preserve">as practicable while allowing </w:t>
      </w:r>
      <w:r>
        <w:t>GSW</w:t>
      </w:r>
      <w:r w:rsidRPr="00834DD1">
        <w:t xml:space="preserve"> to recover a reasonable amount of</w:t>
      </w:r>
      <w:r>
        <w:t xml:space="preserve"> </w:t>
      </w:r>
      <w:r w:rsidRPr="00834DD1">
        <w:t>increased costs and while continuing to provide safe and clean water service in</w:t>
      </w:r>
      <w:r>
        <w:t xml:space="preserve"> </w:t>
      </w:r>
      <w:r w:rsidRPr="00834DD1">
        <w:t>an efficient and cost-effective manner. We therefore find the terms of the</w:t>
      </w:r>
      <w:r>
        <w:t xml:space="preserve"> </w:t>
      </w:r>
      <w:r w:rsidRPr="00834DD1">
        <w:t xml:space="preserve">Settlement Agreement mutually beneficial to both </w:t>
      </w:r>
      <w:r>
        <w:t>GSW</w:t>
      </w:r>
      <w:r w:rsidRPr="00834DD1">
        <w:t xml:space="preserve"> and ratepayers.</w:t>
      </w:r>
    </w:p>
    <w:p w:rsidR="0021196F" w:rsidP="0021196F" w:rsidRDefault="0021196F" w14:paraId="0C327983" w14:textId="5C014118">
      <w:pPr>
        <w:pStyle w:val="Standard"/>
      </w:pPr>
      <w:r w:rsidRPr="00834DD1">
        <w:t>We also find that the Settlement Agreement is consistent with the law and</w:t>
      </w:r>
      <w:r>
        <w:t xml:space="preserve"> </w:t>
      </w:r>
      <w:r w:rsidRPr="00834DD1">
        <w:t xml:space="preserve">Commission decisions. </w:t>
      </w:r>
      <w:r>
        <w:t>T</w:t>
      </w:r>
      <w:r w:rsidRPr="00834DD1">
        <w:t xml:space="preserve">he </w:t>
      </w:r>
      <w:r>
        <w:t>Settling Parties</w:t>
      </w:r>
      <w:r w:rsidRPr="00834DD1">
        <w:t xml:space="preserve"> complied with the</w:t>
      </w:r>
      <w:r>
        <w:t xml:space="preserve"> </w:t>
      </w:r>
      <w:r w:rsidRPr="00834DD1">
        <w:t>provisions of Rule 12. Furthermore, we find that there are no terms within the</w:t>
      </w:r>
      <w:r>
        <w:t xml:space="preserve"> </w:t>
      </w:r>
      <w:r w:rsidRPr="00834DD1">
        <w:t>Settlement Agreement that would bind the Commission in the future or violate</w:t>
      </w:r>
      <w:r>
        <w:t xml:space="preserve"> </w:t>
      </w:r>
      <w:r w:rsidRPr="00834DD1">
        <w:t xml:space="preserve">existing law. The </w:t>
      </w:r>
      <w:r>
        <w:t xml:space="preserve">Settling </w:t>
      </w:r>
      <w:r w:rsidRPr="00834DD1">
        <w:t>Parties are aware of no statutory provision or prior</w:t>
      </w:r>
      <w:r>
        <w:t xml:space="preserve"> </w:t>
      </w:r>
      <w:r w:rsidRPr="00834DD1">
        <w:t>Commission decision that would be contravened or compromised by the</w:t>
      </w:r>
      <w:r>
        <w:t xml:space="preserve"> </w:t>
      </w:r>
      <w:r w:rsidRPr="00834DD1">
        <w:t xml:space="preserve">Settlement Agreement. Further, the </w:t>
      </w:r>
      <w:r w:rsidR="00B24707">
        <w:t xml:space="preserve">Settling </w:t>
      </w:r>
      <w:r w:rsidRPr="00834DD1">
        <w:t>Parties entered into the Settlement</w:t>
      </w:r>
      <w:r>
        <w:t xml:space="preserve"> </w:t>
      </w:r>
      <w:r w:rsidRPr="00834DD1">
        <w:t>Agreement voluntarily and upon review and advice by their respective legal</w:t>
      </w:r>
      <w:r>
        <w:t xml:space="preserve"> </w:t>
      </w:r>
      <w:r w:rsidRPr="00834DD1">
        <w:t>counsels and technical staff.</w:t>
      </w:r>
      <w:r>
        <w:t xml:space="preserve"> </w:t>
      </w:r>
      <w:r w:rsidRPr="00834DD1">
        <w:t>Finally, we find that the Settlement Agreement is in the public</w:t>
      </w:r>
      <w:r>
        <w:t xml:space="preserve"> </w:t>
      </w:r>
      <w:r w:rsidRPr="00834DD1">
        <w:t>interest for the following reasons:</w:t>
      </w:r>
      <w:r>
        <w:t xml:space="preserve"> </w:t>
      </w:r>
    </w:p>
    <w:p w:rsidR="0021196F" w:rsidP="00B72C1B" w:rsidRDefault="0021196F" w14:paraId="076C498B" w14:textId="4E6646E2">
      <w:pPr>
        <w:pStyle w:val="ListNum"/>
        <w:ind w:right="1440"/>
      </w:pPr>
      <w:r w:rsidRPr="009A4BBC">
        <w:t>The</w:t>
      </w:r>
      <w:r w:rsidR="00B24707">
        <w:t xml:space="preserve"> Settling</w:t>
      </w:r>
      <w:r w:rsidRPr="009A4BBC">
        <w:t xml:space="preserve"> Parties represent both sides of this case: the utility and</w:t>
      </w:r>
      <w:r>
        <w:t xml:space="preserve"> </w:t>
      </w:r>
      <w:r w:rsidRPr="009A4BBC">
        <w:t>the ratepayers and the Settlement Agreement balances</w:t>
      </w:r>
      <w:r>
        <w:t xml:space="preserve"> </w:t>
      </w:r>
      <w:r w:rsidRPr="009A4BBC">
        <w:t xml:space="preserve">those interests at </w:t>
      </w:r>
      <w:proofErr w:type="gramStart"/>
      <w:r w:rsidRPr="009A4BBC">
        <w:t>stake;</w:t>
      </w:r>
      <w:proofErr w:type="gramEnd"/>
    </w:p>
    <w:p w:rsidR="0021196F" w:rsidP="00B72C1B" w:rsidRDefault="0021196F" w14:paraId="604E20C0" w14:textId="77777777">
      <w:pPr>
        <w:pStyle w:val="ListNum"/>
        <w:ind w:right="1440"/>
      </w:pPr>
      <w:r w:rsidRPr="009A4BBC">
        <w:t>The Settlement Agreement serves the public interest by</w:t>
      </w:r>
      <w:r>
        <w:t xml:space="preserve"> </w:t>
      </w:r>
      <w:r w:rsidRPr="009A4BBC">
        <w:t>resolving competing concerns in a collaborative and</w:t>
      </w:r>
      <w:r>
        <w:t xml:space="preserve"> </w:t>
      </w:r>
      <w:r w:rsidRPr="009A4BBC">
        <w:t xml:space="preserve">cooperative </w:t>
      </w:r>
      <w:proofErr w:type="gramStart"/>
      <w:r w:rsidRPr="009A4BBC">
        <w:t>manner;</w:t>
      </w:r>
      <w:proofErr w:type="gramEnd"/>
    </w:p>
    <w:p w:rsidR="0021196F" w:rsidP="00B72C1B" w:rsidRDefault="0021196F" w14:paraId="304B5BFD" w14:textId="77777777">
      <w:pPr>
        <w:pStyle w:val="ListNum"/>
        <w:ind w:right="1440"/>
      </w:pPr>
      <w:r w:rsidRPr="009A4BBC">
        <w:t xml:space="preserve">The Settlement Agreement </w:t>
      </w:r>
      <w:r>
        <w:t>minimizes</w:t>
      </w:r>
      <w:r w:rsidRPr="009A4BBC">
        <w:t xml:space="preserve"> the costs of evidentiary</w:t>
      </w:r>
      <w:r>
        <w:t xml:space="preserve"> </w:t>
      </w:r>
      <w:r w:rsidRPr="009A4BBC">
        <w:t>hearings</w:t>
      </w:r>
      <w:r>
        <w:t xml:space="preserve"> </w:t>
      </w:r>
      <w:r w:rsidRPr="009A4BBC">
        <w:t>and resources of the Commission, thus saving</w:t>
      </w:r>
      <w:r>
        <w:t xml:space="preserve"> </w:t>
      </w:r>
      <w:r w:rsidRPr="009A4BBC">
        <w:t xml:space="preserve">public and ratepayer funds to litigate the </w:t>
      </w:r>
      <w:proofErr w:type="gramStart"/>
      <w:r w:rsidRPr="009A4BBC">
        <w:t>dispute;</w:t>
      </w:r>
      <w:proofErr w:type="gramEnd"/>
    </w:p>
    <w:p w:rsidR="0021196F" w:rsidP="00B72C1B" w:rsidRDefault="0021196F" w14:paraId="5614C483" w14:textId="4D66D62A">
      <w:pPr>
        <w:pStyle w:val="ListNum"/>
        <w:ind w:right="1440"/>
      </w:pPr>
      <w:r w:rsidRPr="009A4BBC">
        <w:t>The Settlement Agreement will provide efficient resolution</w:t>
      </w:r>
      <w:r>
        <w:t xml:space="preserve"> </w:t>
      </w:r>
      <w:r w:rsidRPr="009A4BBC">
        <w:t>of the contested issues, thus saving</w:t>
      </w:r>
      <w:r>
        <w:t xml:space="preserve"> </w:t>
      </w:r>
      <w:r w:rsidRPr="009A4BBC">
        <w:t>unnecessary litigation expenses and Commission</w:t>
      </w:r>
      <w:r>
        <w:t xml:space="preserve"> </w:t>
      </w:r>
      <w:proofErr w:type="gramStart"/>
      <w:r w:rsidRPr="009A4BBC">
        <w:t>resources;</w:t>
      </w:r>
      <w:proofErr w:type="gramEnd"/>
    </w:p>
    <w:p w:rsidR="0021196F" w:rsidP="00B72C1B" w:rsidRDefault="0021196F" w14:paraId="75C3B9FE" w14:textId="44BA262A">
      <w:pPr>
        <w:pStyle w:val="ListNum"/>
        <w:ind w:right="1440"/>
      </w:pPr>
      <w:r w:rsidRPr="009A4BBC">
        <w:t>The Settlement Agreement is consistent with the</w:t>
      </w:r>
      <w:r>
        <w:t xml:space="preserve"> </w:t>
      </w:r>
      <w:r w:rsidRPr="009A4BBC">
        <w:t>Commission’s long-standing policy favoring the</w:t>
      </w:r>
      <w:r>
        <w:t xml:space="preserve"> </w:t>
      </w:r>
      <w:r w:rsidRPr="009A4BBC">
        <w:t>settlement of disputes to avoid costly and protracted</w:t>
      </w:r>
      <w:r>
        <w:t xml:space="preserve"> </w:t>
      </w:r>
      <w:r w:rsidRPr="009A4BBC">
        <w:t>litigation; and</w:t>
      </w:r>
    </w:p>
    <w:p w:rsidRPr="009A4BBC" w:rsidR="0021196F" w:rsidP="00B72C1B" w:rsidRDefault="0021196F" w14:paraId="70C32E65" w14:textId="7D32DE13">
      <w:pPr>
        <w:pStyle w:val="ListNum"/>
        <w:ind w:right="1440"/>
      </w:pPr>
      <w:r w:rsidRPr="009A4BBC">
        <w:lastRenderedPageBreak/>
        <w:t>The Settlement Agreement ensures that customers have</w:t>
      </w:r>
      <w:r>
        <w:t xml:space="preserve"> </w:t>
      </w:r>
      <w:r w:rsidRPr="009A4BBC">
        <w:t>access to an affordable, safe, and reliable water</w:t>
      </w:r>
      <w:r>
        <w:t xml:space="preserve"> </w:t>
      </w:r>
      <w:r w:rsidRPr="009A4BBC">
        <w:t>supply system.</w:t>
      </w:r>
    </w:p>
    <w:p w:rsidRPr="002B29B2" w:rsidR="00AB3FC3" w:rsidP="00BC1794" w:rsidRDefault="0021196F" w14:paraId="010C7BF3" w14:textId="4A0CD147">
      <w:pPr>
        <w:pStyle w:val="Standard"/>
      </w:pPr>
      <w:r w:rsidRPr="009A4BBC">
        <w:t>Adoption of the Settlement is binding on all parties to the proceeding.</w:t>
      </w:r>
      <w:r>
        <w:t xml:space="preserve"> </w:t>
      </w:r>
      <w:r w:rsidRPr="009A4BBC">
        <w:t>However, pursuant to Rule 12.5, the Settlement Agreement does not bind or</w:t>
      </w:r>
      <w:r>
        <w:t xml:space="preserve"> </w:t>
      </w:r>
      <w:r w:rsidRPr="009A4BBC">
        <w:t xml:space="preserve">otherwise impose a precedent </w:t>
      </w:r>
      <w:proofErr w:type="gramStart"/>
      <w:r w:rsidRPr="009A4BBC">
        <w:t>in</w:t>
      </w:r>
      <w:proofErr w:type="gramEnd"/>
      <w:r w:rsidRPr="009A4BBC">
        <w:t xml:space="preserve"> this or any future proceeding. </w:t>
      </w:r>
      <w:r>
        <w:t>GSW</w:t>
      </w:r>
      <w:r w:rsidRPr="009A4BBC">
        <w:t xml:space="preserve"> should</w:t>
      </w:r>
      <w:r>
        <w:t xml:space="preserve"> </w:t>
      </w:r>
      <w:r w:rsidRPr="009A4BBC">
        <w:t>not presume that the Commission would deem the outcome adopted in this</w:t>
      </w:r>
      <w:r>
        <w:t xml:space="preserve"> </w:t>
      </w:r>
      <w:r w:rsidRPr="009A4BBC">
        <w:t>decision to automatically be reasonable in any subsequent application. Hence,</w:t>
      </w:r>
      <w:r>
        <w:t xml:space="preserve"> </w:t>
      </w:r>
      <w:r w:rsidRPr="009A4BBC">
        <w:t xml:space="preserve">future applications filed by </w:t>
      </w:r>
      <w:r>
        <w:t>GSW</w:t>
      </w:r>
      <w:r w:rsidRPr="009A4BBC">
        <w:t xml:space="preserve"> should fully justify every request and</w:t>
      </w:r>
      <w:r>
        <w:t xml:space="preserve"> </w:t>
      </w:r>
      <w:r w:rsidRPr="009A4BBC">
        <w:t>ratemaking proposal, as required by statute and Commission rule, and without</w:t>
      </w:r>
      <w:r>
        <w:t xml:space="preserve"> </w:t>
      </w:r>
      <w:r w:rsidRPr="009A4BBC">
        <w:t>reference to, or reliance on, the adoption of the Settlement Agreement.</w:t>
      </w:r>
    </w:p>
    <w:p w:rsidR="00996505" w:rsidP="00C33ED6" w:rsidRDefault="00A7543A" w14:paraId="2F769353" w14:textId="77777777">
      <w:pPr>
        <w:pStyle w:val="Heading1"/>
      </w:pPr>
      <w:bookmarkStart w:name="_Toc212447326" w:id="22"/>
      <w:r>
        <w:t>Public Participation Hearings</w:t>
      </w:r>
      <w:bookmarkEnd w:id="22"/>
    </w:p>
    <w:p w:rsidRPr="00996505" w:rsidR="00996505" w:rsidP="00DB2AB5" w:rsidRDefault="009467B3" w14:paraId="6243F27B" w14:textId="7CA8AF7D">
      <w:pPr>
        <w:pStyle w:val="Standard"/>
      </w:pPr>
      <w:r>
        <w:t>The Commission did not hold Public Participation Hearings in this proceeding because this is a new customer service area,</w:t>
      </w:r>
      <w:r w:rsidR="00DB2AB5">
        <w:t xml:space="preserve"> and there are no customers in the Sutter Pointe service area</w:t>
      </w:r>
      <w:r w:rsidR="00C84E53">
        <w:t xml:space="preserve"> at this time</w:t>
      </w:r>
      <w:r w:rsidRPr="009E01FE" w:rsidR="00727212">
        <w:t>.</w:t>
      </w:r>
    </w:p>
    <w:p w:rsidR="00663B2F" w:rsidP="00663B2F" w:rsidRDefault="00663B2F" w14:paraId="042CF055" w14:textId="77777777">
      <w:pPr>
        <w:pStyle w:val="Heading1"/>
      </w:pPr>
      <w:bookmarkStart w:name="_Toc36632232" w:id="23"/>
      <w:bookmarkStart w:name="_Toc212447327" w:id="24"/>
      <w:r>
        <w:t xml:space="preserve">Exemption from </w:t>
      </w:r>
      <w:r w:rsidRPr="00FA2492">
        <w:t>Comment Period</w:t>
      </w:r>
      <w:bookmarkEnd w:id="23"/>
      <w:bookmarkEnd w:id="24"/>
    </w:p>
    <w:p w:rsidR="00663B2F" w:rsidP="00663B2F" w:rsidRDefault="00663B2F" w14:paraId="4B0CA29A" w14:textId="77777777">
      <w:pPr>
        <w:pStyle w:val="Standard"/>
      </w:pPr>
      <w:r>
        <w:t>This is an uncontested matter in which the decision grants the relief requested.  Accordingly, pursuant to § 11(g)(2) and Rule 14.6(c)(2) of the Commission’s Rules of Practice and Procedure</w:t>
      </w:r>
      <w:r w:rsidRPr="00606B84">
        <w:t>, the otherwise applicable 30</w:t>
      </w:r>
      <w:r w:rsidRPr="00606B84">
        <w:noBreakHyphen/>
        <w:t>day period for public review and comment is waived.</w:t>
      </w:r>
    </w:p>
    <w:p w:rsidR="00F17948" w:rsidP="00F17948" w:rsidRDefault="00F17948" w14:paraId="1CA41AF8" w14:textId="3CC6F36C">
      <w:pPr>
        <w:pStyle w:val="Heading1"/>
      </w:pPr>
      <w:bookmarkStart w:name="_Toc211256573" w:id="25"/>
      <w:bookmarkStart w:name="_Toc211256574" w:id="26"/>
      <w:bookmarkStart w:name="_Toc212447328" w:id="27"/>
      <w:bookmarkEnd w:id="25"/>
      <w:bookmarkEnd w:id="26"/>
      <w:r>
        <w:t>Assignment of Proceeding</w:t>
      </w:r>
      <w:bookmarkEnd w:id="27"/>
    </w:p>
    <w:p w:rsidR="00F17948" w:rsidP="00F17948" w:rsidRDefault="00AE5B20" w14:paraId="37755BD7" w14:textId="50CA6A66">
      <w:pPr>
        <w:pStyle w:val="Standard"/>
      </w:pPr>
      <w:r>
        <w:t xml:space="preserve">Darcie L. Houck </w:t>
      </w:r>
      <w:r w:rsidR="00F17948">
        <w:t xml:space="preserve">is the assigned Commissioner and Amin Nojan is the </w:t>
      </w:r>
      <w:r w:rsidR="00797EB4">
        <w:t>ALJ</w:t>
      </w:r>
      <w:r w:rsidR="00F17948">
        <w:t xml:space="preserve"> for this proceeding.</w:t>
      </w:r>
    </w:p>
    <w:p w:rsidR="00F17948" w:rsidP="00F17948" w:rsidRDefault="00F17948" w14:paraId="2116B67E" w14:textId="7D4DB3A8">
      <w:pPr>
        <w:pStyle w:val="Heading1"/>
        <w:numPr>
          <w:ilvl w:val="0"/>
          <w:numId w:val="0"/>
        </w:numPr>
        <w:ind w:left="720" w:hanging="720"/>
      </w:pPr>
      <w:bookmarkStart w:name="_Toc212447329" w:id="28"/>
      <w:r>
        <w:t>Findings of Fact</w:t>
      </w:r>
      <w:bookmarkEnd w:id="28"/>
    </w:p>
    <w:p w:rsidR="000E120F" w:rsidP="00BA4896" w:rsidRDefault="000E120F" w14:paraId="2CD6C302" w14:textId="6219003C">
      <w:pPr>
        <w:pStyle w:val="FoF"/>
      </w:pPr>
      <w:r>
        <w:t xml:space="preserve">On </w:t>
      </w:r>
      <w:r w:rsidR="00E82505">
        <w:t xml:space="preserve">August 26, 2024, Golden State Water Company filed A.24-08-011 for </w:t>
      </w:r>
      <w:r w:rsidR="00641FF7">
        <w:t>authorization to establish initial rates for water service in the Sutter Pointe Customer Service Area for 2026, 2027, and 2028.</w:t>
      </w:r>
    </w:p>
    <w:p w:rsidR="00641FF7" w:rsidP="00BA4896" w:rsidRDefault="00641FF7" w14:paraId="42392E62" w14:textId="595C8884">
      <w:pPr>
        <w:pStyle w:val="FoF"/>
      </w:pPr>
      <w:r>
        <w:lastRenderedPageBreak/>
        <w:t xml:space="preserve">On March 7, 2025, </w:t>
      </w:r>
      <w:r w:rsidR="006F4AE7">
        <w:t xml:space="preserve">Golden State Water Company and the Public Advocates Office filed Joint Motion for Adoption of Settlement Agreement. </w:t>
      </w:r>
    </w:p>
    <w:p w:rsidR="00A97A77" w:rsidP="00BA4896" w:rsidRDefault="006F4AE7" w14:paraId="003752F5" w14:textId="464461D6">
      <w:pPr>
        <w:pStyle w:val="FoF"/>
      </w:pPr>
      <w:r>
        <w:t>The</w:t>
      </w:r>
      <w:r w:rsidR="00964A63">
        <w:t xml:space="preserve"> proposed</w:t>
      </w:r>
      <w:r>
        <w:t xml:space="preserve"> Settlement Agreement resolves all issues identified in this proceeding’s Scoping Ruling. </w:t>
      </w:r>
    </w:p>
    <w:p w:rsidR="00D71618" w:rsidP="00BA4896" w:rsidRDefault="00D71618" w14:paraId="2EF21F48" w14:textId="7C7FD713">
      <w:pPr>
        <w:pStyle w:val="FoF"/>
      </w:pPr>
      <w:r>
        <w:t xml:space="preserve">The terms of the Settlement Agreement are mutually beneficial to both </w:t>
      </w:r>
      <w:r w:rsidR="008C6EE9">
        <w:t>GSW</w:t>
      </w:r>
      <w:r>
        <w:t xml:space="preserve"> and to ratepayers.</w:t>
      </w:r>
    </w:p>
    <w:p w:rsidR="00D71618" w:rsidP="00BA4896" w:rsidRDefault="00D71618" w14:paraId="72499AB7" w14:textId="1041A430">
      <w:pPr>
        <w:pStyle w:val="FoF"/>
      </w:pPr>
      <w:r>
        <w:t xml:space="preserve">The Settling Parties adequately reflect </w:t>
      </w:r>
      <w:r w:rsidR="00E85BE8">
        <w:t xml:space="preserve">and balance diverse interests. </w:t>
      </w:r>
    </w:p>
    <w:p w:rsidR="00E85BE8" w:rsidP="00BA4896" w:rsidRDefault="00E85BE8" w14:paraId="7A38C22D" w14:textId="5B1F54A1">
      <w:pPr>
        <w:pStyle w:val="FoF"/>
      </w:pPr>
      <w:r>
        <w:t>The Settlement Agreement serves the public interest by resolving competing interests in a collaborative and cooperative manner.</w:t>
      </w:r>
    </w:p>
    <w:p w:rsidR="00E85BE8" w:rsidP="00BA4896" w:rsidRDefault="00E85BE8" w14:paraId="4F4976C7" w14:textId="3E987231">
      <w:pPr>
        <w:pStyle w:val="FoF"/>
      </w:pPr>
      <w:r>
        <w:t>The Settlement Agreement is consistent with the Commission’s long-standing policy favoring the settlement of disputes to avoid costly and protracted litigation.</w:t>
      </w:r>
    </w:p>
    <w:p w:rsidR="00E85BE8" w:rsidP="00BA4896" w:rsidRDefault="00E85BE8" w14:paraId="2F916047" w14:textId="272F646D">
      <w:pPr>
        <w:pStyle w:val="FoF"/>
      </w:pPr>
      <w:r>
        <w:t xml:space="preserve">There are no terms within the Settlement Agreement that would bind the Commission </w:t>
      </w:r>
      <w:r w:rsidR="002B5D62">
        <w:t>in the future or that would violate existing law.</w:t>
      </w:r>
    </w:p>
    <w:p w:rsidR="009114A3" w:rsidP="00BA4896" w:rsidRDefault="002B5D62" w14:paraId="61B431CE" w14:textId="02329668">
      <w:pPr>
        <w:pStyle w:val="FoF"/>
      </w:pPr>
      <w:r>
        <w:t xml:space="preserve">The Settling Parties consist of the utility and </w:t>
      </w:r>
      <w:r w:rsidR="00EA3F84">
        <w:t xml:space="preserve">an entity dedicated to </w:t>
      </w:r>
      <w:r w:rsidR="006F4AE7">
        <w:t>advocating</w:t>
      </w:r>
      <w:r w:rsidR="00EA3F84">
        <w:t xml:space="preserve"> customer interests.</w:t>
      </w:r>
      <w:r w:rsidR="00A30DB3">
        <w:t xml:space="preserve"> </w:t>
      </w:r>
    </w:p>
    <w:p w:rsidRPr="00F17948" w:rsidR="00EB4AA0" w:rsidP="00BA4896" w:rsidRDefault="00EB4AA0" w14:paraId="5FFFCE12" w14:textId="61CC6E29">
      <w:pPr>
        <w:pStyle w:val="FoF"/>
      </w:pPr>
      <w:r>
        <w:t>The inclusion of the Sutter Pointe Customer Service Area in Golden State Water Company’s future company-wide general rate case application</w:t>
      </w:r>
      <w:r w:rsidR="00E82503">
        <w:t xml:space="preserve">s is more efficient of Commission and party resources and can allow for a comprehensive review as part of </w:t>
      </w:r>
      <w:r w:rsidR="00894011">
        <w:t>Golden State Water Company’s</w:t>
      </w:r>
      <w:r w:rsidR="00E82503">
        <w:t xml:space="preserve"> general ratemaking cycle. </w:t>
      </w:r>
    </w:p>
    <w:p w:rsidRPr="00455912" w:rsidR="00BA6140" w:rsidP="00455912" w:rsidRDefault="005939A5" w14:paraId="4B6C4C90" w14:textId="3C7CE3B5">
      <w:pPr>
        <w:pStyle w:val="Heading1"/>
        <w:numPr>
          <w:ilvl w:val="0"/>
          <w:numId w:val="0"/>
        </w:numPr>
        <w:ind w:left="720" w:hanging="720"/>
      </w:pPr>
      <w:bookmarkStart w:name="_Toc8123726" w:id="29"/>
      <w:bookmarkStart w:name="_Toc212447330" w:id="30"/>
      <w:r w:rsidRPr="006A3877">
        <w:t>Conclusions of Law</w:t>
      </w:r>
      <w:bookmarkEnd w:id="29"/>
      <w:bookmarkEnd w:id="30"/>
    </w:p>
    <w:p w:rsidRPr="00551DAC" w:rsidR="00EB0492" w:rsidP="00F43209" w:rsidRDefault="00EB0492" w14:paraId="622C2834" w14:textId="17168F23">
      <w:pPr>
        <w:pStyle w:val="CoL"/>
        <w:numPr>
          <w:ilvl w:val="0"/>
          <w:numId w:val="16"/>
        </w:numPr>
        <w:ind w:firstLine="360"/>
      </w:pPr>
      <w:r w:rsidRPr="00551DAC">
        <w:t xml:space="preserve">Golden State Water Company should be </w:t>
      </w:r>
      <w:proofErr w:type="gramStart"/>
      <w:r w:rsidRPr="00551DAC">
        <w:t>authorized</w:t>
      </w:r>
      <w:proofErr w:type="gramEnd"/>
      <w:r w:rsidRPr="00551DAC" w:rsidR="00B2263E">
        <w:t xml:space="preserve"> initial rates for the Sutter Pointe Customer Service Area as follows: </w:t>
      </w:r>
      <w:r w:rsidR="00964A63">
        <w:t>$229,366</w:t>
      </w:r>
      <w:r w:rsidRPr="00551DAC" w:rsidR="00D66863">
        <w:t xml:space="preserve"> for 2026; </w:t>
      </w:r>
      <w:r w:rsidR="00964A63">
        <w:t>$596,104</w:t>
      </w:r>
      <w:r w:rsidRPr="00551DAC" w:rsidR="00D66863">
        <w:t xml:space="preserve"> for 2027; and </w:t>
      </w:r>
      <w:r w:rsidR="00964A63">
        <w:t>$872,417</w:t>
      </w:r>
      <w:r w:rsidRPr="00551DAC" w:rsidR="00D66863">
        <w:t xml:space="preserve"> for 2028</w:t>
      </w:r>
      <w:r w:rsidRPr="00551DAC" w:rsidR="00776F6C">
        <w:t>.</w:t>
      </w:r>
    </w:p>
    <w:p w:rsidRPr="00551DAC" w:rsidR="00C0561B" w:rsidP="00F43209" w:rsidRDefault="008478FF" w14:paraId="57F246BB" w14:textId="612EEE7C">
      <w:pPr>
        <w:pStyle w:val="CoL"/>
        <w:numPr>
          <w:ilvl w:val="0"/>
          <w:numId w:val="16"/>
        </w:numPr>
        <w:ind w:firstLine="360"/>
      </w:pPr>
      <w:r w:rsidRPr="00551DAC">
        <w:t xml:space="preserve">The </w:t>
      </w:r>
      <w:r w:rsidRPr="00551DAC" w:rsidR="00EA3F84">
        <w:t xml:space="preserve">Joint Motion for Adoption of Settlement Agreement, filed </w:t>
      </w:r>
      <w:r w:rsidRPr="00551DAC" w:rsidR="00BA6140">
        <w:t>March 7, 2025,</w:t>
      </w:r>
      <w:r w:rsidRPr="00551DAC" w:rsidR="00EA3F84">
        <w:t xml:space="preserve"> should be granted.</w:t>
      </w:r>
    </w:p>
    <w:p w:rsidRPr="00551DAC" w:rsidR="00EA3F84" w:rsidP="00F43209" w:rsidRDefault="00EA3F84" w14:paraId="73E605E1" w14:textId="5B58D311">
      <w:pPr>
        <w:pStyle w:val="CoL"/>
        <w:numPr>
          <w:ilvl w:val="0"/>
          <w:numId w:val="16"/>
        </w:numPr>
        <w:ind w:firstLine="360"/>
      </w:pPr>
      <w:r w:rsidRPr="00551DAC">
        <w:lastRenderedPageBreak/>
        <w:t xml:space="preserve">The Settlement Agreement (attached to this decision as </w:t>
      </w:r>
      <w:r w:rsidR="008E13C0">
        <w:t>Attachment</w:t>
      </w:r>
      <w:r w:rsidRPr="00551DAC" w:rsidR="008E13C0">
        <w:t xml:space="preserve"> </w:t>
      </w:r>
      <w:r w:rsidRPr="00551DAC">
        <w:t xml:space="preserve">A) is reasonable </w:t>
      </w:r>
      <w:proofErr w:type="gramStart"/>
      <w:r w:rsidRPr="00551DAC">
        <w:t>in light of</w:t>
      </w:r>
      <w:proofErr w:type="gramEnd"/>
      <w:r w:rsidRPr="00551DAC">
        <w:t xml:space="preserve"> the whole record, consistent with the law, and in the public interest, and should be approved and adopted. </w:t>
      </w:r>
    </w:p>
    <w:p w:rsidRPr="00551DAC" w:rsidR="00E31F17" w:rsidP="00F43209" w:rsidRDefault="000A6B21" w14:paraId="6EA0B20F" w14:textId="3B335AF8">
      <w:pPr>
        <w:pStyle w:val="CoL"/>
        <w:numPr>
          <w:ilvl w:val="0"/>
          <w:numId w:val="16"/>
        </w:numPr>
        <w:ind w:firstLine="360"/>
      </w:pPr>
      <w:r w:rsidRPr="00551DAC">
        <w:t xml:space="preserve">The Settling Parties complied with the provisions of Rule 12. </w:t>
      </w:r>
    </w:p>
    <w:p w:rsidR="00EA455E" w:rsidP="00F43209" w:rsidRDefault="005839F6" w14:paraId="529486E0" w14:textId="77A8AE4A">
      <w:pPr>
        <w:pStyle w:val="CoL"/>
        <w:numPr>
          <w:ilvl w:val="0"/>
          <w:numId w:val="16"/>
        </w:numPr>
        <w:ind w:firstLine="360"/>
      </w:pPr>
      <w:r w:rsidRPr="00551DAC">
        <w:t xml:space="preserve">Pursuant to Rule 12.5, the Settlement Agreement does not bind or otherwise impose a precedent in this or any future proceeding. </w:t>
      </w:r>
    </w:p>
    <w:p w:rsidRPr="00551DAC" w:rsidR="008E13C0" w:rsidP="00F43209" w:rsidRDefault="008E13C0" w14:paraId="1C33CDDB" w14:textId="120715B7">
      <w:pPr>
        <w:pStyle w:val="CoL"/>
        <w:numPr>
          <w:ilvl w:val="0"/>
          <w:numId w:val="16"/>
        </w:numPr>
        <w:ind w:firstLine="360"/>
      </w:pPr>
      <w:r>
        <w:t>Golden State Water Company should be authorized to include the Sutter Pointe Customer Service Area in its next company-wide general rate case application.</w:t>
      </w:r>
    </w:p>
    <w:p w:rsidRPr="00551DAC" w:rsidR="005839F6" w:rsidP="00F43209" w:rsidRDefault="005839F6" w14:paraId="344268FE" w14:textId="0EB95D53">
      <w:pPr>
        <w:pStyle w:val="CoL"/>
        <w:numPr>
          <w:ilvl w:val="0"/>
          <w:numId w:val="16"/>
        </w:numPr>
        <w:ind w:firstLine="360"/>
      </w:pPr>
      <w:r w:rsidRPr="00551DAC">
        <w:t xml:space="preserve">All rulings issued by </w:t>
      </w:r>
      <w:r w:rsidRPr="00551DAC" w:rsidR="001D0F5B">
        <w:t>the assigned Commissioner and ALJ should be affirmed herein; and all motions not specifically addressed herein or previously addressed by the assigned Commissioner or ALJ should be denied.</w:t>
      </w:r>
    </w:p>
    <w:p w:rsidRPr="00551DAC" w:rsidR="00206746" w:rsidP="00F43209" w:rsidRDefault="001D0F5B" w14:paraId="3D79FA07" w14:textId="02D4F812">
      <w:pPr>
        <w:pStyle w:val="CoL"/>
        <w:numPr>
          <w:ilvl w:val="0"/>
          <w:numId w:val="16"/>
        </w:numPr>
        <w:ind w:firstLine="360"/>
      </w:pPr>
      <w:r w:rsidRPr="00551DAC">
        <w:t>This proceeding</w:t>
      </w:r>
      <w:r w:rsidRPr="00551DAC" w:rsidR="001A4CAE">
        <w:t xml:space="preserve"> should be closed.</w:t>
      </w:r>
    </w:p>
    <w:p w:rsidRPr="00FB4870" w:rsidR="00BB0243" w:rsidP="00797EB4" w:rsidRDefault="005939A5" w14:paraId="048394A0" w14:textId="77777777">
      <w:pPr>
        <w:pStyle w:val="Mainex"/>
        <w:spacing w:before="120"/>
      </w:pPr>
      <w:bookmarkStart w:name="_Toc212447331" w:id="31"/>
      <w:r w:rsidRPr="00FB4870">
        <w:t>O</w:t>
      </w:r>
      <w:r w:rsidRPr="00FB4870" w:rsidR="00722850">
        <w:t>RDER</w:t>
      </w:r>
      <w:bookmarkEnd w:id="31"/>
    </w:p>
    <w:p w:rsidRPr="00FB4870" w:rsidR="00BB0243" w:rsidP="000A6E05" w:rsidRDefault="00BB0243" w14:paraId="46E97965" w14:textId="77777777">
      <w:pPr>
        <w:keepNext/>
      </w:pPr>
      <w:r w:rsidRPr="00FB4870">
        <w:rPr>
          <w:b/>
        </w:rPr>
        <w:t xml:space="preserve">IT IS </w:t>
      </w:r>
      <w:proofErr w:type="gramStart"/>
      <w:r w:rsidRPr="00FB4870">
        <w:rPr>
          <w:b/>
        </w:rPr>
        <w:t>ORDERED</w:t>
      </w:r>
      <w:r w:rsidRPr="00FB4870">
        <w:t xml:space="preserve"> that</w:t>
      </w:r>
      <w:proofErr w:type="gramEnd"/>
      <w:r w:rsidRPr="00FB4870">
        <w:t>:</w:t>
      </w:r>
    </w:p>
    <w:p w:rsidRPr="00285A27" w:rsidR="00285A27" w:rsidP="0000395F" w:rsidRDefault="00285A27" w14:paraId="5C32F0C9" w14:textId="5B22F0FE">
      <w:pPr>
        <w:pStyle w:val="CoL"/>
        <w:numPr>
          <w:ilvl w:val="0"/>
          <w:numId w:val="31"/>
        </w:numPr>
      </w:pPr>
      <w:r>
        <w:t xml:space="preserve">Golden State Water Company is authorized </w:t>
      </w:r>
      <w:r w:rsidR="00EF31AB">
        <w:t xml:space="preserve">to establish rates for the Sutter Pointe Customer Service Area as follows: </w:t>
      </w:r>
      <w:r w:rsidR="002D09F4">
        <w:t>$229,366</w:t>
      </w:r>
      <w:r w:rsidR="00EF31AB">
        <w:t xml:space="preserve"> for 2026; </w:t>
      </w:r>
      <w:r w:rsidR="002D09F4">
        <w:t>$596,104</w:t>
      </w:r>
      <w:r w:rsidR="00EF31AB">
        <w:t xml:space="preserve"> for 2027; and </w:t>
      </w:r>
      <w:r w:rsidR="008F0F47">
        <w:t>$872,417</w:t>
      </w:r>
      <w:r w:rsidR="00EF31AB">
        <w:t xml:space="preserve"> for 2028</w:t>
      </w:r>
      <w:r w:rsidRPr="00510F89" w:rsidR="007C3DAC">
        <w:t xml:space="preserve">. </w:t>
      </w:r>
    </w:p>
    <w:p w:rsidRPr="00636DE4" w:rsidR="00EF31AB" w:rsidP="0000395F" w:rsidRDefault="00FD1E3F" w14:paraId="7D68A0D7" w14:textId="79A61747">
      <w:pPr>
        <w:pStyle w:val="OP"/>
        <w:numPr>
          <w:ilvl w:val="0"/>
          <w:numId w:val="14"/>
        </w:numPr>
      </w:pPr>
      <w:r>
        <w:rPr>
          <w:szCs w:val="26"/>
        </w:rPr>
        <w:t xml:space="preserve">The Joint Motion for Adoption of Settlement Agreement, filed </w:t>
      </w:r>
      <w:r w:rsidR="00EF31AB">
        <w:rPr>
          <w:szCs w:val="26"/>
        </w:rPr>
        <w:t>March 7, 2025</w:t>
      </w:r>
      <w:r>
        <w:rPr>
          <w:szCs w:val="26"/>
        </w:rPr>
        <w:t xml:space="preserve">, is granted, and the Settlement Agreement attached to this decision as </w:t>
      </w:r>
      <w:r w:rsidR="007A6118">
        <w:rPr>
          <w:szCs w:val="26"/>
        </w:rPr>
        <w:t xml:space="preserve">Attachment </w:t>
      </w:r>
      <w:r>
        <w:rPr>
          <w:szCs w:val="26"/>
        </w:rPr>
        <w:t xml:space="preserve">A is approved and adopted. </w:t>
      </w:r>
    </w:p>
    <w:p w:rsidR="000208BA" w:rsidP="0000395F" w:rsidRDefault="00636DE4" w14:paraId="34B39BE3" w14:textId="493945FD">
      <w:pPr>
        <w:pStyle w:val="OP"/>
        <w:numPr>
          <w:ilvl w:val="0"/>
          <w:numId w:val="14"/>
        </w:numPr>
      </w:pPr>
      <w:r w:rsidRPr="00636DE4">
        <w:t>For escalation year</w:t>
      </w:r>
      <w:r w:rsidR="00EF31AB">
        <w:t>s</w:t>
      </w:r>
      <w:r w:rsidRPr="00636DE4">
        <w:t xml:space="preserve"> 202</w:t>
      </w:r>
      <w:r w:rsidR="00EF31AB">
        <w:t>7 and 2028</w:t>
      </w:r>
      <w:r w:rsidRPr="00636DE4">
        <w:t xml:space="preserve">, Golden State Water Company shall file Tier 1 advice letters, in conformance with General Order 96-B and the Revised Water Rate Case Plan (Decision 07-05-062), proposing new revenue requirements and corresponding revised tariff schedules in each rate district and rate area in this proceeding, and in conformance with the Settlement Agreement and </w:t>
      </w:r>
      <w:r w:rsidRPr="00636DE4">
        <w:lastRenderedPageBreak/>
        <w:t xml:space="preserve">adopted estimated rates for each rate area as illustrated in the attached Appendices. This filing shall be subject to approval by the </w:t>
      </w:r>
      <w:r w:rsidR="008F0F47">
        <w:t xml:space="preserve">California Public Utilities </w:t>
      </w:r>
      <w:r w:rsidRPr="00636DE4">
        <w:t>Commission’s Water Division.</w:t>
      </w:r>
    </w:p>
    <w:p w:rsidR="000D0487" w:rsidP="0000395F" w:rsidRDefault="000D0487" w14:paraId="756D4707" w14:textId="5EBB2DFA">
      <w:pPr>
        <w:pStyle w:val="OP"/>
        <w:numPr>
          <w:ilvl w:val="0"/>
          <w:numId w:val="14"/>
        </w:numPr>
      </w:pPr>
      <w:r>
        <w:t xml:space="preserve">Golden State Water Company may include the Sutter Pointe Customer Service Area in its next company-wide general rate case, which will set rates for 2028, 2029, and 2030. If it elects to do so, the rates set for 2028 in that general rate case will supersede the rates set for the Sutter Pointe customer service area in this proceeding. </w:t>
      </w:r>
    </w:p>
    <w:p w:rsidR="009236DC" w:rsidP="0000395F" w:rsidRDefault="00FD1E3F" w14:paraId="643A67F2" w14:textId="7546B5A6">
      <w:pPr>
        <w:pStyle w:val="OP"/>
        <w:numPr>
          <w:ilvl w:val="0"/>
          <w:numId w:val="14"/>
        </w:numPr>
      </w:pPr>
      <w:r>
        <w:t>All rulings issued by the assigned Commissioner and Administrative Law Judge</w:t>
      </w:r>
      <w:r w:rsidR="00797EB4">
        <w:t xml:space="preserve"> (ALJ)</w:t>
      </w:r>
      <w:r>
        <w:t xml:space="preserve"> are affirmed; and all motions not specifically addressed herein or previously denied by the assigned Commissioner or </w:t>
      </w:r>
      <w:r w:rsidR="00797EB4">
        <w:t>ALJ</w:t>
      </w:r>
      <w:r>
        <w:t xml:space="preserve"> are denied. </w:t>
      </w:r>
    </w:p>
    <w:p w:rsidR="004A02DA" w:rsidP="0000395F" w:rsidRDefault="004A02DA" w14:paraId="3EDCD382" w14:textId="40138E2F">
      <w:pPr>
        <w:pStyle w:val="OP"/>
        <w:numPr>
          <w:ilvl w:val="0"/>
          <w:numId w:val="14"/>
        </w:numPr>
      </w:pPr>
      <w:r>
        <w:t>Application 2</w:t>
      </w:r>
      <w:r w:rsidR="00BA6140">
        <w:t>4</w:t>
      </w:r>
      <w:r w:rsidR="00C0561B">
        <w:t>-08-01</w:t>
      </w:r>
      <w:r w:rsidR="00BA6140">
        <w:t>1</w:t>
      </w:r>
      <w:r>
        <w:t xml:space="preserve"> is closed.</w:t>
      </w:r>
    </w:p>
    <w:p w:rsidRPr="00B47F48" w:rsidR="008F0116" w:rsidP="008F0116" w:rsidRDefault="008F0116" w14:paraId="4A6B58B2" w14:textId="77777777">
      <w:r w:rsidRPr="00B47F48">
        <w:t>This order is effective today.</w:t>
      </w:r>
    </w:p>
    <w:p w:rsidR="00714CF2" w:rsidP="00B47F48" w:rsidRDefault="008F0116" w14:paraId="58540276" w14:textId="62C4D424">
      <w:r w:rsidRPr="00B47F48">
        <w:t xml:space="preserve">Dated </w:t>
      </w:r>
      <w:r w:rsidRPr="00B47F48">
        <w:rPr>
          <w:u w:val="single"/>
        </w:rPr>
        <w:tab/>
      </w:r>
      <w:r w:rsidRPr="00B47F48">
        <w:rPr>
          <w:u w:val="single"/>
        </w:rPr>
        <w:tab/>
      </w:r>
      <w:r w:rsidRPr="00B47F48">
        <w:t xml:space="preserve">, </w:t>
      </w:r>
      <w:r w:rsidR="00B72C1B">
        <w:t xml:space="preserve">2025, </w:t>
      </w:r>
      <w:proofErr w:type="gramStart"/>
      <w:r w:rsidRPr="00B47F48">
        <w:t>at</w:t>
      </w:r>
      <w:proofErr w:type="gramEnd"/>
      <w:r w:rsidRPr="00B47F48">
        <w:t xml:space="preserve"> S</w:t>
      </w:r>
      <w:r w:rsidR="00BD6F30">
        <w:t>acramento</w:t>
      </w:r>
      <w:r w:rsidRPr="00B47F48">
        <w:t>, California</w:t>
      </w:r>
      <w:r w:rsidRPr="00B47F48" w:rsidR="00FF110C">
        <w:t>.</w:t>
      </w:r>
    </w:p>
    <w:p w:rsidR="00520AFD" w:rsidP="00B47F48" w:rsidRDefault="00520AFD" w14:paraId="5B2039A1" w14:textId="77777777"/>
    <w:p w:rsidR="00520AFD" w:rsidP="002E3C1A" w:rsidRDefault="00520AFD" w14:paraId="6D65C02E" w14:textId="77777777">
      <w:pPr>
        <w:spacing w:line="240" w:lineRule="auto"/>
        <w:ind w:firstLine="0"/>
        <w:sectPr w:rsidR="00520AFD" w:rsidSect="00787EB5">
          <w:headerReference w:type="default" r:id="rId15"/>
          <w:footerReference w:type="default" r:id="rId16"/>
          <w:pgSz w:w="12240" w:h="15840"/>
          <w:pgMar w:top="1728" w:right="1440" w:bottom="1440" w:left="1440" w:header="720" w:footer="720" w:gutter="0"/>
          <w:pgNumType w:start="2"/>
          <w:cols w:space="720"/>
          <w:docGrid w:linePitch="360"/>
        </w:sectPr>
      </w:pPr>
    </w:p>
    <w:p w:rsidR="00520AFD" w:rsidP="00520AFD" w:rsidRDefault="00520AFD" w14:paraId="6EDDE9B9" w14:textId="77777777">
      <w:pPr>
        <w:spacing w:line="240" w:lineRule="auto"/>
        <w:ind w:firstLine="0"/>
        <w:jc w:val="center"/>
        <w:rPr>
          <w:rFonts w:ascii="Arial" w:hAnsi="Arial" w:cs="Arial"/>
          <w:b/>
          <w:bCs/>
          <w:sz w:val="52"/>
          <w:szCs w:val="52"/>
        </w:rPr>
      </w:pPr>
    </w:p>
    <w:p w:rsidR="00520AFD" w:rsidP="00520AFD" w:rsidRDefault="00520AFD" w14:paraId="3D484C56" w14:textId="77777777">
      <w:pPr>
        <w:spacing w:line="240" w:lineRule="auto"/>
        <w:ind w:firstLine="0"/>
        <w:jc w:val="center"/>
        <w:rPr>
          <w:rFonts w:ascii="Arial" w:hAnsi="Arial" w:cs="Arial"/>
          <w:b/>
          <w:bCs/>
          <w:sz w:val="52"/>
          <w:szCs w:val="52"/>
        </w:rPr>
      </w:pPr>
    </w:p>
    <w:p w:rsidR="00520AFD" w:rsidP="00520AFD" w:rsidRDefault="00520AFD" w14:paraId="776B6B64" w14:textId="77777777">
      <w:pPr>
        <w:spacing w:line="240" w:lineRule="auto"/>
        <w:ind w:firstLine="0"/>
        <w:jc w:val="center"/>
        <w:rPr>
          <w:rFonts w:ascii="Arial" w:hAnsi="Arial" w:cs="Arial"/>
          <w:b/>
          <w:bCs/>
          <w:sz w:val="52"/>
          <w:szCs w:val="52"/>
        </w:rPr>
      </w:pPr>
    </w:p>
    <w:p w:rsidR="00520AFD" w:rsidP="00520AFD" w:rsidRDefault="00520AFD" w14:paraId="0365926F" w14:textId="77777777">
      <w:pPr>
        <w:spacing w:line="240" w:lineRule="auto"/>
        <w:ind w:firstLine="0"/>
        <w:jc w:val="center"/>
        <w:rPr>
          <w:rFonts w:ascii="Arial" w:hAnsi="Arial" w:cs="Arial"/>
          <w:b/>
          <w:bCs/>
          <w:sz w:val="52"/>
          <w:szCs w:val="52"/>
        </w:rPr>
      </w:pPr>
    </w:p>
    <w:p w:rsidR="00520AFD" w:rsidP="00520AFD" w:rsidRDefault="00520AFD" w14:paraId="64EF8DA9" w14:textId="77777777">
      <w:pPr>
        <w:spacing w:line="240" w:lineRule="auto"/>
        <w:ind w:firstLine="0"/>
        <w:jc w:val="center"/>
        <w:rPr>
          <w:rFonts w:ascii="Arial" w:hAnsi="Arial" w:cs="Arial"/>
          <w:b/>
          <w:bCs/>
          <w:sz w:val="52"/>
          <w:szCs w:val="52"/>
        </w:rPr>
      </w:pPr>
    </w:p>
    <w:p w:rsidR="00520AFD" w:rsidP="00520AFD" w:rsidRDefault="00520AFD" w14:paraId="733801CA" w14:textId="77777777">
      <w:pPr>
        <w:spacing w:line="240" w:lineRule="auto"/>
        <w:ind w:firstLine="0"/>
        <w:jc w:val="center"/>
        <w:rPr>
          <w:rFonts w:ascii="Arial" w:hAnsi="Arial" w:cs="Arial"/>
          <w:b/>
          <w:bCs/>
          <w:sz w:val="52"/>
          <w:szCs w:val="52"/>
        </w:rPr>
      </w:pPr>
    </w:p>
    <w:p w:rsidR="00520AFD" w:rsidP="00520AFD" w:rsidRDefault="00520AFD" w14:paraId="74CF263C" w14:textId="77777777">
      <w:pPr>
        <w:spacing w:line="240" w:lineRule="auto"/>
        <w:ind w:firstLine="0"/>
        <w:jc w:val="center"/>
        <w:rPr>
          <w:rFonts w:ascii="Arial" w:hAnsi="Arial" w:cs="Arial"/>
          <w:b/>
          <w:bCs/>
          <w:sz w:val="52"/>
          <w:szCs w:val="52"/>
        </w:rPr>
      </w:pPr>
    </w:p>
    <w:p w:rsidR="00520AFD" w:rsidP="00520AFD" w:rsidRDefault="00520AFD" w14:paraId="366B0292" w14:textId="77777777">
      <w:pPr>
        <w:spacing w:line="240" w:lineRule="auto"/>
        <w:ind w:firstLine="0"/>
        <w:jc w:val="center"/>
        <w:rPr>
          <w:rFonts w:ascii="Arial" w:hAnsi="Arial" w:cs="Arial"/>
          <w:b/>
          <w:bCs/>
          <w:sz w:val="52"/>
          <w:szCs w:val="52"/>
        </w:rPr>
      </w:pPr>
    </w:p>
    <w:p w:rsidR="00520AFD" w:rsidP="00520AFD" w:rsidRDefault="00520AFD" w14:paraId="56EF4D05" w14:textId="77777777">
      <w:pPr>
        <w:spacing w:line="240" w:lineRule="auto"/>
        <w:ind w:firstLine="0"/>
        <w:jc w:val="center"/>
        <w:rPr>
          <w:rFonts w:ascii="Arial" w:hAnsi="Arial" w:cs="Arial"/>
          <w:b/>
          <w:bCs/>
          <w:sz w:val="52"/>
          <w:szCs w:val="52"/>
        </w:rPr>
      </w:pPr>
    </w:p>
    <w:p w:rsidRPr="00F43209" w:rsidR="006A0D72" w:rsidP="00F43209" w:rsidRDefault="00520AFD" w14:paraId="170CDA9D" w14:textId="2CDF65AF">
      <w:pPr>
        <w:pStyle w:val="Dummy"/>
        <w:jc w:val="center"/>
        <w:rPr>
          <w:sz w:val="52"/>
          <w:szCs w:val="52"/>
        </w:rPr>
      </w:pPr>
      <w:bookmarkStart w:name="_Toc212447332" w:id="32"/>
      <w:r w:rsidRPr="00F43209">
        <w:rPr>
          <w:sz w:val="52"/>
          <w:szCs w:val="52"/>
        </w:rPr>
        <w:t>A</w:t>
      </w:r>
      <w:r w:rsidR="00F43209">
        <w:rPr>
          <w:sz w:val="52"/>
          <w:szCs w:val="52"/>
        </w:rPr>
        <w:t>TTACHMENT</w:t>
      </w:r>
      <w:r w:rsidRPr="00F43209">
        <w:rPr>
          <w:sz w:val="52"/>
          <w:szCs w:val="52"/>
        </w:rPr>
        <w:t xml:space="preserve"> A</w:t>
      </w:r>
      <w:bookmarkEnd w:id="32"/>
    </w:p>
    <w:sectPr w:rsidRPr="00F43209" w:rsidR="006A0D72" w:rsidSect="00F43209">
      <w:footerReference w:type="default" r:id="rId17"/>
      <w:footerReference w:type="first" r:id="rId18"/>
      <w:pgSz w:w="12240" w:h="15840"/>
      <w:pgMar w:top="1728" w:right="1440" w:bottom="1440" w:left="1440" w:header="720" w:footer="720" w:gutter="0"/>
      <w:pgNumType w:fmt="numberInDash" w:start="21"/>
      <w:cols w:space="720"/>
      <w:titlePg/>
      <w:docGrid w:linePitch="360"/>
    </w:sectPr>
    <w:p>
      <w:r>
        <w:t xml:space="preserve"/>
      </w:r>
    </w:p>
    <w:p>
      <w:r>
        <w:t xml:space="preserve">Attachment 1: </w:t>
      </w:r>
    </w:p>
    <w:p>
      <w:hyperlink w:history="true" r:id="R5f28d59d879245da">
        <w:r w:rsidRPr="00CB1292">
          <w:rPr>
            <w:rStyle w:val="Hyperlink"/>
            <w:color w:val="2E74B5" w:themeColor="accent1" w:themeShade="BF"/>
            <w:u w:val="single"/>
          </w:rPr>
          <w:t>ATTACHMENT A A.24-08-011 PD AN4 10-30 Agenda (NON).pdf</w:t>
        </w:r>
      </w:hyperlink>
    </w:p>
    <w:p>
      <w:r>
        <w:t xml:space="preserve"/>
      </w:r>
    </w:p>
    <w:p>
      <w:r>
        <w:t xml:space="preserve">Attachment 2: </w:t>
      </w:r>
    </w:p>
    <w:p>
      <w:hyperlink w:history="true" r:id="R96e799210d7840b9">
        <w:r w:rsidRPr="00CB1292">
          <w:rPr>
            <w:rStyle w:val="Hyperlink"/>
            <w:color w:val="2E74B5" w:themeColor="accent1" w:themeShade="BF"/>
            <w:u w:val="single"/>
          </w:rPr>
          <w:t>Redline Rev.1 A.24-08-011 PD AN4 10-30 Agenda (NON).pdf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36F9" w14:textId="77777777" w:rsidR="00F96B48" w:rsidRDefault="00F96B48" w:rsidP="0098138E">
      <w:pPr>
        <w:spacing w:line="240" w:lineRule="auto"/>
      </w:pPr>
      <w:r>
        <w:separator/>
      </w:r>
    </w:p>
  </w:endnote>
  <w:endnote w:type="continuationSeparator" w:id="0">
    <w:p w14:paraId="7653AFA4" w14:textId="77777777" w:rsidR="00F96B48" w:rsidRDefault="00F96B48" w:rsidP="0098138E">
      <w:pPr>
        <w:spacing w:line="240" w:lineRule="auto"/>
      </w:pPr>
      <w:r>
        <w:continuationSeparator/>
      </w:r>
    </w:p>
  </w:endnote>
  <w:endnote w:type="continuationNotice" w:id="1">
    <w:p w14:paraId="4DEF085E" w14:textId="77777777" w:rsidR="00F96B48" w:rsidRDefault="00F96B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DE87" w14:textId="7AA979FB" w:rsidR="00A84FB5" w:rsidRDefault="00DE67DE" w:rsidP="007E0FEE">
    <w:pPr>
      <w:tabs>
        <w:tab w:val="center" w:pos="4680"/>
      </w:tabs>
      <w:ind w:firstLine="0"/>
      <w:rPr>
        <w:noProof/>
      </w:rPr>
    </w:pPr>
    <w:r w:rsidRPr="00DE67DE">
      <w:rPr>
        <w:sz w:val="16"/>
        <w:szCs w:val="16"/>
      </w:rPr>
      <w:t>582666694</w:t>
    </w:r>
    <w:r w:rsidR="00A84FB5">
      <w:rPr>
        <w:rFonts w:ascii="Arial" w:hAnsi="Arial" w:cs="Arial"/>
        <w:sz w:val="16"/>
        <w:szCs w:val="16"/>
      </w:rPr>
      <w:tab/>
    </w:r>
    <w:r w:rsidR="00787EB5">
      <w:t>-</w:t>
    </w:r>
    <w:r w:rsidR="00A84FB5">
      <w:t xml:space="preserve"> </w:t>
    </w:r>
    <w:r w:rsidR="00A84FB5">
      <w:fldChar w:fldCharType="begin"/>
    </w:r>
    <w:r w:rsidR="00A84FB5">
      <w:instrText xml:space="preserve"> PAGE   \* MERGEFORMAT </w:instrText>
    </w:r>
    <w:r w:rsidR="00A84FB5">
      <w:fldChar w:fldCharType="separate"/>
    </w:r>
    <w:r w:rsidR="00A84FB5">
      <w:rPr>
        <w:noProof/>
      </w:rPr>
      <w:t>1</w:t>
    </w:r>
    <w:r w:rsidR="00A84FB5">
      <w:rPr>
        <w:noProof/>
      </w:rPr>
      <w:fldChar w:fldCharType="end"/>
    </w:r>
    <w:r w:rsidR="00A84FB5">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06DC" w14:textId="16DBA32E" w:rsidR="00C742B2" w:rsidRDefault="00787EB5" w:rsidP="007E0FEE">
    <w:pPr>
      <w:ind w:firstLine="0"/>
      <w:jc w:val="center"/>
    </w:pPr>
    <w:r>
      <w:t>-</w:t>
    </w:r>
    <w:r w:rsidR="00C742B2">
      <w:t xml:space="preserve"> </w:t>
    </w:r>
    <w:sdt>
      <w:sdtPr>
        <w:id w:val="1793169647"/>
        <w:docPartObj>
          <w:docPartGallery w:val="Page Numbers (Bottom of Page)"/>
          <w:docPartUnique/>
        </w:docPartObj>
      </w:sdtPr>
      <w:sdtEndPr>
        <w:rPr>
          <w:noProof/>
        </w:rPr>
      </w:sdtEndPr>
      <w:sdtContent>
        <w:r w:rsidR="00C742B2">
          <w:fldChar w:fldCharType="begin"/>
        </w:r>
        <w:r w:rsidR="00C742B2">
          <w:instrText xml:space="preserve"> PAGE   \* MERGEFORMAT </w:instrText>
        </w:r>
        <w:r w:rsidR="00C742B2">
          <w:fldChar w:fldCharType="separate"/>
        </w:r>
        <w:r w:rsidR="00C742B2">
          <w:rPr>
            <w:noProof/>
          </w:rPr>
          <w:t>i</w:t>
        </w:r>
        <w:r w:rsidR="00C742B2">
          <w:rPr>
            <w:noProof/>
          </w:rPr>
          <w:fldChar w:fldCharType="end"/>
        </w:r>
        <w:r w:rsidR="00C742B2">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96066"/>
      <w:docPartObj>
        <w:docPartGallery w:val="Page Numbers (Bottom of Page)"/>
        <w:docPartUnique/>
      </w:docPartObj>
    </w:sdtPr>
    <w:sdtEndPr>
      <w:rPr>
        <w:noProof/>
      </w:rPr>
    </w:sdtEndPr>
    <w:sdtContent>
      <w:p w14:paraId="41887ABA" w14:textId="66A8D9ED" w:rsidR="00B72C1B" w:rsidRDefault="00787EB5" w:rsidP="00787EB5">
        <w:pPr>
          <w:pStyle w:val="Footer"/>
          <w:ind w:firstLine="0"/>
          <w:jc w:val="center"/>
        </w:pPr>
        <w:r>
          <w:t xml:space="preserve">- </w:t>
        </w:r>
        <w:r w:rsidR="00B72C1B">
          <w:fldChar w:fldCharType="begin"/>
        </w:r>
        <w:r w:rsidR="00B72C1B">
          <w:instrText xml:space="preserve"> PAGE   \* MERGEFORMAT </w:instrText>
        </w:r>
        <w:r w:rsidR="00B72C1B">
          <w:fldChar w:fldCharType="separate"/>
        </w:r>
        <w:r w:rsidR="00B72C1B">
          <w:rPr>
            <w:noProof/>
          </w:rPr>
          <w:t>2</w:t>
        </w:r>
        <w:r w:rsidR="00B72C1B">
          <w:rPr>
            <w:noProof/>
          </w:rPr>
          <w:fldChar w:fldCharType="end"/>
        </w:r>
        <w:r>
          <w:rPr>
            <w:noProof/>
          </w:rPr>
          <w:t xml:space="preserve"> -</w:t>
        </w:r>
      </w:p>
    </w:sdtContent>
  </w:sdt>
  <w:p w14:paraId="1CCB8540" w14:textId="46C39A9A" w:rsidR="008A43AF" w:rsidRPr="008A43AF" w:rsidRDefault="008A43AF" w:rsidP="008A43AF">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09695"/>
      <w:docPartObj>
        <w:docPartGallery w:val="Page Numbers (Bottom of Page)"/>
        <w:docPartUnique/>
      </w:docPartObj>
    </w:sdtPr>
    <w:sdtEndPr>
      <w:rPr>
        <w:noProof/>
      </w:rPr>
    </w:sdtEndPr>
    <w:sdtContent>
      <w:p w14:paraId="18A86469" w14:textId="77777777" w:rsidR="00520AFD" w:rsidRDefault="00520AFD" w:rsidP="00B72C1B">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0F20C3B3" w14:textId="77777777" w:rsidR="00520AFD" w:rsidRPr="008A43AF" w:rsidRDefault="00520AFD" w:rsidP="008A43AF">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8387"/>
      <w:docPartObj>
        <w:docPartGallery w:val="Page Numbers (Bottom of Page)"/>
        <w:docPartUnique/>
      </w:docPartObj>
    </w:sdtPr>
    <w:sdtEndPr>
      <w:rPr>
        <w:noProof/>
      </w:rPr>
    </w:sdtEndPr>
    <w:sdtContent>
      <w:p w14:paraId="213F0C42" w14:textId="42BE26B9" w:rsidR="00F43209" w:rsidRDefault="00F43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E68DF" w14:textId="32592722" w:rsidR="00C56FE2" w:rsidRDefault="00C56FE2" w:rsidP="007E0FEE">
    <w:pPr>
      <w:tabs>
        <w:tab w:val="center" w:pos="468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1560" w14:textId="77777777" w:rsidR="00F96B48" w:rsidRDefault="00F96B48" w:rsidP="00DF58E7">
      <w:pPr>
        <w:spacing w:line="240" w:lineRule="auto"/>
        <w:ind w:firstLine="0"/>
      </w:pPr>
      <w:r>
        <w:separator/>
      </w:r>
    </w:p>
  </w:footnote>
  <w:footnote w:type="continuationSeparator" w:id="0">
    <w:p w14:paraId="319362B8" w14:textId="77777777" w:rsidR="00F96B48" w:rsidRDefault="00F96B48" w:rsidP="00DF58E7">
      <w:pPr>
        <w:spacing w:line="240" w:lineRule="auto"/>
        <w:ind w:firstLine="0"/>
      </w:pPr>
      <w:r>
        <w:continuationSeparator/>
      </w:r>
    </w:p>
  </w:footnote>
  <w:footnote w:type="continuationNotice" w:id="1">
    <w:p w14:paraId="4F80A0D2" w14:textId="77777777" w:rsidR="00F96B48" w:rsidRPr="00DF58E7" w:rsidRDefault="00F96B48" w:rsidP="00DF58E7">
      <w:pPr>
        <w:spacing w:line="240" w:lineRule="auto"/>
        <w:ind w:firstLine="0"/>
        <w:jc w:val="right"/>
        <w:rPr>
          <w:i/>
          <w:sz w:val="22"/>
        </w:rPr>
      </w:pPr>
    </w:p>
  </w:footnote>
  <w:footnote w:id="2">
    <w:p w14:paraId="0F42A0B3" w14:textId="45935BAA" w:rsidR="009E27BC" w:rsidRPr="009E27BC" w:rsidRDefault="009E27BC">
      <w:pPr>
        <w:pStyle w:val="FootnoteText"/>
      </w:pPr>
      <w:r>
        <w:rPr>
          <w:rStyle w:val="FootnoteReference"/>
        </w:rPr>
        <w:footnoteRef/>
      </w:r>
      <w:r>
        <w:t xml:space="preserve"> </w:t>
      </w:r>
      <w:r>
        <w:rPr>
          <w:i/>
          <w:iCs/>
        </w:rPr>
        <w:t xml:space="preserve">See </w:t>
      </w:r>
      <w:r>
        <w:t xml:space="preserve">Section 5.1 of Settlement Agreement. </w:t>
      </w:r>
    </w:p>
  </w:footnote>
  <w:footnote w:id="3">
    <w:p w14:paraId="65DE639D" w14:textId="6A2E67C8" w:rsidR="0078144A" w:rsidRPr="0078144A" w:rsidRDefault="0078144A">
      <w:pPr>
        <w:pStyle w:val="FootnoteText"/>
      </w:pPr>
      <w:r>
        <w:rPr>
          <w:rStyle w:val="FootnoteReference"/>
        </w:rPr>
        <w:footnoteRef/>
      </w:r>
      <w:r>
        <w:t xml:space="preserve"> </w:t>
      </w:r>
      <w:r>
        <w:rPr>
          <w:i/>
          <w:iCs/>
        </w:rPr>
        <w:t xml:space="preserve">See </w:t>
      </w:r>
      <w:r>
        <w:t xml:space="preserve">Section 5.1 of Settlement Agreement. </w:t>
      </w:r>
    </w:p>
  </w:footnote>
  <w:footnote w:id="4">
    <w:p w14:paraId="253D372B" w14:textId="177D34F7" w:rsidR="000261F3" w:rsidRPr="000261F3" w:rsidRDefault="000261F3">
      <w:pPr>
        <w:pStyle w:val="FootnoteText"/>
      </w:pPr>
      <w:r>
        <w:rPr>
          <w:rStyle w:val="FootnoteReference"/>
        </w:rPr>
        <w:footnoteRef/>
      </w:r>
      <w:r>
        <w:t xml:space="preserve"> </w:t>
      </w:r>
      <w:r>
        <w:rPr>
          <w:i/>
          <w:iCs/>
        </w:rPr>
        <w:t xml:space="preserve">See </w:t>
      </w:r>
      <w:r>
        <w:t xml:space="preserve">Section 5.1.1 of the Settlement Agreement. </w:t>
      </w:r>
    </w:p>
  </w:footnote>
  <w:footnote w:id="5">
    <w:p w14:paraId="6296C188" w14:textId="3B2EE687" w:rsidR="00167B77" w:rsidRDefault="00167B77">
      <w:pPr>
        <w:pStyle w:val="FootnoteText"/>
      </w:pPr>
      <w:r>
        <w:rPr>
          <w:rStyle w:val="FootnoteReference"/>
        </w:rPr>
        <w:footnoteRef/>
      </w:r>
      <w:r>
        <w:t xml:space="preserve"> Water loss is the difference between the total amount of water supplied to a system and the amount billed to customers. </w:t>
      </w:r>
      <w:r w:rsidR="009147F4">
        <w:t xml:space="preserve">Some water loss results from </w:t>
      </w:r>
      <w:proofErr w:type="spellStart"/>
      <w:r w:rsidR="009147F4">
        <w:t>flusing</w:t>
      </w:r>
      <w:proofErr w:type="spellEnd"/>
      <w:r w:rsidR="009147F4">
        <w:t xml:space="preserve"> of water lines and inherent characteristics of the system. </w:t>
      </w:r>
    </w:p>
  </w:footnote>
  <w:footnote w:id="6">
    <w:p w14:paraId="6260E9A5" w14:textId="3EDD6D77" w:rsidR="005775B1" w:rsidRPr="005775B1" w:rsidRDefault="005775B1">
      <w:pPr>
        <w:pStyle w:val="FootnoteText"/>
      </w:pPr>
      <w:r>
        <w:rPr>
          <w:rStyle w:val="FootnoteReference"/>
        </w:rPr>
        <w:footnoteRef/>
      </w:r>
      <w:r>
        <w:t xml:space="preserve"> </w:t>
      </w:r>
      <w:r>
        <w:rPr>
          <w:i/>
          <w:iCs/>
        </w:rPr>
        <w:t xml:space="preserve">See </w:t>
      </w:r>
      <w:r>
        <w:t xml:space="preserve">Section 5.5 of the Settlement Agreement. </w:t>
      </w:r>
    </w:p>
  </w:footnote>
  <w:footnote w:id="7">
    <w:p w14:paraId="6A6C113E" w14:textId="54CA6242" w:rsidR="00E31B64" w:rsidRPr="00E31B64" w:rsidRDefault="00E31B64">
      <w:pPr>
        <w:pStyle w:val="FootnoteText"/>
      </w:pPr>
      <w:r>
        <w:rPr>
          <w:rStyle w:val="FootnoteReference"/>
        </w:rPr>
        <w:footnoteRef/>
      </w:r>
      <w:r>
        <w:t xml:space="preserve"> </w:t>
      </w:r>
      <w:r>
        <w:rPr>
          <w:i/>
          <w:iCs/>
        </w:rPr>
        <w:t xml:space="preserve">See </w:t>
      </w:r>
      <w:r>
        <w:t xml:space="preserve">Section 5.6 of the Settlement Agreement. </w:t>
      </w:r>
    </w:p>
  </w:footnote>
  <w:footnote w:id="8">
    <w:p w14:paraId="286C222F" w14:textId="5F755B72" w:rsidR="00487FC6" w:rsidRPr="00487FC6" w:rsidRDefault="00487FC6">
      <w:pPr>
        <w:pStyle w:val="FootnoteText"/>
      </w:pPr>
      <w:r>
        <w:rPr>
          <w:rStyle w:val="FootnoteReference"/>
        </w:rPr>
        <w:footnoteRef/>
      </w:r>
      <w:r>
        <w:t xml:space="preserve"> </w:t>
      </w:r>
      <w:r>
        <w:rPr>
          <w:i/>
          <w:iCs/>
        </w:rPr>
        <w:t xml:space="preserve">See </w:t>
      </w:r>
      <w:r>
        <w:t xml:space="preserve">Section 5.7 of the Settlement Agreement. </w:t>
      </w:r>
    </w:p>
  </w:footnote>
  <w:footnote w:id="9">
    <w:p w14:paraId="44F80868" w14:textId="6B28A0E8" w:rsidR="00FD01D2" w:rsidRPr="00FD01D2" w:rsidRDefault="00FD01D2">
      <w:pPr>
        <w:pStyle w:val="FootnoteText"/>
      </w:pPr>
      <w:r>
        <w:rPr>
          <w:rStyle w:val="FootnoteReference"/>
        </w:rPr>
        <w:footnoteRef/>
      </w:r>
      <w:r>
        <w:t xml:space="preserve"> </w:t>
      </w:r>
      <w:r>
        <w:rPr>
          <w:i/>
          <w:iCs/>
        </w:rPr>
        <w:t xml:space="preserve">See </w:t>
      </w:r>
      <w:r>
        <w:t xml:space="preserve">Section 5.8 of the Settlement Agreement. </w:t>
      </w:r>
    </w:p>
  </w:footnote>
  <w:footnote w:id="10">
    <w:p w14:paraId="4D300075" w14:textId="0957B255" w:rsidR="00063BD1" w:rsidRPr="00063BD1" w:rsidRDefault="00063BD1">
      <w:pPr>
        <w:pStyle w:val="FootnoteText"/>
      </w:pPr>
      <w:r>
        <w:rPr>
          <w:rStyle w:val="FootnoteReference"/>
        </w:rPr>
        <w:footnoteRef/>
      </w:r>
      <w:r>
        <w:t xml:space="preserve"> </w:t>
      </w:r>
      <w:r>
        <w:rPr>
          <w:i/>
          <w:iCs/>
        </w:rPr>
        <w:t xml:space="preserve">See </w:t>
      </w:r>
      <w:r>
        <w:t xml:space="preserve">Sections 5.10 through 5.15 of the Settlement Agreement. </w:t>
      </w:r>
    </w:p>
  </w:footnote>
  <w:footnote w:id="11">
    <w:p w14:paraId="15267AAA" w14:textId="0C049FF7" w:rsidR="00ED6D26" w:rsidRPr="00ED6D26" w:rsidRDefault="00ED6D26">
      <w:pPr>
        <w:pStyle w:val="FootnoteText"/>
      </w:pPr>
      <w:r>
        <w:rPr>
          <w:rStyle w:val="FootnoteReference"/>
        </w:rPr>
        <w:footnoteRef/>
      </w:r>
      <w:r>
        <w:t xml:space="preserve"> </w:t>
      </w:r>
      <w:r>
        <w:rPr>
          <w:i/>
          <w:iCs/>
        </w:rPr>
        <w:t xml:space="preserve">See </w:t>
      </w:r>
      <w:r>
        <w:t>Section 5.1</w:t>
      </w:r>
      <w:r w:rsidR="000B2018">
        <w:t xml:space="preserve">0 of the Settlement Agreement. </w:t>
      </w:r>
    </w:p>
  </w:footnote>
  <w:footnote w:id="12">
    <w:p w14:paraId="4555D26E" w14:textId="43D3C10E" w:rsidR="004637E3" w:rsidRPr="004637E3" w:rsidRDefault="004637E3">
      <w:pPr>
        <w:pStyle w:val="FootnoteText"/>
      </w:pPr>
      <w:r>
        <w:rPr>
          <w:rStyle w:val="FootnoteReference"/>
        </w:rPr>
        <w:footnoteRef/>
      </w:r>
      <w:r>
        <w:t xml:space="preserve"> </w:t>
      </w:r>
      <w:r>
        <w:rPr>
          <w:i/>
          <w:iCs/>
        </w:rPr>
        <w:t xml:space="preserve">See </w:t>
      </w:r>
      <w:r>
        <w:t xml:space="preserve">Section 5.11 of the Settlement Agreement. </w:t>
      </w:r>
    </w:p>
  </w:footnote>
  <w:footnote w:id="13">
    <w:p w14:paraId="3319E129" w14:textId="3AE30150" w:rsidR="001E71A5" w:rsidRDefault="001E71A5">
      <w:pPr>
        <w:pStyle w:val="FootnoteText"/>
      </w:pPr>
      <w:r>
        <w:rPr>
          <w:rStyle w:val="FootnoteReference"/>
        </w:rPr>
        <w:footnoteRef/>
      </w:r>
      <w:r>
        <w:t xml:space="preserve"> Net depreciation expenses consist of accumulated depreciation of company-owned properties and amortization of contributed properties and the net of retirements and adjustments. </w:t>
      </w:r>
    </w:p>
  </w:footnote>
  <w:footnote w:id="14">
    <w:p w14:paraId="3EC81792" w14:textId="7E027EE1" w:rsidR="004637E3" w:rsidRPr="004637E3" w:rsidRDefault="004637E3">
      <w:pPr>
        <w:pStyle w:val="FootnoteText"/>
      </w:pPr>
      <w:r>
        <w:rPr>
          <w:rStyle w:val="FootnoteReference"/>
        </w:rPr>
        <w:footnoteRef/>
      </w:r>
      <w:r>
        <w:t xml:space="preserve"> </w:t>
      </w:r>
      <w:r>
        <w:rPr>
          <w:i/>
          <w:iCs/>
        </w:rPr>
        <w:t xml:space="preserve">See </w:t>
      </w:r>
      <w:r>
        <w:t xml:space="preserve">Section 5.12 of the Settlement Agreement. </w:t>
      </w:r>
    </w:p>
  </w:footnote>
  <w:footnote w:id="15">
    <w:p w14:paraId="62E5DF46" w14:textId="162C8B89" w:rsidR="00FC7CB8" w:rsidRPr="00FC7CB8" w:rsidRDefault="00FC7CB8">
      <w:pPr>
        <w:pStyle w:val="FootnoteText"/>
      </w:pPr>
      <w:r>
        <w:rPr>
          <w:rStyle w:val="FootnoteReference"/>
        </w:rPr>
        <w:footnoteRef/>
      </w:r>
      <w:r>
        <w:t xml:space="preserve"> </w:t>
      </w:r>
      <w:r>
        <w:rPr>
          <w:i/>
          <w:iCs/>
        </w:rPr>
        <w:t xml:space="preserve">See </w:t>
      </w:r>
      <w:r>
        <w:t xml:space="preserve">Section 5.13 of the Settlement Agreement. </w:t>
      </w:r>
    </w:p>
  </w:footnote>
  <w:footnote w:id="16">
    <w:p w14:paraId="2A71EAC5" w14:textId="468402CB" w:rsidR="003504EA" w:rsidRPr="003504EA" w:rsidRDefault="003504EA">
      <w:pPr>
        <w:pStyle w:val="FootnoteText"/>
      </w:pPr>
      <w:r>
        <w:rPr>
          <w:rStyle w:val="FootnoteReference"/>
        </w:rPr>
        <w:footnoteRef/>
      </w:r>
      <w:r>
        <w:t xml:space="preserve"> </w:t>
      </w:r>
      <w:r>
        <w:rPr>
          <w:i/>
          <w:iCs/>
        </w:rPr>
        <w:t xml:space="preserve">See </w:t>
      </w:r>
      <w:r>
        <w:t xml:space="preserve">Section 5.14 of the Settlement Agreement. </w:t>
      </w:r>
    </w:p>
  </w:footnote>
  <w:footnote w:id="17">
    <w:p w14:paraId="3E4EADD5" w14:textId="7BB1AAFA" w:rsidR="00043999" w:rsidRPr="00043999" w:rsidRDefault="00043999">
      <w:pPr>
        <w:pStyle w:val="FootnoteText"/>
      </w:pPr>
      <w:r>
        <w:rPr>
          <w:rStyle w:val="FootnoteReference"/>
        </w:rPr>
        <w:footnoteRef/>
      </w:r>
      <w:r>
        <w:t xml:space="preserve"> </w:t>
      </w:r>
      <w:r>
        <w:rPr>
          <w:i/>
          <w:iCs/>
        </w:rPr>
        <w:t xml:space="preserve">See </w:t>
      </w:r>
      <w:r>
        <w:t xml:space="preserve">Section 5.15 of the Settlement Agreement. </w:t>
      </w:r>
    </w:p>
  </w:footnote>
  <w:footnote w:id="18">
    <w:p w14:paraId="0E8C7481" w14:textId="0848A9F4" w:rsidR="000215C9" w:rsidRPr="000215C9" w:rsidRDefault="000215C9">
      <w:pPr>
        <w:pStyle w:val="FootnoteText"/>
      </w:pPr>
      <w:r>
        <w:rPr>
          <w:rStyle w:val="FootnoteReference"/>
        </w:rPr>
        <w:footnoteRef/>
      </w:r>
      <w:r>
        <w:t xml:space="preserve"> </w:t>
      </w:r>
      <w:r>
        <w:rPr>
          <w:i/>
          <w:iCs/>
        </w:rPr>
        <w:t xml:space="preserve">See </w:t>
      </w:r>
      <w:r>
        <w:t xml:space="preserve">Section 5.1.2 of the Settlement Agreement. </w:t>
      </w:r>
    </w:p>
  </w:footnote>
  <w:footnote w:id="19">
    <w:p w14:paraId="4F2D0C86" w14:textId="269D867C" w:rsidR="00ED3A93" w:rsidRPr="00ED3A93" w:rsidRDefault="00ED3A93">
      <w:pPr>
        <w:pStyle w:val="FootnoteText"/>
      </w:pPr>
      <w:r>
        <w:rPr>
          <w:rStyle w:val="FootnoteReference"/>
        </w:rPr>
        <w:footnoteRef/>
      </w:r>
      <w:r>
        <w:t xml:space="preserve"> </w:t>
      </w:r>
      <w:r>
        <w:rPr>
          <w:i/>
          <w:iCs/>
        </w:rPr>
        <w:t xml:space="preserve">See </w:t>
      </w:r>
      <w:r>
        <w:t xml:space="preserve">Sections 5.1 and 5.17 of the Settlement Agreement. </w:t>
      </w:r>
    </w:p>
  </w:footnote>
  <w:footnote w:id="20">
    <w:p w14:paraId="60C38954" w14:textId="18F6F099" w:rsidR="00D943DA" w:rsidRPr="00D943DA" w:rsidRDefault="00D943DA">
      <w:pPr>
        <w:pStyle w:val="FootnoteText"/>
      </w:pPr>
      <w:r>
        <w:rPr>
          <w:rStyle w:val="FootnoteReference"/>
        </w:rPr>
        <w:footnoteRef/>
      </w:r>
      <w:r>
        <w:t xml:space="preserve"> </w:t>
      </w:r>
      <w:r>
        <w:rPr>
          <w:i/>
          <w:iCs/>
        </w:rPr>
        <w:t xml:space="preserve">See </w:t>
      </w:r>
      <w:r>
        <w:t xml:space="preserve">Joint Reply at 3. </w:t>
      </w:r>
    </w:p>
  </w:footnote>
  <w:footnote w:id="21">
    <w:p w14:paraId="1B177BFF" w14:textId="398996F1" w:rsidR="00283003" w:rsidRPr="00283003" w:rsidRDefault="00283003">
      <w:pPr>
        <w:pStyle w:val="FootnoteText"/>
      </w:pPr>
      <w:r>
        <w:rPr>
          <w:rStyle w:val="FootnoteReference"/>
        </w:rPr>
        <w:footnoteRef/>
      </w:r>
      <w:r>
        <w:t xml:space="preserve"> </w:t>
      </w:r>
      <w:r>
        <w:rPr>
          <w:i/>
          <w:iCs/>
        </w:rPr>
        <w:t xml:space="preserve">See </w:t>
      </w:r>
      <w:r>
        <w:t xml:space="preserve">Joint </w:t>
      </w:r>
      <w:r w:rsidR="00D42441">
        <w:t>Response</w:t>
      </w:r>
      <w:r>
        <w:t xml:space="preserve"> at 3. </w:t>
      </w:r>
    </w:p>
  </w:footnote>
  <w:footnote w:id="22">
    <w:p w14:paraId="6178ED3D" w14:textId="77777777" w:rsidR="00123639" w:rsidRPr="00345062" w:rsidRDefault="00123639" w:rsidP="00123639">
      <w:pPr>
        <w:pStyle w:val="FootnoteText"/>
      </w:pPr>
      <w:r>
        <w:rPr>
          <w:rStyle w:val="FootnoteReference"/>
        </w:rPr>
        <w:footnoteRef/>
      </w:r>
      <w:r>
        <w:t xml:space="preserve"> </w:t>
      </w:r>
      <w:r>
        <w:rPr>
          <w:i/>
          <w:iCs/>
        </w:rPr>
        <w:t>See</w:t>
      </w:r>
      <w:r>
        <w:t xml:space="preserve"> Settlement Agreement at 29-30. </w:t>
      </w:r>
    </w:p>
  </w:footnote>
  <w:footnote w:id="23">
    <w:p w14:paraId="53365D7A" w14:textId="6DAF5FA6" w:rsidR="0021733B" w:rsidRPr="0021733B" w:rsidRDefault="0021733B">
      <w:pPr>
        <w:pStyle w:val="FootnoteText"/>
      </w:pPr>
      <w:r>
        <w:rPr>
          <w:rStyle w:val="FootnoteReference"/>
        </w:rPr>
        <w:footnoteRef/>
      </w:r>
      <w:r>
        <w:t xml:space="preserve"> </w:t>
      </w:r>
      <w:r>
        <w:rPr>
          <w:i/>
          <w:iCs/>
        </w:rPr>
        <w:t xml:space="preserve">See </w:t>
      </w:r>
      <w:r>
        <w:t xml:space="preserve">Settlement Agreement at 30. </w:t>
      </w:r>
    </w:p>
  </w:footnote>
  <w:footnote w:id="24">
    <w:p w14:paraId="57FDE466" w14:textId="545C3162" w:rsidR="009176C7" w:rsidRPr="009176C7" w:rsidRDefault="009176C7">
      <w:pPr>
        <w:pStyle w:val="FootnoteText"/>
      </w:pPr>
      <w:r>
        <w:rPr>
          <w:rStyle w:val="FootnoteReference"/>
        </w:rPr>
        <w:footnoteRef/>
      </w:r>
      <w:r>
        <w:t xml:space="preserve"> </w:t>
      </w:r>
      <w:r>
        <w:rPr>
          <w:i/>
          <w:iCs/>
        </w:rPr>
        <w:t xml:space="preserve">See </w:t>
      </w:r>
      <w:r>
        <w:t xml:space="preserve">Settlement Agreement at 30-31. </w:t>
      </w:r>
    </w:p>
  </w:footnote>
  <w:footnote w:id="25">
    <w:p w14:paraId="37D99786" w14:textId="1B27E3C8" w:rsidR="00253D65" w:rsidRPr="00253D65" w:rsidRDefault="00253D65">
      <w:pPr>
        <w:pStyle w:val="FootnoteText"/>
      </w:pPr>
      <w:r>
        <w:rPr>
          <w:rStyle w:val="FootnoteReference"/>
        </w:rPr>
        <w:footnoteRef/>
      </w:r>
      <w:r>
        <w:t xml:space="preserve"> </w:t>
      </w:r>
      <w:r>
        <w:rPr>
          <w:i/>
          <w:iCs/>
        </w:rPr>
        <w:t xml:space="preserve">See </w:t>
      </w:r>
      <w:r>
        <w:t xml:space="preserve">Settlement Agreement at </w:t>
      </w:r>
      <w:r w:rsidR="00454B22">
        <w:t xml:space="preserve">32. </w:t>
      </w:r>
    </w:p>
  </w:footnote>
  <w:footnote w:id="26">
    <w:p w14:paraId="15AE5E6E" w14:textId="7A8CDB9B" w:rsidR="00F96E6B" w:rsidRPr="00F96E6B" w:rsidRDefault="00F96E6B">
      <w:pPr>
        <w:pStyle w:val="FootnoteText"/>
      </w:pPr>
      <w:r>
        <w:rPr>
          <w:rStyle w:val="FootnoteReference"/>
        </w:rPr>
        <w:footnoteRef/>
      </w:r>
      <w:r>
        <w:t xml:space="preserve"> </w:t>
      </w:r>
      <w:r>
        <w:rPr>
          <w:i/>
          <w:iCs/>
        </w:rPr>
        <w:t xml:space="preserve">See </w:t>
      </w:r>
      <w:r>
        <w:t>Settlement Agreement at 32-33.</w:t>
      </w:r>
    </w:p>
  </w:footnote>
  <w:footnote w:id="27">
    <w:p w14:paraId="536C0EEA" w14:textId="11FC5884" w:rsidR="00AA5F16" w:rsidRPr="00AA5F16" w:rsidRDefault="00AA5F16">
      <w:pPr>
        <w:pStyle w:val="FootnoteText"/>
      </w:pPr>
      <w:r>
        <w:rPr>
          <w:rStyle w:val="FootnoteReference"/>
        </w:rPr>
        <w:footnoteRef/>
      </w:r>
      <w:r>
        <w:t xml:space="preserve"> </w:t>
      </w:r>
      <w:r>
        <w:rPr>
          <w:i/>
          <w:iCs/>
        </w:rPr>
        <w:t xml:space="preserve">See </w:t>
      </w:r>
      <w:r>
        <w:t xml:space="preserve">Settlement Agreement at 33-34. </w:t>
      </w:r>
    </w:p>
  </w:footnote>
  <w:footnote w:id="28">
    <w:p w14:paraId="5777EC15" w14:textId="77777777" w:rsidR="00000B68" w:rsidRDefault="00000B68" w:rsidP="00000B68">
      <w:pPr>
        <w:pStyle w:val="FootnoteText"/>
      </w:pPr>
      <w:r>
        <w:rPr>
          <w:rStyle w:val="FootnoteReference"/>
        </w:rPr>
        <w:footnoteRef/>
      </w:r>
      <w:r>
        <w:t xml:space="preserve"> Rule 12.1(d) states “[t]</w:t>
      </w:r>
      <w:r w:rsidRPr="009A77EB">
        <w:t xml:space="preserve">he Commission will not approve settlements, whether contested or uncontested, unless the settlement is reasonable </w:t>
      </w:r>
      <w:proofErr w:type="gramStart"/>
      <w:r w:rsidRPr="009A77EB">
        <w:t>in light of</w:t>
      </w:r>
      <w:proofErr w:type="gramEnd"/>
      <w:r w:rsidRPr="009A77EB">
        <w:t xml:space="preserve"> the whole record, consistent with law, and in the public interest. The Commission may reject any proposed settlement for failure to disclose the information required pursuant to subsection (a) of this rule.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3BAC" w14:textId="573CA639" w:rsidR="00C56FE2" w:rsidRPr="00C56FE2" w:rsidRDefault="00C56FE2" w:rsidP="00C56FE2">
    <w:pPr>
      <w:pStyle w:val="Header"/>
      <w:ind w:firstLine="0"/>
      <w:rPr>
        <w:color w:val="EE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7801" w14:textId="1BAC0C3F" w:rsidR="00E74E71" w:rsidRPr="0000395F" w:rsidRDefault="00E74E71" w:rsidP="00B3087D">
    <w:pPr>
      <w:pStyle w:val="Header"/>
      <w:tabs>
        <w:tab w:val="clear" w:pos="4680"/>
      </w:tabs>
      <w:ind w:firstLine="0"/>
      <w:rPr>
        <w:b/>
      </w:rPr>
    </w:pPr>
    <w:r>
      <w:t>A.2</w:t>
    </w:r>
    <w:r w:rsidR="00490A60">
      <w:t>4-08-011</w:t>
    </w:r>
    <w:r>
      <w:t xml:space="preserve">  ALJ/AN4/</w:t>
    </w:r>
    <w:r w:rsidR="00B72C1B">
      <w:t>kp7</w:t>
    </w:r>
    <w:r w:rsidR="00C742B2">
      <w:tab/>
    </w:r>
    <w:r w:rsidR="00C742B2">
      <w:rPr>
        <w:b/>
      </w:rPr>
      <w:t>PROPOSED DECISION</w:t>
    </w:r>
    <w:r w:rsidR="00DE67DE">
      <w:rPr>
        <w:b/>
      </w:rPr>
      <w:t xml:space="preserve"> (Rev.1)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7C2D" w14:textId="46E8A590" w:rsidR="008A43AF" w:rsidRPr="0000395F" w:rsidRDefault="008A43AF" w:rsidP="00B3087D">
    <w:pPr>
      <w:pStyle w:val="Header"/>
      <w:tabs>
        <w:tab w:val="clear" w:pos="4680"/>
      </w:tabs>
      <w:ind w:firstLine="0"/>
      <w:rPr>
        <w:b/>
      </w:rPr>
    </w:pPr>
    <w:r>
      <w:t>A.2</w:t>
    </w:r>
    <w:r w:rsidR="006A599A">
      <w:t>4-08-011</w:t>
    </w:r>
    <w:r>
      <w:t xml:space="preserve">  ALJ/AN4/</w:t>
    </w:r>
    <w:r w:rsidR="00B72C1B">
      <w:t>kp7</w:t>
    </w:r>
    <w:r>
      <w:tab/>
    </w:r>
    <w:r>
      <w:rPr>
        <w:b/>
      </w:rPr>
      <w:t>PROPOSED DECISION</w:t>
    </w:r>
    <w:r w:rsidR="00C4101A">
      <w:rPr>
        <w:b/>
      </w:rPr>
      <w:t xml:space="preserve"> (Rev.1)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66F4E"/>
    <w:multiLevelType w:val="hybridMultilevel"/>
    <w:tmpl w:val="99C21026"/>
    <w:lvl w:ilvl="0" w:tplc="F722891C">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5" w15:restartNumberingAfterBreak="0">
    <w:nsid w:val="59D042D7"/>
    <w:multiLevelType w:val="multilevel"/>
    <w:tmpl w:val="18F4A5AC"/>
    <w:numStyleLink w:val="FoFCoLOP"/>
  </w:abstractNum>
  <w:abstractNum w:abstractNumId="6" w15:restartNumberingAfterBreak="0">
    <w:nsid w:val="5D886843"/>
    <w:multiLevelType w:val="multilevel"/>
    <w:tmpl w:val="5C522204"/>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1A25780"/>
    <w:multiLevelType w:val="multilevel"/>
    <w:tmpl w:val="3C526EDE"/>
    <w:numStyleLink w:val="Headings"/>
  </w:abstractNum>
  <w:abstractNum w:abstractNumId="8" w15:restartNumberingAfterBreak="0">
    <w:nsid w:val="61D86D76"/>
    <w:multiLevelType w:val="hybridMultilevel"/>
    <w:tmpl w:val="2528D33A"/>
    <w:lvl w:ilvl="0" w:tplc="7E3C37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F87F81"/>
    <w:multiLevelType w:val="hybridMultilevel"/>
    <w:tmpl w:val="C9BA6CE2"/>
    <w:lvl w:ilvl="0" w:tplc="B66609B8">
      <w:start w:val="1"/>
      <w:numFmt w:val="upperLetter"/>
      <w:pStyle w:val="Style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C92C88"/>
    <w:multiLevelType w:val="hybridMultilevel"/>
    <w:tmpl w:val="F37207B6"/>
    <w:lvl w:ilvl="0" w:tplc="EEEC5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9A0AFE"/>
    <w:multiLevelType w:val="multilevel"/>
    <w:tmpl w:val="18F4A5AC"/>
    <w:numStyleLink w:val="FoFCoLOP"/>
  </w:abstractNum>
  <w:abstractNum w:abstractNumId="12" w15:restartNumberingAfterBreak="0">
    <w:nsid w:val="7A3DF7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B03EDB"/>
    <w:multiLevelType w:val="hybridMultilevel"/>
    <w:tmpl w:val="64E2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515275">
    <w:abstractNumId w:val="2"/>
  </w:num>
  <w:num w:numId="2" w16cid:durableId="502815099">
    <w:abstractNumId w:val="5"/>
  </w:num>
  <w:num w:numId="3" w16cid:durableId="1601912982">
    <w:abstractNumId w:val="3"/>
  </w:num>
  <w:num w:numId="4" w16cid:durableId="471483466">
    <w:abstractNumId w:val="11"/>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5" w16cid:durableId="199368054">
    <w:abstractNumId w:val="4"/>
  </w:num>
  <w:num w:numId="6" w16cid:durableId="1314522894">
    <w:abstractNumId w:val="0"/>
  </w:num>
  <w:num w:numId="7" w16cid:durableId="568421536">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8" w16cid:durableId="933364210">
    <w:abstractNumId w:val="9"/>
  </w:num>
  <w:num w:numId="9" w16cid:durableId="1338380951">
    <w:abstractNumId w:val="6"/>
  </w:num>
  <w:num w:numId="10" w16cid:durableId="1004548045">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1" w16cid:durableId="785151457">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83506794">
    <w:abstractNumId w:val="3"/>
  </w:num>
  <w:num w:numId="13" w16cid:durableId="968898044">
    <w:abstractNumId w:val="3"/>
    <w:lvlOverride w:ilvl="0">
      <w:startOverride w:val="1"/>
      <w:lvl w:ilvl="0">
        <w:start w:val="1"/>
        <w:numFmt w:val="decimal"/>
        <w:lvlText w:val="%1."/>
        <w:lvlJc w:val="right"/>
        <w:pPr>
          <w:ind w:left="0" w:firstLine="540"/>
        </w:pPr>
        <w:rPr>
          <w:rFonts w:hint="default"/>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14" w16cid:durableId="1633247325">
    <w:abstractNumId w:val="11"/>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15" w16cid:durableId="1434202117">
    <w:abstractNumId w:val="3"/>
    <w:lvlOverride w:ilvl="0">
      <w:lvl w:ilvl="0">
        <w:start w:val="1"/>
        <w:numFmt w:val="decimal"/>
        <w:lvlText w:val="%1."/>
        <w:lvlJc w:val="right"/>
        <w:pPr>
          <w:ind w:left="900" w:firstLine="540"/>
        </w:pPr>
        <w:rPr>
          <w:rFonts w:hint="default"/>
        </w:rPr>
      </w:lvl>
    </w:lvlOverride>
    <w:lvlOverride w:ilvl="1">
      <w:lvl w:ilvl="1">
        <w:start w:val="1"/>
        <w:numFmt w:val="lowerLetter"/>
        <w:lvlText w:val="(%2)"/>
        <w:lvlJc w:val="right"/>
        <w:pPr>
          <w:ind w:left="2052" w:hanging="72"/>
        </w:pPr>
        <w:rPr>
          <w:rFonts w:hint="default"/>
        </w:rPr>
      </w:lvl>
    </w:lvlOverride>
    <w:lvlOverride w:ilvl="2">
      <w:lvl w:ilvl="2">
        <w:start w:val="1"/>
        <w:numFmt w:val="none"/>
        <w:lvlText w:val=""/>
        <w:lvlJc w:val="left"/>
        <w:pPr>
          <w:ind w:left="1620" w:firstLine="0"/>
        </w:pPr>
        <w:rPr>
          <w:rFonts w:hint="default"/>
        </w:rPr>
      </w:lvl>
    </w:lvlOverride>
    <w:lvlOverride w:ilvl="3">
      <w:lvl w:ilvl="3">
        <w:start w:val="1"/>
        <w:numFmt w:val="none"/>
        <w:lvlText w:val=""/>
        <w:lvlJc w:val="left"/>
        <w:pPr>
          <w:ind w:left="1620" w:firstLine="0"/>
        </w:pPr>
        <w:rPr>
          <w:rFonts w:hint="default"/>
        </w:rPr>
      </w:lvl>
    </w:lvlOverride>
    <w:lvlOverride w:ilvl="4">
      <w:lvl w:ilvl="4">
        <w:start w:val="1"/>
        <w:numFmt w:val="none"/>
        <w:lvlText w:val=""/>
        <w:lvlJc w:val="left"/>
        <w:pPr>
          <w:ind w:left="1620" w:firstLine="0"/>
        </w:pPr>
        <w:rPr>
          <w:rFonts w:hint="default"/>
        </w:rPr>
      </w:lvl>
    </w:lvlOverride>
    <w:lvlOverride w:ilvl="5">
      <w:lvl w:ilvl="5">
        <w:start w:val="1"/>
        <w:numFmt w:val="none"/>
        <w:lvlText w:val=""/>
        <w:lvlJc w:val="left"/>
        <w:pPr>
          <w:ind w:left="1620" w:firstLine="0"/>
        </w:pPr>
        <w:rPr>
          <w:rFonts w:hint="default"/>
        </w:rPr>
      </w:lvl>
    </w:lvlOverride>
    <w:lvlOverride w:ilvl="6">
      <w:lvl w:ilvl="6">
        <w:start w:val="1"/>
        <w:numFmt w:val="none"/>
        <w:lvlText w:val=""/>
        <w:lvlJc w:val="left"/>
        <w:pPr>
          <w:ind w:left="1620" w:firstLine="0"/>
        </w:pPr>
        <w:rPr>
          <w:rFonts w:hint="default"/>
        </w:rPr>
      </w:lvl>
    </w:lvlOverride>
    <w:lvlOverride w:ilvl="7">
      <w:lvl w:ilvl="7">
        <w:start w:val="1"/>
        <w:numFmt w:val="none"/>
        <w:lvlText w:val=""/>
        <w:lvlJc w:val="left"/>
        <w:pPr>
          <w:ind w:left="1620" w:firstLine="0"/>
        </w:pPr>
        <w:rPr>
          <w:rFonts w:hint="default"/>
        </w:rPr>
      </w:lvl>
    </w:lvlOverride>
    <w:lvlOverride w:ilvl="8">
      <w:lvl w:ilvl="8">
        <w:start w:val="1"/>
        <w:numFmt w:val="none"/>
        <w:lvlText w:val=""/>
        <w:lvlJc w:val="left"/>
        <w:pPr>
          <w:ind w:left="1620" w:firstLine="0"/>
        </w:pPr>
        <w:rPr>
          <w:rFonts w:hint="default"/>
        </w:rPr>
      </w:lvl>
    </w:lvlOverride>
  </w:num>
  <w:num w:numId="16" w16cid:durableId="1333875218">
    <w:abstractNumId w:val="3"/>
    <w:lvlOverride w:ilvl="0">
      <w:startOverride w:val="1"/>
      <w:lvl w:ilvl="0">
        <w:start w:val="1"/>
        <w:numFmt w:val="decimal"/>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17" w16cid:durableId="84303952">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8" w16cid:durableId="870454297">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9" w16cid:durableId="1020862255">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0" w16cid:durableId="1072121767">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1" w16cid:durableId="1656834634">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2" w16cid:durableId="963655035">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3" w16cid:durableId="2065833106">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4" w16cid:durableId="259217076">
    <w:abstractNumId w:val="13"/>
  </w:num>
  <w:num w:numId="25" w16cid:durableId="915820600">
    <w:abstractNumId w:val="12"/>
  </w:num>
  <w:num w:numId="26" w16cid:durableId="139814180">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7" w16cid:durableId="1899364679">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8" w16cid:durableId="835537209">
    <w:abstractNumId w:val="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9" w16cid:durableId="1664964456">
    <w:abstractNumId w:val="10"/>
  </w:num>
  <w:num w:numId="30" w16cid:durableId="1852602178">
    <w:abstractNumId w:val="11"/>
    <w:lvlOverride w:ilvl="0">
      <w:lvl w:ilvl="0">
        <w:start w:val="1"/>
        <w:numFmt w:val="decimal"/>
        <w:pStyle w:val="CoL"/>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1" w16cid:durableId="1101343679">
    <w:abstractNumId w:val="11"/>
    <w:lvlOverride w:ilvl="0">
      <w:startOverride w:val="1"/>
      <w:lvl w:ilvl="0">
        <w:start w:val="1"/>
        <w:numFmt w:val="decimal"/>
        <w:pStyle w:val="CoL"/>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32" w16cid:durableId="929696731">
    <w:abstractNumId w:val="7"/>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33" w16cid:durableId="1339386339">
    <w:abstractNumId w:val="1"/>
  </w:num>
  <w:num w:numId="34" w16cid:durableId="1924142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5D"/>
    <w:rsid w:val="000006A8"/>
    <w:rsid w:val="00000B68"/>
    <w:rsid w:val="00000F6A"/>
    <w:rsid w:val="000027AB"/>
    <w:rsid w:val="00003186"/>
    <w:rsid w:val="0000395F"/>
    <w:rsid w:val="00003DDA"/>
    <w:rsid w:val="000043CF"/>
    <w:rsid w:val="00007469"/>
    <w:rsid w:val="00007767"/>
    <w:rsid w:val="00007C42"/>
    <w:rsid w:val="00007E2E"/>
    <w:rsid w:val="000103B8"/>
    <w:rsid w:val="000103C0"/>
    <w:rsid w:val="00011E65"/>
    <w:rsid w:val="000120A9"/>
    <w:rsid w:val="0001388A"/>
    <w:rsid w:val="00014369"/>
    <w:rsid w:val="000204E9"/>
    <w:rsid w:val="000208BA"/>
    <w:rsid w:val="000215C9"/>
    <w:rsid w:val="00021ACC"/>
    <w:rsid w:val="00021C98"/>
    <w:rsid w:val="0002253F"/>
    <w:rsid w:val="00022DC2"/>
    <w:rsid w:val="00022E9D"/>
    <w:rsid w:val="000230BC"/>
    <w:rsid w:val="00023247"/>
    <w:rsid w:val="00024414"/>
    <w:rsid w:val="0002457A"/>
    <w:rsid w:val="0002585D"/>
    <w:rsid w:val="000261F3"/>
    <w:rsid w:val="00026321"/>
    <w:rsid w:val="00026E4C"/>
    <w:rsid w:val="000270AE"/>
    <w:rsid w:val="00027229"/>
    <w:rsid w:val="00027515"/>
    <w:rsid w:val="00027CCB"/>
    <w:rsid w:val="0003079A"/>
    <w:rsid w:val="00030A05"/>
    <w:rsid w:val="00030AC2"/>
    <w:rsid w:val="000310B0"/>
    <w:rsid w:val="00032023"/>
    <w:rsid w:val="00032E80"/>
    <w:rsid w:val="000334EA"/>
    <w:rsid w:val="0003537D"/>
    <w:rsid w:val="000353C7"/>
    <w:rsid w:val="00036F8F"/>
    <w:rsid w:val="0004027F"/>
    <w:rsid w:val="0004336F"/>
    <w:rsid w:val="00043999"/>
    <w:rsid w:val="00044479"/>
    <w:rsid w:val="00044E82"/>
    <w:rsid w:val="00047795"/>
    <w:rsid w:val="000506A5"/>
    <w:rsid w:val="00050921"/>
    <w:rsid w:val="00051A68"/>
    <w:rsid w:val="00053392"/>
    <w:rsid w:val="000538C8"/>
    <w:rsid w:val="00054ACC"/>
    <w:rsid w:val="0005502F"/>
    <w:rsid w:val="00056202"/>
    <w:rsid w:val="0005624B"/>
    <w:rsid w:val="00056DA1"/>
    <w:rsid w:val="00062CD8"/>
    <w:rsid w:val="0006376C"/>
    <w:rsid w:val="00063BD1"/>
    <w:rsid w:val="00063E9A"/>
    <w:rsid w:val="00065A00"/>
    <w:rsid w:val="00065ED1"/>
    <w:rsid w:val="0006759B"/>
    <w:rsid w:val="000679F2"/>
    <w:rsid w:val="00067F0A"/>
    <w:rsid w:val="000707E0"/>
    <w:rsid w:val="00070813"/>
    <w:rsid w:val="0007115A"/>
    <w:rsid w:val="00071941"/>
    <w:rsid w:val="00072A01"/>
    <w:rsid w:val="000730A2"/>
    <w:rsid w:val="000734B2"/>
    <w:rsid w:val="00073DD7"/>
    <w:rsid w:val="000743BE"/>
    <w:rsid w:val="000744B3"/>
    <w:rsid w:val="00074A37"/>
    <w:rsid w:val="00074C59"/>
    <w:rsid w:val="000765CF"/>
    <w:rsid w:val="00080721"/>
    <w:rsid w:val="0008179A"/>
    <w:rsid w:val="00081DDD"/>
    <w:rsid w:val="000839A7"/>
    <w:rsid w:val="00084369"/>
    <w:rsid w:val="0008473D"/>
    <w:rsid w:val="00085F69"/>
    <w:rsid w:val="00086786"/>
    <w:rsid w:val="00086E3D"/>
    <w:rsid w:val="000871FF"/>
    <w:rsid w:val="0009173E"/>
    <w:rsid w:val="00092FED"/>
    <w:rsid w:val="000932E1"/>
    <w:rsid w:val="00093320"/>
    <w:rsid w:val="00094004"/>
    <w:rsid w:val="0009521F"/>
    <w:rsid w:val="00096C4C"/>
    <w:rsid w:val="000973C8"/>
    <w:rsid w:val="000A2AA9"/>
    <w:rsid w:val="000A3FC2"/>
    <w:rsid w:val="000A4E3A"/>
    <w:rsid w:val="000A54E5"/>
    <w:rsid w:val="000A56F2"/>
    <w:rsid w:val="000A5D81"/>
    <w:rsid w:val="000A6B21"/>
    <w:rsid w:val="000A6E05"/>
    <w:rsid w:val="000B12FA"/>
    <w:rsid w:val="000B15CB"/>
    <w:rsid w:val="000B1A09"/>
    <w:rsid w:val="000B1C7B"/>
    <w:rsid w:val="000B2018"/>
    <w:rsid w:val="000B2035"/>
    <w:rsid w:val="000B2ED6"/>
    <w:rsid w:val="000B58AB"/>
    <w:rsid w:val="000C01AF"/>
    <w:rsid w:val="000C02D0"/>
    <w:rsid w:val="000C08A6"/>
    <w:rsid w:val="000C08BF"/>
    <w:rsid w:val="000C2987"/>
    <w:rsid w:val="000C2E05"/>
    <w:rsid w:val="000C2FAE"/>
    <w:rsid w:val="000C342A"/>
    <w:rsid w:val="000C3B9A"/>
    <w:rsid w:val="000C5F50"/>
    <w:rsid w:val="000C6910"/>
    <w:rsid w:val="000C7387"/>
    <w:rsid w:val="000D0487"/>
    <w:rsid w:val="000D0C84"/>
    <w:rsid w:val="000D19FD"/>
    <w:rsid w:val="000D22FB"/>
    <w:rsid w:val="000D25A8"/>
    <w:rsid w:val="000D2CEC"/>
    <w:rsid w:val="000D3F6B"/>
    <w:rsid w:val="000D3FB5"/>
    <w:rsid w:val="000D67CF"/>
    <w:rsid w:val="000D794E"/>
    <w:rsid w:val="000D7DF5"/>
    <w:rsid w:val="000E0615"/>
    <w:rsid w:val="000E066A"/>
    <w:rsid w:val="000E120F"/>
    <w:rsid w:val="000E1313"/>
    <w:rsid w:val="000E270A"/>
    <w:rsid w:val="000E434D"/>
    <w:rsid w:val="000E46A4"/>
    <w:rsid w:val="000E4C53"/>
    <w:rsid w:val="000E6396"/>
    <w:rsid w:val="000E6F06"/>
    <w:rsid w:val="000E75A1"/>
    <w:rsid w:val="000E78A6"/>
    <w:rsid w:val="000E7CE4"/>
    <w:rsid w:val="000F009C"/>
    <w:rsid w:val="000F04E9"/>
    <w:rsid w:val="000F07CA"/>
    <w:rsid w:val="000F0C0C"/>
    <w:rsid w:val="000F34D6"/>
    <w:rsid w:val="000F489B"/>
    <w:rsid w:val="000F68E4"/>
    <w:rsid w:val="001023DA"/>
    <w:rsid w:val="001033F2"/>
    <w:rsid w:val="001066C8"/>
    <w:rsid w:val="00112190"/>
    <w:rsid w:val="001121D5"/>
    <w:rsid w:val="0011310C"/>
    <w:rsid w:val="0011398F"/>
    <w:rsid w:val="001151DE"/>
    <w:rsid w:val="001152BD"/>
    <w:rsid w:val="00115DA9"/>
    <w:rsid w:val="00120406"/>
    <w:rsid w:val="001206F4"/>
    <w:rsid w:val="00121089"/>
    <w:rsid w:val="001213E1"/>
    <w:rsid w:val="00121D9F"/>
    <w:rsid w:val="00123639"/>
    <w:rsid w:val="00125B7B"/>
    <w:rsid w:val="00125D33"/>
    <w:rsid w:val="00127364"/>
    <w:rsid w:val="0013108D"/>
    <w:rsid w:val="00131C7C"/>
    <w:rsid w:val="00131DF5"/>
    <w:rsid w:val="0013243A"/>
    <w:rsid w:val="00133DBD"/>
    <w:rsid w:val="001342DC"/>
    <w:rsid w:val="00134E77"/>
    <w:rsid w:val="00135896"/>
    <w:rsid w:val="00135A81"/>
    <w:rsid w:val="001364B9"/>
    <w:rsid w:val="001403A1"/>
    <w:rsid w:val="00140779"/>
    <w:rsid w:val="001409A0"/>
    <w:rsid w:val="00141FFF"/>
    <w:rsid w:val="00142A48"/>
    <w:rsid w:val="001447AA"/>
    <w:rsid w:val="001465F4"/>
    <w:rsid w:val="00146AD6"/>
    <w:rsid w:val="00147A8B"/>
    <w:rsid w:val="001518EC"/>
    <w:rsid w:val="00152035"/>
    <w:rsid w:val="00152FF6"/>
    <w:rsid w:val="0015403C"/>
    <w:rsid w:val="0015501F"/>
    <w:rsid w:val="00155112"/>
    <w:rsid w:val="00155411"/>
    <w:rsid w:val="001559E9"/>
    <w:rsid w:val="00156082"/>
    <w:rsid w:val="001560AB"/>
    <w:rsid w:val="00160819"/>
    <w:rsid w:val="0016090F"/>
    <w:rsid w:val="0016183A"/>
    <w:rsid w:val="0016200F"/>
    <w:rsid w:val="00162504"/>
    <w:rsid w:val="00162C17"/>
    <w:rsid w:val="00164FD9"/>
    <w:rsid w:val="00165D6E"/>
    <w:rsid w:val="00165EBB"/>
    <w:rsid w:val="00166530"/>
    <w:rsid w:val="001679EB"/>
    <w:rsid w:val="00167B77"/>
    <w:rsid w:val="00170C04"/>
    <w:rsid w:val="001712CC"/>
    <w:rsid w:val="0017140E"/>
    <w:rsid w:val="001718E7"/>
    <w:rsid w:val="00172814"/>
    <w:rsid w:val="00172A3D"/>
    <w:rsid w:val="001757A7"/>
    <w:rsid w:val="001759A7"/>
    <w:rsid w:val="0018173C"/>
    <w:rsid w:val="00181F2B"/>
    <w:rsid w:val="00184F91"/>
    <w:rsid w:val="00184FAB"/>
    <w:rsid w:val="00185BE0"/>
    <w:rsid w:val="0019018F"/>
    <w:rsid w:val="001912E1"/>
    <w:rsid w:val="00191D18"/>
    <w:rsid w:val="0019293F"/>
    <w:rsid w:val="00192FE9"/>
    <w:rsid w:val="00194653"/>
    <w:rsid w:val="00194860"/>
    <w:rsid w:val="00194CC8"/>
    <w:rsid w:val="001951A8"/>
    <w:rsid w:val="00195A35"/>
    <w:rsid w:val="00197704"/>
    <w:rsid w:val="001A382F"/>
    <w:rsid w:val="001A4450"/>
    <w:rsid w:val="001A4BFA"/>
    <w:rsid w:val="001A4CAE"/>
    <w:rsid w:val="001A6298"/>
    <w:rsid w:val="001B0380"/>
    <w:rsid w:val="001B099A"/>
    <w:rsid w:val="001B25EF"/>
    <w:rsid w:val="001B335D"/>
    <w:rsid w:val="001B4930"/>
    <w:rsid w:val="001B5FF3"/>
    <w:rsid w:val="001B7CE4"/>
    <w:rsid w:val="001B7F37"/>
    <w:rsid w:val="001C179F"/>
    <w:rsid w:val="001C363F"/>
    <w:rsid w:val="001C3D78"/>
    <w:rsid w:val="001C43F0"/>
    <w:rsid w:val="001C4F44"/>
    <w:rsid w:val="001C5D32"/>
    <w:rsid w:val="001C6758"/>
    <w:rsid w:val="001C6DC7"/>
    <w:rsid w:val="001C78B2"/>
    <w:rsid w:val="001C792E"/>
    <w:rsid w:val="001D0F5B"/>
    <w:rsid w:val="001D2668"/>
    <w:rsid w:val="001D2F8E"/>
    <w:rsid w:val="001D30FF"/>
    <w:rsid w:val="001D4FA7"/>
    <w:rsid w:val="001D63DD"/>
    <w:rsid w:val="001D6C00"/>
    <w:rsid w:val="001D7383"/>
    <w:rsid w:val="001D7E4D"/>
    <w:rsid w:val="001D7F04"/>
    <w:rsid w:val="001E00F7"/>
    <w:rsid w:val="001E0FEB"/>
    <w:rsid w:val="001E275F"/>
    <w:rsid w:val="001E2A62"/>
    <w:rsid w:val="001E314E"/>
    <w:rsid w:val="001E3782"/>
    <w:rsid w:val="001E3B9D"/>
    <w:rsid w:val="001E3D63"/>
    <w:rsid w:val="001E3DDE"/>
    <w:rsid w:val="001E3F30"/>
    <w:rsid w:val="001E41DC"/>
    <w:rsid w:val="001E452A"/>
    <w:rsid w:val="001E486D"/>
    <w:rsid w:val="001E5D20"/>
    <w:rsid w:val="001E71A5"/>
    <w:rsid w:val="001F0435"/>
    <w:rsid w:val="001F10F6"/>
    <w:rsid w:val="001F1541"/>
    <w:rsid w:val="001F2819"/>
    <w:rsid w:val="001F2ADD"/>
    <w:rsid w:val="001F4DA9"/>
    <w:rsid w:val="001F53D7"/>
    <w:rsid w:val="001F5B20"/>
    <w:rsid w:val="001F773D"/>
    <w:rsid w:val="001F78BB"/>
    <w:rsid w:val="001F7A8D"/>
    <w:rsid w:val="001F7FE0"/>
    <w:rsid w:val="00201D78"/>
    <w:rsid w:val="00201F1C"/>
    <w:rsid w:val="002027F9"/>
    <w:rsid w:val="00202E9A"/>
    <w:rsid w:val="0020349C"/>
    <w:rsid w:val="002043EC"/>
    <w:rsid w:val="00206746"/>
    <w:rsid w:val="0020749E"/>
    <w:rsid w:val="00207608"/>
    <w:rsid w:val="00210927"/>
    <w:rsid w:val="00211288"/>
    <w:rsid w:val="0021196F"/>
    <w:rsid w:val="0021218C"/>
    <w:rsid w:val="00212794"/>
    <w:rsid w:val="00212853"/>
    <w:rsid w:val="00212C7D"/>
    <w:rsid w:val="00212E69"/>
    <w:rsid w:val="00213DEE"/>
    <w:rsid w:val="00214784"/>
    <w:rsid w:val="00214EAE"/>
    <w:rsid w:val="00215777"/>
    <w:rsid w:val="00215F1B"/>
    <w:rsid w:val="00216B9D"/>
    <w:rsid w:val="00216D90"/>
    <w:rsid w:val="0021733B"/>
    <w:rsid w:val="00217BDD"/>
    <w:rsid w:val="0022021E"/>
    <w:rsid w:val="00221DD7"/>
    <w:rsid w:val="002222E4"/>
    <w:rsid w:val="00222E82"/>
    <w:rsid w:val="00224366"/>
    <w:rsid w:val="00226086"/>
    <w:rsid w:val="0022642B"/>
    <w:rsid w:val="002268F5"/>
    <w:rsid w:val="00231FB3"/>
    <w:rsid w:val="00232416"/>
    <w:rsid w:val="0023280E"/>
    <w:rsid w:val="0023339C"/>
    <w:rsid w:val="00233909"/>
    <w:rsid w:val="00234D92"/>
    <w:rsid w:val="002355DD"/>
    <w:rsid w:val="00235B19"/>
    <w:rsid w:val="00236198"/>
    <w:rsid w:val="00236AC7"/>
    <w:rsid w:val="002406C5"/>
    <w:rsid w:val="002407C3"/>
    <w:rsid w:val="002412B3"/>
    <w:rsid w:val="002414F7"/>
    <w:rsid w:val="0024172C"/>
    <w:rsid w:val="00243D39"/>
    <w:rsid w:val="00243DC0"/>
    <w:rsid w:val="0024422A"/>
    <w:rsid w:val="002466B0"/>
    <w:rsid w:val="00246914"/>
    <w:rsid w:val="00247477"/>
    <w:rsid w:val="00247743"/>
    <w:rsid w:val="00252B48"/>
    <w:rsid w:val="00252CB1"/>
    <w:rsid w:val="00253D47"/>
    <w:rsid w:val="00253D65"/>
    <w:rsid w:val="002616B6"/>
    <w:rsid w:val="00261822"/>
    <w:rsid w:val="00261B3C"/>
    <w:rsid w:val="00263681"/>
    <w:rsid w:val="00264073"/>
    <w:rsid w:val="0026568B"/>
    <w:rsid w:val="002657CF"/>
    <w:rsid w:val="00265877"/>
    <w:rsid w:val="00265AA4"/>
    <w:rsid w:val="002668D6"/>
    <w:rsid w:val="00267F36"/>
    <w:rsid w:val="00270440"/>
    <w:rsid w:val="00271C3F"/>
    <w:rsid w:val="00274A75"/>
    <w:rsid w:val="00275494"/>
    <w:rsid w:val="00277F0A"/>
    <w:rsid w:val="002819F3"/>
    <w:rsid w:val="00283003"/>
    <w:rsid w:val="00285A27"/>
    <w:rsid w:val="002873D7"/>
    <w:rsid w:val="00287BC5"/>
    <w:rsid w:val="00287BD8"/>
    <w:rsid w:val="00287F18"/>
    <w:rsid w:val="00290C1C"/>
    <w:rsid w:val="00290D29"/>
    <w:rsid w:val="0029127E"/>
    <w:rsid w:val="00291C8E"/>
    <w:rsid w:val="002922D0"/>
    <w:rsid w:val="002937CE"/>
    <w:rsid w:val="00293DEE"/>
    <w:rsid w:val="002942B3"/>
    <w:rsid w:val="00295071"/>
    <w:rsid w:val="002963B1"/>
    <w:rsid w:val="0029644D"/>
    <w:rsid w:val="002A03AD"/>
    <w:rsid w:val="002A0B5D"/>
    <w:rsid w:val="002A1A9B"/>
    <w:rsid w:val="002A1AA6"/>
    <w:rsid w:val="002A2676"/>
    <w:rsid w:val="002A41EC"/>
    <w:rsid w:val="002A70ED"/>
    <w:rsid w:val="002A7407"/>
    <w:rsid w:val="002A750F"/>
    <w:rsid w:val="002A76F7"/>
    <w:rsid w:val="002B080A"/>
    <w:rsid w:val="002B103C"/>
    <w:rsid w:val="002B16AC"/>
    <w:rsid w:val="002B23E7"/>
    <w:rsid w:val="002B26FB"/>
    <w:rsid w:val="002B29B2"/>
    <w:rsid w:val="002B3A60"/>
    <w:rsid w:val="002B4864"/>
    <w:rsid w:val="002B5969"/>
    <w:rsid w:val="002B5AE8"/>
    <w:rsid w:val="002B5B1E"/>
    <w:rsid w:val="002B5D62"/>
    <w:rsid w:val="002B601E"/>
    <w:rsid w:val="002B6130"/>
    <w:rsid w:val="002B62E8"/>
    <w:rsid w:val="002C00E0"/>
    <w:rsid w:val="002C013A"/>
    <w:rsid w:val="002C0DBF"/>
    <w:rsid w:val="002C1429"/>
    <w:rsid w:val="002C1A43"/>
    <w:rsid w:val="002C2B2C"/>
    <w:rsid w:val="002C3C83"/>
    <w:rsid w:val="002C7DC6"/>
    <w:rsid w:val="002C7FE9"/>
    <w:rsid w:val="002D09F4"/>
    <w:rsid w:val="002D0DC5"/>
    <w:rsid w:val="002D2155"/>
    <w:rsid w:val="002D3003"/>
    <w:rsid w:val="002D317F"/>
    <w:rsid w:val="002D4EFD"/>
    <w:rsid w:val="002D5760"/>
    <w:rsid w:val="002D5AEA"/>
    <w:rsid w:val="002D664C"/>
    <w:rsid w:val="002D79FC"/>
    <w:rsid w:val="002E0746"/>
    <w:rsid w:val="002E1F25"/>
    <w:rsid w:val="002E200E"/>
    <w:rsid w:val="002E2609"/>
    <w:rsid w:val="002E3C1A"/>
    <w:rsid w:val="002E43FA"/>
    <w:rsid w:val="002E6BBA"/>
    <w:rsid w:val="002E77DA"/>
    <w:rsid w:val="002F2684"/>
    <w:rsid w:val="002F3E09"/>
    <w:rsid w:val="002F7058"/>
    <w:rsid w:val="002F71B2"/>
    <w:rsid w:val="002F7458"/>
    <w:rsid w:val="002F7515"/>
    <w:rsid w:val="00300D37"/>
    <w:rsid w:val="00300EF9"/>
    <w:rsid w:val="00301278"/>
    <w:rsid w:val="003012ED"/>
    <w:rsid w:val="00301640"/>
    <w:rsid w:val="00301E1C"/>
    <w:rsid w:val="00302928"/>
    <w:rsid w:val="00303B7D"/>
    <w:rsid w:val="00303EEB"/>
    <w:rsid w:val="00304961"/>
    <w:rsid w:val="003054D5"/>
    <w:rsid w:val="00305FE8"/>
    <w:rsid w:val="00306C89"/>
    <w:rsid w:val="00307582"/>
    <w:rsid w:val="003078B2"/>
    <w:rsid w:val="0031088A"/>
    <w:rsid w:val="00310973"/>
    <w:rsid w:val="00310AF9"/>
    <w:rsid w:val="00310EAB"/>
    <w:rsid w:val="003130CC"/>
    <w:rsid w:val="0031400E"/>
    <w:rsid w:val="0031481D"/>
    <w:rsid w:val="00315122"/>
    <w:rsid w:val="003153A1"/>
    <w:rsid w:val="0031563C"/>
    <w:rsid w:val="00316071"/>
    <w:rsid w:val="0031698E"/>
    <w:rsid w:val="00316D87"/>
    <w:rsid w:val="00317A33"/>
    <w:rsid w:val="00320788"/>
    <w:rsid w:val="003212AB"/>
    <w:rsid w:val="003214FA"/>
    <w:rsid w:val="0032233C"/>
    <w:rsid w:val="00322BB9"/>
    <w:rsid w:val="00323295"/>
    <w:rsid w:val="003309A2"/>
    <w:rsid w:val="00330B67"/>
    <w:rsid w:val="0033399C"/>
    <w:rsid w:val="00333AE7"/>
    <w:rsid w:val="00333ECF"/>
    <w:rsid w:val="003353AF"/>
    <w:rsid w:val="003356DE"/>
    <w:rsid w:val="00335C54"/>
    <w:rsid w:val="00336293"/>
    <w:rsid w:val="00336E8F"/>
    <w:rsid w:val="0033718F"/>
    <w:rsid w:val="0034306D"/>
    <w:rsid w:val="00343E5C"/>
    <w:rsid w:val="0034447F"/>
    <w:rsid w:val="00344BD0"/>
    <w:rsid w:val="00345062"/>
    <w:rsid w:val="00347738"/>
    <w:rsid w:val="00347D2F"/>
    <w:rsid w:val="003504EA"/>
    <w:rsid w:val="003521C0"/>
    <w:rsid w:val="00352A25"/>
    <w:rsid w:val="00354E13"/>
    <w:rsid w:val="003559F5"/>
    <w:rsid w:val="00355ABF"/>
    <w:rsid w:val="00356D67"/>
    <w:rsid w:val="003570EB"/>
    <w:rsid w:val="003572F4"/>
    <w:rsid w:val="0036017B"/>
    <w:rsid w:val="003614B5"/>
    <w:rsid w:val="00362077"/>
    <w:rsid w:val="00362755"/>
    <w:rsid w:val="003633C9"/>
    <w:rsid w:val="003636D5"/>
    <w:rsid w:val="0036575E"/>
    <w:rsid w:val="00366863"/>
    <w:rsid w:val="003704FE"/>
    <w:rsid w:val="00371F02"/>
    <w:rsid w:val="00373043"/>
    <w:rsid w:val="00373B93"/>
    <w:rsid w:val="00374A1B"/>
    <w:rsid w:val="00375CF5"/>
    <w:rsid w:val="003764B7"/>
    <w:rsid w:val="00376867"/>
    <w:rsid w:val="00380CD1"/>
    <w:rsid w:val="003839FF"/>
    <w:rsid w:val="00384A03"/>
    <w:rsid w:val="003851F9"/>
    <w:rsid w:val="00385A4A"/>
    <w:rsid w:val="003860E5"/>
    <w:rsid w:val="00391BFB"/>
    <w:rsid w:val="003926AD"/>
    <w:rsid w:val="00392C71"/>
    <w:rsid w:val="0039499D"/>
    <w:rsid w:val="00394F82"/>
    <w:rsid w:val="003953CD"/>
    <w:rsid w:val="00395856"/>
    <w:rsid w:val="00396671"/>
    <w:rsid w:val="00396E33"/>
    <w:rsid w:val="00396FF2"/>
    <w:rsid w:val="003A03E2"/>
    <w:rsid w:val="003A0407"/>
    <w:rsid w:val="003A0937"/>
    <w:rsid w:val="003A180E"/>
    <w:rsid w:val="003A2763"/>
    <w:rsid w:val="003A3106"/>
    <w:rsid w:val="003A38F0"/>
    <w:rsid w:val="003A3A25"/>
    <w:rsid w:val="003A3CCF"/>
    <w:rsid w:val="003A6129"/>
    <w:rsid w:val="003A6229"/>
    <w:rsid w:val="003A63BB"/>
    <w:rsid w:val="003B21E0"/>
    <w:rsid w:val="003B3CAA"/>
    <w:rsid w:val="003B3E99"/>
    <w:rsid w:val="003B439B"/>
    <w:rsid w:val="003B52F0"/>
    <w:rsid w:val="003B5753"/>
    <w:rsid w:val="003B6A02"/>
    <w:rsid w:val="003B6A4E"/>
    <w:rsid w:val="003B6B46"/>
    <w:rsid w:val="003B77E7"/>
    <w:rsid w:val="003C091F"/>
    <w:rsid w:val="003C0D48"/>
    <w:rsid w:val="003C0FB0"/>
    <w:rsid w:val="003C1C71"/>
    <w:rsid w:val="003C3AE6"/>
    <w:rsid w:val="003C40B2"/>
    <w:rsid w:val="003C4C93"/>
    <w:rsid w:val="003C4EEF"/>
    <w:rsid w:val="003C6C34"/>
    <w:rsid w:val="003C78A5"/>
    <w:rsid w:val="003D0414"/>
    <w:rsid w:val="003D0736"/>
    <w:rsid w:val="003D1076"/>
    <w:rsid w:val="003D2022"/>
    <w:rsid w:val="003D356F"/>
    <w:rsid w:val="003D3E0B"/>
    <w:rsid w:val="003D68DD"/>
    <w:rsid w:val="003D7EFA"/>
    <w:rsid w:val="003E0244"/>
    <w:rsid w:val="003E09FB"/>
    <w:rsid w:val="003E0B11"/>
    <w:rsid w:val="003E3278"/>
    <w:rsid w:val="003E4054"/>
    <w:rsid w:val="003E42ED"/>
    <w:rsid w:val="003E4A9C"/>
    <w:rsid w:val="003E4DCB"/>
    <w:rsid w:val="003E5555"/>
    <w:rsid w:val="003E7659"/>
    <w:rsid w:val="003F069A"/>
    <w:rsid w:val="003F0D36"/>
    <w:rsid w:val="003F35D7"/>
    <w:rsid w:val="003F4329"/>
    <w:rsid w:val="003F5B81"/>
    <w:rsid w:val="003F5DDD"/>
    <w:rsid w:val="0040029E"/>
    <w:rsid w:val="00401328"/>
    <w:rsid w:val="00401346"/>
    <w:rsid w:val="00402181"/>
    <w:rsid w:val="00402939"/>
    <w:rsid w:val="00402AEC"/>
    <w:rsid w:val="00402C3E"/>
    <w:rsid w:val="00404210"/>
    <w:rsid w:val="00405676"/>
    <w:rsid w:val="00406C2D"/>
    <w:rsid w:val="004079A4"/>
    <w:rsid w:val="00410EE5"/>
    <w:rsid w:val="00411B60"/>
    <w:rsid w:val="00411FEE"/>
    <w:rsid w:val="00412534"/>
    <w:rsid w:val="00412575"/>
    <w:rsid w:val="00412625"/>
    <w:rsid w:val="00412C83"/>
    <w:rsid w:val="0041322B"/>
    <w:rsid w:val="00413267"/>
    <w:rsid w:val="004137BA"/>
    <w:rsid w:val="004144C8"/>
    <w:rsid w:val="004149DF"/>
    <w:rsid w:val="004154EE"/>
    <w:rsid w:val="00415DA1"/>
    <w:rsid w:val="00415E67"/>
    <w:rsid w:val="00417733"/>
    <w:rsid w:val="00422E66"/>
    <w:rsid w:val="00423613"/>
    <w:rsid w:val="0042410F"/>
    <w:rsid w:val="004243E5"/>
    <w:rsid w:val="0042440D"/>
    <w:rsid w:val="00426014"/>
    <w:rsid w:val="00426B09"/>
    <w:rsid w:val="004274E3"/>
    <w:rsid w:val="00427A48"/>
    <w:rsid w:val="004305FA"/>
    <w:rsid w:val="00430E13"/>
    <w:rsid w:val="0043219E"/>
    <w:rsid w:val="004329E0"/>
    <w:rsid w:val="00433013"/>
    <w:rsid w:val="0043542B"/>
    <w:rsid w:val="00435C21"/>
    <w:rsid w:val="0043659A"/>
    <w:rsid w:val="00436826"/>
    <w:rsid w:val="0043747B"/>
    <w:rsid w:val="0043765A"/>
    <w:rsid w:val="00437D9E"/>
    <w:rsid w:val="0044318B"/>
    <w:rsid w:val="004450AF"/>
    <w:rsid w:val="00446065"/>
    <w:rsid w:val="00446994"/>
    <w:rsid w:val="00446E8C"/>
    <w:rsid w:val="00450AED"/>
    <w:rsid w:val="00450AFF"/>
    <w:rsid w:val="0045260F"/>
    <w:rsid w:val="00452A6D"/>
    <w:rsid w:val="00452B46"/>
    <w:rsid w:val="0045318F"/>
    <w:rsid w:val="0045474C"/>
    <w:rsid w:val="00454B22"/>
    <w:rsid w:val="00455912"/>
    <w:rsid w:val="00456A49"/>
    <w:rsid w:val="00456A71"/>
    <w:rsid w:val="00456F51"/>
    <w:rsid w:val="00456FC8"/>
    <w:rsid w:val="00457B97"/>
    <w:rsid w:val="00460B7D"/>
    <w:rsid w:val="00460F9F"/>
    <w:rsid w:val="0046154F"/>
    <w:rsid w:val="004615D8"/>
    <w:rsid w:val="004627E6"/>
    <w:rsid w:val="00463449"/>
    <w:rsid w:val="004637E3"/>
    <w:rsid w:val="004679A5"/>
    <w:rsid w:val="0047049A"/>
    <w:rsid w:val="00470CB3"/>
    <w:rsid w:val="004710C2"/>
    <w:rsid w:val="0047178D"/>
    <w:rsid w:val="00472C70"/>
    <w:rsid w:val="004737A0"/>
    <w:rsid w:val="00474121"/>
    <w:rsid w:val="00475A4F"/>
    <w:rsid w:val="00475CD6"/>
    <w:rsid w:val="00477038"/>
    <w:rsid w:val="0047792B"/>
    <w:rsid w:val="00477E98"/>
    <w:rsid w:val="00480C9C"/>
    <w:rsid w:val="00480CB0"/>
    <w:rsid w:val="004815C5"/>
    <w:rsid w:val="004815E1"/>
    <w:rsid w:val="0048186C"/>
    <w:rsid w:val="00482525"/>
    <w:rsid w:val="004830C4"/>
    <w:rsid w:val="00484A6D"/>
    <w:rsid w:val="00484D47"/>
    <w:rsid w:val="00487FC6"/>
    <w:rsid w:val="00490A46"/>
    <w:rsid w:val="00490A60"/>
    <w:rsid w:val="00491854"/>
    <w:rsid w:val="00493EAD"/>
    <w:rsid w:val="0049481C"/>
    <w:rsid w:val="00497F48"/>
    <w:rsid w:val="004A02DA"/>
    <w:rsid w:val="004A0D3E"/>
    <w:rsid w:val="004A1CF0"/>
    <w:rsid w:val="004A2B17"/>
    <w:rsid w:val="004A363B"/>
    <w:rsid w:val="004A40CF"/>
    <w:rsid w:val="004A42CF"/>
    <w:rsid w:val="004A5786"/>
    <w:rsid w:val="004A5872"/>
    <w:rsid w:val="004A595C"/>
    <w:rsid w:val="004A7EFA"/>
    <w:rsid w:val="004B208E"/>
    <w:rsid w:val="004B262A"/>
    <w:rsid w:val="004B275F"/>
    <w:rsid w:val="004B34EA"/>
    <w:rsid w:val="004B36FB"/>
    <w:rsid w:val="004B397B"/>
    <w:rsid w:val="004B4DDB"/>
    <w:rsid w:val="004B50BA"/>
    <w:rsid w:val="004B5494"/>
    <w:rsid w:val="004B6A77"/>
    <w:rsid w:val="004B6FE6"/>
    <w:rsid w:val="004C0BBB"/>
    <w:rsid w:val="004C37D7"/>
    <w:rsid w:val="004C3A92"/>
    <w:rsid w:val="004C3C1D"/>
    <w:rsid w:val="004C3D09"/>
    <w:rsid w:val="004C43A2"/>
    <w:rsid w:val="004C4E47"/>
    <w:rsid w:val="004C5019"/>
    <w:rsid w:val="004C7A2B"/>
    <w:rsid w:val="004C7D3A"/>
    <w:rsid w:val="004C7D8C"/>
    <w:rsid w:val="004D18C8"/>
    <w:rsid w:val="004D18EA"/>
    <w:rsid w:val="004D22DF"/>
    <w:rsid w:val="004D4061"/>
    <w:rsid w:val="004D4162"/>
    <w:rsid w:val="004D419B"/>
    <w:rsid w:val="004D4AC4"/>
    <w:rsid w:val="004D518A"/>
    <w:rsid w:val="004D59E2"/>
    <w:rsid w:val="004D69D9"/>
    <w:rsid w:val="004E09A4"/>
    <w:rsid w:val="004E16E6"/>
    <w:rsid w:val="004E1B0C"/>
    <w:rsid w:val="004E29DF"/>
    <w:rsid w:val="004E5083"/>
    <w:rsid w:val="004E5BAD"/>
    <w:rsid w:val="004E6393"/>
    <w:rsid w:val="004E639B"/>
    <w:rsid w:val="004E6AAA"/>
    <w:rsid w:val="004E6F9F"/>
    <w:rsid w:val="004E7FC5"/>
    <w:rsid w:val="004F172C"/>
    <w:rsid w:val="004F49DC"/>
    <w:rsid w:val="004F4CB4"/>
    <w:rsid w:val="004F5B1E"/>
    <w:rsid w:val="004F5D6C"/>
    <w:rsid w:val="004F68A0"/>
    <w:rsid w:val="004F6C54"/>
    <w:rsid w:val="004F6C5C"/>
    <w:rsid w:val="004F72DF"/>
    <w:rsid w:val="004F7340"/>
    <w:rsid w:val="004F77E4"/>
    <w:rsid w:val="005004C9"/>
    <w:rsid w:val="005006FF"/>
    <w:rsid w:val="005018A8"/>
    <w:rsid w:val="0050203A"/>
    <w:rsid w:val="0050265E"/>
    <w:rsid w:val="00503A7F"/>
    <w:rsid w:val="00504A66"/>
    <w:rsid w:val="00505A39"/>
    <w:rsid w:val="00505F94"/>
    <w:rsid w:val="00506390"/>
    <w:rsid w:val="00507963"/>
    <w:rsid w:val="00507EA2"/>
    <w:rsid w:val="00507EB2"/>
    <w:rsid w:val="0051011E"/>
    <w:rsid w:val="0051068A"/>
    <w:rsid w:val="005107A2"/>
    <w:rsid w:val="00510B07"/>
    <w:rsid w:val="00510F89"/>
    <w:rsid w:val="0051148D"/>
    <w:rsid w:val="00511872"/>
    <w:rsid w:val="0051377D"/>
    <w:rsid w:val="00515B7B"/>
    <w:rsid w:val="00516FDC"/>
    <w:rsid w:val="00517080"/>
    <w:rsid w:val="005170EF"/>
    <w:rsid w:val="0051744E"/>
    <w:rsid w:val="00517BD2"/>
    <w:rsid w:val="00520AFD"/>
    <w:rsid w:val="00521473"/>
    <w:rsid w:val="00521F58"/>
    <w:rsid w:val="00522695"/>
    <w:rsid w:val="00522FF9"/>
    <w:rsid w:val="00523239"/>
    <w:rsid w:val="005240BF"/>
    <w:rsid w:val="00525963"/>
    <w:rsid w:val="00525A18"/>
    <w:rsid w:val="00527358"/>
    <w:rsid w:val="005274A5"/>
    <w:rsid w:val="005275B6"/>
    <w:rsid w:val="00527899"/>
    <w:rsid w:val="005313C5"/>
    <w:rsid w:val="00531490"/>
    <w:rsid w:val="005319C2"/>
    <w:rsid w:val="00531E0C"/>
    <w:rsid w:val="0053265D"/>
    <w:rsid w:val="00532CD2"/>
    <w:rsid w:val="00535559"/>
    <w:rsid w:val="00535CC5"/>
    <w:rsid w:val="00536C45"/>
    <w:rsid w:val="00536F88"/>
    <w:rsid w:val="005379DB"/>
    <w:rsid w:val="005404B5"/>
    <w:rsid w:val="005404F6"/>
    <w:rsid w:val="00541A03"/>
    <w:rsid w:val="00541E2F"/>
    <w:rsid w:val="0054360F"/>
    <w:rsid w:val="00546FC9"/>
    <w:rsid w:val="00547465"/>
    <w:rsid w:val="00551688"/>
    <w:rsid w:val="00551DAC"/>
    <w:rsid w:val="00552BDE"/>
    <w:rsid w:val="00552CAB"/>
    <w:rsid w:val="0055320A"/>
    <w:rsid w:val="00554478"/>
    <w:rsid w:val="00554615"/>
    <w:rsid w:val="00556742"/>
    <w:rsid w:val="00557041"/>
    <w:rsid w:val="005601B5"/>
    <w:rsid w:val="0056029C"/>
    <w:rsid w:val="00564282"/>
    <w:rsid w:val="0056546F"/>
    <w:rsid w:val="00567BAC"/>
    <w:rsid w:val="00571045"/>
    <w:rsid w:val="00573243"/>
    <w:rsid w:val="00574BDE"/>
    <w:rsid w:val="005775B1"/>
    <w:rsid w:val="00577FC0"/>
    <w:rsid w:val="005800A2"/>
    <w:rsid w:val="00580444"/>
    <w:rsid w:val="00580AD3"/>
    <w:rsid w:val="0058141D"/>
    <w:rsid w:val="00581AE0"/>
    <w:rsid w:val="005833E3"/>
    <w:rsid w:val="005839F6"/>
    <w:rsid w:val="0058504D"/>
    <w:rsid w:val="005851CB"/>
    <w:rsid w:val="00585390"/>
    <w:rsid w:val="00585478"/>
    <w:rsid w:val="00586A5C"/>
    <w:rsid w:val="00586BF7"/>
    <w:rsid w:val="00586FCF"/>
    <w:rsid w:val="005879CF"/>
    <w:rsid w:val="005939A5"/>
    <w:rsid w:val="00593E98"/>
    <w:rsid w:val="005961EC"/>
    <w:rsid w:val="00596A07"/>
    <w:rsid w:val="005A0A97"/>
    <w:rsid w:val="005A0E8F"/>
    <w:rsid w:val="005A1040"/>
    <w:rsid w:val="005A148C"/>
    <w:rsid w:val="005A3757"/>
    <w:rsid w:val="005A45D6"/>
    <w:rsid w:val="005A4A19"/>
    <w:rsid w:val="005A70C5"/>
    <w:rsid w:val="005A72CD"/>
    <w:rsid w:val="005A739C"/>
    <w:rsid w:val="005A7426"/>
    <w:rsid w:val="005B087F"/>
    <w:rsid w:val="005B1C33"/>
    <w:rsid w:val="005B37DD"/>
    <w:rsid w:val="005B5794"/>
    <w:rsid w:val="005B57DF"/>
    <w:rsid w:val="005B774F"/>
    <w:rsid w:val="005B7DDC"/>
    <w:rsid w:val="005C04BE"/>
    <w:rsid w:val="005C185B"/>
    <w:rsid w:val="005C1E38"/>
    <w:rsid w:val="005C2D0B"/>
    <w:rsid w:val="005C33C7"/>
    <w:rsid w:val="005C3F24"/>
    <w:rsid w:val="005C5113"/>
    <w:rsid w:val="005C5B97"/>
    <w:rsid w:val="005D1A67"/>
    <w:rsid w:val="005D1A90"/>
    <w:rsid w:val="005D26DE"/>
    <w:rsid w:val="005D3C5E"/>
    <w:rsid w:val="005D4081"/>
    <w:rsid w:val="005D420C"/>
    <w:rsid w:val="005D54BF"/>
    <w:rsid w:val="005D6130"/>
    <w:rsid w:val="005D6213"/>
    <w:rsid w:val="005D6FE0"/>
    <w:rsid w:val="005D7AF5"/>
    <w:rsid w:val="005E0F19"/>
    <w:rsid w:val="005E2077"/>
    <w:rsid w:val="005E4245"/>
    <w:rsid w:val="005E5ADA"/>
    <w:rsid w:val="005E5D60"/>
    <w:rsid w:val="005E5D8E"/>
    <w:rsid w:val="005E68AB"/>
    <w:rsid w:val="005E7272"/>
    <w:rsid w:val="005E7A4A"/>
    <w:rsid w:val="005F1E5B"/>
    <w:rsid w:val="005F2E67"/>
    <w:rsid w:val="005F43D5"/>
    <w:rsid w:val="005F4615"/>
    <w:rsid w:val="005F4A75"/>
    <w:rsid w:val="005F4E9B"/>
    <w:rsid w:val="005F52F6"/>
    <w:rsid w:val="005F6968"/>
    <w:rsid w:val="005F699E"/>
    <w:rsid w:val="006004A7"/>
    <w:rsid w:val="00600DC1"/>
    <w:rsid w:val="006014E2"/>
    <w:rsid w:val="00601C9E"/>
    <w:rsid w:val="00603176"/>
    <w:rsid w:val="0060336D"/>
    <w:rsid w:val="0060387B"/>
    <w:rsid w:val="00603ECA"/>
    <w:rsid w:val="00604784"/>
    <w:rsid w:val="006049AF"/>
    <w:rsid w:val="00604BA9"/>
    <w:rsid w:val="00604F11"/>
    <w:rsid w:val="006060E0"/>
    <w:rsid w:val="006069CD"/>
    <w:rsid w:val="00606B89"/>
    <w:rsid w:val="00610145"/>
    <w:rsid w:val="006116B1"/>
    <w:rsid w:val="0061193A"/>
    <w:rsid w:val="00611A60"/>
    <w:rsid w:val="0061237A"/>
    <w:rsid w:val="006123F1"/>
    <w:rsid w:val="00612649"/>
    <w:rsid w:val="00612A82"/>
    <w:rsid w:val="00612B08"/>
    <w:rsid w:val="00612F82"/>
    <w:rsid w:val="0061324B"/>
    <w:rsid w:val="00613EB9"/>
    <w:rsid w:val="00614EE4"/>
    <w:rsid w:val="0061689B"/>
    <w:rsid w:val="00617813"/>
    <w:rsid w:val="00617833"/>
    <w:rsid w:val="00620103"/>
    <w:rsid w:val="00622E49"/>
    <w:rsid w:val="00623A62"/>
    <w:rsid w:val="00623D7C"/>
    <w:rsid w:val="00624756"/>
    <w:rsid w:val="00625923"/>
    <w:rsid w:val="00625C8D"/>
    <w:rsid w:val="0062652F"/>
    <w:rsid w:val="006270EE"/>
    <w:rsid w:val="00627A8D"/>
    <w:rsid w:val="00630DD8"/>
    <w:rsid w:val="00631CAE"/>
    <w:rsid w:val="00632207"/>
    <w:rsid w:val="006330AC"/>
    <w:rsid w:val="0063353E"/>
    <w:rsid w:val="006336F5"/>
    <w:rsid w:val="006342A4"/>
    <w:rsid w:val="00634705"/>
    <w:rsid w:val="0063491C"/>
    <w:rsid w:val="0063494C"/>
    <w:rsid w:val="00636DE4"/>
    <w:rsid w:val="00637D91"/>
    <w:rsid w:val="006405D0"/>
    <w:rsid w:val="00640D76"/>
    <w:rsid w:val="006415A1"/>
    <w:rsid w:val="00641FF7"/>
    <w:rsid w:val="00643AC4"/>
    <w:rsid w:val="006441AC"/>
    <w:rsid w:val="00645C5F"/>
    <w:rsid w:val="00646496"/>
    <w:rsid w:val="006466E1"/>
    <w:rsid w:val="00647A35"/>
    <w:rsid w:val="00651465"/>
    <w:rsid w:val="006515E9"/>
    <w:rsid w:val="00651632"/>
    <w:rsid w:val="00651BE4"/>
    <w:rsid w:val="00652072"/>
    <w:rsid w:val="00652C69"/>
    <w:rsid w:val="00652EE4"/>
    <w:rsid w:val="006556B7"/>
    <w:rsid w:val="00657F2C"/>
    <w:rsid w:val="00661424"/>
    <w:rsid w:val="00661AFE"/>
    <w:rsid w:val="00661B46"/>
    <w:rsid w:val="00663416"/>
    <w:rsid w:val="0066363B"/>
    <w:rsid w:val="00663B2F"/>
    <w:rsid w:val="00664CA7"/>
    <w:rsid w:val="00665874"/>
    <w:rsid w:val="00667E4A"/>
    <w:rsid w:val="00670166"/>
    <w:rsid w:val="0067210F"/>
    <w:rsid w:val="00672387"/>
    <w:rsid w:val="0067288D"/>
    <w:rsid w:val="0067396B"/>
    <w:rsid w:val="00674199"/>
    <w:rsid w:val="00675235"/>
    <w:rsid w:val="0067554C"/>
    <w:rsid w:val="00675EAD"/>
    <w:rsid w:val="006817CC"/>
    <w:rsid w:val="00682550"/>
    <w:rsid w:val="006829D0"/>
    <w:rsid w:val="006872B2"/>
    <w:rsid w:val="00687436"/>
    <w:rsid w:val="00687EA9"/>
    <w:rsid w:val="00691E96"/>
    <w:rsid w:val="006921FB"/>
    <w:rsid w:val="00695EFE"/>
    <w:rsid w:val="00696500"/>
    <w:rsid w:val="00697714"/>
    <w:rsid w:val="006978B9"/>
    <w:rsid w:val="00697D51"/>
    <w:rsid w:val="006A0D72"/>
    <w:rsid w:val="006A2A14"/>
    <w:rsid w:val="006A312E"/>
    <w:rsid w:val="006A3877"/>
    <w:rsid w:val="006A38EA"/>
    <w:rsid w:val="006A476A"/>
    <w:rsid w:val="006A4D22"/>
    <w:rsid w:val="006A4DE0"/>
    <w:rsid w:val="006A4F2C"/>
    <w:rsid w:val="006A513D"/>
    <w:rsid w:val="006A599A"/>
    <w:rsid w:val="006A6E60"/>
    <w:rsid w:val="006A7E87"/>
    <w:rsid w:val="006B0BF2"/>
    <w:rsid w:val="006B0CDF"/>
    <w:rsid w:val="006B41AE"/>
    <w:rsid w:val="006B58CF"/>
    <w:rsid w:val="006B6CFB"/>
    <w:rsid w:val="006B7B5D"/>
    <w:rsid w:val="006C07E3"/>
    <w:rsid w:val="006C1F10"/>
    <w:rsid w:val="006C2A2F"/>
    <w:rsid w:val="006C3407"/>
    <w:rsid w:val="006C3A50"/>
    <w:rsid w:val="006C3FA0"/>
    <w:rsid w:val="006C7899"/>
    <w:rsid w:val="006D1109"/>
    <w:rsid w:val="006D3AEB"/>
    <w:rsid w:val="006D493A"/>
    <w:rsid w:val="006D49F3"/>
    <w:rsid w:val="006D4E3C"/>
    <w:rsid w:val="006D545D"/>
    <w:rsid w:val="006D6C59"/>
    <w:rsid w:val="006D7BA3"/>
    <w:rsid w:val="006E00CC"/>
    <w:rsid w:val="006E2D09"/>
    <w:rsid w:val="006E414F"/>
    <w:rsid w:val="006E43B9"/>
    <w:rsid w:val="006E493B"/>
    <w:rsid w:val="006E5466"/>
    <w:rsid w:val="006E58A0"/>
    <w:rsid w:val="006E5E28"/>
    <w:rsid w:val="006E611A"/>
    <w:rsid w:val="006E6574"/>
    <w:rsid w:val="006F17CA"/>
    <w:rsid w:val="006F2B97"/>
    <w:rsid w:val="006F3017"/>
    <w:rsid w:val="006F49B0"/>
    <w:rsid w:val="006F4AE7"/>
    <w:rsid w:val="006F5473"/>
    <w:rsid w:val="006F5A6C"/>
    <w:rsid w:val="006F7F87"/>
    <w:rsid w:val="00700505"/>
    <w:rsid w:val="00701673"/>
    <w:rsid w:val="00701A73"/>
    <w:rsid w:val="00701CE6"/>
    <w:rsid w:val="00702B65"/>
    <w:rsid w:val="0070316F"/>
    <w:rsid w:val="00703BE9"/>
    <w:rsid w:val="007046BF"/>
    <w:rsid w:val="00704E7B"/>
    <w:rsid w:val="007059C0"/>
    <w:rsid w:val="00707463"/>
    <w:rsid w:val="00707CA1"/>
    <w:rsid w:val="0071162E"/>
    <w:rsid w:val="00712D3A"/>
    <w:rsid w:val="007140E6"/>
    <w:rsid w:val="00714CF2"/>
    <w:rsid w:val="007152E8"/>
    <w:rsid w:val="007156B9"/>
    <w:rsid w:val="00715F5E"/>
    <w:rsid w:val="00716B3B"/>
    <w:rsid w:val="00720817"/>
    <w:rsid w:val="007212C8"/>
    <w:rsid w:val="00721E3A"/>
    <w:rsid w:val="007226FD"/>
    <w:rsid w:val="00722850"/>
    <w:rsid w:val="00724DB5"/>
    <w:rsid w:val="00724F72"/>
    <w:rsid w:val="00725BDC"/>
    <w:rsid w:val="00727212"/>
    <w:rsid w:val="00727723"/>
    <w:rsid w:val="0072792C"/>
    <w:rsid w:val="00727BB6"/>
    <w:rsid w:val="00730DD7"/>
    <w:rsid w:val="00731C30"/>
    <w:rsid w:val="0073237C"/>
    <w:rsid w:val="0073288E"/>
    <w:rsid w:val="0073289A"/>
    <w:rsid w:val="00732A75"/>
    <w:rsid w:val="00732F67"/>
    <w:rsid w:val="0073353F"/>
    <w:rsid w:val="00733573"/>
    <w:rsid w:val="00735072"/>
    <w:rsid w:val="00735A91"/>
    <w:rsid w:val="00737027"/>
    <w:rsid w:val="00737A3A"/>
    <w:rsid w:val="00740791"/>
    <w:rsid w:val="00741704"/>
    <w:rsid w:val="00742E45"/>
    <w:rsid w:val="00742FE1"/>
    <w:rsid w:val="0074448E"/>
    <w:rsid w:val="007445F4"/>
    <w:rsid w:val="007447AF"/>
    <w:rsid w:val="00745CB4"/>
    <w:rsid w:val="0074706F"/>
    <w:rsid w:val="0074718B"/>
    <w:rsid w:val="00747D2F"/>
    <w:rsid w:val="00750816"/>
    <w:rsid w:val="00750F87"/>
    <w:rsid w:val="00751BD9"/>
    <w:rsid w:val="0075277A"/>
    <w:rsid w:val="007529B2"/>
    <w:rsid w:val="0075314C"/>
    <w:rsid w:val="00753642"/>
    <w:rsid w:val="0075399B"/>
    <w:rsid w:val="007539E7"/>
    <w:rsid w:val="00754DF2"/>
    <w:rsid w:val="007576DC"/>
    <w:rsid w:val="007579AE"/>
    <w:rsid w:val="00760817"/>
    <w:rsid w:val="00761857"/>
    <w:rsid w:val="00762BEB"/>
    <w:rsid w:val="00763916"/>
    <w:rsid w:val="007641DF"/>
    <w:rsid w:val="00764B40"/>
    <w:rsid w:val="0076523D"/>
    <w:rsid w:val="0076556C"/>
    <w:rsid w:val="007655A9"/>
    <w:rsid w:val="007657C1"/>
    <w:rsid w:val="00765A65"/>
    <w:rsid w:val="007669E9"/>
    <w:rsid w:val="007672B7"/>
    <w:rsid w:val="00767698"/>
    <w:rsid w:val="007676D2"/>
    <w:rsid w:val="00767AAA"/>
    <w:rsid w:val="00771A7F"/>
    <w:rsid w:val="00771EA3"/>
    <w:rsid w:val="00772032"/>
    <w:rsid w:val="007728A8"/>
    <w:rsid w:val="00772B3A"/>
    <w:rsid w:val="00774736"/>
    <w:rsid w:val="007748D4"/>
    <w:rsid w:val="00776250"/>
    <w:rsid w:val="00776415"/>
    <w:rsid w:val="0077657E"/>
    <w:rsid w:val="007765FB"/>
    <w:rsid w:val="00776E2E"/>
    <w:rsid w:val="00776F6C"/>
    <w:rsid w:val="0077755F"/>
    <w:rsid w:val="00777D93"/>
    <w:rsid w:val="0078144A"/>
    <w:rsid w:val="00782F67"/>
    <w:rsid w:val="00783545"/>
    <w:rsid w:val="00783647"/>
    <w:rsid w:val="007843A6"/>
    <w:rsid w:val="00784998"/>
    <w:rsid w:val="00784ED1"/>
    <w:rsid w:val="007857F3"/>
    <w:rsid w:val="00787EB5"/>
    <w:rsid w:val="0079204C"/>
    <w:rsid w:val="00792963"/>
    <w:rsid w:val="00792FE3"/>
    <w:rsid w:val="00793A61"/>
    <w:rsid w:val="0079448C"/>
    <w:rsid w:val="007956BE"/>
    <w:rsid w:val="00797B24"/>
    <w:rsid w:val="00797EB4"/>
    <w:rsid w:val="007A0270"/>
    <w:rsid w:val="007A0AD9"/>
    <w:rsid w:val="007A1C0D"/>
    <w:rsid w:val="007A2151"/>
    <w:rsid w:val="007A27EF"/>
    <w:rsid w:val="007A38F8"/>
    <w:rsid w:val="007A3B94"/>
    <w:rsid w:val="007A406D"/>
    <w:rsid w:val="007A452F"/>
    <w:rsid w:val="007A6118"/>
    <w:rsid w:val="007A62B0"/>
    <w:rsid w:val="007A77A3"/>
    <w:rsid w:val="007A7A6D"/>
    <w:rsid w:val="007A7CEE"/>
    <w:rsid w:val="007B175F"/>
    <w:rsid w:val="007B23BE"/>
    <w:rsid w:val="007B2874"/>
    <w:rsid w:val="007B3CD2"/>
    <w:rsid w:val="007B3E9B"/>
    <w:rsid w:val="007B5622"/>
    <w:rsid w:val="007B681C"/>
    <w:rsid w:val="007B7A9F"/>
    <w:rsid w:val="007C0142"/>
    <w:rsid w:val="007C17A5"/>
    <w:rsid w:val="007C17D7"/>
    <w:rsid w:val="007C2554"/>
    <w:rsid w:val="007C2667"/>
    <w:rsid w:val="007C2B4D"/>
    <w:rsid w:val="007C2B8E"/>
    <w:rsid w:val="007C3DAC"/>
    <w:rsid w:val="007C50A1"/>
    <w:rsid w:val="007C5A0C"/>
    <w:rsid w:val="007C6B22"/>
    <w:rsid w:val="007C6FC8"/>
    <w:rsid w:val="007D1D42"/>
    <w:rsid w:val="007D28AE"/>
    <w:rsid w:val="007D3CCA"/>
    <w:rsid w:val="007D433F"/>
    <w:rsid w:val="007D4C29"/>
    <w:rsid w:val="007D517B"/>
    <w:rsid w:val="007D519A"/>
    <w:rsid w:val="007D598C"/>
    <w:rsid w:val="007D5BE5"/>
    <w:rsid w:val="007D7015"/>
    <w:rsid w:val="007E0FEE"/>
    <w:rsid w:val="007E14D6"/>
    <w:rsid w:val="007E2048"/>
    <w:rsid w:val="007E24EE"/>
    <w:rsid w:val="007E5769"/>
    <w:rsid w:val="007E609E"/>
    <w:rsid w:val="007E663B"/>
    <w:rsid w:val="007E7076"/>
    <w:rsid w:val="007F0A07"/>
    <w:rsid w:val="007F0B51"/>
    <w:rsid w:val="007F0FB9"/>
    <w:rsid w:val="007F1490"/>
    <w:rsid w:val="007F2017"/>
    <w:rsid w:val="007F210E"/>
    <w:rsid w:val="007F55AE"/>
    <w:rsid w:val="007F62BD"/>
    <w:rsid w:val="007F7164"/>
    <w:rsid w:val="007F7BE8"/>
    <w:rsid w:val="00800360"/>
    <w:rsid w:val="00801F0C"/>
    <w:rsid w:val="0080315E"/>
    <w:rsid w:val="00803C88"/>
    <w:rsid w:val="00804EA8"/>
    <w:rsid w:val="00804F7E"/>
    <w:rsid w:val="0080620F"/>
    <w:rsid w:val="00806D3F"/>
    <w:rsid w:val="00807182"/>
    <w:rsid w:val="0080781B"/>
    <w:rsid w:val="008122E6"/>
    <w:rsid w:val="00812600"/>
    <w:rsid w:val="00813097"/>
    <w:rsid w:val="00813FC8"/>
    <w:rsid w:val="00814E8F"/>
    <w:rsid w:val="00816862"/>
    <w:rsid w:val="00820353"/>
    <w:rsid w:val="00821196"/>
    <w:rsid w:val="008223AC"/>
    <w:rsid w:val="0082385B"/>
    <w:rsid w:val="008239E0"/>
    <w:rsid w:val="00824DE2"/>
    <w:rsid w:val="00824E64"/>
    <w:rsid w:val="008263B4"/>
    <w:rsid w:val="00826586"/>
    <w:rsid w:val="00830079"/>
    <w:rsid w:val="008309EA"/>
    <w:rsid w:val="00831177"/>
    <w:rsid w:val="008338BF"/>
    <w:rsid w:val="008339BB"/>
    <w:rsid w:val="00833FB5"/>
    <w:rsid w:val="00834221"/>
    <w:rsid w:val="008346DE"/>
    <w:rsid w:val="00834C5E"/>
    <w:rsid w:val="0083537D"/>
    <w:rsid w:val="00835751"/>
    <w:rsid w:val="008404A0"/>
    <w:rsid w:val="00840D20"/>
    <w:rsid w:val="0084268C"/>
    <w:rsid w:val="00842EBD"/>
    <w:rsid w:val="00843968"/>
    <w:rsid w:val="00845D36"/>
    <w:rsid w:val="008478FF"/>
    <w:rsid w:val="00847D79"/>
    <w:rsid w:val="00852371"/>
    <w:rsid w:val="00857C07"/>
    <w:rsid w:val="00860C4A"/>
    <w:rsid w:val="008613DD"/>
    <w:rsid w:val="00862877"/>
    <w:rsid w:val="00863180"/>
    <w:rsid w:val="008631C6"/>
    <w:rsid w:val="00863F4A"/>
    <w:rsid w:val="0086419A"/>
    <w:rsid w:val="00866260"/>
    <w:rsid w:val="00866B12"/>
    <w:rsid w:val="008676C4"/>
    <w:rsid w:val="00867AAE"/>
    <w:rsid w:val="0087023B"/>
    <w:rsid w:val="00872479"/>
    <w:rsid w:val="008732A4"/>
    <w:rsid w:val="00874A35"/>
    <w:rsid w:val="00875927"/>
    <w:rsid w:val="008762B4"/>
    <w:rsid w:val="008770E1"/>
    <w:rsid w:val="008805FE"/>
    <w:rsid w:val="008806C8"/>
    <w:rsid w:val="008807CA"/>
    <w:rsid w:val="00881692"/>
    <w:rsid w:val="00881E91"/>
    <w:rsid w:val="00882FA5"/>
    <w:rsid w:val="0088372E"/>
    <w:rsid w:val="008851BB"/>
    <w:rsid w:val="008851E7"/>
    <w:rsid w:val="00885C36"/>
    <w:rsid w:val="00886F0E"/>
    <w:rsid w:val="0088736E"/>
    <w:rsid w:val="008873D1"/>
    <w:rsid w:val="00890F25"/>
    <w:rsid w:val="00892DE3"/>
    <w:rsid w:val="00894011"/>
    <w:rsid w:val="00895B1E"/>
    <w:rsid w:val="00895ECD"/>
    <w:rsid w:val="0089675C"/>
    <w:rsid w:val="00897E06"/>
    <w:rsid w:val="008A0197"/>
    <w:rsid w:val="008A15BB"/>
    <w:rsid w:val="008A179F"/>
    <w:rsid w:val="008A22C2"/>
    <w:rsid w:val="008A2905"/>
    <w:rsid w:val="008A361B"/>
    <w:rsid w:val="008A3A7C"/>
    <w:rsid w:val="008A43AF"/>
    <w:rsid w:val="008A5870"/>
    <w:rsid w:val="008A5A2F"/>
    <w:rsid w:val="008A5F0F"/>
    <w:rsid w:val="008A6385"/>
    <w:rsid w:val="008A68B8"/>
    <w:rsid w:val="008A6D19"/>
    <w:rsid w:val="008A6EA5"/>
    <w:rsid w:val="008A7096"/>
    <w:rsid w:val="008B0114"/>
    <w:rsid w:val="008B0468"/>
    <w:rsid w:val="008B0864"/>
    <w:rsid w:val="008B1548"/>
    <w:rsid w:val="008B21B4"/>
    <w:rsid w:val="008B3E29"/>
    <w:rsid w:val="008B45E7"/>
    <w:rsid w:val="008B47BC"/>
    <w:rsid w:val="008B4801"/>
    <w:rsid w:val="008B4D0B"/>
    <w:rsid w:val="008B6116"/>
    <w:rsid w:val="008B7A2C"/>
    <w:rsid w:val="008B7F9F"/>
    <w:rsid w:val="008C439F"/>
    <w:rsid w:val="008C44AA"/>
    <w:rsid w:val="008C4D1A"/>
    <w:rsid w:val="008C6406"/>
    <w:rsid w:val="008C6CE2"/>
    <w:rsid w:val="008C6EE9"/>
    <w:rsid w:val="008C7413"/>
    <w:rsid w:val="008C76AB"/>
    <w:rsid w:val="008D0175"/>
    <w:rsid w:val="008D0C80"/>
    <w:rsid w:val="008D0F10"/>
    <w:rsid w:val="008D16B7"/>
    <w:rsid w:val="008D2995"/>
    <w:rsid w:val="008D2C12"/>
    <w:rsid w:val="008D2E70"/>
    <w:rsid w:val="008D57C1"/>
    <w:rsid w:val="008D6C03"/>
    <w:rsid w:val="008D6D4F"/>
    <w:rsid w:val="008D74C1"/>
    <w:rsid w:val="008E13C0"/>
    <w:rsid w:val="008E323A"/>
    <w:rsid w:val="008E40FA"/>
    <w:rsid w:val="008E571F"/>
    <w:rsid w:val="008E61BC"/>
    <w:rsid w:val="008E6AE6"/>
    <w:rsid w:val="008E7521"/>
    <w:rsid w:val="008F0116"/>
    <w:rsid w:val="008F0179"/>
    <w:rsid w:val="008F0D1D"/>
    <w:rsid w:val="008F0F47"/>
    <w:rsid w:val="008F143D"/>
    <w:rsid w:val="008F1BE8"/>
    <w:rsid w:val="008F3233"/>
    <w:rsid w:val="008F5549"/>
    <w:rsid w:val="008F6F9A"/>
    <w:rsid w:val="008F7E18"/>
    <w:rsid w:val="0090189C"/>
    <w:rsid w:val="00902DDF"/>
    <w:rsid w:val="00904522"/>
    <w:rsid w:val="009052CE"/>
    <w:rsid w:val="00906027"/>
    <w:rsid w:val="0090789F"/>
    <w:rsid w:val="009114A3"/>
    <w:rsid w:val="00911DF9"/>
    <w:rsid w:val="00912502"/>
    <w:rsid w:val="00913EA8"/>
    <w:rsid w:val="009147F4"/>
    <w:rsid w:val="009148DB"/>
    <w:rsid w:val="00914A64"/>
    <w:rsid w:val="009150F8"/>
    <w:rsid w:val="00915C74"/>
    <w:rsid w:val="00916100"/>
    <w:rsid w:val="009176C7"/>
    <w:rsid w:val="00917DC4"/>
    <w:rsid w:val="00922498"/>
    <w:rsid w:val="0092319E"/>
    <w:rsid w:val="009236DC"/>
    <w:rsid w:val="00924033"/>
    <w:rsid w:val="00925580"/>
    <w:rsid w:val="00926CE6"/>
    <w:rsid w:val="0092709C"/>
    <w:rsid w:val="009304F7"/>
    <w:rsid w:val="009324C0"/>
    <w:rsid w:val="00932560"/>
    <w:rsid w:val="00932865"/>
    <w:rsid w:val="00933814"/>
    <w:rsid w:val="00934ABC"/>
    <w:rsid w:val="00934B15"/>
    <w:rsid w:val="00935330"/>
    <w:rsid w:val="0093538D"/>
    <w:rsid w:val="0093545C"/>
    <w:rsid w:val="00935472"/>
    <w:rsid w:val="00936B35"/>
    <w:rsid w:val="00936FC8"/>
    <w:rsid w:val="00937D0F"/>
    <w:rsid w:val="00941119"/>
    <w:rsid w:val="0094210D"/>
    <w:rsid w:val="009430B9"/>
    <w:rsid w:val="009467A3"/>
    <w:rsid w:val="009467B3"/>
    <w:rsid w:val="00947D74"/>
    <w:rsid w:val="00950139"/>
    <w:rsid w:val="00950E30"/>
    <w:rsid w:val="00951218"/>
    <w:rsid w:val="00951763"/>
    <w:rsid w:val="009543F0"/>
    <w:rsid w:val="00955C63"/>
    <w:rsid w:val="00960AF0"/>
    <w:rsid w:val="00962623"/>
    <w:rsid w:val="00963D4D"/>
    <w:rsid w:val="00963EB8"/>
    <w:rsid w:val="009644A4"/>
    <w:rsid w:val="0096473C"/>
    <w:rsid w:val="00964A63"/>
    <w:rsid w:val="00965589"/>
    <w:rsid w:val="0096726D"/>
    <w:rsid w:val="00967A95"/>
    <w:rsid w:val="009707CF"/>
    <w:rsid w:val="009736DD"/>
    <w:rsid w:val="0097396D"/>
    <w:rsid w:val="00974C7D"/>
    <w:rsid w:val="00974CD8"/>
    <w:rsid w:val="00976E04"/>
    <w:rsid w:val="009779BA"/>
    <w:rsid w:val="0098138E"/>
    <w:rsid w:val="00981A9A"/>
    <w:rsid w:val="009831B8"/>
    <w:rsid w:val="0098504F"/>
    <w:rsid w:val="0098655A"/>
    <w:rsid w:val="00986AA1"/>
    <w:rsid w:val="00986DD4"/>
    <w:rsid w:val="00987088"/>
    <w:rsid w:val="0098725C"/>
    <w:rsid w:val="00993300"/>
    <w:rsid w:val="009947AC"/>
    <w:rsid w:val="0099490A"/>
    <w:rsid w:val="00995370"/>
    <w:rsid w:val="00995714"/>
    <w:rsid w:val="00995D66"/>
    <w:rsid w:val="00996115"/>
    <w:rsid w:val="00996505"/>
    <w:rsid w:val="00996725"/>
    <w:rsid w:val="009967AB"/>
    <w:rsid w:val="00997681"/>
    <w:rsid w:val="00997D4C"/>
    <w:rsid w:val="009A0163"/>
    <w:rsid w:val="009A2CCD"/>
    <w:rsid w:val="009A534B"/>
    <w:rsid w:val="009A567B"/>
    <w:rsid w:val="009A7001"/>
    <w:rsid w:val="009A732F"/>
    <w:rsid w:val="009B019E"/>
    <w:rsid w:val="009B0367"/>
    <w:rsid w:val="009B114D"/>
    <w:rsid w:val="009B26B1"/>
    <w:rsid w:val="009B30AC"/>
    <w:rsid w:val="009B3885"/>
    <w:rsid w:val="009B4AE6"/>
    <w:rsid w:val="009B545B"/>
    <w:rsid w:val="009B666E"/>
    <w:rsid w:val="009B6D5E"/>
    <w:rsid w:val="009B7CA0"/>
    <w:rsid w:val="009C0151"/>
    <w:rsid w:val="009C03BB"/>
    <w:rsid w:val="009C0880"/>
    <w:rsid w:val="009C146E"/>
    <w:rsid w:val="009C2174"/>
    <w:rsid w:val="009C222F"/>
    <w:rsid w:val="009C2256"/>
    <w:rsid w:val="009C26EA"/>
    <w:rsid w:val="009C2A26"/>
    <w:rsid w:val="009C49A8"/>
    <w:rsid w:val="009C4AD5"/>
    <w:rsid w:val="009C4CE9"/>
    <w:rsid w:val="009C6CE9"/>
    <w:rsid w:val="009C6D82"/>
    <w:rsid w:val="009C6FED"/>
    <w:rsid w:val="009D017B"/>
    <w:rsid w:val="009D1B75"/>
    <w:rsid w:val="009D3916"/>
    <w:rsid w:val="009D41D2"/>
    <w:rsid w:val="009D4DB0"/>
    <w:rsid w:val="009D7029"/>
    <w:rsid w:val="009E0897"/>
    <w:rsid w:val="009E08D3"/>
    <w:rsid w:val="009E0C44"/>
    <w:rsid w:val="009E0D37"/>
    <w:rsid w:val="009E1BC1"/>
    <w:rsid w:val="009E1DF6"/>
    <w:rsid w:val="009E27BC"/>
    <w:rsid w:val="009E40A9"/>
    <w:rsid w:val="009E4AFD"/>
    <w:rsid w:val="009E5B74"/>
    <w:rsid w:val="009E5D69"/>
    <w:rsid w:val="009E6522"/>
    <w:rsid w:val="009E69B1"/>
    <w:rsid w:val="009E78CB"/>
    <w:rsid w:val="009E7944"/>
    <w:rsid w:val="009E79D6"/>
    <w:rsid w:val="009E7A0A"/>
    <w:rsid w:val="009E7C7F"/>
    <w:rsid w:val="009F1822"/>
    <w:rsid w:val="009F3FD0"/>
    <w:rsid w:val="009F4EB3"/>
    <w:rsid w:val="009F7133"/>
    <w:rsid w:val="009F7228"/>
    <w:rsid w:val="009F7F56"/>
    <w:rsid w:val="00A00ABF"/>
    <w:rsid w:val="00A011DB"/>
    <w:rsid w:val="00A028C5"/>
    <w:rsid w:val="00A03228"/>
    <w:rsid w:val="00A03D7C"/>
    <w:rsid w:val="00A03F74"/>
    <w:rsid w:val="00A0517D"/>
    <w:rsid w:val="00A05534"/>
    <w:rsid w:val="00A062A8"/>
    <w:rsid w:val="00A06B0C"/>
    <w:rsid w:val="00A06D50"/>
    <w:rsid w:val="00A1024B"/>
    <w:rsid w:val="00A12A9F"/>
    <w:rsid w:val="00A134D5"/>
    <w:rsid w:val="00A148D7"/>
    <w:rsid w:val="00A15FB7"/>
    <w:rsid w:val="00A1625D"/>
    <w:rsid w:val="00A17CE0"/>
    <w:rsid w:val="00A206FC"/>
    <w:rsid w:val="00A2109A"/>
    <w:rsid w:val="00A219E3"/>
    <w:rsid w:val="00A21BF7"/>
    <w:rsid w:val="00A2209A"/>
    <w:rsid w:val="00A225F1"/>
    <w:rsid w:val="00A23739"/>
    <w:rsid w:val="00A2377C"/>
    <w:rsid w:val="00A239B2"/>
    <w:rsid w:val="00A23D48"/>
    <w:rsid w:val="00A23F11"/>
    <w:rsid w:val="00A24F01"/>
    <w:rsid w:val="00A3005C"/>
    <w:rsid w:val="00A301C7"/>
    <w:rsid w:val="00A30DB3"/>
    <w:rsid w:val="00A31ED1"/>
    <w:rsid w:val="00A32404"/>
    <w:rsid w:val="00A32919"/>
    <w:rsid w:val="00A3492A"/>
    <w:rsid w:val="00A34A7A"/>
    <w:rsid w:val="00A35E74"/>
    <w:rsid w:val="00A36777"/>
    <w:rsid w:val="00A40ED1"/>
    <w:rsid w:val="00A416FC"/>
    <w:rsid w:val="00A4183C"/>
    <w:rsid w:val="00A41CEF"/>
    <w:rsid w:val="00A42306"/>
    <w:rsid w:val="00A44819"/>
    <w:rsid w:val="00A44E8D"/>
    <w:rsid w:val="00A460AE"/>
    <w:rsid w:val="00A5103C"/>
    <w:rsid w:val="00A52256"/>
    <w:rsid w:val="00A52A65"/>
    <w:rsid w:val="00A53452"/>
    <w:rsid w:val="00A534B5"/>
    <w:rsid w:val="00A55ACD"/>
    <w:rsid w:val="00A568FA"/>
    <w:rsid w:val="00A572F3"/>
    <w:rsid w:val="00A57A0E"/>
    <w:rsid w:val="00A57AD6"/>
    <w:rsid w:val="00A57C60"/>
    <w:rsid w:val="00A6032E"/>
    <w:rsid w:val="00A60376"/>
    <w:rsid w:val="00A61649"/>
    <w:rsid w:val="00A61AE1"/>
    <w:rsid w:val="00A61D5C"/>
    <w:rsid w:val="00A63C52"/>
    <w:rsid w:val="00A66225"/>
    <w:rsid w:val="00A668C6"/>
    <w:rsid w:val="00A66904"/>
    <w:rsid w:val="00A66F1F"/>
    <w:rsid w:val="00A671A1"/>
    <w:rsid w:val="00A674C4"/>
    <w:rsid w:val="00A678DA"/>
    <w:rsid w:val="00A7184B"/>
    <w:rsid w:val="00A75374"/>
    <w:rsid w:val="00A7543A"/>
    <w:rsid w:val="00A75B80"/>
    <w:rsid w:val="00A76976"/>
    <w:rsid w:val="00A8134A"/>
    <w:rsid w:val="00A822A0"/>
    <w:rsid w:val="00A835FD"/>
    <w:rsid w:val="00A83DF6"/>
    <w:rsid w:val="00A84FB5"/>
    <w:rsid w:val="00A86BAF"/>
    <w:rsid w:val="00A86C31"/>
    <w:rsid w:val="00A904E0"/>
    <w:rsid w:val="00A91814"/>
    <w:rsid w:val="00A91860"/>
    <w:rsid w:val="00A91B02"/>
    <w:rsid w:val="00A9319A"/>
    <w:rsid w:val="00A93B8C"/>
    <w:rsid w:val="00A94235"/>
    <w:rsid w:val="00A97884"/>
    <w:rsid w:val="00A97A77"/>
    <w:rsid w:val="00AA016A"/>
    <w:rsid w:val="00AA126E"/>
    <w:rsid w:val="00AA1487"/>
    <w:rsid w:val="00AA16B2"/>
    <w:rsid w:val="00AA2469"/>
    <w:rsid w:val="00AA3FE1"/>
    <w:rsid w:val="00AA4041"/>
    <w:rsid w:val="00AA5F16"/>
    <w:rsid w:val="00AA7223"/>
    <w:rsid w:val="00AB0E0F"/>
    <w:rsid w:val="00AB1CCA"/>
    <w:rsid w:val="00AB21AA"/>
    <w:rsid w:val="00AB25C2"/>
    <w:rsid w:val="00AB3064"/>
    <w:rsid w:val="00AB316B"/>
    <w:rsid w:val="00AB3A9B"/>
    <w:rsid w:val="00AB3FC3"/>
    <w:rsid w:val="00AB77E3"/>
    <w:rsid w:val="00AB7875"/>
    <w:rsid w:val="00AB7C2B"/>
    <w:rsid w:val="00AC16E0"/>
    <w:rsid w:val="00AC2E44"/>
    <w:rsid w:val="00AC3D53"/>
    <w:rsid w:val="00AC41BC"/>
    <w:rsid w:val="00AC536B"/>
    <w:rsid w:val="00AC6787"/>
    <w:rsid w:val="00AC68EE"/>
    <w:rsid w:val="00AD08A6"/>
    <w:rsid w:val="00AD17FA"/>
    <w:rsid w:val="00AD1EE6"/>
    <w:rsid w:val="00AD27DB"/>
    <w:rsid w:val="00AD2D4C"/>
    <w:rsid w:val="00AD3384"/>
    <w:rsid w:val="00AD3D75"/>
    <w:rsid w:val="00AD42B1"/>
    <w:rsid w:val="00AD46FC"/>
    <w:rsid w:val="00AD7377"/>
    <w:rsid w:val="00AE022E"/>
    <w:rsid w:val="00AE0E04"/>
    <w:rsid w:val="00AE1C85"/>
    <w:rsid w:val="00AE2289"/>
    <w:rsid w:val="00AE41F3"/>
    <w:rsid w:val="00AE5B20"/>
    <w:rsid w:val="00AE6C1A"/>
    <w:rsid w:val="00AE6F2F"/>
    <w:rsid w:val="00AE746B"/>
    <w:rsid w:val="00AF018D"/>
    <w:rsid w:val="00AF2013"/>
    <w:rsid w:val="00AF41CB"/>
    <w:rsid w:val="00AF4585"/>
    <w:rsid w:val="00AF5BF3"/>
    <w:rsid w:val="00B00131"/>
    <w:rsid w:val="00B005A0"/>
    <w:rsid w:val="00B01B25"/>
    <w:rsid w:val="00B01BB1"/>
    <w:rsid w:val="00B01F7E"/>
    <w:rsid w:val="00B02196"/>
    <w:rsid w:val="00B02B2C"/>
    <w:rsid w:val="00B02D72"/>
    <w:rsid w:val="00B0344A"/>
    <w:rsid w:val="00B03B0C"/>
    <w:rsid w:val="00B04300"/>
    <w:rsid w:val="00B044B4"/>
    <w:rsid w:val="00B04E37"/>
    <w:rsid w:val="00B10056"/>
    <w:rsid w:val="00B10E17"/>
    <w:rsid w:val="00B12126"/>
    <w:rsid w:val="00B12585"/>
    <w:rsid w:val="00B144E1"/>
    <w:rsid w:val="00B1477F"/>
    <w:rsid w:val="00B14A1E"/>
    <w:rsid w:val="00B152E9"/>
    <w:rsid w:val="00B15DF8"/>
    <w:rsid w:val="00B16208"/>
    <w:rsid w:val="00B17000"/>
    <w:rsid w:val="00B20703"/>
    <w:rsid w:val="00B2263E"/>
    <w:rsid w:val="00B23C2E"/>
    <w:rsid w:val="00B24439"/>
    <w:rsid w:val="00B24707"/>
    <w:rsid w:val="00B24D4F"/>
    <w:rsid w:val="00B26348"/>
    <w:rsid w:val="00B2744B"/>
    <w:rsid w:val="00B2792E"/>
    <w:rsid w:val="00B30481"/>
    <w:rsid w:val="00B30528"/>
    <w:rsid w:val="00B30827"/>
    <w:rsid w:val="00B3087D"/>
    <w:rsid w:val="00B311D8"/>
    <w:rsid w:val="00B32184"/>
    <w:rsid w:val="00B321EE"/>
    <w:rsid w:val="00B32775"/>
    <w:rsid w:val="00B338BD"/>
    <w:rsid w:val="00B34794"/>
    <w:rsid w:val="00B356C8"/>
    <w:rsid w:val="00B35722"/>
    <w:rsid w:val="00B35E71"/>
    <w:rsid w:val="00B369B6"/>
    <w:rsid w:val="00B37670"/>
    <w:rsid w:val="00B37C31"/>
    <w:rsid w:val="00B37D21"/>
    <w:rsid w:val="00B41EEA"/>
    <w:rsid w:val="00B47F48"/>
    <w:rsid w:val="00B5060C"/>
    <w:rsid w:val="00B50612"/>
    <w:rsid w:val="00B515FA"/>
    <w:rsid w:val="00B518E5"/>
    <w:rsid w:val="00B526F4"/>
    <w:rsid w:val="00B52B27"/>
    <w:rsid w:val="00B54451"/>
    <w:rsid w:val="00B54C5A"/>
    <w:rsid w:val="00B5687A"/>
    <w:rsid w:val="00B56D22"/>
    <w:rsid w:val="00B5789D"/>
    <w:rsid w:val="00B57F16"/>
    <w:rsid w:val="00B60421"/>
    <w:rsid w:val="00B61C04"/>
    <w:rsid w:val="00B623AD"/>
    <w:rsid w:val="00B624DC"/>
    <w:rsid w:val="00B62866"/>
    <w:rsid w:val="00B63B51"/>
    <w:rsid w:val="00B63F73"/>
    <w:rsid w:val="00B64D0F"/>
    <w:rsid w:val="00B653B7"/>
    <w:rsid w:val="00B659F1"/>
    <w:rsid w:val="00B66576"/>
    <w:rsid w:val="00B66B92"/>
    <w:rsid w:val="00B703AF"/>
    <w:rsid w:val="00B72369"/>
    <w:rsid w:val="00B72C1B"/>
    <w:rsid w:val="00B7305C"/>
    <w:rsid w:val="00B735BA"/>
    <w:rsid w:val="00B73A81"/>
    <w:rsid w:val="00B73C42"/>
    <w:rsid w:val="00B7405B"/>
    <w:rsid w:val="00B74960"/>
    <w:rsid w:val="00B75742"/>
    <w:rsid w:val="00B758E7"/>
    <w:rsid w:val="00B75B07"/>
    <w:rsid w:val="00B76AB2"/>
    <w:rsid w:val="00B77D42"/>
    <w:rsid w:val="00B8045A"/>
    <w:rsid w:val="00B80CF7"/>
    <w:rsid w:val="00B80FF0"/>
    <w:rsid w:val="00B811CC"/>
    <w:rsid w:val="00B823B1"/>
    <w:rsid w:val="00B82B3A"/>
    <w:rsid w:val="00B83767"/>
    <w:rsid w:val="00B8506C"/>
    <w:rsid w:val="00B85409"/>
    <w:rsid w:val="00B85EE5"/>
    <w:rsid w:val="00B87BEF"/>
    <w:rsid w:val="00B91BD5"/>
    <w:rsid w:val="00B92995"/>
    <w:rsid w:val="00B933FF"/>
    <w:rsid w:val="00B93502"/>
    <w:rsid w:val="00B93A9B"/>
    <w:rsid w:val="00B93DC3"/>
    <w:rsid w:val="00B93DED"/>
    <w:rsid w:val="00B94D10"/>
    <w:rsid w:val="00B96EC4"/>
    <w:rsid w:val="00BA03DD"/>
    <w:rsid w:val="00BA12D0"/>
    <w:rsid w:val="00BA19DF"/>
    <w:rsid w:val="00BA1C11"/>
    <w:rsid w:val="00BA2C0A"/>
    <w:rsid w:val="00BA3677"/>
    <w:rsid w:val="00BA3F71"/>
    <w:rsid w:val="00BA4896"/>
    <w:rsid w:val="00BA4FC3"/>
    <w:rsid w:val="00BA5563"/>
    <w:rsid w:val="00BA5FE7"/>
    <w:rsid w:val="00BA6140"/>
    <w:rsid w:val="00BA66DA"/>
    <w:rsid w:val="00BB0243"/>
    <w:rsid w:val="00BB19AB"/>
    <w:rsid w:val="00BB1BE4"/>
    <w:rsid w:val="00BB2F36"/>
    <w:rsid w:val="00BB3AB7"/>
    <w:rsid w:val="00BB76B3"/>
    <w:rsid w:val="00BC0056"/>
    <w:rsid w:val="00BC1794"/>
    <w:rsid w:val="00BC19B8"/>
    <w:rsid w:val="00BC304E"/>
    <w:rsid w:val="00BC43BA"/>
    <w:rsid w:val="00BC47B0"/>
    <w:rsid w:val="00BC49AE"/>
    <w:rsid w:val="00BC4DD0"/>
    <w:rsid w:val="00BC5963"/>
    <w:rsid w:val="00BC5C84"/>
    <w:rsid w:val="00BC7766"/>
    <w:rsid w:val="00BC7B16"/>
    <w:rsid w:val="00BD0871"/>
    <w:rsid w:val="00BD14E3"/>
    <w:rsid w:val="00BD4D60"/>
    <w:rsid w:val="00BD537C"/>
    <w:rsid w:val="00BD5441"/>
    <w:rsid w:val="00BD6F30"/>
    <w:rsid w:val="00BE1CAB"/>
    <w:rsid w:val="00BE3D87"/>
    <w:rsid w:val="00BE4D8D"/>
    <w:rsid w:val="00BE509F"/>
    <w:rsid w:val="00BE6F59"/>
    <w:rsid w:val="00BF0392"/>
    <w:rsid w:val="00BF2B9B"/>
    <w:rsid w:val="00BF3A00"/>
    <w:rsid w:val="00BF6C1E"/>
    <w:rsid w:val="00C0305D"/>
    <w:rsid w:val="00C0560D"/>
    <w:rsid w:val="00C0561B"/>
    <w:rsid w:val="00C05D13"/>
    <w:rsid w:val="00C0615A"/>
    <w:rsid w:val="00C072FD"/>
    <w:rsid w:val="00C10B5F"/>
    <w:rsid w:val="00C10EAB"/>
    <w:rsid w:val="00C111DA"/>
    <w:rsid w:val="00C122F8"/>
    <w:rsid w:val="00C127B3"/>
    <w:rsid w:val="00C14410"/>
    <w:rsid w:val="00C14EBF"/>
    <w:rsid w:val="00C177E0"/>
    <w:rsid w:val="00C17EB8"/>
    <w:rsid w:val="00C2061A"/>
    <w:rsid w:val="00C21837"/>
    <w:rsid w:val="00C22A6E"/>
    <w:rsid w:val="00C22E33"/>
    <w:rsid w:val="00C244B1"/>
    <w:rsid w:val="00C25EB1"/>
    <w:rsid w:val="00C2711F"/>
    <w:rsid w:val="00C27315"/>
    <w:rsid w:val="00C307AD"/>
    <w:rsid w:val="00C31AE8"/>
    <w:rsid w:val="00C325CE"/>
    <w:rsid w:val="00C32650"/>
    <w:rsid w:val="00C32926"/>
    <w:rsid w:val="00C33469"/>
    <w:rsid w:val="00C33ED6"/>
    <w:rsid w:val="00C34BF3"/>
    <w:rsid w:val="00C3566D"/>
    <w:rsid w:val="00C37867"/>
    <w:rsid w:val="00C40F27"/>
    <w:rsid w:val="00C4101A"/>
    <w:rsid w:val="00C43C14"/>
    <w:rsid w:val="00C447F8"/>
    <w:rsid w:val="00C44A98"/>
    <w:rsid w:val="00C45D55"/>
    <w:rsid w:val="00C465DC"/>
    <w:rsid w:val="00C466DC"/>
    <w:rsid w:val="00C50DE5"/>
    <w:rsid w:val="00C51059"/>
    <w:rsid w:val="00C558D4"/>
    <w:rsid w:val="00C55C92"/>
    <w:rsid w:val="00C56A54"/>
    <w:rsid w:val="00C56FE2"/>
    <w:rsid w:val="00C57DE7"/>
    <w:rsid w:val="00C610FA"/>
    <w:rsid w:val="00C613A3"/>
    <w:rsid w:val="00C62021"/>
    <w:rsid w:val="00C64AE4"/>
    <w:rsid w:val="00C651FB"/>
    <w:rsid w:val="00C65A65"/>
    <w:rsid w:val="00C70AC0"/>
    <w:rsid w:val="00C70FF6"/>
    <w:rsid w:val="00C71951"/>
    <w:rsid w:val="00C71FED"/>
    <w:rsid w:val="00C7223B"/>
    <w:rsid w:val="00C72825"/>
    <w:rsid w:val="00C73255"/>
    <w:rsid w:val="00C73417"/>
    <w:rsid w:val="00C73A91"/>
    <w:rsid w:val="00C742B2"/>
    <w:rsid w:val="00C74BA4"/>
    <w:rsid w:val="00C768EC"/>
    <w:rsid w:val="00C76D4A"/>
    <w:rsid w:val="00C77CEF"/>
    <w:rsid w:val="00C77EF1"/>
    <w:rsid w:val="00C83DBB"/>
    <w:rsid w:val="00C8485A"/>
    <w:rsid w:val="00C84E53"/>
    <w:rsid w:val="00C902AB"/>
    <w:rsid w:val="00C913A1"/>
    <w:rsid w:val="00C92592"/>
    <w:rsid w:val="00CA0190"/>
    <w:rsid w:val="00CA1B68"/>
    <w:rsid w:val="00CA4691"/>
    <w:rsid w:val="00CA4BB4"/>
    <w:rsid w:val="00CA5DBA"/>
    <w:rsid w:val="00CA6FA9"/>
    <w:rsid w:val="00CA74FF"/>
    <w:rsid w:val="00CB0C32"/>
    <w:rsid w:val="00CB1320"/>
    <w:rsid w:val="00CB21C2"/>
    <w:rsid w:val="00CB28D4"/>
    <w:rsid w:val="00CB2C01"/>
    <w:rsid w:val="00CB54B2"/>
    <w:rsid w:val="00CB6795"/>
    <w:rsid w:val="00CC17A4"/>
    <w:rsid w:val="00CC2E3C"/>
    <w:rsid w:val="00CC4872"/>
    <w:rsid w:val="00CC4D7B"/>
    <w:rsid w:val="00CC5A60"/>
    <w:rsid w:val="00CC5F44"/>
    <w:rsid w:val="00CC68FE"/>
    <w:rsid w:val="00CC6A99"/>
    <w:rsid w:val="00CD032B"/>
    <w:rsid w:val="00CD1010"/>
    <w:rsid w:val="00CD2373"/>
    <w:rsid w:val="00CD46C1"/>
    <w:rsid w:val="00CD4E18"/>
    <w:rsid w:val="00CD4EF3"/>
    <w:rsid w:val="00CD6157"/>
    <w:rsid w:val="00CD63B2"/>
    <w:rsid w:val="00CD63E9"/>
    <w:rsid w:val="00CD655F"/>
    <w:rsid w:val="00CD6CE8"/>
    <w:rsid w:val="00CD6F69"/>
    <w:rsid w:val="00CE09C3"/>
    <w:rsid w:val="00CE18CD"/>
    <w:rsid w:val="00CE3A3B"/>
    <w:rsid w:val="00CE4D7A"/>
    <w:rsid w:val="00CE5302"/>
    <w:rsid w:val="00CE58D1"/>
    <w:rsid w:val="00CE701C"/>
    <w:rsid w:val="00CE7751"/>
    <w:rsid w:val="00CE7A3E"/>
    <w:rsid w:val="00CF02B6"/>
    <w:rsid w:val="00CF1266"/>
    <w:rsid w:val="00CF1A0E"/>
    <w:rsid w:val="00CF2763"/>
    <w:rsid w:val="00CF31FC"/>
    <w:rsid w:val="00CF323A"/>
    <w:rsid w:val="00CF45E1"/>
    <w:rsid w:val="00CF4952"/>
    <w:rsid w:val="00CF4FD6"/>
    <w:rsid w:val="00CF5C0B"/>
    <w:rsid w:val="00CF60F9"/>
    <w:rsid w:val="00D009E3"/>
    <w:rsid w:val="00D00AA3"/>
    <w:rsid w:val="00D013E8"/>
    <w:rsid w:val="00D01483"/>
    <w:rsid w:val="00D02138"/>
    <w:rsid w:val="00D027CF"/>
    <w:rsid w:val="00D029A7"/>
    <w:rsid w:val="00D03121"/>
    <w:rsid w:val="00D0453A"/>
    <w:rsid w:val="00D04AC5"/>
    <w:rsid w:val="00D0524A"/>
    <w:rsid w:val="00D060A0"/>
    <w:rsid w:val="00D06AFC"/>
    <w:rsid w:val="00D073EA"/>
    <w:rsid w:val="00D07F73"/>
    <w:rsid w:val="00D101ED"/>
    <w:rsid w:val="00D1067D"/>
    <w:rsid w:val="00D10CC1"/>
    <w:rsid w:val="00D10E81"/>
    <w:rsid w:val="00D1111D"/>
    <w:rsid w:val="00D1236B"/>
    <w:rsid w:val="00D126AE"/>
    <w:rsid w:val="00D127FA"/>
    <w:rsid w:val="00D13D1B"/>
    <w:rsid w:val="00D13D36"/>
    <w:rsid w:val="00D14844"/>
    <w:rsid w:val="00D14E78"/>
    <w:rsid w:val="00D16ACB"/>
    <w:rsid w:val="00D179AC"/>
    <w:rsid w:val="00D17A5D"/>
    <w:rsid w:val="00D2041C"/>
    <w:rsid w:val="00D22E48"/>
    <w:rsid w:val="00D2362E"/>
    <w:rsid w:val="00D2588E"/>
    <w:rsid w:val="00D25ADE"/>
    <w:rsid w:val="00D25D39"/>
    <w:rsid w:val="00D27022"/>
    <w:rsid w:val="00D273B0"/>
    <w:rsid w:val="00D27777"/>
    <w:rsid w:val="00D27AE7"/>
    <w:rsid w:val="00D326F4"/>
    <w:rsid w:val="00D32B96"/>
    <w:rsid w:val="00D3335D"/>
    <w:rsid w:val="00D3512B"/>
    <w:rsid w:val="00D40759"/>
    <w:rsid w:val="00D40AE7"/>
    <w:rsid w:val="00D40EE7"/>
    <w:rsid w:val="00D41200"/>
    <w:rsid w:val="00D42441"/>
    <w:rsid w:val="00D42E47"/>
    <w:rsid w:val="00D43297"/>
    <w:rsid w:val="00D4388B"/>
    <w:rsid w:val="00D44DB6"/>
    <w:rsid w:val="00D45D3D"/>
    <w:rsid w:val="00D50119"/>
    <w:rsid w:val="00D5134E"/>
    <w:rsid w:val="00D52198"/>
    <w:rsid w:val="00D53FAB"/>
    <w:rsid w:val="00D5436E"/>
    <w:rsid w:val="00D552C2"/>
    <w:rsid w:val="00D56856"/>
    <w:rsid w:val="00D60468"/>
    <w:rsid w:val="00D60B37"/>
    <w:rsid w:val="00D60E23"/>
    <w:rsid w:val="00D611BE"/>
    <w:rsid w:val="00D634A9"/>
    <w:rsid w:val="00D64203"/>
    <w:rsid w:val="00D6534E"/>
    <w:rsid w:val="00D65C7B"/>
    <w:rsid w:val="00D6664E"/>
    <w:rsid w:val="00D66863"/>
    <w:rsid w:val="00D67568"/>
    <w:rsid w:val="00D6765A"/>
    <w:rsid w:val="00D71618"/>
    <w:rsid w:val="00D7162B"/>
    <w:rsid w:val="00D71ADB"/>
    <w:rsid w:val="00D71BBC"/>
    <w:rsid w:val="00D738EC"/>
    <w:rsid w:val="00D74C7C"/>
    <w:rsid w:val="00D76F6F"/>
    <w:rsid w:val="00D805D3"/>
    <w:rsid w:val="00D81494"/>
    <w:rsid w:val="00D81846"/>
    <w:rsid w:val="00D81A03"/>
    <w:rsid w:val="00D82A43"/>
    <w:rsid w:val="00D84AD0"/>
    <w:rsid w:val="00D84F18"/>
    <w:rsid w:val="00D86CD7"/>
    <w:rsid w:val="00D87C1E"/>
    <w:rsid w:val="00D9062E"/>
    <w:rsid w:val="00D91938"/>
    <w:rsid w:val="00D91FF2"/>
    <w:rsid w:val="00D92F57"/>
    <w:rsid w:val="00D94045"/>
    <w:rsid w:val="00D943DA"/>
    <w:rsid w:val="00D96A2E"/>
    <w:rsid w:val="00D9772D"/>
    <w:rsid w:val="00D97A71"/>
    <w:rsid w:val="00DA06A6"/>
    <w:rsid w:val="00DA1304"/>
    <w:rsid w:val="00DA1964"/>
    <w:rsid w:val="00DA2DFA"/>
    <w:rsid w:val="00DA6633"/>
    <w:rsid w:val="00DA68DC"/>
    <w:rsid w:val="00DA7B5D"/>
    <w:rsid w:val="00DB0471"/>
    <w:rsid w:val="00DB04E8"/>
    <w:rsid w:val="00DB1851"/>
    <w:rsid w:val="00DB233A"/>
    <w:rsid w:val="00DB2AB5"/>
    <w:rsid w:val="00DB5978"/>
    <w:rsid w:val="00DB60BF"/>
    <w:rsid w:val="00DB60D6"/>
    <w:rsid w:val="00DB7D68"/>
    <w:rsid w:val="00DC0B23"/>
    <w:rsid w:val="00DC0DCD"/>
    <w:rsid w:val="00DC1A2D"/>
    <w:rsid w:val="00DC248A"/>
    <w:rsid w:val="00DC284E"/>
    <w:rsid w:val="00DC6426"/>
    <w:rsid w:val="00DC6E24"/>
    <w:rsid w:val="00DC7616"/>
    <w:rsid w:val="00DD02B1"/>
    <w:rsid w:val="00DD0B1C"/>
    <w:rsid w:val="00DD33B7"/>
    <w:rsid w:val="00DD35B1"/>
    <w:rsid w:val="00DD415A"/>
    <w:rsid w:val="00DD42C6"/>
    <w:rsid w:val="00DD6302"/>
    <w:rsid w:val="00DE0688"/>
    <w:rsid w:val="00DE0E38"/>
    <w:rsid w:val="00DE0F08"/>
    <w:rsid w:val="00DE26B1"/>
    <w:rsid w:val="00DE3838"/>
    <w:rsid w:val="00DE67DE"/>
    <w:rsid w:val="00DF4E82"/>
    <w:rsid w:val="00DF58E7"/>
    <w:rsid w:val="00DF73EE"/>
    <w:rsid w:val="00E0017F"/>
    <w:rsid w:val="00E02944"/>
    <w:rsid w:val="00E035C5"/>
    <w:rsid w:val="00E03866"/>
    <w:rsid w:val="00E06923"/>
    <w:rsid w:val="00E07A3B"/>
    <w:rsid w:val="00E108D9"/>
    <w:rsid w:val="00E11876"/>
    <w:rsid w:val="00E12DED"/>
    <w:rsid w:val="00E13F66"/>
    <w:rsid w:val="00E17474"/>
    <w:rsid w:val="00E17D41"/>
    <w:rsid w:val="00E17D73"/>
    <w:rsid w:val="00E17DC2"/>
    <w:rsid w:val="00E20A32"/>
    <w:rsid w:val="00E20C2E"/>
    <w:rsid w:val="00E2105E"/>
    <w:rsid w:val="00E2258F"/>
    <w:rsid w:val="00E23CBB"/>
    <w:rsid w:val="00E24517"/>
    <w:rsid w:val="00E24633"/>
    <w:rsid w:val="00E2476D"/>
    <w:rsid w:val="00E26EA3"/>
    <w:rsid w:val="00E27606"/>
    <w:rsid w:val="00E278C0"/>
    <w:rsid w:val="00E31B64"/>
    <w:rsid w:val="00E31F17"/>
    <w:rsid w:val="00E32C20"/>
    <w:rsid w:val="00E35589"/>
    <w:rsid w:val="00E356F9"/>
    <w:rsid w:val="00E37B59"/>
    <w:rsid w:val="00E40956"/>
    <w:rsid w:val="00E41062"/>
    <w:rsid w:val="00E42CB5"/>
    <w:rsid w:val="00E44C83"/>
    <w:rsid w:val="00E45554"/>
    <w:rsid w:val="00E51498"/>
    <w:rsid w:val="00E5154A"/>
    <w:rsid w:val="00E5199A"/>
    <w:rsid w:val="00E51B76"/>
    <w:rsid w:val="00E520F3"/>
    <w:rsid w:val="00E5246A"/>
    <w:rsid w:val="00E53438"/>
    <w:rsid w:val="00E53C12"/>
    <w:rsid w:val="00E53D44"/>
    <w:rsid w:val="00E5413D"/>
    <w:rsid w:val="00E5524C"/>
    <w:rsid w:val="00E557C2"/>
    <w:rsid w:val="00E558FE"/>
    <w:rsid w:val="00E55B0F"/>
    <w:rsid w:val="00E55B5B"/>
    <w:rsid w:val="00E56583"/>
    <w:rsid w:val="00E5669B"/>
    <w:rsid w:val="00E56FAA"/>
    <w:rsid w:val="00E60136"/>
    <w:rsid w:val="00E612E2"/>
    <w:rsid w:val="00E626FB"/>
    <w:rsid w:val="00E6277E"/>
    <w:rsid w:val="00E643AD"/>
    <w:rsid w:val="00E6457D"/>
    <w:rsid w:val="00E64FF6"/>
    <w:rsid w:val="00E67295"/>
    <w:rsid w:val="00E67CE9"/>
    <w:rsid w:val="00E7036C"/>
    <w:rsid w:val="00E71949"/>
    <w:rsid w:val="00E71DEF"/>
    <w:rsid w:val="00E725FC"/>
    <w:rsid w:val="00E72F2A"/>
    <w:rsid w:val="00E735B4"/>
    <w:rsid w:val="00E744AD"/>
    <w:rsid w:val="00E74E71"/>
    <w:rsid w:val="00E76595"/>
    <w:rsid w:val="00E77434"/>
    <w:rsid w:val="00E803CA"/>
    <w:rsid w:val="00E80633"/>
    <w:rsid w:val="00E80CAD"/>
    <w:rsid w:val="00E80E20"/>
    <w:rsid w:val="00E81360"/>
    <w:rsid w:val="00E82503"/>
    <w:rsid w:val="00E82505"/>
    <w:rsid w:val="00E82F14"/>
    <w:rsid w:val="00E835DE"/>
    <w:rsid w:val="00E83B49"/>
    <w:rsid w:val="00E83ED1"/>
    <w:rsid w:val="00E84ABC"/>
    <w:rsid w:val="00E85BE8"/>
    <w:rsid w:val="00E85C8E"/>
    <w:rsid w:val="00E861CC"/>
    <w:rsid w:val="00E862EC"/>
    <w:rsid w:val="00E86F1F"/>
    <w:rsid w:val="00E90F9A"/>
    <w:rsid w:val="00E9310B"/>
    <w:rsid w:val="00E93A4E"/>
    <w:rsid w:val="00E953ED"/>
    <w:rsid w:val="00E9774B"/>
    <w:rsid w:val="00E97CD7"/>
    <w:rsid w:val="00EA00D4"/>
    <w:rsid w:val="00EA10D9"/>
    <w:rsid w:val="00EA13C8"/>
    <w:rsid w:val="00EA20BE"/>
    <w:rsid w:val="00EA2E5F"/>
    <w:rsid w:val="00EA36C6"/>
    <w:rsid w:val="00EA3F84"/>
    <w:rsid w:val="00EA455E"/>
    <w:rsid w:val="00EA4723"/>
    <w:rsid w:val="00EB0492"/>
    <w:rsid w:val="00EB1133"/>
    <w:rsid w:val="00EB1F4E"/>
    <w:rsid w:val="00EB2485"/>
    <w:rsid w:val="00EB298A"/>
    <w:rsid w:val="00EB2C5F"/>
    <w:rsid w:val="00EB3970"/>
    <w:rsid w:val="00EB460C"/>
    <w:rsid w:val="00EB4AA0"/>
    <w:rsid w:val="00EB5ED0"/>
    <w:rsid w:val="00EB6EB8"/>
    <w:rsid w:val="00EC0394"/>
    <w:rsid w:val="00EC2A78"/>
    <w:rsid w:val="00EC2E73"/>
    <w:rsid w:val="00EC30F9"/>
    <w:rsid w:val="00EC39EB"/>
    <w:rsid w:val="00EC4407"/>
    <w:rsid w:val="00EC4701"/>
    <w:rsid w:val="00EC5187"/>
    <w:rsid w:val="00EC5419"/>
    <w:rsid w:val="00EC58A2"/>
    <w:rsid w:val="00EC5929"/>
    <w:rsid w:val="00EC59C0"/>
    <w:rsid w:val="00EC5A9F"/>
    <w:rsid w:val="00EC5FBD"/>
    <w:rsid w:val="00EC65C5"/>
    <w:rsid w:val="00ED0A81"/>
    <w:rsid w:val="00ED0AEF"/>
    <w:rsid w:val="00ED2499"/>
    <w:rsid w:val="00ED3A93"/>
    <w:rsid w:val="00ED4061"/>
    <w:rsid w:val="00ED4BED"/>
    <w:rsid w:val="00ED5725"/>
    <w:rsid w:val="00ED5D98"/>
    <w:rsid w:val="00ED6434"/>
    <w:rsid w:val="00ED6D26"/>
    <w:rsid w:val="00ED7031"/>
    <w:rsid w:val="00ED7ABB"/>
    <w:rsid w:val="00EE070C"/>
    <w:rsid w:val="00EE2E70"/>
    <w:rsid w:val="00EE2FE1"/>
    <w:rsid w:val="00EE3060"/>
    <w:rsid w:val="00EE36D3"/>
    <w:rsid w:val="00EE398C"/>
    <w:rsid w:val="00EE4315"/>
    <w:rsid w:val="00EE662C"/>
    <w:rsid w:val="00EE740D"/>
    <w:rsid w:val="00EE75FE"/>
    <w:rsid w:val="00EF047F"/>
    <w:rsid w:val="00EF07F6"/>
    <w:rsid w:val="00EF1EF3"/>
    <w:rsid w:val="00EF31AB"/>
    <w:rsid w:val="00EF3B0A"/>
    <w:rsid w:val="00EF511C"/>
    <w:rsid w:val="00EF5153"/>
    <w:rsid w:val="00EF5277"/>
    <w:rsid w:val="00EF6925"/>
    <w:rsid w:val="00EF7018"/>
    <w:rsid w:val="00EF7975"/>
    <w:rsid w:val="00F00134"/>
    <w:rsid w:val="00F00137"/>
    <w:rsid w:val="00F01125"/>
    <w:rsid w:val="00F02677"/>
    <w:rsid w:val="00F02933"/>
    <w:rsid w:val="00F0366A"/>
    <w:rsid w:val="00F05AC1"/>
    <w:rsid w:val="00F0611C"/>
    <w:rsid w:val="00F11D44"/>
    <w:rsid w:val="00F11FAA"/>
    <w:rsid w:val="00F12082"/>
    <w:rsid w:val="00F138BA"/>
    <w:rsid w:val="00F139B3"/>
    <w:rsid w:val="00F13DA6"/>
    <w:rsid w:val="00F13F0C"/>
    <w:rsid w:val="00F15445"/>
    <w:rsid w:val="00F156EC"/>
    <w:rsid w:val="00F1590A"/>
    <w:rsid w:val="00F17948"/>
    <w:rsid w:val="00F17DE4"/>
    <w:rsid w:val="00F20194"/>
    <w:rsid w:val="00F20650"/>
    <w:rsid w:val="00F20C46"/>
    <w:rsid w:val="00F21CEC"/>
    <w:rsid w:val="00F21FBA"/>
    <w:rsid w:val="00F243AE"/>
    <w:rsid w:val="00F24462"/>
    <w:rsid w:val="00F248B4"/>
    <w:rsid w:val="00F24E2B"/>
    <w:rsid w:val="00F24F37"/>
    <w:rsid w:val="00F25925"/>
    <w:rsid w:val="00F25A5D"/>
    <w:rsid w:val="00F26830"/>
    <w:rsid w:val="00F26CA1"/>
    <w:rsid w:val="00F26ED3"/>
    <w:rsid w:val="00F30548"/>
    <w:rsid w:val="00F317AD"/>
    <w:rsid w:val="00F31935"/>
    <w:rsid w:val="00F32855"/>
    <w:rsid w:val="00F3435C"/>
    <w:rsid w:val="00F35057"/>
    <w:rsid w:val="00F3516E"/>
    <w:rsid w:val="00F37E4B"/>
    <w:rsid w:val="00F412F1"/>
    <w:rsid w:val="00F43209"/>
    <w:rsid w:val="00F440F9"/>
    <w:rsid w:val="00F441F5"/>
    <w:rsid w:val="00F4465F"/>
    <w:rsid w:val="00F447F2"/>
    <w:rsid w:val="00F465D9"/>
    <w:rsid w:val="00F51E02"/>
    <w:rsid w:val="00F52204"/>
    <w:rsid w:val="00F52466"/>
    <w:rsid w:val="00F53854"/>
    <w:rsid w:val="00F53B1A"/>
    <w:rsid w:val="00F54053"/>
    <w:rsid w:val="00F5421E"/>
    <w:rsid w:val="00F55318"/>
    <w:rsid w:val="00F5581F"/>
    <w:rsid w:val="00F62200"/>
    <w:rsid w:val="00F6238C"/>
    <w:rsid w:val="00F62B7A"/>
    <w:rsid w:val="00F6397D"/>
    <w:rsid w:val="00F65F4B"/>
    <w:rsid w:val="00F67B61"/>
    <w:rsid w:val="00F7109B"/>
    <w:rsid w:val="00F7284E"/>
    <w:rsid w:val="00F7293E"/>
    <w:rsid w:val="00F76650"/>
    <w:rsid w:val="00F77C15"/>
    <w:rsid w:val="00F77DA2"/>
    <w:rsid w:val="00F80648"/>
    <w:rsid w:val="00F806D6"/>
    <w:rsid w:val="00F80AE9"/>
    <w:rsid w:val="00F80E61"/>
    <w:rsid w:val="00F822B8"/>
    <w:rsid w:val="00F8255F"/>
    <w:rsid w:val="00F82950"/>
    <w:rsid w:val="00F82C9B"/>
    <w:rsid w:val="00F82F48"/>
    <w:rsid w:val="00F84E0F"/>
    <w:rsid w:val="00F8644B"/>
    <w:rsid w:val="00F8772C"/>
    <w:rsid w:val="00F90BC4"/>
    <w:rsid w:val="00F90C0A"/>
    <w:rsid w:val="00F9106E"/>
    <w:rsid w:val="00F916E3"/>
    <w:rsid w:val="00F9187B"/>
    <w:rsid w:val="00F91FAE"/>
    <w:rsid w:val="00F92385"/>
    <w:rsid w:val="00F92765"/>
    <w:rsid w:val="00F93EAB"/>
    <w:rsid w:val="00F947F1"/>
    <w:rsid w:val="00F96B48"/>
    <w:rsid w:val="00F96E6B"/>
    <w:rsid w:val="00FA1B4F"/>
    <w:rsid w:val="00FA3337"/>
    <w:rsid w:val="00FA36CE"/>
    <w:rsid w:val="00FA545D"/>
    <w:rsid w:val="00FA5C21"/>
    <w:rsid w:val="00FA67D9"/>
    <w:rsid w:val="00FA7184"/>
    <w:rsid w:val="00FA757A"/>
    <w:rsid w:val="00FA7D44"/>
    <w:rsid w:val="00FA7FB1"/>
    <w:rsid w:val="00FB0E62"/>
    <w:rsid w:val="00FB1205"/>
    <w:rsid w:val="00FB18B6"/>
    <w:rsid w:val="00FB460B"/>
    <w:rsid w:val="00FB4870"/>
    <w:rsid w:val="00FB5B29"/>
    <w:rsid w:val="00FB6C5A"/>
    <w:rsid w:val="00FC1EF6"/>
    <w:rsid w:val="00FC2A8D"/>
    <w:rsid w:val="00FC32DD"/>
    <w:rsid w:val="00FC3ED3"/>
    <w:rsid w:val="00FC4097"/>
    <w:rsid w:val="00FC4424"/>
    <w:rsid w:val="00FC47F9"/>
    <w:rsid w:val="00FC59ED"/>
    <w:rsid w:val="00FC7CB8"/>
    <w:rsid w:val="00FD01D2"/>
    <w:rsid w:val="00FD094E"/>
    <w:rsid w:val="00FD1E3F"/>
    <w:rsid w:val="00FD5230"/>
    <w:rsid w:val="00FD5B29"/>
    <w:rsid w:val="00FE1601"/>
    <w:rsid w:val="00FE2351"/>
    <w:rsid w:val="00FE33F6"/>
    <w:rsid w:val="00FE371B"/>
    <w:rsid w:val="00FE3870"/>
    <w:rsid w:val="00FE3E3D"/>
    <w:rsid w:val="00FE461F"/>
    <w:rsid w:val="00FE5580"/>
    <w:rsid w:val="00FE5B1D"/>
    <w:rsid w:val="00FE6E63"/>
    <w:rsid w:val="00FE7CC7"/>
    <w:rsid w:val="00FF016A"/>
    <w:rsid w:val="00FF110C"/>
    <w:rsid w:val="00FF15AE"/>
    <w:rsid w:val="00FF1FD4"/>
    <w:rsid w:val="00FF2580"/>
    <w:rsid w:val="00FF7082"/>
    <w:rsid w:val="0641EBEA"/>
    <w:rsid w:val="0B8BD78F"/>
    <w:rsid w:val="0D057311"/>
    <w:rsid w:val="23D04144"/>
    <w:rsid w:val="34C9723A"/>
    <w:rsid w:val="3A2508A6"/>
    <w:rsid w:val="4453A56F"/>
    <w:rsid w:val="5409F46B"/>
    <w:rsid w:val="5FC03CD5"/>
    <w:rsid w:val="6AF4F23E"/>
    <w:rsid w:val="74DC0793"/>
    <w:rsid w:val="7A4DC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00333"/>
  <w15:chartTrackingRefBased/>
  <w15:docId w15:val="{9EEBDE5B-D225-4DB4-8321-BC9B54096BC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7"/>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7"/>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30"/>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paragraph" w:customStyle="1" w:styleId="Style1">
    <w:name w:val="Style1"/>
    <w:basedOn w:val="Standard"/>
    <w:link w:val="Style1Char"/>
    <w:qFormat/>
    <w:rsid w:val="00CF4952"/>
    <w:pPr>
      <w:numPr>
        <w:numId w:val="8"/>
      </w:numPr>
    </w:pPr>
  </w:style>
  <w:style w:type="character" w:customStyle="1" w:styleId="StandardChar">
    <w:name w:val="Standard Char"/>
    <w:basedOn w:val="DefaultParagraphFont"/>
    <w:link w:val="Standard"/>
    <w:rsid w:val="00CF4952"/>
    <w:rPr>
      <w:rFonts w:ascii="Book Antiqua" w:hAnsi="Book Antiqua"/>
      <w:sz w:val="26"/>
    </w:rPr>
  </w:style>
  <w:style w:type="character" w:customStyle="1" w:styleId="Style1Char">
    <w:name w:val="Style1 Char"/>
    <w:basedOn w:val="StandardChar"/>
    <w:link w:val="Style1"/>
    <w:rsid w:val="00CF4952"/>
    <w:rPr>
      <w:rFonts w:ascii="Book Antiqua" w:hAnsi="Book Antiqua"/>
      <w:sz w:val="26"/>
    </w:rPr>
  </w:style>
  <w:style w:type="paragraph" w:customStyle="1" w:styleId="Default">
    <w:name w:val="Default"/>
    <w:rsid w:val="00B87BEF"/>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B02196"/>
    <w:rPr>
      <w:sz w:val="16"/>
      <w:szCs w:val="16"/>
    </w:rPr>
  </w:style>
  <w:style w:type="paragraph" w:styleId="CommentText">
    <w:name w:val="annotation text"/>
    <w:basedOn w:val="Normal"/>
    <w:link w:val="CommentTextChar"/>
    <w:uiPriority w:val="99"/>
    <w:unhideWhenUsed/>
    <w:rsid w:val="00B02196"/>
    <w:pPr>
      <w:spacing w:line="240" w:lineRule="auto"/>
    </w:pPr>
    <w:rPr>
      <w:sz w:val="20"/>
      <w:szCs w:val="20"/>
    </w:rPr>
  </w:style>
  <w:style w:type="character" w:customStyle="1" w:styleId="CommentTextChar">
    <w:name w:val="Comment Text Char"/>
    <w:basedOn w:val="DefaultParagraphFont"/>
    <w:link w:val="CommentText"/>
    <w:uiPriority w:val="99"/>
    <w:rsid w:val="00B0219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02196"/>
    <w:rPr>
      <w:b/>
      <w:bCs/>
    </w:rPr>
  </w:style>
  <w:style w:type="character" w:customStyle="1" w:styleId="CommentSubjectChar">
    <w:name w:val="Comment Subject Char"/>
    <w:basedOn w:val="CommentTextChar"/>
    <w:link w:val="CommentSubject"/>
    <w:uiPriority w:val="99"/>
    <w:semiHidden/>
    <w:rsid w:val="00B02196"/>
    <w:rPr>
      <w:rFonts w:ascii="Book Antiqua" w:hAnsi="Book Antiqua"/>
      <w:b/>
      <w:bCs/>
      <w:sz w:val="20"/>
      <w:szCs w:val="20"/>
    </w:rPr>
  </w:style>
  <w:style w:type="paragraph" w:styleId="ListParagraph">
    <w:name w:val="List Paragraph"/>
    <w:basedOn w:val="Normal"/>
    <w:uiPriority w:val="34"/>
    <w:rsid w:val="00AA7223"/>
    <w:pPr>
      <w:ind w:left="720"/>
      <w:contextualSpacing/>
    </w:pPr>
  </w:style>
  <w:style w:type="paragraph" w:styleId="TOC7">
    <w:name w:val="toc 7"/>
    <w:basedOn w:val="Normal"/>
    <w:next w:val="Normal"/>
    <w:autoRedefine/>
    <w:uiPriority w:val="39"/>
    <w:unhideWhenUsed/>
    <w:rsid w:val="003D7EFA"/>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3D7EFA"/>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UnresolvedMention">
    <w:name w:val="Unresolved Mention"/>
    <w:basedOn w:val="DefaultParagraphFont"/>
    <w:uiPriority w:val="99"/>
    <w:semiHidden/>
    <w:unhideWhenUsed/>
    <w:rsid w:val="003D7EFA"/>
    <w:rPr>
      <w:color w:val="605E5C"/>
      <w:shd w:val="clear" w:color="auto" w:fill="E1DFDD"/>
    </w:rPr>
  </w:style>
  <w:style w:type="paragraph" w:styleId="Revision">
    <w:name w:val="Revision"/>
    <w:hidden/>
    <w:uiPriority w:val="99"/>
    <w:semiHidden/>
    <w:rsid w:val="002C013A"/>
    <w:pPr>
      <w:spacing w:after="0" w:line="240" w:lineRule="auto"/>
    </w:pPr>
    <w:rPr>
      <w:rFonts w:ascii="Book Antiqua" w:hAnsi="Book Antiqua"/>
      <w:sz w:val="26"/>
    </w:rPr>
  </w:style>
  <w:style w:type="paragraph" w:styleId="Caption">
    <w:name w:val="caption"/>
    <w:basedOn w:val="Normal"/>
    <w:next w:val="Normal"/>
    <w:uiPriority w:val="35"/>
    <w:unhideWhenUsed/>
    <w:qFormat/>
    <w:rsid w:val="00651BE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012">
      <w:bodyDiv w:val="1"/>
      <w:marLeft w:val="0"/>
      <w:marRight w:val="0"/>
      <w:marTop w:val="0"/>
      <w:marBottom w:val="0"/>
      <w:divBdr>
        <w:top w:val="none" w:sz="0" w:space="0" w:color="auto"/>
        <w:left w:val="none" w:sz="0" w:space="0" w:color="auto"/>
        <w:bottom w:val="none" w:sz="0" w:space="0" w:color="auto"/>
        <w:right w:val="none" w:sz="0" w:space="0" w:color="auto"/>
      </w:divBdr>
    </w:div>
    <w:div w:id="537157421">
      <w:bodyDiv w:val="1"/>
      <w:marLeft w:val="0"/>
      <w:marRight w:val="0"/>
      <w:marTop w:val="0"/>
      <w:marBottom w:val="0"/>
      <w:divBdr>
        <w:top w:val="none" w:sz="0" w:space="0" w:color="auto"/>
        <w:left w:val="none" w:sz="0" w:space="0" w:color="auto"/>
        <w:bottom w:val="none" w:sz="0" w:space="0" w:color="auto"/>
        <w:right w:val="none" w:sz="0" w:space="0" w:color="auto"/>
      </w:divBdr>
    </w:div>
    <w:div w:id="868369671">
      <w:bodyDiv w:val="1"/>
      <w:marLeft w:val="0"/>
      <w:marRight w:val="0"/>
      <w:marTop w:val="0"/>
      <w:marBottom w:val="0"/>
      <w:divBdr>
        <w:top w:val="none" w:sz="0" w:space="0" w:color="auto"/>
        <w:left w:val="none" w:sz="0" w:space="0" w:color="auto"/>
        <w:bottom w:val="none" w:sz="0" w:space="0" w:color="auto"/>
        <w:right w:val="none" w:sz="0" w:space="0" w:color="auto"/>
      </w:divBdr>
    </w:div>
    <w:div w:id="953177468">
      <w:bodyDiv w:val="1"/>
      <w:marLeft w:val="0"/>
      <w:marRight w:val="0"/>
      <w:marTop w:val="0"/>
      <w:marBottom w:val="0"/>
      <w:divBdr>
        <w:top w:val="none" w:sz="0" w:space="0" w:color="auto"/>
        <w:left w:val="none" w:sz="0" w:space="0" w:color="auto"/>
        <w:bottom w:val="none" w:sz="0" w:space="0" w:color="auto"/>
        <w:right w:val="none" w:sz="0" w:space="0" w:color="auto"/>
      </w:divBdr>
    </w:div>
    <w:div w:id="1017343146">
      <w:bodyDiv w:val="1"/>
      <w:marLeft w:val="0"/>
      <w:marRight w:val="0"/>
      <w:marTop w:val="0"/>
      <w:marBottom w:val="0"/>
      <w:divBdr>
        <w:top w:val="none" w:sz="0" w:space="0" w:color="auto"/>
        <w:left w:val="none" w:sz="0" w:space="0" w:color="auto"/>
        <w:bottom w:val="none" w:sz="0" w:space="0" w:color="auto"/>
        <w:right w:val="none" w:sz="0" w:space="0" w:color="auto"/>
      </w:divBdr>
    </w:div>
    <w:div w:id="1065299130">
      <w:bodyDiv w:val="1"/>
      <w:marLeft w:val="0"/>
      <w:marRight w:val="0"/>
      <w:marTop w:val="0"/>
      <w:marBottom w:val="0"/>
      <w:divBdr>
        <w:top w:val="none" w:sz="0" w:space="0" w:color="auto"/>
        <w:left w:val="none" w:sz="0" w:space="0" w:color="auto"/>
        <w:bottom w:val="none" w:sz="0" w:space="0" w:color="auto"/>
        <w:right w:val="none" w:sz="0" w:space="0" w:color="auto"/>
      </w:divBdr>
    </w:div>
    <w:div w:id="1304507243">
      <w:bodyDiv w:val="1"/>
      <w:marLeft w:val="0"/>
      <w:marRight w:val="0"/>
      <w:marTop w:val="0"/>
      <w:marBottom w:val="0"/>
      <w:divBdr>
        <w:top w:val="none" w:sz="0" w:space="0" w:color="auto"/>
        <w:left w:val="none" w:sz="0" w:space="0" w:color="auto"/>
        <w:bottom w:val="none" w:sz="0" w:space="0" w:color="auto"/>
        <w:right w:val="none" w:sz="0" w:space="0" w:color="auto"/>
      </w:divBdr>
    </w:div>
    <w:div w:id="1765422156">
      <w:bodyDiv w:val="1"/>
      <w:marLeft w:val="0"/>
      <w:marRight w:val="0"/>
      <w:marTop w:val="0"/>
      <w:marBottom w:val="0"/>
      <w:divBdr>
        <w:top w:val="none" w:sz="0" w:space="0" w:color="auto"/>
        <w:left w:val="none" w:sz="0" w:space="0" w:color="auto"/>
        <w:bottom w:val="none" w:sz="0" w:space="0" w:color="auto"/>
        <w:right w:val="none" w:sz="0" w:space="0" w:color="auto"/>
      </w:divBdr>
    </w:div>
    <w:div w:id="1811944259">
      <w:bodyDiv w:val="1"/>
      <w:marLeft w:val="0"/>
      <w:marRight w:val="0"/>
      <w:marTop w:val="0"/>
      <w:marBottom w:val="0"/>
      <w:divBdr>
        <w:top w:val="none" w:sz="0" w:space="0" w:color="auto"/>
        <w:left w:val="none" w:sz="0" w:space="0" w:color="auto"/>
        <w:bottom w:val="none" w:sz="0" w:space="0" w:color="auto"/>
        <w:right w:val="none" w:sz="0" w:space="0" w:color="auto"/>
      </w:divBdr>
    </w:div>
    <w:div w:id="1849833982">
      <w:bodyDiv w:val="1"/>
      <w:marLeft w:val="0"/>
      <w:marRight w:val="0"/>
      <w:marTop w:val="0"/>
      <w:marBottom w:val="0"/>
      <w:divBdr>
        <w:top w:val="none" w:sz="0" w:space="0" w:color="auto"/>
        <w:left w:val="none" w:sz="0" w:space="0" w:color="auto"/>
        <w:bottom w:val="none" w:sz="0" w:space="0" w:color="auto"/>
        <w:right w:val="none" w:sz="0" w:space="0" w:color="auto"/>
      </w:divBdr>
    </w:div>
    <w:div w:id="2034068439">
      <w:bodyDiv w:val="1"/>
      <w:marLeft w:val="0"/>
      <w:marRight w:val="0"/>
      <w:marTop w:val="0"/>
      <w:marBottom w:val="0"/>
      <w:divBdr>
        <w:top w:val="none" w:sz="0" w:space="0" w:color="auto"/>
        <w:left w:val="none" w:sz="0" w:space="0" w:color="auto"/>
        <w:bottom w:val="none" w:sz="0" w:space="0" w:color="auto"/>
        <w:right w:val="none" w:sz="0" w:space="0" w:color="auto"/>
      </w:divBdr>
    </w:div>
    <w:div w:id="21404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583/K041/583041815.pdf" TargetMode="External" Id="R5f28d59d879245da" /><Relationship Type="http://schemas.openxmlformats.org/officeDocument/2006/relationships/hyperlink" Target="https://docs.cpuc.ca.gov/PublishedDocs/Published/G000/M585/K052/585052991.pdf" TargetMode="External" Id="R96e799210d7840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8C4E7-55DB-4CA6-84E2-B9661E932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9F574-4FFF-472F-A42C-20BDCCFE8A8B}">
  <ds:schemaRefs>
    <ds:schemaRef ds:uri="http://schemas.openxmlformats.org/officeDocument/2006/bibliography"/>
  </ds:schemaRefs>
</ds:datastoreItem>
</file>

<file path=customXml/itemProps3.xml><?xml version="1.0" encoding="utf-8"?>
<ds:datastoreItem xmlns:ds="http://schemas.openxmlformats.org/officeDocument/2006/customXml" ds:itemID="{9B374419-CD28-4008-A593-DF05BE61AF91}">
  <ds:schemaRefs>
    <ds:schemaRef ds:uri="http://schemas.microsoft.com/office/2006/metadata/properties"/>
    <ds:schemaRef ds:uri="http://schemas.microsoft.com/office/infopath/2007/PartnerControls"/>
    <ds:schemaRef ds:uri="0498a0be-db2a-4749-93ec-e3fb091cf533"/>
    <ds:schemaRef ds:uri="e584c501-4907-45a6-a5fc-3e0757d7aab9"/>
  </ds:schemaRefs>
</ds:datastoreItem>
</file>

<file path=customXml/itemProps4.xml><?xml version="1.0" encoding="utf-8"?>
<ds:datastoreItem xmlns:ds="http://schemas.openxmlformats.org/officeDocument/2006/customXml" ds:itemID="{7D797839-FCB8-4AE4-8164-3FBA7492BEB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4797</ap:Words>
  <ap:Characters>27348</ap:Characters>
  <ap:Application>Microsoft Office Word</ap:Application>
  <ap:DocSecurity>0</ap:DocSecurity>
  <ap:Lines>227</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32081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2024-11-15T19:45:00Z</cp:lastPrinted>
  <dcterms:created xsi:type="dcterms:W3CDTF">2025-10-27T10:10:57Z</dcterms:created>
  <dcterms:modified xsi:type="dcterms:W3CDTF">2025-10-27T10:10:57Z</dcterms:modified>
</cp:coreProperties>
</file>