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422" w:rsidP="00FC1422" w:rsidRDefault="00FC1422" w14:paraId="00A2736E" w14:textId="06FBC803">
      <w:pPr>
        <w:tabs>
          <w:tab w:val="center" w:pos="4680"/>
          <w:tab w:val="right" w:pos="9360"/>
        </w:tabs>
        <w:spacing w:line="240" w:lineRule="auto"/>
        <w:ind w:firstLine="0"/>
        <w:rPr>
          <w:b/>
        </w:rPr>
      </w:pPr>
      <w:r>
        <w:t>ALJ/</w:t>
      </w:r>
      <w:r w:rsidR="00D64D60">
        <w:t>GT2</w:t>
      </w:r>
      <w:r>
        <w:t>/</w:t>
      </w:r>
      <w:r w:rsidR="00D64D60">
        <w:t>kp7</w:t>
      </w:r>
      <w:r w:rsidR="00644D18">
        <w:t xml:space="preserve">          </w:t>
      </w:r>
      <w:r>
        <w:tab/>
      </w:r>
      <w:r w:rsidR="00644D18">
        <w:t xml:space="preserve">   </w:t>
      </w:r>
      <w:r w:rsidR="00B41E8C">
        <w:t xml:space="preserve">  </w:t>
      </w:r>
      <w:r w:rsidR="00644D18">
        <w:t xml:space="preserve">    </w:t>
      </w:r>
      <w:r w:rsidRPr="00B41E8C">
        <w:rPr>
          <w:rFonts w:ascii="Arial" w:hAnsi="Arial" w:cs="Arial"/>
          <w:b/>
          <w:sz w:val="28"/>
          <w:szCs w:val="28"/>
        </w:rPr>
        <w:t xml:space="preserve">PROPOSED </w:t>
      </w:r>
      <w:r w:rsidRPr="00B41E8C" w:rsidR="00644D18">
        <w:rPr>
          <w:rFonts w:ascii="Arial" w:hAnsi="Arial" w:cs="Arial"/>
          <w:b/>
          <w:sz w:val="28"/>
          <w:szCs w:val="28"/>
        </w:rPr>
        <w:t>DECISION</w:t>
      </w:r>
      <w:r w:rsidRPr="00EE4315" w:rsidR="00644D18">
        <w:rPr>
          <w:b/>
        </w:rPr>
        <w:t xml:space="preserve"> </w:t>
      </w:r>
      <w:r w:rsidR="00B41E8C">
        <w:rPr>
          <w:b/>
        </w:rPr>
        <w:t xml:space="preserve">     </w:t>
      </w:r>
      <w:r w:rsidRPr="00EE4315" w:rsidR="00644D18">
        <w:rPr>
          <w:b/>
        </w:rPr>
        <w:t>Agenda</w:t>
      </w:r>
      <w:r w:rsidRPr="00EE4315">
        <w:rPr>
          <w:b/>
        </w:rPr>
        <w:t xml:space="preserve"> ID #</w:t>
      </w:r>
      <w:r w:rsidR="00561292">
        <w:rPr>
          <w:b/>
        </w:rPr>
        <w:t>23696</w:t>
      </w:r>
      <w:r w:rsidR="00A77283">
        <w:rPr>
          <w:b/>
        </w:rPr>
        <w:t>(Rev.1)</w:t>
      </w:r>
    </w:p>
    <w:p w:rsidR="00E72DF5" w:rsidP="00E72DF5" w:rsidRDefault="00E72DF5" w14:paraId="33AB9FA6" w14:textId="7DBFAD20">
      <w:pPr>
        <w:tabs>
          <w:tab w:val="center" w:pos="4680"/>
          <w:tab w:val="right" w:pos="9360"/>
        </w:tabs>
        <w:spacing w:line="240" w:lineRule="auto"/>
        <w:ind w:firstLine="0"/>
        <w:jc w:val="right"/>
        <w:rPr>
          <w:b/>
        </w:rPr>
      </w:pPr>
      <w:r>
        <w:rPr>
          <w:b/>
        </w:rPr>
        <w:t>Ratesetting</w:t>
      </w:r>
    </w:p>
    <w:p w:rsidR="00A77283" w:rsidP="00E72DF5" w:rsidRDefault="00A77283" w14:paraId="57EF8929" w14:textId="6433CE05">
      <w:pPr>
        <w:tabs>
          <w:tab w:val="center" w:pos="4680"/>
          <w:tab w:val="right" w:pos="9360"/>
        </w:tabs>
        <w:spacing w:line="240" w:lineRule="auto"/>
        <w:ind w:firstLine="0"/>
        <w:jc w:val="right"/>
      </w:pPr>
      <w:r>
        <w:rPr>
          <w:b/>
        </w:rPr>
        <w:t>10/6/2025 Item #3</w:t>
      </w:r>
    </w:p>
    <w:p w:rsidRPr="00D64D60" w:rsidR="00FC1422" w:rsidP="00991477" w:rsidRDefault="00FC1422" w14:paraId="46C1931B" w14:textId="3BC209B7">
      <w:pPr>
        <w:spacing w:line="240" w:lineRule="auto"/>
        <w:ind w:firstLine="0"/>
        <w:rPr>
          <w:b/>
          <w:bCs/>
          <w:sz w:val="24"/>
          <w:szCs w:val="24"/>
        </w:rPr>
      </w:pPr>
    </w:p>
    <w:p w:rsidR="00DA7B5D" w:rsidP="00D64D60" w:rsidRDefault="00DA7B5D" w14:paraId="37B43076" w14:textId="77777777">
      <w:pPr>
        <w:spacing w:line="240" w:lineRule="auto"/>
        <w:ind w:firstLine="0"/>
        <w:rPr>
          <w:sz w:val="24"/>
          <w:szCs w:val="24"/>
          <w:u w:val="single"/>
        </w:rPr>
      </w:pPr>
    </w:p>
    <w:p w:rsidRPr="00D64D60" w:rsidR="00D64D60" w:rsidP="00D64D60" w:rsidRDefault="00D64D60" w14:paraId="6447158B" w14:textId="0C1EBF0B">
      <w:pPr>
        <w:spacing w:line="240" w:lineRule="auto"/>
        <w:ind w:firstLine="0"/>
        <w:rPr>
          <w:szCs w:val="26"/>
          <w:u w:val="single"/>
        </w:rPr>
      </w:pPr>
      <w:r w:rsidRPr="00D64D60">
        <w:rPr>
          <w:szCs w:val="26"/>
        </w:rPr>
        <w:t>Decision</w:t>
      </w:r>
      <w:r w:rsidRPr="00D64D60">
        <w:rPr>
          <w:szCs w:val="26"/>
          <w:u w:val="single"/>
        </w:rPr>
        <w:t xml:space="preserve"> </w:t>
      </w:r>
      <w:r w:rsidRPr="00D64D60">
        <w:rPr>
          <w:b/>
          <w:bCs/>
          <w:szCs w:val="26"/>
          <w:u w:val="single"/>
        </w:rPr>
        <w:t>PROPOSED DECISION OF ALJ TOY</w:t>
      </w:r>
      <w:r w:rsidRPr="00D64D60">
        <w:rPr>
          <w:b/>
          <w:bCs/>
          <w:szCs w:val="26"/>
        </w:rPr>
        <w:t xml:space="preserve"> (Mailed</w:t>
      </w:r>
      <w:r w:rsidR="00561292">
        <w:rPr>
          <w:b/>
          <w:bCs/>
          <w:szCs w:val="26"/>
        </w:rPr>
        <w:t xml:space="preserve"> </w:t>
      </w:r>
      <w:r w:rsidR="002F4293">
        <w:rPr>
          <w:b/>
          <w:bCs/>
          <w:szCs w:val="26"/>
        </w:rPr>
        <w:t>8</w:t>
      </w:r>
      <w:r w:rsidR="00561292">
        <w:rPr>
          <w:b/>
          <w:bCs/>
          <w:szCs w:val="26"/>
        </w:rPr>
        <w:t>/</w:t>
      </w:r>
      <w:r w:rsidR="002F4293">
        <w:rPr>
          <w:b/>
          <w:bCs/>
          <w:szCs w:val="26"/>
        </w:rPr>
        <w:t>18</w:t>
      </w:r>
      <w:r w:rsidR="00561292">
        <w:rPr>
          <w:b/>
          <w:bCs/>
          <w:szCs w:val="26"/>
        </w:rPr>
        <w:t>/25</w:t>
      </w:r>
      <w:r w:rsidRPr="00D64D60">
        <w:rPr>
          <w:b/>
          <w:bCs/>
          <w:szCs w:val="26"/>
        </w:rPr>
        <w:t>)</w:t>
      </w:r>
    </w:p>
    <w:p w:rsidR="00D64D60" w:rsidP="00D64D60" w:rsidRDefault="00D64D60" w14:paraId="6C7000BF" w14:textId="77777777">
      <w:pPr>
        <w:spacing w:line="240" w:lineRule="auto"/>
        <w:ind w:firstLine="0"/>
        <w:rPr>
          <w:sz w:val="24"/>
          <w:szCs w:val="24"/>
          <w:u w:val="single"/>
        </w:rPr>
      </w:pPr>
    </w:p>
    <w:p w:rsidRPr="00D64D60" w:rsidR="00D64D60" w:rsidP="00D64D60" w:rsidRDefault="00D64D60" w14:paraId="79F1BF6E" w14:textId="77777777">
      <w:pPr>
        <w:spacing w:line="240" w:lineRule="auto"/>
        <w:ind w:firstLine="0"/>
        <w:rPr>
          <w:sz w:val="24"/>
          <w:szCs w:val="24"/>
          <w:u w:val="single"/>
        </w:rPr>
      </w:pPr>
    </w:p>
    <w:p w:rsidR="00DA7B5D" w:rsidP="00BB0243" w:rsidRDefault="00DA7B5D" w14:paraId="16B3F5B6"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0E60E9A" w14:textId="77777777">
      <w:pPr>
        <w:spacing w:line="240" w:lineRule="auto"/>
        <w:ind w:firstLine="0"/>
        <w:rPr>
          <w:rFonts w:ascii="Arial" w:hAnsi="Arial" w:cs="Arial"/>
          <w:sz w:val="24"/>
          <w:szCs w:val="24"/>
        </w:rPr>
      </w:pPr>
    </w:p>
    <w:p w:rsidR="00D64D60" w:rsidP="008F0116" w:rsidRDefault="00D64D60" w14:paraId="2F60A407"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7B5CD3" w:rsidTr="00D743A7" w14:paraId="68C8D7A5" w14:textId="77777777">
        <w:trPr>
          <w:jc w:val="center"/>
        </w:trPr>
        <w:tc>
          <w:tcPr>
            <w:tcW w:w="4680" w:type="dxa"/>
            <w:tcBorders>
              <w:top w:val="nil"/>
              <w:left w:val="nil"/>
              <w:bottom w:val="single" w:color="auto" w:sz="4" w:space="0"/>
              <w:right w:val="single" w:color="auto" w:sz="4" w:space="0"/>
            </w:tcBorders>
          </w:tcPr>
          <w:p w:rsidR="007B5CD3" w:rsidP="00724B53" w:rsidRDefault="00991477" w14:paraId="08CF29E0" w14:textId="77777777">
            <w:pPr>
              <w:spacing w:line="240" w:lineRule="auto"/>
              <w:ind w:firstLine="0"/>
              <w:rPr>
                <w:rFonts w:cs="Arial"/>
                <w:szCs w:val="26"/>
              </w:rPr>
            </w:pPr>
            <w:r w:rsidRPr="00991477">
              <w:rPr>
                <w:rFonts w:cs="Arial"/>
                <w:szCs w:val="26"/>
              </w:rPr>
              <w:t>Application of Pacific Gas and Electric Company (U39E) for Approval of its Demand Response Programs, Pilots and Budgets for Program Years 2023- 2027.</w:t>
            </w:r>
          </w:p>
          <w:p w:rsidRPr="00DA7B5D" w:rsidR="00D743A7" w:rsidP="00724B53" w:rsidRDefault="00D743A7" w14:paraId="119F41A4" w14:textId="0912172C">
            <w:pPr>
              <w:spacing w:line="240" w:lineRule="auto"/>
              <w:ind w:firstLine="0"/>
              <w:rPr>
                <w:rFonts w:cs="Arial"/>
                <w:szCs w:val="26"/>
              </w:rPr>
            </w:pPr>
          </w:p>
        </w:tc>
        <w:tc>
          <w:tcPr>
            <w:tcW w:w="4680" w:type="dxa"/>
            <w:tcBorders>
              <w:top w:val="nil"/>
              <w:left w:val="single" w:color="auto" w:sz="4" w:space="0"/>
              <w:bottom w:val="nil"/>
              <w:right w:val="nil"/>
            </w:tcBorders>
            <w:vAlign w:val="center"/>
          </w:tcPr>
          <w:p w:rsidRPr="00DA7B5D" w:rsidR="007B5CD3" w:rsidP="00724B53" w:rsidRDefault="007B5CD3" w14:paraId="25A5E82D" w14:textId="72A84092">
            <w:pPr>
              <w:spacing w:line="240" w:lineRule="auto"/>
              <w:ind w:firstLine="0"/>
              <w:jc w:val="center"/>
              <w:rPr>
                <w:rFonts w:cs="Arial"/>
                <w:szCs w:val="26"/>
              </w:rPr>
            </w:pPr>
            <w:r>
              <w:rPr>
                <w:rFonts w:cs="Arial"/>
                <w:szCs w:val="26"/>
              </w:rPr>
              <w:t>Application 22-05-00</w:t>
            </w:r>
            <w:r w:rsidR="00991477">
              <w:rPr>
                <w:rFonts w:cs="Arial"/>
                <w:szCs w:val="26"/>
              </w:rPr>
              <w:t>2</w:t>
            </w:r>
          </w:p>
        </w:tc>
      </w:tr>
      <w:tr w:rsidR="00D743A7" w:rsidTr="00D743A7" w14:paraId="2CC4DB69" w14:textId="77777777">
        <w:trPr>
          <w:jc w:val="center"/>
        </w:trPr>
        <w:tc>
          <w:tcPr>
            <w:tcW w:w="4680" w:type="dxa"/>
            <w:tcBorders>
              <w:top w:val="nil"/>
              <w:left w:val="nil"/>
              <w:bottom w:val="single" w:color="auto" w:sz="4" w:space="0"/>
              <w:right w:val="single" w:color="auto" w:sz="4" w:space="0"/>
            </w:tcBorders>
          </w:tcPr>
          <w:p w:rsidR="00D743A7" w:rsidP="00D743A7" w:rsidRDefault="00D743A7" w14:paraId="4A513544" w14:textId="77777777">
            <w:pPr>
              <w:tabs>
                <w:tab w:val="left" w:pos="4575"/>
              </w:tabs>
              <w:spacing w:line="240" w:lineRule="auto"/>
              <w:ind w:firstLine="0"/>
              <w:rPr>
                <w:rFonts w:eastAsia="Times New Roman" w:cs="Times New Roman"/>
                <w:szCs w:val="20"/>
              </w:rPr>
            </w:pPr>
          </w:p>
          <w:p w:rsidR="00D743A7" w:rsidP="00D743A7" w:rsidRDefault="00D743A7" w14:paraId="2E5D2CBA" w14:textId="0E861E9D">
            <w:pPr>
              <w:tabs>
                <w:tab w:val="left" w:pos="4575"/>
              </w:tabs>
              <w:spacing w:line="240" w:lineRule="auto"/>
              <w:ind w:firstLine="0"/>
              <w:rPr>
                <w:rFonts w:eastAsia="Times New Roman" w:cs="Times New Roman"/>
                <w:szCs w:val="20"/>
              </w:rPr>
            </w:pPr>
            <w:r>
              <w:rPr>
                <w:rFonts w:eastAsia="Times New Roman" w:cs="Times New Roman"/>
                <w:szCs w:val="20"/>
              </w:rPr>
              <w:t>And Related Matters.</w:t>
            </w:r>
          </w:p>
          <w:p w:rsidRPr="00991477" w:rsidR="00D743A7" w:rsidP="00724B53" w:rsidRDefault="00D743A7" w14:paraId="1CC9CC5C" w14:textId="77777777">
            <w:pPr>
              <w:spacing w:line="240" w:lineRule="auto"/>
              <w:ind w:firstLine="0"/>
              <w:rPr>
                <w:rFonts w:cs="Arial"/>
                <w:szCs w:val="26"/>
              </w:rPr>
            </w:pPr>
          </w:p>
        </w:tc>
        <w:tc>
          <w:tcPr>
            <w:tcW w:w="4680" w:type="dxa"/>
            <w:tcBorders>
              <w:top w:val="nil"/>
              <w:left w:val="single" w:color="auto" w:sz="4" w:space="0"/>
              <w:bottom w:val="nil"/>
              <w:right w:val="nil"/>
            </w:tcBorders>
            <w:vAlign w:val="center"/>
          </w:tcPr>
          <w:p w:rsidR="00D743A7" w:rsidP="00D743A7" w:rsidRDefault="00D743A7" w14:paraId="050861FB" w14:textId="77777777">
            <w:pPr>
              <w:spacing w:line="240" w:lineRule="auto"/>
              <w:ind w:firstLine="0"/>
              <w:jc w:val="center"/>
              <w:rPr>
                <w:rFonts w:eastAsia="Times New Roman" w:cs="Times New Roman"/>
                <w:szCs w:val="20"/>
              </w:rPr>
            </w:pPr>
            <w:r>
              <w:rPr>
                <w:rFonts w:eastAsia="Times New Roman" w:cs="Times New Roman"/>
                <w:szCs w:val="20"/>
              </w:rPr>
              <w:t xml:space="preserve">Application </w:t>
            </w:r>
            <w:r>
              <w:rPr>
                <w:rFonts w:eastAsia="Times New Roman" w:cs="Times New Roman"/>
                <w:spacing w:val="-2"/>
                <w:szCs w:val="20"/>
              </w:rPr>
              <w:t>22-05-</w:t>
            </w:r>
            <w:r>
              <w:rPr>
                <w:rFonts w:eastAsia="Times New Roman" w:cs="Times New Roman"/>
                <w:spacing w:val="-5"/>
                <w:szCs w:val="20"/>
              </w:rPr>
              <w:t>003</w:t>
            </w:r>
          </w:p>
          <w:p w:rsidR="00D743A7" w:rsidP="00D743A7" w:rsidRDefault="00D743A7" w14:paraId="04B19C46" w14:textId="2DA37E60">
            <w:pPr>
              <w:spacing w:line="240" w:lineRule="auto"/>
              <w:ind w:firstLine="0"/>
              <w:jc w:val="center"/>
              <w:rPr>
                <w:rFonts w:cs="Arial"/>
                <w:szCs w:val="26"/>
              </w:rPr>
            </w:pPr>
            <w:r>
              <w:rPr>
                <w:rFonts w:eastAsia="Times New Roman" w:cs="Times New Roman"/>
                <w:szCs w:val="20"/>
              </w:rPr>
              <w:t xml:space="preserve">Application </w:t>
            </w:r>
            <w:r>
              <w:rPr>
                <w:rFonts w:eastAsia="Times New Roman" w:cs="Times New Roman"/>
                <w:spacing w:val="-2"/>
                <w:szCs w:val="20"/>
              </w:rPr>
              <w:t>22-05-</w:t>
            </w:r>
            <w:r>
              <w:rPr>
                <w:rFonts w:eastAsia="Times New Roman" w:cs="Times New Roman"/>
                <w:spacing w:val="-5"/>
                <w:szCs w:val="20"/>
              </w:rPr>
              <w:t>004</w:t>
            </w:r>
          </w:p>
        </w:tc>
      </w:tr>
    </w:tbl>
    <w:p w:rsidRPr="00D743A7" w:rsidR="00D64D60" w:rsidP="00D743A7" w:rsidRDefault="00D64D60" w14:paraId="1873BEC0" w14:textId="77777777">
      <w:pPr>
        <w:ind w:firstLine="0"/>
      </w:pPr>
    </w:p>
    <w:p w:rsidR="0098655A" w:rsidP="00591B23" w:rsidRDefault="005850E3" w14:paraId="7F08D21F" w14:textId="2DE72B45">
      <w:pPr>
        <w:pStyle w:val="Dummy"/>
        <w:spacing w:after="240"/>
        <w:jc w:val="center"/>
      </w:pPr>
      <w:r>
        <w:t xml:space="preserve">DECISION </w:t>
      </w:r>
      <w:r w:rsidR="008F7635">
        <w:t>DENYING</w:t>
      </w:r>
      <w:r>
        <w:t xml:space="preserve"> PETITION FOR </w:t>
      </w:r>
      <w:r w:rsidR="00CB7371">
        <w:br/>
      </w:r>
      <w:r>
        <w:t xml:space="preserve">MODIFICATION OF DECISION </w:t>
      </w:r>
      <w:r w:rsidR="006910D3">
        <w:t>2</w:t>
      </w:r>
      <w:r w:rsidR="007E2A3F">
        <w:t>2-12-009</w:t>
      </w:r>
      <w:r>
        <w:t xml:space="preserve"> </w:t>
      </w:r>
    </w:p>
    <w:p w:rsidR="005A148C" w:rsidP="005A148C" w:rsidRDefault="005A148C" w14:paraId="1071EA72" w14:textId="77777777">
      <w:pPr>
        <w:pStyle w:val="Dummy"/>
      </w:pPr>
      <w:bookmarkStart w:name="_Toc8123714" w:id="0"/>
      <w:bookmarkStart w:name="_Toc12866683" w:id="1"/>
      <w:r>
        <w:t>Summary</w:t>
      </w:r>
      <w:bookmarkEnd w:id="0"/>
      <w:bookmarkEnd w:id="1"/>
    </w:p>
    <w:p w:rsidR="00CB7371" w:rsidP="00CB7371" w:rsidRDefault="005A148C" w14:paraId="3FD61186" w14:textId="58CD34CA">
      <w:pPr>
        <w:pStyle w:val="Standard"/>
      </w:pPr>
      <w:r>
        <w:t>Th</w:t>
      </w:r>
      <w:r w:rsidR="00CB7371">
        <w:t>is decision</w:t>
      </w:r>
      <w:r w:rsidR="008F7635">
        <w:t xml:space="preserve"> denies</w:t>
      </w:r>
      <w:r w:rsidR="007D7056">
        <w:t xml:space="preserve"> the Petition for Modification </w:t>
      </w:r>
      <w:r w:rsidR="00972567">
        <w:t xml:space="preserve">filed on </w:t>
      </w:r>
      <w:r w:rsidR="00991477">
        <w:t>February 19, 2025</w:t>
      </w:r>
      <w:r w:rsidR="003378F7">
        <w:t>,</w:t>
      </w:r>
      <w:r w:rsidR="00991477">
        <w:t xml:space="preserve"> by Clean Energy Alliance, San Diego Community Power, and </w:t>
      </w:r>
      <w:proofErr w:type="spellStart"/>
      <w:r w:rsidR="00991477">
        <w:t>Mission:</w:t>
      </w:r>
      <w:r w:rsidR="00952612">
        <w:t>d</w:t>
      </w:r>
      <w:r w:rsidR="00991477">
        <w:t>ata</w:t>
      </w:r>
      <w:proofErr w:type="spellEnd"/>
      <w:r w:rsidR="00991477">
        <w:t xml:space="preserve"> Coalition, I</w:t>
      </w:r>
      <w:r w:rsidR="00B70F41">
        <w:t>nc.</w:t>
      </w:r>
      <w:r w:rsidR="003378F7">
        <w:t xml:space="preserve"> seeking </w:t>
      </w:r>
      <w:r w:rsidR="00646D7C">
        <w:t>to modify Decision 2</w:t>
      </w:r>
      <w:r w:rsidR="00991477">
        <w:t>2</w:t>
      </w:r>
      <w:r w:rsidR="00646D7C">
        <w:t>-12-00</w:t>
      </w:r>
      <w:r w:rsidR="00991477">
        <w:t xml:space="preserve">9. </w:t>
      </w:r>
      <w:r w:rsidR="00CB7371">
        <w:t>This proceeding is closed.</w:t>
      </w:r>
    </w:p>
    <w:p w:rsidRPr="00EC7060" w:rsidR="005A148C" w:rsidP="00724D9F" w:rsidRDefault="002C7FE9" w14:paraId="7AFF11F1" w14:textId="77777777">
      <w:pPr>
        <w:pStyle w:val="Heading1"/>
      </w:pPr>
      <w:bookmarkStart w:name="_Toc8123715" w:id="2"/>
      <w:bookmarkStart w:name="_Toc12866684" w:id="3"/>
      <w:r w:rsidRPr="00EC7060">
        <w:t>Background</w:t>
      </w:r>
      <w:bookmarkEnd w:id="2"/>
      <w:bookmarkEnd w:id="3"/>
    </w:p>
    <w:p w:rsidR="004E48EF" w:rsidP="004E48EF" w:rsidRDefault="004E48EF" w14:paraId="7838EEBD" w14:textId="784B0BD7">
      <w:pPr>
        <w:pStyle w:val="Standard"/>
      </w:pPr>
      <w:r w:rsidRPr="004E48EF">
        <w:t>SDG&amp;E’s smart meter 1.0 devices utilize ZigBee technology as the basis for sending meter data to management systems to provide potential D</w:t>
      </w:r>
      <w:r w:rsidR="00D30348">
        <w:t xml:space="preserve">emand </w:t>
      </w:r>
      <w:r w:rsidRPr="004E48EF">
        <w:t>R</w:t>
      </w:r>
      <w:r w:rsidR="00D30348">
        <w:t>esponse (DR)</w:t>
      </w:r>
      <w:r w:rsidRPr="004E48EF">
        <w:t xml:space="preserve">, load shifting, and energy cost savings benefits. </w:t>
      </w:r>
      <w:r w:rsidRPr="00D30348" w:rsidR="00D30348">
        <w:t xml:space="preserve">San Diego Gas &amp; </w:t>
      </w:r>
      <w:r w:rsidRPr="00D30348" w:rsidR="00D30348">
        <w:lastRenderedPageBreak/>
        <w:t>Electric Company</w:t>
      </w:r>
      <w:r w:rsidR="00D30348">
        <w:t xml:space="preserve"> (</w:t>
      </w:r>
      <w:r w:rsidRPr="004E48EF">
        <w:t>SDG&amp;E</w:t>
      </w:r>
      <w:r w:rsidR="00D30348">
        <w:t>)</w:t>
      </w:r>
      <w:r w:rsidRPr="004E48EF">
        <w:t xml:space="preserve"> </w:t>
      </w:r>
      <w:r w:rsidR="00184AAD">
        <w:t>uses</w:t>
      </w:r>
      <w:r w:rsidR="00A525EB">
        <w:t xml:space="preserve"> smart meters that</w:t>
      </w:r>
      <w:r w:rsidR="00184AAD">
        <w:t xml:space="preserve"> </w:t>
      </w:r>
      <w:r w:rsidRPr="004E48EF">
        <w:t>are only</w:t>
      </w:r>
      <w:r>
        <w:t xml:space="preserve"> capable of connecting with customers’ Home Area Network (HAN)</w:t>
      </w:r>
      <w:r>
        <w:rPr>
          <w:rStyle w:val="FootnoteReference"/>
        </w:rPr>
        <w:footnoteReference w:id="2"/>
      </w:r>
      <w:r>
        <w:t xml:space="preserve"> via ZigBee technology.</w:t>
      </w:r>
    </w:p>
    <w:p w:rsidR="002C5C13" w:rsidP="00F9165F" w:rsidRDefault="00991477" w14:paraId="3349FE13" w14:textId="7E2EF788">
      <w:pPr>
        <w:pStyle w:val="Standard"/>
      </w:pPr>
      <w:r>
        <w:t xml:space="preserve">On May 2, 2022, Pacific Gas and Electric Company (PG&amp;E) </w:t>
      </w:r>
      <w:r w:rsidR="00F9165F">
        <w:t xml:space="preserve">filed </w:t>
      </w:r>
      <w:r>
        <w:t xml:space="preserve">Application (A.) 22-05-002, SDG&amp;E </w:t>
      </w:r>
      <w:r w:rsidR="00F9165F">
        <w:t xml:space="preserve">filed </w:t>
      </w:r>
      <w:r>
        <w:t>A.22-05-003,</w:t>
      </w:r>
      <w:r w:rsidR="00F9165F">
        <w:t xml:space="preserve"> </w:t>
      </w:r>
      <w:r>
        <w:t xml:space="preserve">and Southern California Edison Company (SCE) </w:t>
      </w:r>
      <w:r w:rsidR="00F9165F">
        <w:t xml:space="preserve">filed </w:t>
      </w:r>
      <w:r>
        <w:t>A.22-05-004</w:t>
      </w:r>
      <w:r w:rsidR="00E14807">
        <w:t>,</w:t>
      </w:r>
      <w:r>
        <w:t xml:space="preserve"> </w:t>
      </w:r>
      <w:r w:rsidR="00E14807">
        <w:t>seeking</w:t>
      </w:r>
      <w:r w:rsidR="00F9165F">
        <w:t xml:space="preserve"> approval </w:t>
      </w:r>
      <w:r w:rsidR="00E14807">
        <w:t>for</w:t>
      </w:r>
      <w:r w:rsidR="00F9165F">
        <w:t xml:space="preserve"> </w:t>
      </w:r>
      <w:r>
        <w:t>their respective 2023</w:t>
      </w:r>
      <w:r w:rsidR="00564EAC">
        <w:t xml:space="preserve">-2027 </w:t>
      </w:r>
      <w:r>
        <w:t>DR portfolio applications</w:t>
      </w:r>
      <w:r w:rsidR="00564EAC">
        <w:t>.</w:t>
      </w:r>
      <w:r w:rsidR="00AE297D">
        <w:t xml:space="preserve"> </w:t>
      </w:r>
      <w:r w:rsidR="00FF1189">
        <w:t xml:space="preserve">The utilities included </w:t>
      </w:r>
      <w:r w:rsidR="005A3C46">
        <w:t>proposals for</w:t>
      </w:r>
      <w:r w:rsidRPr="002C5C13" w:rsidR="002C5C13">
        <w:t xml:space="preserve"> their Demand Response Auction Mechanism Pilot (DRAM) programs</w:t>
      </w:r>
      <w:r w:rsidR="00FF1189">
        <w:t xml:space="preserve"> in the applications</w:t>
      </w:r>
      <w:r w:rsidRPr="002C5C13" w:rsidR="002C5C13">
        <w:t>.</w:t>
      </w:r>
    </w:p>
    <w:p w:rsidR="00564EAC" w:rsidP="002C5C13" w:rsidRDefault="002C5C13" w14:paraId="77488C07" w14:textId="10E2102F">
      <w:pPr>
        <w:pStyle w:val="Standard"/>
      </w:pPr>
      <w:r w:rsidRPr="002C5C13">
        <w:t xml:space="preserve">On December 6, 2022, the Commission issued Decision (D.) 22-12-009, </w:t>
      </w:r>
      <w:r w:rsidR="005A3C46">
        <w:t>resolving Phase I and approving</w:t>
      </w:r>
      <w:r w:rsidRPr="002C5C13">
        <w:t xml:space="preserve"> 2023 DR Bridge Year Funding</w:t>
      </w:r>
      <w:r w:rsidR="005A3C46">
        <w:t xml:space="preserve"> for </w:t>
      </w:r>
      <w:r w:rsidRPr="002A6399" w:rsidR="002A6399">
        <w:t>PG&amp;E, SCE, and SDG&amp;E.</w:t>
      </w:r>
      <w:r w:rsidR="002A6399">
        <w:t xml:space="preserve"> </w:t>
      </w:r>
      <w:r w:rsidR="00CC316C">
        <w:t>T</w:t>
      </w:r>
      <w:r w:rsidR="002A6399">
        <w:t xml:space="preserve">he decision </w:t>
      </w:r>
      <w:bookmarkStart w:name="_Hlk203052044" w:id="4"/>
      <w:r w:rsidR="002A6399">
        <w:t xml:space="preserve">found it reasonable </w:t>
      </w:r>
      <w:r w:rsidR="006977A2">
        <w:t xml:space="preserve">for SDG&amp;E to discontinue funding ZigBee technology support. </w:t>
      </w:r>
      <w:bookmarkEnd w:id="4"/>
    </w:p>
    <w:p w:rsidR="004E48EF" w:rsidP="00A6441B" w:rsidRDefault="00C55D67" w14:paraId="4E71EB48" w14:textId="2B7FD543">
      <w:pPr>
        <w:pStyle w:val="Standard"/>
      </w:pPr>
      <w:r>
        <w:t xml:space="preserve">On February 19, 2025, San Diego Community Power (SDCP), Clean Energy Alliance (CEA), and </w:t>
      </w:r>
      <w:proofErr w:type="spellStart"/>
      <w:r>
        <w:t>Mission:data</w:t>
      </w:r>
      <w:proofErr w:type="spellEnd"/>
      <w:r>
        <w:t xml:space="preserve"> Coalition, INC (</w:t>
      </w:r>
      <w:proofErr w:type="spellStart"/>
      <w:r>
        <w:t>Mission:data</w:t>
      </w:r>
      <w:proofErr w:type="spellEnd"/>
      <w:r w:rsidR="00CC316C">
        <w:t>)</w:t>
      </w:r>
      <w:r>
        <w:t xml:space="preserve"> </w:t>
      </w:r>
      <w:r w:rsidR="00CC316C">
        <w:t>(</w:t>
      </w:r>
      <w:r>
        <w:t xml:space="preserve">collectively, Petitioners) submitted </w:t>
      </w:r>
      <w:r w:rsidR="005A3C46">
        <w:t>the instant</w:t>
      </w:r>
      <w:r w:rsidR="005C0D47">
        <w:t xml:space="preserve"> joint Petition for Modification of D.22-12-0</w:t>
      </w:r>
      <w:r w:rsidR="00B70F41">
        <w:t>0</w:t>
      </w:r>
      <w:r w:rsidR="005C0D47">
        <w:t>9 (Petition). The Pet</w:t>
      </w:r>
      <w:r w:rsidR="00D363D6">
        <w:t>itioners allege that D.22-12-0</w:t>
      </w:r>
      <w:r w:rsidR="00B70F41">
        <w:t>0</w:t>
      </w:r>
      <w:r w:rsidR="00D363D6">
        <w:t xml:space="preserve">9 must be modified to require </w:t>
      </w:r>
      <w:r w:rsidR="00CB2EB9">
        <w:t xml:space="preserve">SDG&amp;E </w:t>
      </w:r>
      <w:r w:rsidR="00D363D6">
        <w:t>to reinstate Zig</w:t>
      </w:r>
      <w:r w:rsidR="00FF1189">
        <w:t>B</w:t>
      </w:r>
      <w:r w:rsidR="00D363D6">
        <w:t xml:space="preserve">ee </w:t>
      </w:r>
      <w:r w:rsidR="00B70F41">
        <w:t xml:space="preserve">connections </w:t>
      </w:r>
      <w:r w:rsidR="00E008E5">
        <w:t xml:space="preserve">and to enable new ZigBee connections until SDG&amp;E provides new </w:t>
      </w:r>
      <w:r w:rsidR="00407E84">
        <w:t>s</w:t>
      </w:r>
      <w:r w:rsidR="00E008E5">
        <w:t xml:space="preserve">mart </w:t>
      </w:r>
      <w:r w:rsidR="00407E84">
        <w:t>m</w:t>
      </w:r>
      <w:r w:rsidR="00E008E5">
        <w:t>eters that provide near real-time energy usage data access.</w:t>
      </w:r>
      <w:r w:rsidR="00B0049F">
        <w:t xml:space="preserve"> </w:t>
      </w:r>
    </w:p>
    <w:p w:rsidR="00724D9F" w:rsidP="00724D9F" w:rsidRDefault="004A5D33" w14:paraId="4ED412FE" w14:textId="7B02FC39">
      <w:pPr>
        <w:pStyle w:val="Heading1"/>
      </w:pPr>
      <w:r>
        <w:t>Petition for Modification</w:t>
      </w:r>
    </w:p>
    <w:p w:rsidR="004E48EF" w:rsidP="004E48EF" w:rsidRDefault="004E48EF" w14:paraId="0227B5FA" w14:textId="27C8266E">
      <w:pPr>
        <w:pStyle w:val="Standard"/>
      </w:pPr>
      <w:r>
        <w:t xml:space="preserve">The Petition argues </w:t>
      </w:r>
      <w:r w:rsidR="001E222F">
        <w:t xml:space="preserve">that </w:t>
      </w:r>
      <w:r>
        <w:t xml:space="preserve">the </w:t>
      </w:r>
      <w:r w:rsidRPr="003B02E3">
        <w:t>approval to discontinue funding ZigBee technology support</w:t>
      </w:r>
      <w:r>
        <w:t xml:space="preserve"> in D.22-12-009</w:t>
      </w:r>
      <w:r w:rsidRPr="003313C8">
        <w:t xml:space="preserve"> </w:t>
      </w:r>
      <w:r>
        <w:t xml:space="preserve">was premised on the near-term rollout of new </w:t>
      </w:r>
      <w:r>
        <w:lastRenderedPageBreak/>
        <w:t>smart meters that would utilize Wi-Fi instead of ZigBee connectivity.</w:t>
      </w:r>
      <w:r>
        <w:rPr>
          <w:rStyle w:val="FootnoteReference"/>
        </w:rPr>
        <w:footnoteReference w:id="3"/>
      </w:r>
      <w:r>
        <w:t xml:space="preserve"> The Petition further argues that D.22-12-009 does not authorize SDG&amp;E’s failure to reconnect and refusal to make new connections between existing smart meters and customers’ HAN devices.</w:t>
      </w:r>
      <w:r>
        <w:rPr>
          <w:rStyle w:val="FootnoteReference"/>
        </w:rPr>
        <w:footnoteReference w:id="4"/>
      </w:r>
      <w:r>
        <w:t xml:space="preserve"> Petitioners assert that SDG&amp;E customers who lose ZigBee connectivity are unable to reconnect their HAN devices and are therefore unable to collect or provide near real-time energy usage data.</w:t>
      </w:r>
      <w:r>
        <w:rPr>
          <w:rStyle w:val="FootnoteReference"/>
        </w:rPr>
        <w:footnoteReference w:id="5"/>
      </w:r>
      <w:r>
        <w:t xml:space="preserve"> Petitioners state that without access to near-real time data, customers are not afforded the benefits of smart meters in SDG&amp;E’s distribution territory.</w:t>
      </w:r>
      <w:r>
        <w:rPr>
          <w:rStyle w:val="FootnoteReference"/>
        </w:rPr>
        <w:footnoteReference w:id="6"/>
      </w:r>
    </w:p>
    <w:p w:rsidR="004E48EF" w:rsidP="004E48EF" w:rsidRDefault="004E48EF" w14:paraId="487CF543" w14:textId="77777777">
      <w:pPr>
        <w:pStyle w:val="Standard"/>
      </w:pPr>
      <w:r>
        <w:t>The Petition asserts that D.22-12-009 failed to address SDG&amp;E compliance with providing real-time energy usage data for customers as required by the “Real Time Usage Data Access Orders.”</w:t>
      </w:r>
      <w:r>
        <w:rPr>
          <w:rStyle w:val="FootnoteReference"/>
        </w:rPr>
        <w:footnoteReference w:id="7"/>
      </w:r>
      <w:r>
        <w:t xml:space="preserve">  The Petition argues that if SDG&amp;E testimony was included in D.22-12-009, this would have partially addressed SDG&amp;E’s noncompliance.</w:t>
      </w:r>
      <w:r>
        <w:rPr>
          <w:rStyle w:val="FootnoteReference"/>
        </w:rPr>
        <w:footnoteReference w:id="8"/>
      </w:r>
      <w:r>
        <w:t xml:space="preserve"> Moreover, Petitioners state that because D.24-12-074 requires SDG&amp;E to file a separate application for the smart meter 2.0 project, SDG&amp;E’s existing smart meters will likely not be replaced for several more years. In the interim, SDG&amp;E customers who lose connectivity will not have access to near-real time data.</w:t>
      </w:r>
      <w:r>
        <w:rPr>
          <w:rStyle w:val="FootnoteReference"/>
        </w:rPr>
        <w:footnoteReference w:id="9"/>
      </w:r>
      <w:r>
        <w:t xml:space="preserve"> </w:t>
      </w:r>
    </w:p>
    <w:p w:rsidR="0009012D" w:rsidP="0009012D" w:rsidRDefault="004E48EF" w14:paraId="4188898C" w14:textId="74779CD1">
      <w:pPr>
        <w:pStyle w:val="Standard"/>
        <w:spacing w:after="120"/>
      </w:pPr>
      <w:r>
        <w:lastRenderedPageBreak/>
        <w:t xml:space="preserve">To remedy this issue, the Petition asks that modifications be made to D.22-12-009 to explicitly require SDG&amp;E to reinstate existing ZigBee </w:t>
      </w:r>
      <w:r w:rsidR="0009012D">
        <w:t>dis</w:t>
      </w:r>
      <w:r>
        <w:t>connections and enable new ZigBee connections until SDG&amp;E provides new smart meters that provide near real-time energy usage data access.</w:t>
      </w:r>
    </w:p>
    <w:p w:rsidR="000A761D" w:rsidP="0009012D" w:rsidRDefault="00470B01" w14:paraId="2A62F8E7" w14:textId="71E89B8E">
      <w:pPr>
        <w:pStyle w:val="Standard"/>
        <w:spacing w:after="120"/>
      </w:pPr>
      <w:r>
        <w:t>Responses</w:t>
      </w:r>
      <w:r w:rsidR="00B0049F">
        <w:t xml:space="preserve"> were filed by </w:t>
      </w:r>
      <w:r w:rsidR="00A6441B">
        <w:t>SDG&amp;E</w:t>
      </w:r>
      <w:r w:rsidR="0095780E">
        <w:t xml:space="preserve"> and </w:t>
      </w:r>
      <w:r w:rsidRPr="002C5C13" w:rsidR="00BC2BB8">
        <w:t>California Efficiency + Demand Management Council (</w:t>
      </w:r>
      <w:r w:rsidR="00BC2BB8">
        <w:t>t</w:t>
      </w:r>
      <w:r w:rsidRPr="002C5C13" w:rsidR="00BC2BB8">
        <w:t>he Council</w:t>
      </w:r>
      <w:r w:rsidR="00BC2BB8">
        <w:t>)</w:t>
      </w:r>
      <w:r w:rsidR="00A6441B">
        <w:t xml:space="preserve"> on March</w:t>
      </w:r>
      <w:r w:rsidR="00EC512B">
        <w:t xml:space="preserve"> 21, 2025</w:t>
      </w:r>
      <w:r w:rsidR="009A2A98">
        <w:t xml:space="preserve">. A </w:t>
      </w:r>
      <w:r>
        <w:t>reply to the responses</w:t>
      </w:r>
      <w:r w:rsidR="009A2A98">
        <w:t xml:space="preserve"> was filed by Petitioners on April 1, 2025.</w:t>
      </w:r>
    </w:p>
    <w:p w:rsidR="000A761D" w:rsidP="00724D9F" w:rsidRDefault="000A761D" w14:paraId="46A18175" w14:textId="0ED58F34">
      <w:pPr>
        <w:pStyle w:val="Heading1"/>
      </w:pPr>
      <w:r>
        <w:t>Comments on</w:t>
      </w:r>
      <w:r w:rsidR="004A5D33">
        <w:t xml:space="preserve"> </w:t>
      </w:r>
      <w:proofErr w:type="gramStart"/>
      <w:r w:rsidR="004A5D33">
        <w:t>the</w:t>
      </w:r>
      <w:r>
        <w:t xml:space="preserve"> Petition</w:t>
      </w:r>
      <w:proofErr w:type="gramEnd"/>
    </w:p>
    <w:p w:rsidR="0080509D" w:rsidP="000A761D" w:rsidRDefault="000A761D" w14:paraId="4F922876" w14:textId="77777777">
      <w:pPr>
        <w:pStyle w:val="Standard"/>
      </w:pPr>
      <w:r>
        <w:t>Response</w:t>
      </w:r>
      <w:r w:rsidR="00470B01">
        <w:t>s</w:t>
      </w:r>
      <w:r>
        <w:t xml:space="preserve"> to the Petition were filed by SDG&amp;E and the Council. SDG&amp;E opposed the Petition, while the Council supported it. SDG&amp;E stated that the Petition should be denied, as it does not allege new or changed facts. SDG&amp;E states that D.22-12-009 had authorized SDG&amp;E to discontinue HAN pairing and support for ZigBee technology for two reasons, both of which continue to be valid and reasonable. First, the meter market is moving towards Wi-Fi device communications and, second, vendors are no longer supporting ZigBee technology.</w:t>
      </w:r>
      <w:r>
        <w:rPr>
          <w:rStyle w:val="FootnoteReference"/>
        </w:rPr>
        <w:footnoteReference w:id="10"/>
      </w:r>
      <w:r>
        <w:t xml:space="preserve"> </w:t>
      </w:r>
    </w:p>
    <w:p w:rsidR="000A761D" w:rsidP="000A761D" w:rsidRDefault="000A761D" w14:paraId="3CF045DD" w14:textId="7B136796">
      <w:pPr>
        <w:pStyle w:val="Standard"/>
      </w:pPr>
      <w:r>
        <w:t xml:space="preserve">Additionally, SDG&amp;E </w:t>
      </w:r>
      <w:r w:rsidR="0080509D">
        <w:t>asserts</w:t>
      </w:r>
      <w:r>
        <w:t xml:space="preserve"> that the Commission did not condition its decision to terminate funding for ZigBee support on whether SDG&amp;</w:t>
      </w:r>
      <w:proofErr w:type="gramStart"/>
      <w:r>
        <w:t>E’s</w:t>
      </w:r>
      <w:proofErr w:type="gramEnd"/>
      <w:r>
        <w:t xml:space="preserve"> proposed roll out of their smart meter 2.0 project was approved in SDG&amp;E’s Test Year 2024 General Rate Case. Moreover, the possible denial of SDG&amp;E’s smart meter 2.0 </w:t>
      </w:r>
      <w:r w:rsidR="004123FD">
        <w:t xml:space="preserve">project </w:t>
      </w:r>
      <w:r>
        <w:t>was likely a fact or circumstance that the Commission had already considered.</w:t>
      </w:r>
      <w:r>
        <w:rPr>
          <w:rStyle w:val="FootnoteReference"/>
        </w:rPr>
        <w:footnoteReference w:id="11"/>
      </w:r>
      <w:r w:rsidRPr="001132EB">
        <w:t xml:space="preserve"> </w:t>
      </w:r>
      <w:r>
        <w:t xml:space="preserve">SDG&amp;E </w:t>
      </w:r>
      <w:r w:rsidR="0080509D">
        <w:t xml:space="preserve">argues </w:t>
      </w:r>
      <w:r>
        <w:t xml:space="preserve">that it is neither feasible nor practical to reinstate ZigBee support or offer new ZigBee/HAN connections as none of the major </w:t>
      </w:r>
      <w:r>
        <w:lastRenderedPageBreak/>
        <w:t>smart meter vendors utilize ZigBee technology today,</w:t>
      </w:r>
      <w:r>
        <w:rPr>
          <w:rStyle w:val="FootnoteReference"/>
        </w:rPr>
        <w:footnoteReference w:id="12"/>
      </w:r>
      <w:r>
        <w:t xml:space="preserve"> and SDG&amp;E does not have the in-house capabilities to remotely pair ZigBee devices.</w:t>
      </w:r>
      <w:r>
        <w:rPr>
          <w:rStyle w:val="FootnoteReference"/>
        </w:rPr>
        <w:footnoteReference w:id="13"/>
      </w:r>
      <w:r w:rsidRPr="0013403E">
        <w:t xml:space="preserve"> </w:t>
      </w:r>
      <w:r>
        <w:t>SDG&amp;E also argues that the Petition mistakenly asserts that SDG&amp;E guaranteed the availability of smart meter 2.0 technology. SDG&amp;E noted in testimony that it had issued a request for proposal for new smart meters, but did not make guarantees as to the technology’s availability.</w:t>
      </w:r>
      <w:r>
        <w:rPr>
          <w:rStyle w:val="FootnoteReference"/>
        </w:rPr>
        <w:footnoteReference w:id="14"/>
      </w:r>
      <w:r w:rsidRPr="0013403E">
        <w:t xml:space="preserve"> </w:t>
      </w:r>
      <w:r>
        <w:t>Also, SDG&amp;E states that it already provides near real-time billing data to the Community Choice Aggregators (CCAs), within two to three days of the meter read, and SDG&amp;E has not received any feedback concerning whether the level of data access was insufficient since this program started in 2023.</w:t>
      </w:r>
      <w:r>
        <w:rPr>
          <w:rStyle w:val="FootnoteReference"/>
        </w:rPr>
        <w:footnoteReference w:id="15"/>
      </w:r>
    </w:p>
    <w:p w:rsidR="000A761D" w:rsidP="000A761D" w:rsidRDefault="000A761D" w14:paraId="68B51064" w14:textId="3279EB3E">
      <w:pPr>
        <w:pStyle w:val="Standard"/>
      </w:pPr>
      <w:r>
        <w:t xml:space="preserve"> In re</w:t>
      </w:r>
      <w:r w:rsidR="00470B01">
        <w:t>ply</w:t>
      </w:r>
      <w:r>
        <w:t>, Petitioners reassert that SDG&amp;E’s plan to replace existing smart meters with Wi-Fi enabled meters was a key assumption based on SDG&amp;E’s testimony and D.22-12-009’s text.</w:t>
      </w:r>
      <w:r>
        <w:rPr>
          <w:rStyle w:val="FootnoteReference"/>
        </w:rPr>
        <w:footnoteReference w:id="16"/>
      </w:r>
      <w:r>
        <w:t xml:space="preserve"> Petitioners argue that SDG&amp;E’s testimony included references to smart meter upgrades that indicate discontinuing ZigBee service was premised on those upgrades.</w:t>
      </w:r>
      <w:r>
        <w:rPr>
          <w:rStyle w:val="FootnoteReference"/>
        </w:rPr>
        <w:footnoteReference w:id="17"/>
      </w:r>
      <w:r>
        <w:t xml:space="preserve"> Petitioners also contend that SDG&amp;E’s existing smart meters are enabled to perform manual pairing services without the need of a new vendor,</w:t>
      </w:r>
      <w:r>
        <w:rPr>
          <w:rStyle w:val="FootnoteReference"/>
        </w:rPr>
        <w:footnoteReference w:id="18"/>
      </w:r>
      <w:r>
        <w:t xml:space="preserve"> and, in the alternative, automated pairing of ZigBee devices is supported by some vendors.</w:t>
      </w:r>
      <w:r>
        <w:rPr>
          <w:rStyle w:val="FootnoteReference"/>
        </w:rPr>
        <w:footnoteReference w:id="19"/>
      </w:r>
      <w:r>
        <w:t xml:space="preserve"> Lastly, Petitioners argue that </w:t>
      </w:r>
      <w:r>
        <w:lastRenderedPageBreak/>
        <w:t>providing billing quality data to the CCAs within two to three days of the meter read is not equivalent to real-time energy usage data access.</w:t>
      </w:r>
      <w:r>
        <w:rPr>
          <w:rStyle w:val="FootnoteReference"/>
        </w:rPr>
        <w:footnoteReference w:id="20"/>
      </w:r>
      <w:r>
        <w:t xml:space="preserve"> </w:t>
      </w:r>
    </w:p>
    <w:p w:rsidR="00C55D67" w:rsidP="00470B01" w:rsidRDefault="000A761D" w14:paraId="354F538F" w14:textId="20224BC3">
      <w:pPr>
        <w:pStyle w:val="Standard"/>
      </w:pPr>
      <w:r>
        <w:t>The Council argues that approval of the Petition is essential to achieving state load management policies. The Council also argues that the Commission could not have intended to leave SDG&amp;E customers without access to real-time data necessary to implement dynamic rates under the Flexible Unified Signal for Energy in California (</w:t>
      </w:r>
      <w:proofErr w:type="spellStart"/>
      <w:r>
        <w:t>CalFUSE</w:t>
      </w:r>
      <w:proofErr w:type="spellEnd"/>
      <w:r>
        <w:t>) framework, California Energy Commission’s Load Management Standards, and California’s goal of shifting seven gigawatts of electrical load by 2030.</w:t>
      </w:r>
      <w:r>
        <w:rPr>
          <w:rStyle w:val="FootnoteReference"/>
        </w:rPr>
        <w:footnoteReference w:id="21"/>
      </w:r>
    </w:p>
    <w:p w:rsidRPr="00564EAC" w:rsidR="004804DC" w:rsidP="00A6441B" w:rsidRDefault="004804DC" w14:paraId="6B10B46F" w14:textId="309365FD">
      <w:pPr>
        <w:pStyle w:val="Standard"/>
      </w:pPr>
      <w:r w:rsidRPr="004804DC">
        <w:t xml:space="preserve">This matter was submitted upon the filing of the response to reply comments on </w:t>
      </w:r>
      <w:r>
        <w:t xml:space="preserve">April 1, 2025. </w:t>
      </w:r>
    </w:p>
    <w:p w:rsidR="00F23AC7" w:rsidP="00724D9F" w:rsidRDefault="00F23AC7" w14:paraId="515A7D41" w14:textId="1AEF46E2">
      <w:pPr>
        <w:pStyle w:val="Heading1"/>
      </w:pPr>
      <w:bookmarkStart w:name="_Toc495917407" w:id="5"/>
      <w:bookmarkStart w:name="_Toc496263520" w:id="6"/>
      <w:r>
        <w:t>Issues Before the Commission</w:t>
      </w:r>
    </w:p>
    <w:p w:rsidR="009C5578" w:rsidP="00470B01" w:rsidRDefault="00C6579C" w14:paraId="2FAD4412" w14:textId="1000885A">
      <w:pPr>
        <w:pStyle w:val="Standard"/>
      </w:pPr>
      <w:r w:rsidRPr="00470B01">
        <w:t>The Commission must determine whether to grant the Petition and make modifications to D.2</w:t>
      </w:r>
      <w:r w:rsidRPr="00470B01" w:rsidR="00991477">
        <w:t>2</w:t>
      </w:r>
      <w:r w:rsidRPr="00470B01">
        <w:t>-12-0</w:t>
      </w:r>
      <w:r w:rsidRPr="00470B01" w:rsidR="00991477">
        <w:t>09</w:t>
      </w:r>
      <w:r w:rsidRPr="00470B01">
        <w:t xml:space="preserve"> as requested, make some of the modifications requested, or deny the Petition.</w:t>
      </w:r>
    </w:p>
    <w:bookmarkEnd w:id="5"/>
    <w:bookmarkEnd w:id="6"/>
    <w:p w:rsidR="005850E3" w:rsidP="00724D9F" w:rsidRDefault="0007427B" w14:paraId="74F8FED9" w14:textId="795C9043">
      <w:pPr>
        <w:pStyle w:val="Heading1"/>
      </w:pPr>
      <w:r>
        <w:t>Legal Standard and Discussion</w:t>
      </w:r>
    </w:p>
    <w:p w:rsidR="00410765" w:rsidP="00410765" w:rsidRDefault="00955C02" w14:paraId="684FC656" w14:textId="3F12FAFD">
      <w:pPr>
        <w:pStyle w:val="Standard"/>
      </w:pPr>
      <w:bookmarkStart w:name="_Hlk205194269" w:id="7"/>
      <w:r w:rsidRPr="00955C02">
        <w:t xml:space="preserve">Public Utilities </w:t>
      </w:r>
      <w:r w:rsidR="007C0447">
        <w:t xml:space="preserve">Code </w:t>
      </w:r>
      <w:r w:rsidRPr="00955C02">
        <w:t>(Pub. Util. Code</w:t>
      </w:r>
      <w:r w:rsidR="007C0447">
        <w:t>)</w:t>
      </w:r>
      <w:r w:rsidRPr="00955C02">
        <w:t xml:space="preserve"> </w:t>
      </w:r>
      <w:bookmarkEnd w:id="7"/>
      <w:r w:rsidRPr="00955C02">
        <w:t xml:space="preserve">Section 1708 authorizes the Commission to “rescind, alter, or amend any order or decision made by it” after providing proper notice to the parties and an opportunity to be heard. By its very nature, the Commission’s authority under Section 1708 is an extraordinary remedy. It must be exercised with care, justified by extraordinary circumstances, </w:t>
      </w:r>
      <w:r w:rsidRPr="00955C02">
        <w:lastRenderedPageBreak/>
        <w:t>and remain consistent with the fundamental principles of res judicata because “Section 1708 represents a departure from the standard that settled expectations should be allowed to stand undisturbed.</w:t>
      </w:r>
      <w:r w:rsidR="005965FB">
        <w:t>”</w:t>
      </w:r>
      <w:r w:rsidR="005965FB">
        <w:rPr>
          <w:rStyle w:val="FootnoteReference"/>
        </w:rPr>
        <w:footnoteReference w:id="22"/>
      </w:r>
      <w:r w:rsidR="009D624E">
        <w:t xml:space="preserve"> </w:t>
      </w:r>
      <w:r w:rsidRPr="003658B3" w:rsidR="00C549B2">
        <w:t>Rule 16.4</w:t>
      </w:r>
      <w:r w:rsidR="00C549B2">
        <w:t xml:space="preserve"> of the Commission’s Rules of Practice and Procedure (Rules)</w:t>
      </w:r>
      <w:r w:rsidR="00C549B2">
        <w:rPr>
          <w:rStyle w:val="FootnoteReference"/>
        </w:rPr>
        <w:footnoteReference w:id="23"/>
      </w:r>
      <w:r w:rsidRPr="003658B3" w:rsidR="00C549B2">
        <w:t xml:space="preserve"> governs the process for the filing and consideration of </w:t>
      </w:r>
      <w:r w:rsidR="00A550DA">
        <w:t>petitions for modification.</w:t>
      </w:r>
      <w:r w:rsidRPr="003658B3" w:rsidR="00C549B2">
        <w:t xml:space="preserve"> </w:t>
      </w:r>
      <w:r w:rsidR="009D624E">
        <w:t xml:space="preserve">Rules 16.4(b), 16.4(d), and 16.4(e) govern the justification, timing, and party status requirements of </w:t>
      </w:r>
      <w:r w:rsidR="00A550DA">
        <w:t>petition</w:t>
      </w:r>
      <w:r w:rsidR="009D624E">
        <w:t>s</w:t>
      </w:r>
      <w:r w:rsidR="00A550DA">
        <w:t xml:space="preserve"> for modification</w:t>
      </w:r>
      <w:r w:rsidR="009D624E">
        <w:t xml:space="preserve"> and must be satisfied </w:t>
      </w:r>
      <w:proofErr w:type="gramStart"/>
      <w:r w:rsidR="00A550DA">
        <w:t>in order to</w:t>
      </w:r>
      <w:proofErr w:type="gramEnd"/>
      <w:r w:rsidR="009D624E">
        <w:t xml:space="preserve"> find that the Petition is procedurally sufficient.</w:t>
      </w:r>
    </w:p>
    <w:p w:rsidRPr="00A63F71" w:rsidR="00A63F71" w:rsidP="009D624E" w:rsidRDefault="00A63F71" w14:paraId="48A31BEB" w14:textId="082A0E20">
      <w:pPr>
        <w:pStyle w:val="Heading2"/>
      </w:pPr>
      <w:r>
        <w:t>Rule 16.4(b)</w:t>
      </w:r>
      <w:r w:rsidR="00F135CB">
        <w:t xml:space="preserve"> </w:t>
      </w:r>
    </w:p>
    <w:p w:rsidR="005850E3" w:rsidP="00917C23" w:rsidRDefault="005850E3" w14:paraId="0F55AFC4" w14:textId="0A4265D8">
      <w:pPr>
        <w:pStyle w:val="Standard"/>
      </w:pPr>
      <w:r w:rsidRPr="003658B3">
        <w:t xml:space="preserve">Rule 16.4(b) requires that a petition for modification concisely </w:t>
      </w:r>
      <w:r w:rsidRPr="003658B3" w:rsidR="00A50B88">
        <w:t>state</w:t>
      </w:r>
      <w:r w:rsidR="004123FD">
        <w:t>s</w:t>
      </w:r>
      <w:r w:rsidRPr="003658B3">
        <w:t xml:space="preserve"> the justification for the proposed relief</w:t>
      </w:r>
      <w:r w:rsidR="005B303B">
        <w:t>,</w:t>
      </w:r>
      <w:r w:rsidRPr="003658B3">
        <w:t xml:space="preserve"> and</w:t>
      </w:r>
      <w:r w:rsidR="005B303B">
        <w:t xml:space="preserve"> that it</w:t>
      </w:r>
      <w:r w:rsidRPr="003658B3">
        <w:t xml:space="preserve"> propose</w:t>
      </w:r>
      <w:r w:rsidR="005B303B">
        <w:t>s</w:t>
      </w:r>
      <w:r w:rsidRPr="003658B3">
        <w:t xml:space="preserve"> specific wording for all requested modifications.</w:t>
      </w:r>
      <w:r>
        <w:t xml:space="preserve"> </w:t>
      </w:r>
      <w:r w:rsidRPr="00C81595" w:rsidR="00C81595">
        <w:t>Any factual allegations must be supported with specific citations to the record in the proceeding or to matters that may be officially noticed. Allegations of new or changed facts must be supported by an appropriate declaration or affidavit.</w:t>
      </w:r>
    </w:p>
    <w:p w:rsidR="00E406F9" w:rsidP="00E406F9" w:rsidRDefault="00BF1DDD" w14:paraId="7D23AE07" w14:textId="5E0DFDC6">
      <w:pPr>
        <w:pStyle w:val="Standard"/>
      </w:pPr>
      <w:r>
        <w:t>In Exhibit D</w:t>
      </w:r>
      <w:r w:rsidR="0050656C">
        <w:t xml:space="preserve"> of the Petition</w:t>
      </w:r>
      <w:r>
        <w:t>, Petition</w:t>
      </w:r>
      <w:r w:rsidR="0050656C">
        <w:t>ers</w:t>
      </w:r>
      <w:r w:rsidR="00E406F9">
        <w:t xml:space="preserve"> propose specific language </w:t>
      </w:r>
      <w:r>
        <w:t xml:space="preserve">that </w:t>
      </w:r>
      <w:r w:rsidR="00E406F9">
        <w:t>should be inserted into D.22-12-009 to clarify that SDG&amp;E must continue to provide its customers with real-time (or near real-time) energy usage data from SDG&amp;E’s Advanced Metering Infrastructure (AMI).</w:t>
      </w:r>
      <w:r w:rsidR="00DE6CB0">
        <w:rPr>
          <w:rStyle w:val="FootnoteReference"/>
        </w:rPr>
        <w:footnoteReference w:id="24"/>
      </w:r>
      <w:r w:rsidR="00E406F9">
        <w:t xml:space="preserve"> The Petition also included three declarations</w:t>
      </w:r>
      <w:r>
        <w:t xml:space="preserve"> pr</w:t>
      </w:r>
      <w:r w:rsidR="00E406F9">
        <w:t>oviding factual support for DR program effectiveness, ZigBee feasibility and connectivity, and th</w:t>
      </w:r>
      <w:r w:rsidR="008125E2">
        <w:t>e fact that</w:t>
      </w:r>
      <w:r w:rsidR="00E406F9">
        <w:t xml:space="preserve"> SDG&amp;E is not reconnect</w:t>
      </w:r>
      <w:r w:rsidR="004123FD">
        <w:t>ing</w:t>
      </w:r>
      <w:r w:rsidR="00E406F9">
        <w:t xml:space="preserve"> </w:t>
      </w:r>
      <w:r w:rsidR="00E406F9">
        <w:lastRenderedPageBreak/>
        <w:t>customers’ ZigBee disconnections.</w:t>
      </w:r>
      <w:r>
        <w:rPr>
          <w:rStyle w:val="FootnoteReference"/>
        </w:rPr>
        <w:footnoteReference w:id="25"/>
      </w:r>
      <w:r w:rsidR="00E406F9">
        <w:t xml:space="preserve"> </w:t>
      </w:r>
      <w:r w:rsidR="006A3D08">
        <w:t xml:space="preserve">The Petition includes appropriate declarations as required by Rule 16.4(b). </w:t>
      </w:r>
    </w:p>
    <w:p w:rsidR="009C5578" w:rsidP="009C5578" w:rsidRDefault="008125E2" w14:paraId="11F5A526" w14:textId="3518177D">
      <w:pPr>
        <w:pStyle w:val="Standard"/>
      </w:pPr>
      <w:r>
        <w:t>T</w:t>
      </w:r>
      <w:r w:rsidR="00BF1DDD">
        <w:t>he</w:t>
      </w:r>
      <w:r w:rsidR="009C5578">
        <w:t xml:space="preserve"> Petition asserts that </w:t>
      </w:r>
      <w:r w:rsidRPr="007E2A3F" w:rsidR="009C5578">
        <w:t>D.24-12-0</w:t>
      </w:r>
      <w:r w:rsidR="00DB59D1">
        <w:t>74</w:t>
      </w:r>
      <w:r w:rsidR="009C5578">
        <w:t xml:space="preserve">, which denied SDG&amp;E’s application for new smart meter program, is a new fact that warrants modification of D.22-12-009. </w:t>
      </w:r>
      <w:r w:rsidR="00845954">
        <w:t>Specifically, Petitioners argue that “[t]he delayed upgrade to Smart Meters 2.0</w:t>
      </w:r>
      <w:r w:rsidR="00E86C2B">
        <w:t xml:space="preserve"> that can provide real-time energy usage data access to customers via </w:t>
      </w:r>
      <w:proofErr w:type="spellStart"/>
      <w:r w:rsidR="00E86C2B">
        <w:t>WiFi</w:t>
      </w:r>
      <w:proofErr w:type="spellEnd"/>
      <w:r w:rsidR="00E86C2B">
        <w:t xml:space="preserve"> constitutes a new fact and circumstance warranting modification of D.22-12-009.”</w:t>
      </w:r>
      <w:r w:rsidR="00E86C2B">
        <w:rPr>
          <w:rStyle w:val="FootnoteReference"/>
        </w:rPr>
        <w:footnoteReference w:id="26"/>
      </w:r>
      <w:r w:rsidR="00E86C2B">
        <w:t xml:space="preserve"> A</w:t>
      </w:r>
      <w:r w:rsidR="00483997">
        <w:t>ccordingly,</w:t>
      </w:r>
      <w:r w:rsidR="00BF1DDD">
        <w:t xml:space="preserve"> Petitioners assert that</w:t>
      </w:r>
      <w:r w:rsidR="00E406F9">
        <w:t xml:space="preserve"> </w:t>
      </w:r>
      <w:r w:rsidR="009C5578">
        <w:t xml:space="preserve">SDG&amp;E is not </w:t>
      </w:r>
      <w:r w:rsidR="00BF1DDD">
        <w:t xml:space="preserve">connecting customers’ smart meters via ZigBee and as a result, customers cannot access </w:t>
      </w:r>
      <w:r w:rsidR="009C5578">
        <w:t>real-time energy usage data using the HAN device of the customer’s choice as required by the “Real Time Usage Data Access Orders."</w:t>
      </w:r>
      <w:r w:rsidR="00A746BC">
        <w:rPr>
          <w:rStyle w:val="FootnoteReference"/>
        </w:rPr>
        <w:footnoteReference w:id="27"/>
      </w:r>
    </w:p>
    <w:p w:rsidR="00EE0C8B" w:rsidP="00E406F9" w:rsidRDefault="006A3D08" w14:paraId="060CB5ED" w14:textId="7F4CA508">
      <w:pPr>
        <w:pStyle w:val="Standard"/>
      </w:pPr>
      <w:r>
        <w:t>In opposition,</w:t>
      </w:r>
      <w:r w:rsidR="00E406F9">
        <w:t xml:space="preserve"> </w:t>
      </w:r>
      <w:r w:rsidR="00F135CB">
        <w:t>SDG&amp;E</w:t>
      </w:r>
      <w:r>
        <w:t xml:space="preserve"> argues that the Petitioners failed to assert a new or changed fact. SDG&amp;E argues that D.24-12-0</w:t>
      </w:r>
      <w:r w:rsidR="00DB59D1">
        <w:t>74</w:t>
      </w:r>
      <w:r>
        <w:t xml:space="preserve"> does not warrant modification of D.22-12-009</w:t>
      </w:r>
      <w:r w:rsidR="00E027F1">
        <w:t xml:space="preserve"> because</w:t>
      </w:r>
      <w:r w:rsidR="00886A3F">
        <w:t xml:space="preserve"> that decision</w:t>
      </w:r>
      <w:r>
        <w:t xml:space="preserve"> was premised on the meter market and not on whether new smart meters would </w:t>
      </w:r>
      <w:r w:rsidR="00E027F1">
        <w:t xml:space="preserve">ever </w:t>
      </w:r>
      <w:r>
        <w:t>replace their existing meters.</w:t>
      </w:r>
    </w:p>
    <w:p w:rsidR="00FF6EB3" w:rsidP="00767FF3" w:rsidRDefault="00470B01" w14:paraId="01850E85" w14:textId="51B6C561">
      <w:pPr>
        <w:pStyle w:val="Standard"/>
      </w:pPr>
      <w:r>
        <w:t xml:space="preserve">However, Rule 16.4(b) requires that when a petitioner alleges a new or changed fact, they must include a declaration or affidavit. Whether the fact is </w:t>
      </w:r>
      <w:proofErr w:type="gramStart"/>
      <w:r>
        <w:t>actually new</w:t>
      </w:r>
      <w:proofErr w:type="gramEnd"/>
      <w:r w:rsidR="00C549B2">
        <w:t xml:space="preserve"> </w:t>
      </w:r>
      <w:r>
        <w:t xml:space="preserve">does not determine whether </w:t>
      </w:r>
      <w:r w:rsidR="00767FF3">
        <w:t xml:space="preserve">Rule 16.4(b) is satisfied. </w:t>
      </w:r>
    </w:p>
    <w:p w:rsidR="00EE0C8B" w:rsidP="00767FF3" w:rsidRDefault="00767FF3" w14:paraId="17C85679" w14:textId="2E14EF9E">
      <w:pPr>
        <w:pStyle w:val="Standard"/>
      </w:pPr>
      <w:r>
        <w:t>Here, the Petition included multiple declarations supporting the alleged new fact and</w:t>
      </w:r>
      <w:r w:rsidR="00FF6EB3">
        <w:t>,</w:t>
      </w:r>
      <w:r>
        <w:t xml:space="preserve"> </w:t>
      </w:r>
      <w:r w:rsidR="00C549B2">
        <w:t>therefore,</w:t>
      </w:r>
      <w:r>
        <w:t xml:space="preserve"> Petitioners satisfied Rule 16.4(b). </w:t>
      </w:r>
    </w:p>
    <w:p w:rsidR="00410765" w:rsidP="009D624E" w:rsidRDefault="00410765" w14:paraId="540D86EA" w14:textId="767FD991">
      <w:pPr>
        <w:pStyle w:val="Heading2"/>
      </w:pPr>
      <w:r>
        <w:lastRenderedPageBreak/>
        <w:t>Rule 16.4(d)</w:t>
      </w:r>
    </w:p>
    <w:p w:rsidR="006977A2" w:rsidP="00917C23" w:rsidRDefault="006977A2" w14:paraId="26C11B01" w14:textId="6441B8A8">
      <w:pPr>
        <w:pStyle w:val="Standard"/>
      </w:pPr>
      <w:r>
        <w:t>Rule 16.4(d) requires that a petition for modification must be filed and served within one year of the effective date of the decision</w:t>
      </w:r>
      <w:r w:rsidR="00977DFD">
        <w:t xml:space="preserve">. </w:t>
      </w:r>
      <w:r>
        <w:t xml:space="preserve">If more than one year has elapsed, the petition must also explain why the petition could not have been presented within one year of the effective date of the decision. </w:t>
      </w:r>
      <w:r w:rsidR="00E56167">
        <w:t xml:space="preserve">If the late submission has not been </w:t>
      </w:r>
      <w:r w:rsidR="004151C5">
        <w:t xml:space="preserve">sufficiently </w:t>
      </w:r>
      <w:r w:rsidR="00E56167">
        <w:t>justified, the Commission may</w:t>
      </w:r>
      <w:r w:rsidR="006F605B">
        <w:t xml:space="preserve"> on that ground </w:t>
      </w:r>
      <w:r w:rsidR="00E56167">
        <w:t>issue a summary denial of the petition.</w:t>
      </w:r>
    </w:p>
    <w:p w:rsidR="00F943E1" w:rsidP="00F943E1" w:rsidRDefault="00F943E1" w14:paraId="7AEFE3E8" w14:textId="4AE81F3D">
      <w:pPr>
        <w:pStyle w:val="Standard"/>
      </w:pPr>
      <w:r>
        <w:t xml:space="preserve">Here, the Petitioners did not file and serve the Petition within one year of the effective date of D.22-12-009. Petitioners state that </w:t>
      </w:r>
      <w:r w:rsidR="00DF2385">
        <w:t>the</w:t>
      </w:r>
      <w:r>
        <w:t xml:space="preserve"> Petition</w:t>
      </w:r>
      <w:r w:rsidR="00F3794D">
        <w:t>’s untimely filing</w:t>
      </w:r>
      <w:r>
        <w:t xml:space="preserve"> is</w:t>
      </w:r>
      <w:r w:rsidR="00FF6EB3">
        <w:t xml:space="preserve"> sufficiently justified</w:t>
      </w:r>
      <w:r>
        <w:t xml:space="preserve"> because </w:t>
      </w:r>
      <w:r w:rsidR="00D4312F">
        <w:t xml:space="preserve">new information has come to light that was not available within one year following the </w:t>
      </w:r>
      <w:r w:rsidR="00C65EA6">
        <w:t>d</w:t>
      </w:r>
      <w:r w:rsidR="00D4312F">
        <w:t>ecision. Namely, Petitioners</w:t>
      </w:r>
      <w:r w:rsidR="00BE4BA9">
        <w:t xml:space="preserve"> argue that</w:t>
      </w:r>
      <w:r w:rsidR="00257FEE">
        <w:t xml:space="preserve"> the </w:t>
      </w:r>
      <w:r w:rsidR="00BE4BA9">
        <w:t>Commission’s denial of SDG&amp;E’s smart meter 2.0 p</w:t>
      </w:r>
      <w:r w:rsidR="00873A75">
        <w:t>roject</w:t>
      </w:r>
      <w:r w:rsidR="00BE4BA9">
        <w:t xml:space="preserve"> could not have been known prior to D.24-12-0</w:t>
      </w:r>
      <w:r w:rsidR="00DB59D1">
        <w:t>74</w:t>
      </w:r>
      <w:r w:rsidR="00BE4BA9">
        <w:t>.</w:t>
      </w:r>
      <w:r w:rsidR="00BE4BA9">
        <w:rPr>
          <w:rStyle w:val="FootnoteReference"/>
        </w:rPr>
        <w:footnoteReference w:id="28"/>
      </w:r>
      <w:r w:rsidR="00BE4BA9">
        <w:t xml:space="preserve"> </w:t>
      </w:r>
      <w:r w:rsidR="00C65EA6">
        <w:t>P</w:t>
      </w:r>
      <w:r w:rsidR="00BE4BA9">
        <w:t>etitioner</w:t>
      </w:r>
      <w:r w:rsidR="00FF6EB3">
        <w:t>s</w:t>
      </w:r>
      <w:r w:rsidR="00D4312F">
        <w:t xml:space="preserve"> argu</w:t>
      </w:r>
      <w:r w:rsidR="00A746BC">
        <w:t xml:space="preserve">e that </w:t>
      </w:r>
      <w:r>
        <w:t>D.22-12-009 relied on the assumption that SDG&amp;E’s smart meter 2.0 project request would be approved</w:t>
      </w:r>
      <w:r w:rsidR="00BE4BA9">
        <w:t xml:space="preserve"> during SDG&amp;E’s 2024 General Rate Case</w:t>
      </w:r>
      <w:r>
        <w:t xml:space="preserve"> and would eliminate the need for </w:t>
      </w:r>
      <w:r w:rsidR="00BE4BA9">
        <w:t>ZigBee technology</w:t>
      </w:r>
      <w:r>
        <w:t xml:space="preserve">. </w:t>
      </w:r>
      <w:r w:rsidRPr="00E56167">
        <w:t xml:space="preserve">Petitioners </w:t>
      </w:r>
      <w:r>
        <w:t>argue</w:t>
      </w:r>
      <w:r w:rsidRPr="00E56167">
        <w:t xml:space="preserve"> this fact pattern could not have been presented within one year of the effective date of D.22-12-009</w:t>
      </w:r>
      <w:r>
        <w:t xml:space="preserve">, because the Petitioners could not have known before </w:t>
      </w:r>
      <w:r w:rsidRPr="007E2A3F">
        <w:t>D.24-12-</w:t>
      </w:r>
      <w:r w:rsidRPr="007E2A3F" w:rsidR="00BE4BA9">
        <w:t>0</w:t>
      </w:r>
      <w:r w:rsidR="00DB59D1">
        <w:t>74</w:t>
      </w:r>
      <w:r>
        <w:t xml:space="preserve"> </w:t>
      </w:r>
      <w:r w:rsidR="00BE4BA9">
        <w:t xml:space="preserve">was </w:t>
      </w:r>
      <w:r>
        <w:t xml:space="preserve">issued that SDG&amp;E’s smart meter 2.0 project request would be </w:t>
      </w:r>
      <w:proofErr w:type="gramStart"/>
      <w:r>
        <w:t>denied</w:t>
      </w:r>
      <w:proofErr w:type="gramEnd"/>
      <w:r>
        <w:t xml:space="preserve"> and the smart </w:t>
      </w:r>
      <w:proofErr w:type="gramStart"/>
      <w:r>
        <w:t>meters</w:t>
      </w:r>
      <w:proofErr w:type="gramEnd"/>
      <w:r>
        <w:t xml:space="preserve"> would not be operational in a timely manner.</w:t>
      </w:r>
      <w:r w:rsidR="00BE4BA9">
        <w:rPr>
          <w:rStyle w:val="FootnoteReference"/>
        </w:rPr>
        <w:footnoteReference w:id="29"/>
      </w:r>
    </w:p>
    <w:p w:rsidR="00FF6EB3" w:rsidP="00FF6EB3" w:rsidRDefault="00F943E1" w14:paraId="5D8E974A" w14:textId="473C380B">
      <w:pPr>
        <w:pStyle w:val="Standard"/>
      </w:pPr>
      <w:r>
        <w:t xml:space="preserve">While we agree that Petitioners could not have known about the </w:t>
      </w:r>
      <w:r w:rsidR="00BE4BA9">
        <w:t xml:space="preserve">outcome of </w:t>
      </w:r>
      <w:r>
        <w:t xml:space="preserve">SDG&amp;E’s </w:t>
      </w:r>
      <w:r w:rsidR="00BE4BA9">
        <w:t>s</w:t>
      </w:r>
      <w:r>
        <w:t xml:space="preserve">mart </w:t>
      </w:r>
      <w:r w:rsidR="00BE4BA9">
        <w:t>m</w:t>
      </w:r>
      <w:r>
        <w:t xml:space="preserve">eter 2.0 project request until </w:t>
      </w:r>
      <w:r w:rsidR="00D4312F">
        <w:t xml:space="preserve">2024, we disagree that </w:t>
      </w:r>
      <w:r w:rsidR="00BE4BA9">
        <w:t xml:space="preserve">the </w:t>
      </w:r>
      <w:r w:rsidR="00D4312F">
        <w:t>Petition</w:t>
      </w:r>
      <w:r w:rsidR="00FF6EB3">
        <w:t>ers have sufficiently justified the late filing</w:t>
      </w:r>
      <w:r w:rsidR="00D4312F">
        <w:t xml:space="preserve">. </w:t>
      </w:r>
      <w:r w:rsidR="00FF6EB3">
        <w:t xml:space="preserve">We agree with SDG&amp;E that </w:t>
      </w:r>
      <w:r w:rsidR="00FF6EB3">
        <w:lastRenderedPageBreak/>
        <w:t>the Commission based its decision to approve ending ZigBee support on the meter market and not whether new smart meters would replace existing meters. In D.22-12-009, the Commission found that, “[g]</w:t>
      </w:r>
      <w:proofErr w:type="spellStart"/>
      <w:r w:rsidR="00FF6EB3">
        <w:t>iven</w:t>
      </w:r>
      <w:proofErr w:type="spellEnd"/>
      <w:r w:rsidR="00FF6EB3">
        <w:t xml:space="preserve"> the move towards Wi-Fi and lack of vendors supporting ZigBee, it is reasonable to end funding for ZigBee support as proposed by SDG&amp;E.”</w:t>
      </w:r>
      <w:r w:rsidR="00FF6EB3">
        <w:rPr>
          <w:rStyle w:val="FootnoteReference"/>
        </w:rPr>
        <w:footnoteReference w:id="30"/>
      </w:r>
      <w:r w:rsidR="00FF6EB3">
        <w:t xml:space="preserve"> While the decision acknowledged that SDG&amp;E had plans to solicit new smart meters in the future,</w:t>
      </w:r>
      <w:r w:rsidR="00FF6EB3">
        <w:rPr>
          <w:rStyle w:val="FootnoteReference"/>
        </w:rPr>
        <w:footnoteReference w:id="31"/>
      </w:r>
      <w:r w:rsidR="00FF6EB3">
        <w:t xml:space="preserve"> the Commission did not base its approval on the assumption that this plan would be approved.</w:t>
      </w:r>
      <w:r w:rsidR="00FF6EB3">
        <w:rPr>
          <w:rStyle w:val="FootnoteReference"/>
        </w:rPr>
        <w:footnoteReference w:id="32"/>
      </w:r>
      <w:r w:rsidR="00FF6EB3">
        <w:t xml:space="preserve"> Additionally, the possible denial of SDG&amp;E’s Smart Meter 2.0 application is an outcome that could have been considered at the time of the D.22-12-009, and the decision did not condition the end of ZigBee funding on the outcome of SDG&amp;E’s request. </w:t>
      </w:r>
      <w:r w:rsidR="00BB61F4">
        <w:t xml:space="preserve">Further, </w:t>
      </w:r>
      <w:r w:rsidR="00686DD7">
        <w:t>D.22-12</w:t>
      </w:r>
      <w:r w:rsidR="00D20C17">
        <w:t xml:space="preserve">-009 </w:t>
      </w:r>
      <w:r w:rsidR="00FF6EB3">
        <w:t xml:space="preserve">explicitly </w:t>
      </w:r>
      <w:r w:rsidR="003F2F84">
        <w:t>stated</w:t>
      </w:r>
      <w:r w:rsidR="00A746BC">
        <w:t xml:space="preserve"> </w:t>
      </w:r>
      <w:r w:rsidR="00BE4BA9">
        <w:t>that SDG&amp;E will end new ZigBee device connections in 2023.</w:t>
      </w:r>
      <w:r w:rsidR="00BE4BA9">
        <w:rPr>
          <w:rStyle w:val="FootnoteReference"/>
        </w:rPr>
        <w:footnoteReference w:id="33"/>
      </w:r>
      <w:r w:rsidR="00A83195">
        <w:t xml:space="preserve"> </w:t>
      </w:r>
      <w:r w:rsidR="005D0045">
        <w:t>As the Petition notes</w:t>
      </w:r>
      <w:r w:rsidR="00FF6EB3">
        <w:t>,</w:t>
      </w:r>
      <w:r w:rsidR="005D0045">
        <w:t xml:space="preserve"> </w:t>
      </w:r>
      <w:r w:rsidR="00EE14D8">
        <w:t>ZigBee</w:t>
      </w:r>
      <w:r w:rsidR="006B77C8">
        <w:t xml:space="preserve">/HAN device disconnections can </w:t>
      </w:r>
      <w:r w:rsidR="005D0045">
        <w:t>sometimes occur</w:t>
      </w:r>
      <w:r w:rsidR="009C1087">
        <w:t xml:space="preserve"> due to </w:t>
      </w:r>
      <w:r w:rsidR="001A589F">
        <w:t>various</w:t>
      </w:r>
      <w:r w:rsidR="00FF6EB3">
        <w:t xml:space="preserve">, unknown </w:t>
      </w:r>
      <w:r w:rsidR="009C1087">
        <w:t>issues with the customer</w:t>
      </w:r>
      <w:r w:rsidR="00881E1A">
        <w:t>’s HAN device or the SDG&amp;E meter</w:t>
      </w:r>
      <w:r w:rsidR="00FF6EB3">
        <w:t>.</w:t>
      </w:r>
      <w:r w:rsidR="00034DC7">
        <w:rPr>
          <w:rStyle w:val="FootnoteReference"/>
        </w:rPr>
        <w:footnoteReference w:id="34"/>
      </w:r>
      <w:r w:rsidR="003C3F02">
        <w:t xml:space="preserve"> </w:t>
      </w:r>
      <w:r w:rsidR="00FF6EB3">
        <w:t>I</w:t>
      </w:r>
      <w:r w:rsidR="003C3F02">
        <w:t xml:space="preserve">t is reasonable to </w:t>
      </w:r>
      <w:r w:rsidR="0055374D">
        <w:t xml:space="preserve">conclude </w:t>
      </w:r>
      <w:r w:rsidR="00525B98">
        <w:t xml:space="preserve">that ZigBee/HAN device disconnections could occur at any time </w:t>
      </w:r>
      <w:r w:rsidR="00FF6EB3">
        <w:t>after ZigBee support</w:t>
      </w:r>
      <w:r w:rsidR="00C82DDB">
        <w:t xml:space="preserve"> ends</w:t>
      </w:r>
      <w:r w:rsidR="00B6341B">
        <w:t xml:space="preserve">. </w:t>
      </w:r>
    </w:p>
    <w:p w:rsidR="00F943E1" w:rsidP="00B6341B" w:rsidRDefault="00330646" w14:paraId="595D183D" w14:textId="0DCE0C2B">
      <w:pPr>
        <w:pStyle w:val="Standard"/>
      </w:pPr>
      <w:r>
        <w:t>Therefo</w:t>
      </w:r>
      <w:r w:rsidR="003B5AFD">
        <w:t>re, t</w:t>
      </w:r>
      <w:r w:rsidR="00DD3F67">
        <w:t xml:space="preserve">he Commission finds that the Petitioners failed to sufficiently justify </w:t>
      </w:r>
      <w:r w:rsidR="00DB2A41">
        <w:t>why the petition could not have been presented within one year of the effective date of the decision.</w:t>
      </w:r>
    </w:p>
    <w:p w:rsidR="00F943E1" w:rsidP="00300A17" w:rsidRDefault="00DB2A41" w14:paraId="658656D6" w14:textId="47E9DAA2">
      <w:pPr>
        <w:pStyle w:val="Standard"/>
      </w:pPr>
      <w:r>
        <w:lastRenderedPageBreak/>
        <w:t xml:space="preserve">The Petition </w:t>
      </w:r>
      <w:r w:rsidR="009D744E">
        <w:t>fails</w:t>
      </w:r>
      <w:r>
        <w:t xml:space="preserve"> t</w:t>
      </w:r>
      <w:r w:rsidR="00B6341B">
        <w:t xml:space="preserve">o sufficiently justify the Petition’s late filing and thus fails to satisfy Rule 16.4(d). </w:t>
      </w:r>
    </w:p>
    <w:p w:rsidR="00F943E1" w:rsidP="009D624E" w:rsidRDefault="00F943E1" w14:paraId="3462E64D" w14:textId="4FFFCC6B">
      <w:pPr>
        <w:pStyle w:val="Heading2"/>
      </w:pPr>
      <w:r>
        <w:t>Rule 16.4(e)</w:t>
      </w:r>
    </w:p>
    <w:p w:rsidR="00715C38" w:rsidP="00451018" w:rsidRDefault="00F943E1" w14:paraId="6853F267" w14:textId="55E6921E">
      <w:pPr>
        <w:pStyle w:val="Standard"/>
      </w:pPr>
      <w:r>
        <w:t xml:space="preserve">Rule 16.4(e) </w:t>
      </w:r>
      <w:r w:rsidR="00CB00F3">
        <w:t xml:space="preserve">states that if a petitioner was not a party to the proceeding in which the </w:t>
      </w:r>
      <w:r w:rsidR="0009576F">
        <w:t>d</w:t>
      </w:r>
      <w:r w:rsidR="00CB00F3">
        <w:t>ecision proposed to be modified was issue</w:t>
      </w:r>
      <w:r w:rsidR="0009576F">
        <w:t>d</w:t>
      </w:r>
      <w:r w:rsidR="00CB00F3">
        <w:t xml:space="preserve">, the petition must state specifically how the petitioner is affected by the </w:t>
      </w:r>
      <w:r w:rsidR="0009576F">
        <w:t>d</w:t>
      </w:r>
      <w:r w:rsidR="00CB00F3">
        <w:t xml:space="preserve">ecision and why they did not participate in the proceeding earlier. </w:t>
      </w:r>
    </w:p>
    <w:p w:rsidR="002A1EFC" w:rsidP="00346A3C" w:rsidRDefault="007D59E8" w14:paraId="0C86ED5A" w14:textId="402B9A2C">
      <w:pPr>
        <w:pStyle w:val="Standard"/>
      </w:pPr>
      <w:r>
        <w:t>The</w:t>
      </w:r>
      <w:r w:rsidR="00CC242C">
        <w:t xml:space="preserve"> Petition included multiple declarations </w:t>
      </w:r>
      <w:r w:rsidR="00583ABF">
        <w:t xml:space="preserve">explaining why </w:t>
      </w:r>
      <w:r w:rsidR="00934E7B">
        <w:t xml:space="preserve">SDCP, CEA, and </w:t>
      </w:r>
      <w:proofErr w:type="spellStart"/>
      <w:r w:rsidR="00934E7B">
        <w:t>Mission:data</w:t>
      </w:r>
      <w:proofErr w:type="spellEnd"/>
      <w:r w:rsidR="00934E7B">
        <w:t xml:space="preserve"> were not </w:t>
      </w:r>
      <w:r w:rsidR="00E31751">
        <w:t>parties to the proceeding</w:t>
      </w:r>
      <w:r w:rsidR="00D034F0">
        <w:t xml:space="preserve"> and </w:t>
      </w:r>
      <w:r w:rsidR="00D96BE8">
        <w:t xml:space="preserve">how </w:t>
      </w:r>
      <w:r w:rsidR="00A54A50">
        <w:t>each party is affected</w:t>
      </w:r>
      <w:r w:rsidR="00DC0FDC">
        <w:t>.</w:t>
      </w:r>
      <w:r w:rsidR="00767FF3">
        <w:t xml:space="preserve"> Rule 16.4(e) only requires that petitioners who were not parties to the proceeding specifically state how the petitioner is affected by the decision and why the petitioner did not participate earlier. Because we summarily deny the Petition based on Rule 16.4(d), we do not address compliance with Rule 16.4(e). </w:t>
      </w:r>
    </w:p>
    <w:p w:rsidR="00EE0C8B" w:rsidP="002A1EFC" w:rsidRDefault="002A1EFC" w14:paraId="7872D58E" w14:textId="7C3A1157">
      <w:pPr>
        <w:pStyle w:val="Heading2"/>
        <w:rPr>
          <w:i/>
          <w:iCs/>
        </w:rPr>
      </w:pPr>
      <w:r>
        <w:t>Conclusion</w:t>
      </w:r>
    </w:p>
    <w:p w:rsidR="00543C36" w:rsidP="00767FF3" w:rsidRDefault="00767FF3" w14:paraId="52F3274F" w14:textId="543DE12F">
      <w:pPr>
        <w:pStyle w:val="Standard"/>
        <w:ind w:firstLine="0"/>
      </w:pPr>
      <w:r>
        <w:tab/>
      </w:r>
      <w:r w:rsidR="00E15E18">
        <w:t>The</w:t>
      </w:r>
      <w:r w:rsidR="00CC242C">
        <w:t xml:space="preserve"> </w:t>
      </w:r>
      <w:r w:rsidR="004B1F1D">
        <w:t>Petitioners have</w:t>
      </w:r>
      <w:r w:rsidR="0000169E">
        <w:t xml:space="preserve"> not</w:t>
      </w:r>
      <w:r w:rsidR="00450DC4">
        <w:t xml:space="preserve"> </w:t>
      </w:r>
      <w:r>
        <w:t>sufficiently satisfied the</w:t>
      </w:r>
      <w:r w:rsidR="008007D7">
        <w:t xml:space="preserve"> requirements of Rule </w:t>
      </w:r>
      <w:r w:rsidR="00F05BF9">
        <w:t>16.4(d)</w:t>
      </w:r>
      <w:r>
        <w:t xml:space="preserve"> and thus the Petition is summarily denied. </w:t>
      </w:r>
    </w:p>
    <w:p w:rsidRPr="009F527A" w:rsidR="00F30260" w:rsidP="00724D9F" w:rsidRDefault="002A1EFC" w14:paraId="19497BB7" w14:textId="61A963F4">
      <w:pPr>
        <w:pStyle w:val="Heading1"/>
      </w:pPr>
      <w:r>
        <w:t xml:space="preserve">Substantive </w:t>
      </w:r>
      <w:r w:rsidRPr="009F527A" w:rsidR="00F30260">
        <w:t>Analysis</w:t>
      </w:r>
      <w:r>
        <w:t xml:space="preserve"> of the Petition</w:t>
      </w:r>
    </w:p>
    <w:p w:rsidR="00851108" w:rsidP="00851108" w:rsidRDefault="00851108" w14:paraId="0AFAD61D" w14:textId="7A9D94F5">
      <w:pPr>
        <w:pStyle w:val="Standard"/>
      </w:pPr>
      <w:r>
        <w:t>Even if the Petition had satisfied the procedural requirements of Rule 16.4, we find the arguments made by Petitioners unpersuasive and would have denied the Petition.</w:t>
      </w:r>
    </w:p>
    <w:p w:rsidR="00B70F41" w:rsidP="00B70F41" w:rsidRDefault="00B70F41" w14:paraId="524E826E" w14:textId="4E7C84C3">
      <w:pPr>
        <w:pStyle w:val="Standard"/>
      </w:pPr>
      <w:r>
        <w:t xml:space="preserve">Petitioners argue that </w:t>
      </w:r>
      <w:r w:rsidRPr="00711367">
        <w:t>the approval to discontinue funding ZigBee technology support in D.22-12-009 was premised on the near-term rollout of new smart meters that would utilize Wi-Fi instead of ZigBee connectivity</w:t>
      </w:r>
      <w:r>
        <w:t>.</w:t>
      </w:r>
      <w:r>
        <w:rPr>
          <w:rStyle w:val="FootnoteReference"/>
        </w:rPr>
        <w:footnoteReference w:id="35"/>
      </w:r>
      <w:r>
        <w:t xml:space="preserve"> Moreover,</w:t>
      </w:r>
      <w:r w:rsidRPr="00BB505D">
        <w:t xml:space="preserve"> Petition</w:t>
      </w:r>
      <w:r>
        <w:t>ers</w:t>
      </w:r>
      <w:r w:rsidRPr="00BB505D">
        <w:t xml:space="preserve"> </w:t>
      </w:r>
      <w:r>
        <w:t>argue</w:t>
      </w:r>
      <w:r w:rsidRPr="00BB505D">
        <w:t xml:space="preserve"> the decision does not authorize SDG&amp;E’s failure to reconnect and refusal to make new connections between existing smart meters and </w:t>
      </w:r>
      <w:r w:rsidRPr="00BB505D">
        <w:lastRenderedPageBreak/>
        <w:t>customers’ HAN devices.</w:t>
      </w:r>
      <w:r>
        <w:rPr>
          <w:rStyle w:val="FootnoteReference"/>
        </w:rPr>
        <w:footnoteReference w:id="36"/>
      </w:r>
      <w:r w:rsidRPr="00BB505D">
        <w:t xml:space="preserve"> </w:t>
      </w:r>
      <w:r>
        <w:t>The Petition cites various Commission decisions and state and federal code to argue SDG&amp;E is required to provide energy usage data to customers at a specific frequency.</w:t>
      </w:r>
      <w:r>
        <w:rPr>
          <w:rStyle w:val="FootnoteReference"/>
        </w:rPr>
        <w:footnoteReference w:id="37"/>
      </w:r>
      <w:r>
        <w:t xml:space="preserve"> </w:t>
      </w:r>
      <w:r w:rsidRPr="00563B19">
        <w:t>Petitioners</w:t>
      </w:r>
      <w:r>
        <w:t xml:space="preserve"> also</w:t>
      </w:r>
      <w:r w:rsidRPr="00563B19">
        <w:t xml:space="preserve"> state that </w:t>
      </w:r>
      <w:r>
        <w:t xml:space="preserve">existing </w:t>
      </w:r>
      <w:r w:rsidRPr="00E1703D">
        <w:t>smart meter</w:t>
      </w:r>
      <w:r>
        <w:t>s</w:t>
      </w:r>
      <w:r w:rsidRPr="00E1703D">
        <w:t xml:space="preserve"> will </w:t>
      </w:r>
      <w:r>
        <w:t>potentially</w:t>
      </w:r>
      <w:r w:rsidRPr="00E1703D">
        <w:t xml:space="preserve"> not be replaced for several more years</w:t>
      </w:r>
      <w:r>
        <w:t xml:space="preserve"> </w:t>
      </w:r>
      <w:r w:rsidRPr="00563B19">
        <w:t>because D.24-12-074 requires SDG&amp;E to file a separate application for the smart meter 2.0 project</w:t>
      </w:r>
      <w:r>
        <w:t>.</w:t>
      </w:r>
      <w:r>
        <w:rPr>
          <w:rStyle w:val="FootnoteReference"/>
        </w:rPr>
        <w:footnoteReference w:id="38"/>
      </w:r>
      <w:r>
        <w:t xml:space="preserve"> As detailed below, </w:t>
      </w:r>
      <w:bookmarkStart w:name="_Hlk204849740" w:id="8"/>
      <w:r>
        <w:t xml:space="preserve">we find the arguments made by Petitioners unpersuasive. </w:t>
      </w:r>
      <w:bookmarkEnd w:id="8"/>
    </w:p>
    <w:p w:rsidR="000F3016" w:rsidP="00B96183" w:rsidRDefault="00F943E1" w14:paraId="5D1FE0E8" w14:textId="51ADB383">
      <w:pPr>
        <w:pStyle w:val="Standard"/>
      </w:pPr>
      <w:r>
        <w:t>Again, w</w:t>
      </w:r>
      <w:r w:rsidR="00B70F41">
        <w:t xml:space="preserve">e </w:t>
      </w:r>
      <w:r w:rsidR="00A47021">
        <w:t xml:space="preserve">agree with SDG&amp;E’s argument </w:t>
      </w:r>
      <w:r w:rsidR="00F414AF">
        <w:t xml:space="preserve">that </w:t>
      </w:r>
      <w:r w:rsidR="00DF7CA9">
        <w:t>the</w:t>
      </w:r>
      <w:r w:rsidR="008C2841">
        <w:t xml:space="preserve"> dec</w:t>
      </w:r>
      <w:r w:rsidR="00DF7CA9">
        <w:t xml:space="preserve">ision to approve </w:t>
      </w:r>
      <w:r w:rsidR="00065EB6">
        <w:t>ending ZigBee support was based on the</w:t>
      </w:r>
      <w:r w:rsidR="003852B8">
        <w:t xml:space="preserve"> meter market </w:t>
      </w:r>
      <w:r w:rsidR="00BD16D0">
        <w:t>and</w:t>
      </w:r>
      <w:r w:rsidR="00F414AF">
        <w:t xml:space="preserve"> </w:t>
      </w:r>
      <w:r w:rsidR="00484086">
        <w:t>not</w:t>
      </w:r>
      <w:r w:rsidR="00F414AF">
        <w:t xml:space="preserve"> on the assumption that Wi-Fi enabled smart meters would be</w:t>
      </w:r>
      <w:r w:rsidR="00A21B95">
        <w:t xml:space="preserve"> </w:t>
      </w:r>
      <w:r w:rsidR="008D107A">
        <w:t xml:space="preserve">rolled out </w:t>
      </w:r>
      <w:proofErr w:type="gramStart"/>
      <w:r w:rsidR="008D107A">
        <w:t>in the near future</w:t>
      </w:r>
      <w:proofErr w:type="gramEnd"/>
      <w:r w:rsidR="00DF7CA9">
        <w:t>.</w:t>
      </w:r>
      <w:r w:rsidR="00B3559C">
        <w:t xml:space="preserve"> </w:t>
      </w:r>
      <w:r w:rsidR="00A45A13">
        <w:t>In D.</w:t>
      </w:r>
      <w:r w:rsidR="00BE6B5A">
        <w:t xml:space="preserve">22-12-009, the Commission </w:t>
      </w:r>
      <w:r w:rsidR="00B70F41">
        <w:t>found that, “[g]</w:t>
      </w:r>
      <w:proofErr w:type="spellStart"/>
      <w:r w:rsidR="00B70F41">
        <w:t>iven</w:t>
      </w:r>
      <w:proofErr w:type="spellEnd"/>
      <w:r w:rsidR="00B70F41">
        <w:t xml:space="preserve"> the move towards Wi-Fi and lack of vendors supporting ZigBee, it is reasonable to end funding for ZigBee support as proposed by SDG&amp;E.”</w:t>
      </w:r>
      <w:r w:rsidR="00F04F0B">
        <w:rPr>
          <w:rStyle w:val="FootnoteReference"/>
        </w:rPr>
        <w:footnoteReference w:id="39"/>
      </w:r>
      <w:r w:rsidR="000F5B1A">
        <w:t xml:space="preserve"> </w:t>
      </w:r>
      <w:r w:rsidR="00F85FB6">
        <w:t>Although</w:t>
      </w:r>
      <w:r w:rsidR="00E82AD7">
        <w:t xml:space="preserve"> the Decision acknowledge</w:t>
      </w:r>
      <w:r w:rsidR="000F3016">
        <w:t>d</w:t>
      </w:r>
      <w:r w:rsidR="00E82AD7">
        <w:t xml:space="preserve"> that SDG&amp;E</w:t>
      </w:r>
      <w:r w:rsidR="006E0B40">
        <w:t xml:space="preserve"> ha</w:t>
      </w:r>
      <w:r w:rsidR="00C96D6F">
        <w:t xml:space="preserve">d </w:t>
      </w:r>
      <w:r w:rsidR="006E0B40">
        <w:t>plans to solicit new smart meters in the future</w:t>
      </w:r>
      <w:r w:rsidR="0057107A">
        <w:t>,</w:t>
      </w:r>
      <w:r w:rsidR="0057107A">
        <w:rPr>
          <w:rStyle w:val="FootnoteReference"/>
        </w:rPr>
        <w:footnoteReference w:id="40"/>
      </w:r>
      <w:r w:rsidR="0057107A">
        <w:t xml:space="preserve"> </w:t>
      </w:r>
      <w:r w:rsidR="009A2BC5">
        <w:t xml:space="preserve">the Commission </w:t>
      </w:r>
      <w:r w:rsidR="00D046FA">
        <w:t>did not base its approval on th</w:t>
      </w:r>
      <w:r w:rsidR="00634734">
        <w:t>e</w:t>
      </w:r>
      <w:r w:rsidR="00D046FA">
        <w:t xml:space="preserve"> </w:t>
      </w:r>
      <w:r w:rsidR="009A2BC5">
        <w:t>assumptio</w:t>
      </w:r>
      <w:r w:rsidR="00634734">
        <w:t>n that this plan would be approved</w:t>
      </w:r>
      <w:r w:rsidR="00F8064B">
        <w:t xml:space="preserve">. Thus, </w:t>
      </w:r>
      <w:r w:rsidR="00653F73">
        <w:t>the denial of SDG&amp;E smart meter 2.0</w:t>
      </w:r>
      <w:r w:rsidR="006F1C90">
        <w:t xml:space="preserve"> program</w:t>
      </w:r>
      <w:r w:rsidR="00653F73">
        <w:t xml:space="preserve"> in D.24-12-074 is not a</w:t>
      </w:r>
      <w:r w:rsidR="006623C2">
        <w:t xml:space="preserve"> new fact or circumstance that justifies </w:t>
      </w:r>
      <w:r w:rsidR="00653F73">
        <w:t xml:space="preserve">the relief requested by Petitioners. </w:t>
      </w:r>
    </w:p>
    <w:p w:rsidR="009D168D" w:rsidP="00530E08" w:rsidRDefault="006764CA" w14:paraId="7032C4AF" w14:textId="12787D4E">
      <w:pPr>
        <w:pStyle w:val="Standard"/>
      </w:pPr>
      <w:r>
        <w:t xml:space="preserve">Moreover, it is </w:t>
      </w:r>
      <w:r w:rsidR="00FF427E">
        <w:t xml:space="preserve">not </w:t>
      </w:r>
      <w:r>
        <w:t>clear</w:t>
      </w:r>
      <w:r w:rsidR="002D3C01">
        <w:t xml:space="preserve"> that</w:t>
      </w:r>
      <w:r>
        <w:t xml:space="preserve"> </w:t>
      </w:r>
      <w:r w:rsidR="00FF427E">
        <w:t>SDG&amp;E is</w:t>
      </w:r>
      <w:r w:rsidR="00A65D93">
        <w:t xml:space="preserve"> providing customer energy use data in an untimely manner. </w:t>
      </w:r>
      <w:r w:rsidR="00380044">
        <w:t xml:space="preserve">Petitioners </w:t>
      </w:r>
      <w:r w:rsidR="007F4E5F">
        <w:t>rely on</w:t>
      </w:r>
      <w:r w:rsidR="001A168C">
        <w:t xml:space="preserve"> variou</w:t>
      </w:r>
      <w:r w:rsidR="008A5711">
        <w:t xml:space="preserve">s </w:t>
      </w:r>
      <w:r w:rsidR="00C275D7">
        <w:t xml:space="preserve">Commission decisions, </w:t>
      </w:r>
      <w:r w:rsidR="00786BFA">
        <w:t xml:space="preserve">and </w:t>
      </w:r>
      <w:r w:rsidR="00AB0A85">
        <w:t xml:space="preserve">state and federal </w:t>
      </w:r>
      <w:r w:rsidR="00786BFA">
        <w:t>codes</w:t>
      </w:r>
      <w:r w:rsidR="00AB0A85">
        <w:t xml:space="preserve"> </w:t>
      </w:r>
      <w:r w:rsidR="00BE742D">
        <w:t xml:space="preserve">to argue that </w:t>
      </w:r>
      <w:r w:rsidR="00905154">
        <w:t xml:space="preserve">near real-time data must be provided to </w:t>
      </w:r>
      <w:r w:rsidR="006B072C">
        <w:lastRenderedPageBreak/>
        <w:t>customers</w:t>
      </w:r>
      <w:r w:rsidR="00C54505">
        <w:t xml:space="preserve"> at a specified latency</w:t>
      </w:r>
      <w:r w:rsidR="00864202">
        <w:t>.</w:t>
      </w:r>
      <w:r w:rsidR="00634734">
        <w:rPr>
          <w:rStyle w:val="FootnoteReference"/>
        </w:rPr>
        <w:footnoteReference w:id="41"/>
      </w:r>
      <w:r w:rsidR="00102B90">
        <w:t xml:space="preserve"> </w:t>
      </w:r>
      <w:r w:rsidR="002D3C01">
        <w:t>H</w:t>
      </w:r>
      <w:r w:rsidR="00AC2CAF">
        <w:t xml:space="preserve">owever, </w:t>
      </w:r>
      <w:r w:rsidR="00AD6FF3">
        <w:t xml:space="preserve">the </w:t>
      </w:r>
      <w:r w:rsidR="00DC2F83">
        <w:t>“Real Time Usage Data Access Orders</w:t>
      </w:r>
      <w:r w:rsidR="00F30177">
        <w:t>”</w:t>
      </w:r>
      <w:r w:rsidR="00AD6FF3">
        <w:t xml:space="preserve"> do not </w:t>
      </w:r>
      <w:r w:rsidR="00DD6451">
        <w:t>clearly identify “real-time</w:t>
      </w:r>
      <w:r w:rsidR="006F1C90">
        <w:t>”</w:t>
      </w:r>
      <w:r w:rsidR="00DD6451">
        <w:t xml:space="preserve"> or </w:t>
      </w:r>
      <w:r w:rsidR="006F1C90">
        <w:t>“</w:t>
      </w:r>
      <w:r w:rsidR="00DD6451">
        <w:t>near real-time” in terms of data latency</w:t>
      </w:r>
      <w:r w:rsidR="00591EB2">
        <w:t>,</w:t>
      </w:r>
      <w:r w:rsidR="00DD6451">
        <w:rPr>
          <w:rStyle w:val="FootnoteReference"/>
        </w:rPr>
        <w:footnoteReference w:id="42"/>
      </w:r>
      <w:r w:rsidR="00D16248">
        <w:t xml:space="preserve"> </w:t>
      </w:r>
      <w:r w:rsidR="00591EB2">
        <w:t xml:space="preserve">and </w:t>
      </w:r>
      <w:r w:rsidR="00B04EC7">
        <w:t>customers have access to</w:t>
      </w:r>
      <w:r w:rsidR="00591EB2">
        <w:t xml:space="preserve"> their</w:t>
      </w:r>
      <w:r w:rsidR="00B04EC7">
        <w:t xml:space="preserve"> energy use</w:t>
      </w:r>
      <w:r w:rsidR="00D64463">
        <w:t xml:space="preserve"> data</w:t>
      </w:r>
      <w:r w:rsidR="00B04EC7">
        <w:t xml:space="preserve"> via Green Button or the customer’s own account on SDG&amp;E’s website</w:t>
      </w:r>
      <w:r w:rsidR="00591EB2">
        <w:t>.</w:t>
      </w:r>
      <w:r w:rsidR="00591EB2">
        <w:rPr>
          <w:rStyle w:val="FootnoteReference"/>
        </w:rPr>
        <w:footnoteReference w:id="43"/>
      </w:r>
    </w:p>
    <w:p w:rsidR="00755C07" w:rsidP="007A7588" w:rsidRDefault="009B22FF" w14:paraId="14803816" w14:textId="1E4E7D95">
      <w:pPr>
        <w:pStyle w:val="Standard"/>
      </w:pPr>
      <w:r>
        <w:t>Further,</w:t>
      </w:r>
      <w:r w:rsidR="004B37DE">
        <w:t xml:space="preserve"> </w:t>
      </w:r>
      <w:r w:rsidR="00905F8A">
        <w:t xml:space="preserve">while </w:t>
      </w:r>
      <w:r w:rsidR="0054585A">
        <w:t>Petitioners</w:t>
      </w:r>
      <w:r w:rsidR="00905F8A">
        <w:t xml:space="preserve"> </w:t>
      </w:r>
      <w:r w:rsidR="00AC2CAF">
        <w:t>accurately</w:t>
      </w:r>
      <w:r w:rsidR="0054585A">
        <w:t xml:space="preserve"> cite </w:t>
      </w:r>
      <w:r w:rsidR="004B37DE">
        <w:t>D.11-07-056 and Resolution E-4527</w:t>
      </w:r>
      <w:r w:rsidR="00DE25A9">
        <w:t xml:space="preserve"> directing</w:t>
      </w:r>
      <w:r w:rsidR="004B37DE">
        <w:t xml:space="preserve"> </w:t>
      </w:r>
      <w:r w:rsidR="00846BC6">
        <w:t>SDG&amp;E to implement support for communi</w:t>
      </w:r>
      <w:r w:rsidR="009D168D">
        <w:t>cation</w:t>
      </w:r>
      <w:r w:rsidR="00846BC6">
        <w:t xml:space="preserve"> between smart meters and on-site HAN devices</w:t>
      </w:r>
      <w:r w:rsidR="00905F8A">
        <w:t>,</w:t>
      </w:r>
      <w:r w:rsidR="00586249">
        <w:rPr>
          <w:rStyle w:val="FootnoteReference"/>
        </w:rPr>
        <w:footnoteReference w:id="44"/>
      </w:r>
      <w:r w:rsidR="00905F8A">
        <w:t xml:space="preserve"> </w:t>
      </w:r>
      <w:r w:rsidRPr="00AC2CAF" w:rsidR="00851108">
        <w:t>considering</w:t>
      </w:r>
      <w:r w:rsidRPr="00AC2CAF" w:rsidR="00AC2CAF">
        <w:t xml:space="preserve"> ZigBee technology </w:t>
      </w:r>
      <w:r w:rsidR="00851108">
        <w:t xml:space="preserve">is </w:t>
      </w:r>
      <w:r w:rsidRPr="00AC2CAF" w:rsidR="00AC2CAF">
        <w:t xml:space="preserve">becoming </w:t>
      </w:r>
      <w:r w:rsidR="006F1C90">
        <w:t>decreasingly</w:t>
      </w:r>
      <w:r w:rsidR="008B7B72">
        <w:t xml:space="preserve"> prevalent in SDG&amp;E territory, </w:t>
      </w:r>
      <w:r w:rsidRPr="00AC2CAF" w:rsidR="00AC2CAF">
        <w:t>it is reasonable</w:t>
      </w:r>
      <w:r w:rsidR="00AC2CAF">
        <w:t xml:space="preserve"> to end that support. </w:t>
      </w:r>
      <w:r w:rsidR="00B34BF4">
        <w:t xml:space="preserve">Petitioners </w:t>
      </w:r>
      <w:r w:rsidR="003446DC">
        <w:t>cite</w:t>
      </w:r>
      <w:r w:rsidR="00B34BF4">
        <w:t xml:space="preserve"> </w:t>
      </w:r>
      <w:r w:rsidR="00A16627">
        <w:t>Resolution E-</w:t>
      </w:r>
      <w:r w:rsidR="00B34BF4">
        <w:t xml:space="preserve">4527 in support of their argument that </w:t>
      </w:r>
      <w:r w:rsidR="00904C3C">
        <w:t xml:space="preserve">part of the initial justification for smart meters was the </w:t>
      </w:r>
      <w:r w:rsidR="007E5C4A">
        <w:t>compatibility with HAN devices.</w:t>
      </w:r>
      <w:r w:rsidR="007E5C4A">
        <w:rPr>
          <w:rStyle w:val="FootnoteReference"/>
        </w:rPr>
        <w:footnoteReference w:id="45"/>
      </w:r>
      <w:r w:rsidR="007E5C4A">
        <w:t xml:space="preserve"> </w:t>
      </w:r>
      <w:r w:rsidR="002476B6">
        <w:t xml:space="preserve">However, D.22-12-009 has now determined that current market conditions and </w:t>
      </w:r>
      <w:proofErr w:type="gramStart"/>
      <w:r w:rsidR="002476B6">
        <w:t>future outlook</w:t>
      </w:r>
      <w:proofErr w:type="gramEnd"/>
      <w:r w:rsidR="002476B6">
        <w:t xml:space="preserve"> do not support the continued maintenance of ZigBee technology. </w:t>
      </w:r>
      <w:r w:rsidR="009230A7">
        <w:t>D.22-12-009 did not specifically state that its reasoning for ending Zigbee technology support was contingent upon the installation of smart meter 2.0 technology.</w:t>
      </w:r>
    </w:p>
    <w:p w:rsidR="0083593C" w:rsidP="00C816DB" w:rsidRDefault="009C4C53" w14:paraId="5C13E735" w14:textId="5C6AF5B9">
      <w:pPr>
        <w:pStyle w:val="Standard"/>
      </w:pPr>
      <w:r>
        <w:t xml:space="preserve">Additionally, </w:t>
      </w:r>
      <w:r w:rsidR="005256B7">
        <w:t>SDG&amp;E and the Petitioners</w:t>
      </w:r>
      <w:r w:rsidR="00124863">
        <w:t xml:space="preserve"> both</w:t>
      </w:r>
      <w:r w:rsidR="005256B7">
        <w:t xml:space="preserve"> note that SDG&amp;E will be filing an application for</w:t>
      </w:r>
      <w:r>
        <w:t xml:space="preserve"> </w:t>
      </w:r>
      <w:r w:rsidR="005256B7">
        <w:t xml:space="preserve">the smart meter 2.0 program </w:t>
      </w:r>
      <w:proofErr w:type="gramStart"/>
      <w:r w:rsidR="005256B7">
        <w:t>in the near future</w:t>
      </w:r>
      <w:proofErr w:type="gramEnd"/>
      <w:r w:rsidR="0009498F">
        <w:t>.</w:t>
      </w:r>
      <w:r w:rsidR="00AB36D5">
        <w:rPr>
          <w:rStyle w:val="FootnoteReference"/>
        </w:rPr>
        <w:footnoteReference w:id="46"/>
      </w:r>
      <w:r w:rsidR="008B7B72">
        <w:t xml:space="preserve"> </w:t>
      </w:r>
      <w:r w:rsidR="00C816DB">
        <w:t>W</w:t>
      </w:r>
      <w:r w:rsidR="00562951">
        <w:t xml:space="preserve">aiting until the next application cycle when a record can be developed and other alternatives can be proposed is </w:t>
      </w:r>
      <w:r w:rsidR="00C816DB">
        <w:t>the appropriate</w:t>
      </w:r>
      <w:r w:rsidR="00562951">
        <w:t xml:space="preserve"> course of action.</w:t>
      </w:r>
      <w:r w:rsidR="008B7B72">
        <w:t xml:space="preserve"> </w:t>
      </w:r>
    </w:p>
    <w:p w:rsidRPr="00DF7CA9" w:rsidR="00760CF1" w:rsidP="00DF7CA9" w:rsidRDefault="002D6B24" w14:paraId="169A444F" w14:textId="42F875F7">
      <w:pPr>
        <w:pStyle w:val="Standard"/>
      </w:pPr>
      <w:proofErr w:type="gramStart"/>
      <w:r>
        <w:t>The Petition</w:t>
      </w:r>
      <w:proofErr w:type="gramEnd"/>
      <w:r>
        <w:t xml:space="preserve"> is therefore denied. </w:t>
      </w:r>
    </w:p>
    <w:p w:rsidRPr="00573B0F" w:rsidR="000A531D" w:rsidP="00724D9F" w:rsidRDefault="000A531D" w14:paraId="1C0EBE77" w14:textId="7E7B5E9E">
      <w:pPr>
        <w:pStyle w:val="Heading1"/>
      </w:pPr>
      <w:r w:rsidRPr="00573B0F">
        <w:lastRenderedPageBreak/>
        <w:t>Summary of Public Comment</w:t>
      </w:r>
    </w:p>
    <w:p w:rsidRPr="00573B0F" w:rsidR="000A531D" w:rsidP="000A531D" w:rsidRDefault="003A5C64" w14:paraId="7E4C39D1" w14:textId="202E1AD8">
      <w:pPr>
        <w:pStyle w:val="Standard"/>
      </w:pPr>
      <w:r w:rsidRPr="003A5C64">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t xml:space="preserve"> </w:t>
      </w:r>
      <w:r w:rsidRPr="00573B0F" w:rsidR="000A531D">
        <w:t xml:space="preserve">No public comments have been received related to the Petition. </w:t>
      </w:r>
    </w:p>
    <w:p w:rsidRPr="00573B0F" w:rsidR="005939A5" w:rsidP="00724D9F" w:rsidRDefault="0080147B" w14:paraId="02ACB914" w14:textId="382E33FB">
      <w:pPr>
        <w:pStyle w:val="Heading1"/>
      </w:pPr>
      <w:r w:rsidRPr="00573B0F">
        <w:t>Comments</w:t>
      </w:r>
      <w:r w:rsidRPr="00573B0F" w:rsidR="00521C19">
        <w:t xml:space="preserve"> o</w:t>
      </w:r>
      <w:r w:rsidRPr="00573B0F">
        <w:t>n Proposed Decision</w:t>
      </w:r>
    </w:p>
    <w:p w:rsidR="00866F1D" w:rsidP="00562951" w:rsidRDefault="00562951" w14:paraId="4992EFB7" w14:textId="7EFFB57C">
      <w:pPr>
        <w:pStyle w:val="Standard"/>
      </w:pPr>
      <w:r>
        <w:t xml:space="preserve">The proposed decision </w:t>
      </w:r>
      <w:r w:rsidR="003A5C64">
        <w:t>of A</w:t>
      </w:r>
      <w:r w:rsidR="00BC2BB8">
        <w:t xml:space="preserve">dministrative </w:t>
      </w:r>
      <w:r w:rsidR="003A5C64">
        <w:t>L</w:t>
      </w:r>
      <w:r w:rsidR="00BC2BB8">
        <w:t xml:space="preserve">aw </w:t>
      </w:r>
      <w:r w:rsidR="003A5C64">
        <w:t>J</w:t>
      </w:r>
      <w:r w:rsidR="00BC2BB8">
        <w:t>udge (ALJ)</w:t>
      </w:r>
      <w:r w:rsidR="003A5C64">
        <w:t xml:space="preserve"> Toy </w:t>
      </w:r>
      <w:r>
        <w:t xml:space="preserve">in this matter was mailed to the parties in accordance with Section 311 of the Pub. Util. Code and comments were allowed under Rule 14.3 of the Commission’s Rules of Practice and Procedure.  Comments were filed on </w:t>
      </w:r>
      <w:r w:rsidR="001A21F9">
        <w:t xml:space="preserve">September </w:t>
      </w:r>
      <w:r w:rsidR="00F04C1F">
        <w:t xml:space="preserve">8, </w:t>
      </w:r>
      <w:proofErr w:type="gramStart"/>
      <w:r w:rsidR="00F04C1F">
        <w:t>2025</w:t>
      </w:r>
      <w:proofErr w:type="gramEnd"/>
      <w:r w:rsidR="001A21F9">
        <w:t xml:space="preserve"> </w:t>
      </w:r>
      <w:r w:rsidR="00D743A7">
        <w:t xml:space="preserve">by </w:t>
      </w:r>
      <w:r w:rsidR="00F04C1F">
        <w:t xml:space="preserve">the Petitioners </w:t>
      </w:r>
      <w:r>
        <w:t xml:space="preserve">and reply comments were filed </w:t>
      </w:r>
      <w:r w:rsidR="00331029">
        <w:t xml:space="preserve">on </w:t>
      </w:r>
      <w:r w:rsidR="00F04C1F">
        <w:t>September 15</w:t>
      </w:r>
      <w:r w:rsidR="006C3BE3">
        <w:t xml:space="preserve">, </w:t>
      </w:r>
      <w:proofErr w:type="gramStart"/>
      <w:r w:rsidR="006C3BE3">
        <w:t>2025</w:t>
      </w:r>
      <w:proofErr w:type="gramEnd"/>
      <w:r w:rsidR="00F04C1F">
        <w:t xml:space="preserve"> </w:t>
      </w:r>
      <w:r>
        <w:t xml:space="preserve">by </w:t>
      </w:r>
      <w:r w:rsidR="008E3ABE">
        <w:t>SDG&amp;E</w:t>
      </w:r>
      <w:r>
        <w:t>.</w:t>
      </w:r>
      <w:r w:rsidR="008E3ABE">
        <w:t xml:space="preserve">  </w:t>
      </w:r>
      <w:proofErr w:type="gramStart"/>
      <w:r w:rsidR="008E3ABE">
        <w:t>Petitioners</w:t>
      </w:r>
      <w:proofErr w:type="gramEnd"/>
      <w:r w:rsidR="008E3ABE">
        <w:t xml:space="preserve"> </w:t>
      </w:r>
      <w:proofErr w:type="gramStart"/>
      <w:r w:rsidR="00162516">
        <w:t>comments’</w:t>
      </w:r>
      <w:proofErr w:type="gramEnd"/>
      <w:r w:rsidR="00162516">
        <w:t xml:space="preserve"> re-iterated concerns raised in the Petition</w:t>
      </w:r>
      <w:r w:rsidR="00AD3197">
        <w:t xml:space="preserve">, particularly highlighting </w:t>
      </w:r>
      <w:r w:rsidR="009C5B8A">
        <w:t xml:space="preserve">concerns that the proposed decision was </w:t>
      </w:r>
      <w:r w:rsidR="00E57960">
        <w:t xml:space="preserve">inappropriately </w:t>
      </w:r>
      <w:r w:rsidR="009C5B8A">
        <w:t xml:space="preserve">overturning Commission precedent </w:t>
      </w:r>
      <w:r w:rsidR="00FC48A2">
        <w:t xml:space="preserve">related to </w:t>
      </w:r>
      <w:r w:rsidR="00A052D6">
        <w:t>customer data access</w:t>
      </w:r>
      <w:r w:rsidR="00FC48A2">
        <w:t>.</w:t>
      </w:r>
      <w:r w:rsidR="00866F1D">
        <w:t xml:space="preserve">  SDG&amp;E’s comments were supportive of the proposed decision.</w:t>
      </w:r>
    </w:p>
    <w:p w:rsidRPr="00845A09" w:rsidR="00562951" w:rsidP="00562951" w:rsidRDefault="00845A09" w14:paraId="11B29570" w14:textId="2C5BFC42">
      <w:pPr>
        <w:pStyle w:val="Standard"/>
      </w:pPr>
      <w:r w:rsidRPr="00845A09">
        <w:t>The</w:t>
      </w:r>
      <w:r w:rsidR="006C2811">
        <w:t xml:space="preserve"> proposed decision </w:t>
      </w:r>
      <w:r w:rsidR="009A71E3">
        <w:t xml:space="preserve">does not overturn any previous Commission </w:t>
      </w:r>
      <w:r w:rsidR="008C3428">
        <w:t xml:space="preserve">decisions related to data access.  As noted, SDG&amp;E remains in compliance with </w:t>
      </w:r>
      <w:r w:rsidR="002758A6">
        <w:t>decisions</w:t>
      </w:r>
      <w:r w:rsidR="006E5BCE">
        <w:t xml:space="preserve"> cited by Petitioners</w:t>
      </w:r>
      <w:r w:rsidR="00DC75FA">
        <w:t xml:space="preserve">.  Customers with Zigbee devices are not being actively removed from </w:t>
      </w:r>
      <w:r w:rsidR="00AE72BC">
        <w:t xml:space="preserve">connectivity, but to the extent that some customers are losing </w:t>
      </w:r>
      <w:r w:rsidR="00571B9D">
        <w:t>connectivity</w:t>
      </w:r>
      <w:r w:rsidR="00AE72BC">
        <w:t>, those customers still have access to data</w:t>
      </w:r>
      <w:r w:rsidR="00571B9D">
        <w:t xml:space="preserve"> in compliance with prior Commission decisions.  No changes have been made to the proposed decision in response to comments.</w:t>
      </w:r>
      <w:r w:rsidR="002758A6">
        <w:t xml:space="preserve">  </w:t>
      </w:r>
    </w:p>
    <w:p w:rsidR="005939A5" w:rsidP="00724D9F" w:rsidRDefault="005939A5" w14:paraId="67F44749" w14:textId="77777777">
      <w:pPr>
        <w:pStyle w:val="Heading1"/>
      </w:pPr>
      <w:bookmarkStart w:name="_Toc8123724" w:id="9"/>
      <w:bookmarkStart w:name="_Toc12866694" w:id="10"/>
      <w:r>
        <w:lastRenderedPageBreak/>
        <w:t>Assignment of Proceeding</w:t>
      </w:r>
      <w:bookmarkEnd w:id="9"/>
      <w:bookmarkEnd w:id="10"/>
    </w:p>
    <w:p w:rsidR="005939A5" w:rsidP="00084453" w:rsidRDefault="0089195C" w14:paraId="215F9CEE" w14:textId="1F562E8A">
      <w:pPr>
        <w:pStyle w:val="Standard"/>
      </w:pPr>
      <w:r>
        <w:t>John</w:t>
      </w:r>
      <w:r w:rsidR="00EB1FB7">
        <w:t xml:space="preserve"> Reynolds</w:t>
      </w:r>
      <w:r w:rsidR="005939A5">
        <w:t xml:space="preserve"> is the assigned Commissioner and </w:t>
      </w:r>
      <w:r w:rsidR="006B7C44">
        <w:t>Garrett Toy</w:t>
      </w:r>
      <w:r w:rsidR="00D90B56">
        <w:t xml:space="preserve"> </w:t>
      </w:r>
      <w:r w:rsidR="00EB1FB7">
        <w:t>is t</w:t>
      </w:r>
      <w:r w:rsidR="005939A5">
        <w:t xml:space="preserve">he assigned </w:t>
      </w:r>
      <w:r w:rsidR="00D558FC">
        <w:t>ALJ</w:t>
      </w:r>
      <w:r w:rsidR="005939A5">
        <w:t xml:space="preserve"> in this proceeding.</w:t>
      </w:r>
    </w:p>
    <w:p w:rsidR="002D6B24" w:rsidP="002D6B24" w:rsidRDefault="005939A5" w14:paraId="324C0FA9" w14:textId="1F562E8A">
      <w:pPr>
        <w:pStyle w:val="Dummy"/>
      </w:pPr>
      <w:bookmarkStart w:name="_Toc8123725" w:id="11"/>
      <w:bookmarkStart w:name="_Toc12866695" w:id="12"/>
      <w:r w:rsidRPr="0074033B">
        <w:t>Findings of Fact</w:t>
      </w:r>
      <w:bookmarkEnd w:id="11"/>
      <w:bookmarkEnd w:id="12"/>
    </w:p>
    <w:p w:rsidR="00851108" w:rsidP="001B2C79" w:rsidRDefault="00FC40E7" w14:paraId="55EED42D" w14:textId="10ACE90A">
      <w:pPr>
        <w:pStyle w:val="FoF"/>
      </w:pPr>
      <w:r>
        <w:t xml:space="preserve">The Petition was not filed within one year of the effective date of </w:t>
      </w:r>
      <w:r>
        <w:br/>
        <w:t>D.22-12-0</w:t>
      </w:r>
      <w:r w:rsidR="001B2C79">
        <w:t>0</w:t>
      </w:r>
      <w:r>
        <w:t>9.</w:t>
      </w:r>
    </w:p>
    <w:p w:rsidR="0034373B" w:rsidP="00E406F9" w:rsidRDefault="001B2C79" w14:paraId="1308FEC1" w14:textId="23AB905F">
      <w:pPr>
        <w:pStyle w:val="FoF"/>
      </w:pPr>
      <w:r>
        <w:t xml:space="preserve">The Petitioners were not parties to the proceeding </w:t>
      </w:r>
      <w:r w:rsidR="00E2122B">
        <w:t xml:space="preserve">in </w:t>
      </w:r>
      <w:r>
        <w:t xml:space="preserve">which </w:t>
      </w:r>
      <w:r w:rsidR="00E2122B">
        <w:t>D.22-12-009</w:t>
      </w:r>
      <w:r>
        <w:t xml:space="preserve"> was issued.</w:t>
      </w:r>
    </w:p>
    <w:p w:rsidR="00E16495" w:rsidP="00E16495" w:rsidRDefault="00F726CF" w14:paraId="1A1FEBDB" w14:textId="77777777">
      <w:pPr>
        <w:pStyle w:val="FoF"/>
      </w:pPr>
      <w:r>
        <w:t xml:space="preserve">The Petitioners </w:t>
      </w:r>
      <w:r w:rsidR="00B6341B">
        <w:t xml:space="preserve">allege a new or changed fact that was </w:t>
      </w:r>
      <w:r w:rsidR="00E16495">
        <w:t>supported</w:t>
      </w:r>
      <w:r w:rsidR="00B6341B">
        <w:t xml:space="preserve"> </w:t>
      </w:r>
      <w:r w:rsidR="00E16495">
        <w:t>by</w:t>
      </w:r>
      <w:r w:rsidR="00B6341B">
        <w:t xml:space="preserve"> declaration</w:t>
      </w:r>
      <w:r w:rsidR="00E16495">
        <w:t xml:space="preserve"> as required by Rule 16.4(b). </w:t>
      </w:r>
    </w:p>
    <w:p w:rsidRPr="008440F0" w:rsidR="009E3FB5" w:rsidP="008440F0" w:rsidRDefault="004D3FB3" w14:paraId="6A9BCB69" w14:textId="1466E60B">
      <w:pPr>
        <w:pStyle w:val="FoF"/>
      </w:pPr>
      <w:r w:rsidRPr="00D4688D">
        <w:t>The Petitioners did not sufficiently justify the filing of the Petition more than one year after the effective date of D.22-12-009</w:t>
      </w:r>
      <w:r>
        <w:t xml:space="preserve"> as required by 16.4(d). </w:t>
      </w:r>
    </w:p>
    <w:p w:rsidRPr="00E406F9" w:rsidR="005939A5" w:rsidP="00E406F9" w:rsidRDefault="005939A5" w14:paraId="41F60482" w14:textId="433A6AEF">
      <w:pPr>
        <w:pStyle w:val="FoF"/>
        <w:numPr>
          <w:ilvl w:val="0"/>
          <w:numId w:val="0"/>
        </w:numPr>
        <w:rPr>
          <w:rFonts w:ascii="Arial" w:hAnsi="Arial" w:cs="Arial"/>
          <w:b/>
          <w:bCs/>
          <w:szCs w:val="26"/>
        </w:rPr>
      </w:pPr>
      <w:bookmarkStart w:name="_Toc8123726" w:id="13"/>
      <w:bookmarkStart w:name="_Toc12866696" w:id="14"/>
      <w:r w:rsidRPr="00E406F9">
        <w:rPr>
          <w:rFonts w:ascii="Arial" w:hAnsi="Arial" w:cs="Arial"/>
          <w:b/>
          <w:bCs/>
          <w:szCs w:val="26"/>
        </w:rPr>
        <w:t>Conclusions of Law</w:t>
      </w:r>
      <w:bookmarkEnd w:id="13"/>
      <w:bookmarkEnd w:id="14"/>
    </w:p>
    <w:p w:rsidR="00324242" w:rsidP="00FC40E7" w:rsidRDefault="001A687C" w14:paraId="76256B50" w14:textId="18911B23">
      <w:pPr>
        <w:pStyle w:val="CoL"/>
      </w:pPr>
      <w:r>
        <w:t xml:space="preserve">The </w:t>
      </w:r>
      <w:r w:rsidR="00C112B3">
        <w:t xml:space="preserve">Petition for Modification </w:t>
      </w:r>
      <w:r w:rsidR="000C3855">
        <w:t xml:space="preserve">failed to satisfy the requirements of Rule </w:t>
      </w:r>
      <w:r w:rsidR="00467FAC">
        <w:t xml:space="preserve">16.4(d). </w:t>
      </w:r>
    </w:p>
    <w:p w:rsidR="00FC40E7" w:rsidP="00FC40E7" w:rsidRDefault="00FC40E7" w14:paraId="3A5559AA" w14:textId="7EBC0E61">
      <w:pPr>
        <w:pStyle w:val="CoL"/>
      </w:pPr>
      <w:proofErr w:type="gramStart"/>
      <w:r>
        <w:t>The Petition</w:t>
      </w:r>
      <w:proofErr w:type="gramEnd"/>
      <w:r>
        <w:t xml:space="preserve"> should be denied. </w:t>
      </w:r>
    </w:p>
    <w:p w:rsidR="00BB0243" w:rsidP="000A6E05" w:rsidRDefault="005939A5" w14:paraId="459A5F20" w14:textId="43F0C5B6">
      <w:pPr>
        <w:pStyle w:val="Mainex"/>
      </w:pPr>
      <w:bookmarkStart w:name="_Toc12866697" w:id="15"/>
      <w:r>
        <w:t>O</w:t>
      </w:r>
      <w:r w:rsidR="00722850">
        <w:t>RDER</w:t>
      </w:r>
      <w:bookmarkEnd w:id="15"/>
    </w:p>
    <w:p w:rsidR="00BB0243" w:rsidP="000A6E05" w:rsidRDefault="00BB0243" w14:paraId="4E403068" w14:textId="77777777">
      <w:pPr>
        <w:keepNext/>
      </w:pPr>
      <w:r w:rsidRPr="00043EFC">
        <w:rPr>
          <w:b/>
        </w:rPr>
        <w:t xml:space="preserve">IT IS </w:t>
      </w:r>
      <w:proofErr w:type="gramStart"/>
      <w:r w:rsidRPr="00043EFC">
        <w:rPr>
          <w:b/>
        </w:rPr>
        <w:t>ORDERED</w:t>
      </w:r>
      <w:r w:rsidRPr="00043EFC">
        <w:t xml:space="preserve"> that</w:t>
      </w:r>
      <w:proofErr w:type="gramEnd"/>
      <w:r w:rsidRPr="00043EFC">
        <w:t>:</w:t>
      </w:r>
    </w:p>
    <w:p w:rsidRPr="006829A8" w:rsidR="003E15C9" w:rsidP="006829A8" w:rsidRDefault="00FB79B5" w14:paraId="5941EFC7" w14:textId="4F3556E7">
      <w:pPr>
        <w:pStyle w:val="OP"/>
      </w:pPr>
      <w:r>
        <w:t xml:space="preserve">The Petition </w:t>
      </w:r>
      <w:r w:rsidRPr="006829A8">
        <w:t>for Modification of Decisi</w:t>
      </w:r>
      <w:r w:rsidRPr="006829A8" w:rsidR="00B40D7B">
        <w:t xml:space="preserve">on </w:t>
      </w:r>
      <w:r w:rsidRPr="006829A8" w:rsidR="0056431F">
        <w:t>22-12-0</w:t>
      </w:r>
      <w:r w:rsidRPr="006829A8" w:rsidR="001A667C">
        <w:t>0</w:t>
      </w:r>
      <w:r w:rsidRPr="006829A8" w:rsidR="0056431F">
        <w:t xml:space="preserve">9 is denied. </w:t>
      </w:r>
    </w:p>
    <w:p w:rsidR="00F6397D" w:rsidP="006829A8" w:rsidRDefault="00E23CBB" w14:paraId="510505B8" w14:textId="5E117C16">
      <w:pPr>
        <w:pStyle w:val="OP"/>
      </w:pPr>
      <w:r w:rsidRPr="006829A8">
        <w:t>Application</w:t>
      </w:r>
      <w:r w:rsidRPr="006829A8" w:rsidR="00FB79B5">
        <w:t xml:space="preserve"> </w:t>
      </w:r>
      <w:r w:rsidRPr="006829A8" w:rsidR="00B20185">
        <w:t>22-</w:t>
      </w:r>
      <w:r w:rsidRPr="006829A8" w:rsidR="004945A7">
        <w:t>05</w:t>
      </w:r>
      <w:r w:rsidRPr="006829A8" w:rsidR="00B20185">
        <w:t>-00</w:t>
      </w:r>
      <w:r w:rsidRPr="006829A8" w:rsidR="004945A7">
        <w:t>2, et al</w:t>
      </w:r>
      <w:r w:rsidR="004945A7">
        <w:t>.,</w:t>
      </w:r>
      <w:r w:rsidR="00796F01">
        <w:t xml:space="preserve"> is</w:t>
      </w:r>
      <w:r w:rsidR="00B20185">
        <w:t xml:space="preserve"> </w:t>
      </w:r>
      <w:r w:rsidRPr="001E2A62">
        <w:t>closed.</w:t>
      </w:r>
    </w:p>
    <w:p w:rsidR="008F0116" w:rsidP="00523B4C" w:rsidRDefault="008F0116" w14:paraId="48B9336B" w14:textId="77777777">
      <w:pPr>
        <w:keepNext/>
      </w:pPr>
      <w:r>
        <w:t>This order is effective today.</w:t>
      </w:r>
    </w:p>
    <w:p w:rsidR="009D05B9" w:rsidP="009D05B9" w:rsidRDefault="008F0116" w14:paraId="53B0502F" w14:textId="1F305134">
      <w:pPr>
        <w:pStyle w:val="Standard"/>
        <w:keepNext/>
      </w:pPr>
      <w:r>
        <w:t xml:space="preserve">Dated </w:t>
      </w:r>
      <w:r w:rsidR="0003189A">
        <w:t>September</w:t>
      </w:r>
      <w:r w:rsidR="00D558FC">
        <w:t xml:space="preserve"> __, 202</w:t>
      </w:r>
      <w:r w:rsidR="00C83EA6">
        <w:t>5</w:t>
      </w:r>
      <w:r>
        <w:t xml:space="preserve">, at </w:t>
      </w:r>
      <w:r w:rsidR="00796F01">
        <w:t>San Francisco</w:t>
      </w:r>
      <w:r>
        <w:t>, Californ</w:t>
      </w:r>
      <w:r w:rsidR="00D743A7">
        <w:t>ia</w:t>
      </w:r>
    </w:p>
    <w:sectPr w:rsidR="009D05B9" w:rsidSect="00B43C9C">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p>
      <w:r>
        <w:t xml:space="preserve"/>
      </w:r>
    </w:p>
    <w:p>
      <w:r>
        <w:t xml:space="preserve">Attachment 1: </w:t>
      </w:r>
    </w:p>
    <w:p>
      <w:hyperlink w:history="true" r:id="Rbbb438d7c5944164">
        <w:r w:rsidRPr="00CB1292">
          <w:rPr>
            <w:rStyle w:val="Hyperlink"/>
            <w:color w:val="2E74B5" w:themeColor="accent1" w:themeShade="BF"/>
            <w:u w:val="single"/>
          </w:rPr>
          <w:t>Redline - A.22-05-002 PD GT2 9-18 Agenda (COM) and Rev. 1 A.22-05-002 PD GT2 10-9 Agenda (COM).pdf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F514" w14:textId="77777777" w:rsidR="006C58EE" w:rsidRDefault="006C58EE" w:rsidP="0098138E">
      <w:pPr>
        <w:spacing w:line="240" w:lineRule="auto"/>
      </w:pPr>
      <w:r>
        <w:separator/>
      </w:r>
    </w:p>
  </w:endnote>
  <w:endnote w:type="continuationSeparator" w:id="0">
    <w:p w14:paraId="2FD39000" w14:textId="77777777" w:rsidR="006C58EE" w:rsidRDefault="006C58E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67728"/>
      <w:docPartObj>
        <w:docPartGallery w:val="Page Numbers (Bottom of Page)"/>
        <w:docPartUnique/>
      </w:docPartObj>
    </w:sdtPr>
    <w:sdtEndPr>
      <w:rPr>
        <w:noProof/>
      </w:rPr>
    </w:sdtEndPr>
    <w:sdtContent>
      <w:p w14:paraId="0B6CD1DB" w14:textId="08C4A6CE" w:rsidR="0022517F" w:rsidRDefault="0022517F" w:rsidP="0022517F">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022147BB" w14:textId="77777777" w:rsidR="00197225" w:rsidRDefault="00197225" w:rsidP="00873049">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91260"/>
      <w:docPartObj>
        <w:docPartGallery w:val="Page Numbers (Bottom of Page)"/>
        <w:docPartUnique/>
      </w:docPartObj>
    </w:sdtPr>
    <w:sdtEndPr>
      <w:rPr>
        <w:noProof/>
      </w:rPr>
    </w:sdtEndPr>
    <w:sdtContent>
      <w:p w14:paraId="0C2ACA05" w14:textId="551AF5CB" w:rsidR="00AE57AC" w:rsidRDefault="00AE57AC" w:rsidP="00AE57AC">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4DE1CE13" w14:textId="51416E2C" w:rsidR="004C5FDD" w:rsidRPr="005D65DF" w:rsidRDefault="00F67505" w:rsidP="005D65DF">
    <w:pPr>
      <w:pStyle w:val="Footer"/>
      <w:tabs>
        <w:tab w:val="clear" w:pos="4680"/>
        <w:tab w:val="clear" w:pos="9360"/>
        <w:tab w:val="left" w:pos="4500"/>
      </w:tabs>
      <w:ind w:firstLine="0"/>
      <w:rPr>
        <w:sz w:val="16"/>
        <w:szCs w:val="16"/>
      </w:rPr>
    </w:pPr>
    <w:r w:rsidRPr="00F67505">
      <w:rPr>
        <w:sz w:val="16"/>
        <w:szCs w:val="16"/>
      </w:rPr>
      <w:t>582666716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602E" w14:textId="77777777" w:rsidR="006C58EE" w:rsidRDefault="006C58EE" w:rsidP="00DF58E7">
      <w:pPr>
        <w:spacing w:line="240" w:lineRule="auto"/>
        <w:ind w:firstLine="0"/>
      </w:pPr>
      <w:r>
        <w:separator/>
      </w:r>
    </w:p>
  </w:footnote>
  <w:footnote w:type="continuationSeparator" w:id="0">
    <w:p w14:paraId="40ABB41C" w14:textId="77777777" w:rsidR="006C58EE" w:rsidRDefault="006C58EE" w:rsidP="00DF58E7">
      <w:pPr>
        <w:spacing w:line="240" w:lineRule="auto"/>
        <w:ind w:firstLine="0"/>
      </w:pPr>
      <w:r>
        <w:continuationSeparator/>
      </w:r>
    </w:p>
  </w:footnote>
  <w:footnote w:type="continuationNotice" w:id="1">
    <w:p w14:paraId="4ECF13DB" w14:textId="77777777" w:rsidR="006C58EE" w:rsidRPr="00DF58E7" w:rsidRDefault="006C58EE"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98C1A9F" w14:textId="77777777" w:rsidR="004E48EF" w:rsidRDefault="004E48EF" w:rsidP="004E48EF">
      <w:pPr>
        <w:pStyle w:val="FootnoteText"/>
      </w:pPr>
      <w:r>
        <w:rPr>
          <w:rStyle w:val="FootnoteReference"/>
        </w:rPr>
        <w:footnoteRef/>
      </w:r>
      <w:r>
        <w:t xml:space="preserve"> </w:t>
      </w:r>
      <w:r w:rsidRPr="00A63F71">
        <w:t xml:space="preserve">The HAN is a network contained within a customer's home or business that connects a customer's qualified energy monitoring device to a smart meter. This connection allows the customer to observe </w:t>
      </w:r>
      <w:r>
        <w:t>their</w:t>
      </w:r>
      <w:r w:rsidRPr="00A63F71">
        <w:t xml:space="preserve"> real-time energy usage through the energy monitoring device.</w:t>
      </w:r>
    </w:p>
  </w:footnote>
  <w:footnote w:id="3">
    <w:p w14:paraId="4DE98202" w14:textId="77777777" w:rsidR="004E48EF" w:rsidRDefault="004E48EF" w:rsidP="004E48EF">
      <w:pPr>
        <w:pStyle w:val="FootnoteText"/>
      </w:pPr>
      <w:r>
        <w:rPr>
          <w:rStyle w:val="FootnoteReference"/>
        </w:rPr>
        <w:footnoteRef/>
      </w:r>
      <w:r>
        <w:t xml:space="preserve"> Petition at 28. </w:t>
      </w:r>
    </w:p>
  </w:footnote>
  <w:footnote w:id="4">
    <w:p w14:paraId="122D576D" w14:textId="77777777" w:rsidR="004E48EF" w:rsidRDefault="004E48EF" w:rsidP="004E48EF">
      <w:pPr>
        <w:pStyle w:val="FootnoteText"/>
      </w:pPr>
      <w:r>
        <w:rPr>
          <w:rStyle w:val="FootnoteReference"/>
        </w:rPr>
        <w:footnoteRef/>
      </w:r>
      <w:r>
        <w:t xml:space="preserve"> Petition at 8-9. </w:t>
      </w:r>
    </w:p>
  </w:footnote>
  <w:footnote w:id="5">
    <w:p w14:paraId="707FBC1F" w14:textId="77777777" w:rsidR="004E48EF" w:rsidRDefault="004E48EF" w:rsidP="004E48EF">
      <w:pPr>
        <w:pStyle w:val="FootnoteText"/>
      </w:pPr>
      <w:r>
        <w:rPr>
          <w:rStyle w:val="FootnoteReference"/>
        </w:rPr>
        <w:footnoteRef/>
      </w:r>
      <w:r>
        <w:t xml:space="preserve"> Petition at 10. </w:t>
      </w:r>
    </w:p>
  </w:footnote>
  <w:footnote w:id="6">
    <w:p w14:paraId="6F60F50F" w14:textId="77777777" w:rsidR="004E48EF" w:rsidRDefault="004E48EF" w:rsidP="004E48EF">
      <w:pPr>
        <w:pStyle w:val="FootnoteText"/>
      </w:pPr>
      <w:r>
        <w:rPr>
          <w:rStyle w:val="FootnoteReference"/>
        </w:rPr>
        <w:footnoteRef/>
      </w:r>
      <w:r>
        <w:t xml:space="preserve"> Petition at 11. </w:t>
      </w:r>
    </w:p>
  </w:footnote>
  <w:footnote w:id="7">
    <w:p w14:paraId="75A62DC4" w14:textId="77777777" w:rsidR="004E48EF" w:rsidRDefault="004E48EF" w:rsidP="004E48EF">
      <w:pPr>
        <w:pStyle w:val="FootnoteText"/>
      </w:pPr>
      <w:r>
        <w:rPr>
          <w:rStyle w:val="FootnoteReference"/>
        </w:rPr>
        <w:footnoteRef/>
      </w:r>
      <w:r>
        <w:t xml:space="preserve"> Petition at 13-16.</w:t>
      </w:r>
    </w:p>
  </w:footnote>
  <w:footnote w:id="8">
    <w:p w14:paraId="0336B902" w14:textId="77777777" w:rsidR="004E48EF" w:rsidRDefault="004E48EF" w:rsidP="004E48EF">
      <w:pPr>
        <w:pStyle w:val="FootnoteText"/>
      </w:pPr>
      <w:r>
        <w:rPr>
          <w:rStyle w:val="FootnoteReference"/>
        </w:rPr>
        <w:footnoteRef/>
      </w:r>
      <w:r>
        <w:t xml:space="preserve"> Petition at 22, </w:t>
      </w:r>
      <w:r>
        <w:rPr>
          <w:i/>
          <w:iCs/>
        </w:rPr>
        <w:t>citing</w:t>
      </w:r>
      <w:r>
        <w:t xml:space="preserve"> Prepared Direct Testimony of E Bradford Mantz – Chapter 1A on behalf of San Diego Gas &amp; Electric Company, at 20:1, </w:t>
      </w:r>
      <w:r w:rsidRPr="00761CA6">
        <w:t xml:space="preserve">stating that </w:t>
      </w:r>
      <w:r>
        <w:t xml:space="preserve">“devices that are connected via ZigBee will still remain connected until the customers’ future new meters are replaced with a new meter not carrying ZigBee.” </w:t>
      </w:r>
      <w:r>
        <w:rPr>
          <w:i/>
          <w:iCs/>
        </w:rPr>
        <w:t xml:space="preserve">See also </w:t>
      </w:r>
      <w:r>
        <w:t xml:space="preserve">Petition at 27. </w:t>
      </w:r>
    </w:p>
  </w:footnote>
  <w:footnote w:id="9">
    <w:p w14:paraId="65643E7E" w14:textId="77777777" w:rsidR="004E48EF" w:rsidRDefault="004E48EF" w:rsidP="004E48EF">
      <w:pPr>
        <w:pStyle w:val="FootnoteText"/>
      </w:pPr>
      <w:r>
        <w:rPr>
          <w:rStyle w:val="FootnoteReference"/>
        </w:rPr>
        <w:footnoteRef/>
      </w:r>
      <w:r>
        <w:t xml:space="preserve"> Petition at 7. </w:t>
      </w:r>
    </w:p>
  </w:footnote>
  <w:footnote w:id="10">
    <w:p w14:paraId="1621CCE5" w14:textId="76A51AB9" w:rsidR="000A761D" w:rsidRDefault="000A761D" w:rsidP="000A761D">
      <w:pPr>
        <w:pStyle w:val="FootnoteText"/>
      </w:pPr>
      <w:r>
        <w:rPr>
          <w:rStyle w:val="FootnoteReference"/>
        </w:rPr>
        <w:footnoteRef/>
      </w:r>
      <w:r>
        <w:t xml:space="preserve"> SDG&amp;E </w:t>
      </w:r>
      <w:r w:rsidR="00470B01">
        <w:t>Response</w:t>
      </w:r>
      <w:r>
        <w:t xml:space="preserve"> to Petition, March 21, 2025 (SDG&amp;E Re</w:t>
      </w:r>
      <w:r w:rsidR="00207A0F">
        <w:t>sponse</w:t>
      </w:r>
      <w:r>
        <w:t xml:space="preserve">), at 3. </w:t>
      </w:r>
    </w:p>
  </w:footnote>
  <w:footnote w:id="11">
    <w:p w14:paraId="29BE3CB1" w14:textId="0883943A" w:rsidR="000A761D" w:rsidRDefault="000A761D" w:rsidP="000A761D">
      <w:pPr>
        <w:pStyle w:val="FootnoteText"/>
      </w:pPr>
      <w:r>
        <w:rPr>
          <w:rStyle w:val="FootnoteReference"/>
        </w:rPr>
        <w:footnoteRef/>
      </w:r>
      <w:r>
        <w:t xml:space="preserve"> SDG&amp;E Re</w:t>
      </w:r>
      <w:r w:rsidR="00470B01">
        <w:t>sponse</w:t>
      </w:r>
      <w:r>
        <w:t xml:space="preserve"> at 4. </w:t>
      </w:r>
    </w:p>
  </w:footnote>
  <w:footnote w:id="12">
    <w:p w14:paraId="022B216E" w14:textId="3CD80749" w:rsidR="000A761D" w:rsidRDefault="000A761D" w:rsidP="000A761D">
      <w:pPr>
        <w:pStyle w:val="FootnoteText"/>
      </w:pPr>
      <w:r>
        <w:rPr>
          <w:rStyle w:val="FootnoteReference"/>
        </w:rPr>
        <w:footnoteRef/>
      </w:r>
      <w:r>
        <w:t xml:space="preserve"> SDG&amp;E Re</w:t>
      </w:r>
      <w:r w:rsidR="00470B01">
        <w:t>sponse</w:t>
      </w:r>
      <w:r>
        <w:t xml:space="preserve"> at 5. </w:t>
      </w:r>
    </w:p>
  </w:footnote>
  <w:footnote w:id="13">
    <w:p w14:paraId="4BAE253E" w14:textId="1FC3D22B" w:rsidR="000A761D" w:rsidRDefault="000A761D" w:rsidP="000A761D">
      <w:pPr>
        <w:pStyle w:val="FootnoteText"/>
      </w:pPr>
      <w:r>
        <w:rPr>
          <w:rStyle w:val="FootnoteReference"/>
        </w:rPr>
        <w:footnoteRef/>
      </w:r>
      <w:r>
        <w:t xml:space="preserve"> SDG&amp;E Re</w:t>
      </w:r>
      <w:r w:rsidR="00470B01">
        <w:t>sponse</w:t>
      </w:r>
      <w:r>
        <w:t xml:space="preserve"> at 5. </w:t>
      </w:r>
    </w:p>
  </w:footnote>
  <w:footnote w:id="14">
    <w:p w14:paraId="72D7A2C6" w14:textId="51DE111E" w:rsidR="000A761D" w:rsidRDefault="000A761D" w:rsidP="000A761D">
      <w:pPr>
        <w:pStyle w:val="FootnoteText"/>
      </w:pPr>
      <w:r>
        <w:rPr>
          <w:rStyle w:val="FootnoteReference"/>
        </w:rPr>
        <w:footnoteRef/>
      </w:r>
      <w:r>
        <w:t xml:space="preserve"> SDG&amp;E Re</w:t>
      </w:r>
      <w:r w:rsidR="00470B01">
        <w:t>sponse</w:t>
      </w:r>
      <w:r>
        <w:t xml:space="preserve"> at 5-6. </w:t>
      </w:r>
    </w:p>
  </w:footnote>
  <w:footnote w:id="15">
    <w:p w14:paraId="558C824F" w14:textId="7BF1FA0E" w:rsidR="000A761D" w:rsidRDefault="000A761D" w:rsidP="000A761D">
      <w:pPr>
        <w:pStyle w:val="FootnoteText"/>
      </w:pPr>
      <w:r>
        <w:rPr>
          <w:rStyle w:val="FootnoteReference"/>
        </w:rPr>
        <w:footnoteRef/>
      </w:r>
      <w:r>
        <w:t xml:space="preserve"> SDG&amp;E </w:t>
      </w:r>
      <w:r w:rsidR="00470B01">
        <w:t>Response</w:t>
      </w:r>
      <w:r>
        <w:t xml:space="preserve"> at 6-7. </w:t>
      </w:r>
    </w:p>
  </w:footnote>
  <w:footnote w:id="16">
    <w:p w14:paraId="0A6FFE9F" w14:textId="1610EC82" w:rsidR="000A761D" w:rsidRDefault="000A761D" w:rsidP="000A761D">
      <w:pPr>
        <w:pStyle w:val="FootnoteText"/>
      </w:pPr>
      <w:r>
        <w:rPr>
          <w:rStyle w:val="FootnoteReference"/>
        </w:rPr>
        <w:footnoteRef/>
      </w:r>
      <w:r>
        <w:t xml:space="preserve"> </w:t>
      </w:r>
      <w:r w:rsidRPr="009E6E21">
        <w:t>Petitioners</w:t>
      </w:r>
      <w:r>
        <w:t>’</w:t>
      </w:r>
      <w:r w:rsidRPr="009E6E21">
        <w:t xml:space="preserve"> Reply </w:t>
      </w:r>
      <w:r>
        <w:t>to Response to Petition, April 1, 2025, (Petitioners</w:t>
      </w:r>
      <w:r w:rsidR="006339F7">
        <w:t>’</w:t>
      </w:r>
      <w:r>
        <w:t xml:space="preserve"> Reply), </w:t>
      </w:r>
      <w:r w:rsidRPr="009E6E21">
        <w:t>at</w:t>
      </w:r>
      <w:r>
        <w:t xml:space="preserve"> </w:t>
      </w:r>
      <w:r w:rsidRPr="009E6E21">
        <w:t xml:space="preserve">9, </w:t>
      </w:r>
      <w:r w:rsidRPr="009E6E21">
        <w:rPr>
          <w:i/>
          <w:iCs/>
        </w:rPr>
        <w:t>citing</w:t>
      </w:r>
      <w:r w:rsidRPr="009E6E21">
        <w:t xml:space="preserve"> D.22-12-009 at 28-29.</w:t>
      </w:r>
    </w:p>
  </w:footnote>
  <w:footnote w:id="17">
    <w:p w14:paraId="0587DF26" w14:textId="77777777" w:rsidR="000A761D" w:rsidRPr="00EA7047" w:rsidRDefault="000A761D" w:rsidP="000A761D">
      <w:pPr>
        <w:pStyle w:val="FootnoteText"/>
      </w:pPr>
      <w:r>
        <w:rPr>
          <w:rStyle w:val="FootnoteReference"/>
        </w:rPr>
        <w:footnoteRef/>
      </w:r>
      <w:r>
        <w:t xml:space="preserve"> Petitioners’ Reply at 8-9.</w:t>
      </w:r>
    </w:p>
  </w:footnote>
  <w:footnote w:id="18">
    <w:p w14:paraId="48886FEC" w14:textId="77777777" w:rsidR="000A761D" w:rsidRPr="004A10A9" w:rsidRDefault="000A761D" w:rsidP="000A761D">
      <w:pPr>
        <w:pStyle w:val="FootnoteText"/>
        <w:rPr>
          <w:rFonts w:eastAsiaTheme="minorEastAsia"/>
        </w:rPr>
      </w:pPr>
      <w:r>
        <w:rPr>
          <w:rStyle w:val="FootnoteReference"/>
        </w:rPr>
        <w:footnoteRef/>
      </w:r>
      <w:r>
        <w:t xml:space="preserve"> Petitioners’ Reply at 13. </w:t>
      </w:r>
    </w:p>
  </w:footnote>
  <w:footnote w:id="19">
    <w:p w14:paraId="353A96A3" w14:textId="77777777" w:rsidR="000A761D" w:rsidRPr="004A10A9" w:rsidRDefault="000A761D" w:rsidP="000A761D">
      <w:pPr>
        <w:pStyle w:val="FootnoteText"/>
      </w:pPr>
      <w:r>
        <w:rPr>
          <w:rStyle w:val="FootnoteReference"/>
        </w:rPr>
        <w:footnoteRef/>
      </w:r>
      <w:r>
        <w:t xml:space="preserve"> Petitioners’ Reply at 11-14.</w:t>
      </w:r>
    </w:p>
  </w:footnote>
  <w:footnote w:id="20">
    <w:p w14:paraId="23B1C641" w14:textId="77777777" w:rsidR="000A761D" w:rsidRPr="004519D8" w:rsidRDefault="000A761D" w:rsidP="000A761D">
      <w:pPr>
        <w:pStyle w:val="FootnoteText"/>
      </w:pPr>
      <w:r>
        <w:rPr>
          <w:rStyle w:val="FootnoteReference"/>
        </w:rPr>
        <w:footnoteRef/>
      </w:r>
      <w:r>
        <w:t xml:space="preserve"> Petitioners’ Reply at 15, </w:t>
      </w:r>
      <w:r>
        <w:rPr>
          <w:i/>
          <w:iCs/>
        </w:rPr>
        <w:t>citing</w:t>
      </w:r>
      <w:r>
        <w:t>,</w:t>
      </w:r>
      <w:r w:rsidRPr="004519D8">
        <w:t xml:space="preserve"> D.09-12-046 at 52; Resolution E-4527 at 3, 6; </w:t>
      </w:r>
      <w:r w:rsidRPr="00B70F41">
        <w:rPr>
          <w:i/>
          <w:iCs/>
        </w:rPr>
        <w:t>see also</w:t>
      </w:r>
      <w:r w:rsidRPr="004519D8">
        <w:t xml:space="preserve"> Senate Bill 18 (Padilla, </w:t>
      </w:r>
      <w:proofErr w:type="spellStart"/>
      <w:r w:rsidRPr="004519D8">
        <w:t>ch.</w:t>
      </w:r>
      <w:proofErr w:type="spellEnd"/>
      <w:r w:rsidRPr="004519D8">
        <w:t xml:space="preserve"> 327, Statutes of 2009), P.U.C. § 8360(e) (requiring “[d]</w:t>
      </w:r>
      <w:proofErr w:type="spellStart"/>
      <w:r w:rsidRPr="004519D8">
        <w:t>eployment</w:t>
      </w:r>
      <w:proofErr w:type="spellEnd"/>
      <w:r w:rsidRPr="004519D8">
        <w:t xml:space="preserve"> of cost-effective smart technologies, including real</w:t>
      </w:r>
      <w:r w:rsidRPr="00AD2959">
        <w:t xml:space="preserve"> </w:t>
      </w:r>
      <w:r>
        <w:t>time, automated, interactive technologies that optimize the physical operation of appliances and consumer devices for metering, communications concerning grid operations and status, and distribution automation.”)</w:t>
      </w:r>
    </w:p>
  </w:footnote>
  <w:footnote w:id="21">
    <w:p w14:paraId="760F79B0" w14:textId="50002E44" w:rsidR="000A761D" w:rsidRDefault="000A761D" w:rsidP="000A761D">
      <w:pPr>
        <w:pStyle w:val="FootnoteText"/>
      </w:pPr>
      <w:r>
        <w:rPr>
          <w:rStyle w:val="FootnoteReference"/>
        </w:rPr>
        <w:footnoteRef/>
      </w:r>
      <w:r>
        <w:t xml:space="preserve"> The Council</w:t>
      </w:r>
      <w:r w:rsidR="00DB765C">
        <w:t>’</w:t>
      </w:r>
      <w:r>
        <w:t xml:space="preserve">s Response to Petition, March 21, 2025, (Council Response) at 2-3. </w:t>
      </w:r>
    </w:p>
  </w:footnote>
  <w:footnote w:id="22">
    <w:p w14:paraId="05710865" w14:textId="7B4E7648" w:rsidR="005965FB" w:rsidRDefault="005965FB">
      <w:pPr>
        <w:pStyle w:val="FootnoteText"/>
      </w:pPr>
      <w:r>
        <w:rPr>
          <w:rStyle w:val="FootnoteReference"/>
        </w:rPr>
        <w:footnoteRef/>
      </w:r>
      <w:r>
        <w:t xml:space="preserve"> </w:t>
      </w:r>
      <w:r w:rsidRPr="005965FB">
        <w:t xml:space="preserve">D.92058 (1980) 4 CPUC 2d 139 at 149-150; </w:t>
      </w:r>
      <w:r w:rsidRPr="00B70F41">
        <w:rPr>
          <w:i/>
          <w:iCs/>
        </w:rPr>
        <w:t>see also</w:t>
      </w:r>
      <w:r w:rsidRPr="005965FB">
        <w:t xml:space="preserve"> D.15-05-004 at 6</w:t>
      </w:r>
      <w:r>
        <w:t>.</w:t>
      </w:r>
    </w:p>
  </w:footnote>
  <w:footnote w:id="23">
    <w:p w14:paraId="1900E9C0" w14:textId="77777777" w:rsidR="00C549B2" w:rsidRDefault="00C549B2" w:rsidP="00C549B2">
      <w:pPr>
        <w:pStyle w:val="FootnoteText"/>
      </w:pPr>
      <w:r>
        <w:rPr>
          <w:rStyle w:val="FootnoteReference"/>
        </w:rPr>
        <w:footnoteRef/>
      </w:r>
      <w:r>
        <w:t xml:space="preserve"> Unless otherwise specified, all references to a Rule are to the Commission’s Rules of Practice and Procedure.</w:t>
      </w:r>
    </w:p>
  </w:footnote>
  <w:footnote w:id="24">
    <w:p w14:paraId="6D064E42" w14:textId="4DAF2D5A" w:rsidR="00DE6CB0" w:rsidRDefault="00DE6CB0">
      <w:pPr>
        <w:pStyle w:val="FootnoteText"/>
      </w:pPr>
      <w:r>
        <w:rPr>
          <w:rStyle w:val="FootnoteReference"/>
        </w:rPr>
        <w:footnoteRef/>
      </w:r>
      <w:r>
        <w:t xml:space="preserve"> Petition</w:t>
      </w:r>
      <w:r w:rsidR="0050656C">
        <w:t xml:space="preserve"> Exhibit D. </w:t>
      </w:r>
    </w:p>
  </w:footnote>
  <w:footnote w:id="25">
    <w:p w14:paraId="7778BFC9" w14:textId="50204ECA" w:rsidR="00BF1DDD" w:rsidRDefault="00BF1DDD">
      <w:pPr>
        <w:pStyle w:val="FootnoteText"/>
      </w:pPr>
      <w:r>
        <w:rPr>
          <w:rStyle w:val="FootnoteReference"/>
        </w:rPr>
        <w:footnoteRef/>
      </w:r>
      <w:r>
        <w:t xml:space="preserve"> </w:t>
      </w:r>
      <w:r w:rsidRPr="00BF1DDD">
        <w:t xml:space="preserve">Attachment A to the Petition is a Declaration of Kaitlin McGee, Key Accounts and Program Manager for CEA. Attachment B to the Petition is a Declaration of Timothy Treadwell, Senior Program Manager for SDCP. Attachment C to the Petition is a Declaration of Michael Murray, President of </w:t>
      </w:r>
      <w:proofErr w:type="spellStart"/>
      <w:r w:rsidRPr="00BF1DDD">
        <w:t>Mission:data</w:t>
      </w:r>
      <w:proofErr w:type="spellEnd"/>
      <w:r w:rsidRPr="00BF1DDD">
        <w:t>.</w:t>
      </w:r>
    </w:p>
  </w:footnote>
  <w:footnote w:id="26">
    <w:p w14:paraId="54FC8940" w14:textId="2045061B" w:rsidR="00E86C2B" w:rsidRDefault="00E86C2B">
      <w:pPr>
        <w:pStyle w:val="FootnoteText"/>
      </w:pPr>
      <w:r>
        <w:rPr>
          <w:rStyle w:val="FootnoteReference"/>
        </w:rPr>
        <w:footnoteRef/>
      </w:r>
      <w:r>
        <w:t xml:space="preserve"> Petitioners</w:t>
      </w:r>
      <w:r w:rsidR="006339F7">
        <w:t>’</w:t>
      </w:r>
      <w:r>
        <w:t xml:space="preserve"> Reply at 8. </w:t>
      </w:r>
    </w:p>
  </w:footnote>
  <w:footnote w:id="27">
    <w:p w14:paraId="789DEC81" w14:textId="7E53E489" w:rsidR="00A746BC" w:rsidRDefault="00A746BC">
      <w:pPr>
        <w:pStyle w:val="FootnoteText"/>
      </w:pPr>
      <w:r>
        <w:rPr>
          <w:rStyle w:val="FootnoteReference"/>
        </w:rPr>
        <w:footnoteRef/>
      </w:r>
      <w:r>
        <w:t xml:space="preserve"> Petition at 13-16. </w:t>
      </w:r>
    </w:p>
  </w:footnote>
  <w:footnote w:id="28">
    <w:p w14:paraId="3B8A5DE2" w14:textId="3BCE416E" w:rsidR="00BE4BA9" w:rsidRDefault="00BE4BA9">
      <w:pPr>
        <w:pStyle w:val="FootnoteText"/>
      </w:pPr>
      <w:r>
        <w:rPr>
          <w:rStyle w:val="FootnoteReference"/>
        </w:rPr>
        <w:footnoteRef/>
      </w:r>
      <w:r>
        <w:t xml:space="preserve"> Petition at 7. </w:t>
      </w:r>
    </w:p>
  </w:footnote>
  <w:footnote w:id="29">
    <w:p w14:paraId="1DBF4364" w14:textId="7DAFC103" w:rsidR="00BE4BA9" w:rsidRDefault="00BE4BA9">
      <w:pPr>
        <w:pStyle w:val="FootnoteText"/>
      </w:pPr>
      <w:r>
        <w:rPr>
          <w:rStyle w:val="FootnoteReference"/>
        </w:rPr>
        <w:footnoteRef/>
      </w:r>
      <w:r>
        <w:t xml:space="preserve"> Petition at 7.</w:t>
      </w:r>
    </w:p>
  </w:footnote>
  <w:footnote w:id="30">
    <w:p w14:paraId="28719169" w14:textId="7A7685E7" w:rsidR="00FF6EB3" w:rsidRDefault="00FF6EB3" w:rsidP="00FF6EB3">
      <w:pPr>
        <w:pStyle w:val="FootnoteText"/>
      </w:pPr>
      <w:r>
        <w:rPr>
          <w:rStyle w:val="FootnoteReference"/>
        </w:rPr>
        <w:footnoteRef/>
      </w:r>
      <w:r>
        <w:t xml:space="preserve"> D.22-12-009 at 42, “</w:t>
      </w:r>
      <w:r w:rsidRPr="00521BDF">
        <w:t>For SDG&amp;E customers, there has been decreasing use of ZigBee</w:t>
      </w:r>
      <w:r w:rsidR="00705B57">
        <w:t xml:space="preserve"> </w:t>
      </w:r>
      <w:r w:rsidRPr="00521BDF">
        <w:t>technology among new customers for communicating meter data.</w:t>
      </w:r>
      <w:r>
        <w:t xml:space="preserve">” </w:t>
      </w:r>
    </w:p>
  </w:footnote>
  <w:footnote w:id="31">
    <w:p w14:paraId="27E4225B" w14:textId="77777777" w:rsidR="00FF6EB3" w:rsidRPr="00EB220D" w:rsidRDefault="00FF6EB3" w:rsidP="00FF6EB3">
      <w:pPr>
        <w:pStyle w:val="FootnoteText"/>
      </w:pPr>
      <w:r>
        <w:rPr>
          <w:rStyle w:val="FootnoteReference"/>
        </w:rPr>
        <w:footnoteRef/>
      </w:r>
      <w:r>
        <w:t xml:space="preserve"> SDG&amp;E Reply at 4, </w:t>
      </w:r>
      <w:r>
        <w:rPr>
          <w:i/>
          <w:iCs/>
        </w:rPr>
        <w:t xml:space="preserve">citing </w:t>
      </w:r>
      <w:r>
        <w:t xml:space="preserve">D.22-12-009 at 28. </w:t>
      </w:r>
    </w:p>
  </w:footnote>
  <w:footnote w:id="32">
    <w:p w14:paraId="7606B78A" w14:textId="77777777" w:rsidR="00FF6EB3" w:rsidRDefault="00FF6EB3" w:rsidP="00FF6EB3">
      <w:pPr>
        <w:pStyle w:val="FootnoteText"/>
      </w:pPr>
      <w:r>
        <w:rPr>
          <w:rStyle w:val="FootnoteReference"/>
        </w:rPr>
        <w:footnoteRef/>
      </w:r>
      <w:r>
        <w:t xml:space="preserve"> D.22-12-009 at 42. </w:t>
      </w:r>
    </w:p>
  </w:footnote>
  <w:footnote w:id="33">
    <w:p w14:paraId="18B13C86" w14:textId="790175D8" w:rsidR="00BE4BA9" w:rsidRDefault="00BE4BA9">
      <w:pPr>
        <w:pStyle w:val="FootnoteText"/>
      </w:pPr>
      <w:r>
        <w:rPr>
          <w:rStyle w:val="FootnoteReference"/>
        </w:rPr>
        <w:footnoteRef/>
      </w:r>
      <w:r>
        <w:t xml:space="preserve"> D.22-12-009 at 28. </w:t>
      </w:r>
    </w:p>
  </w:footnote>
  <w:footnote w:id="34">
    <w:p w14:paraId="38F1DF5A" w14:textId="6E9A00C9" w:rsidR="00034DC7" w:rsidRDefault="00034DC7">
      <w:pPr>
        <w:pStyle w:val="FootnoteText"/>
      </w:pPr>
      <w:r>
        <w:rPr>
          <w:rStyle w:val="FootnoteReference"/>
        </w:rPr>
        <w:footnoteRef/>
      </w:r>
      <w:r>
        <w:t xml:space="preserve"> </w:t>
      </w:r>
      <w:r w:rsidR="008616BE" w:rsidRPr="008616BE">
        <w:t xml:space="preserve">Petition at </w:t>
      </w:r>
      <w:r w:rsidR="00881E1A">
        <w:t>8</w:t>
      </w:r>
      <w:r w:rsidR="00D7139B">
        <w:t>,</w:t>
      </w:r>
      <w:r w:rsidR="00881E1A">
        <w:t xml:space="preserve"> </w:t>
      </w:r>
      <w:r w:rsidR="00881E1A">
        <w:rPr>
          <w:i/>
          <w:iCs/>
        </w:rPr>
        <w:t xml:space="preserve">citing </w:t>
      </w:r>
      <w:r w:rsidR="00D7139B">
        <w:t>Exhibit C</w:t>
      </w:r>
      <w:r w:rsidR="008616BE" w:rsidRPr="008616BE">
        <w:t xml:space="preserve"> </w:t>
      </w:r>
      <w:r w:rsidR="00D7139B">
        <w:t>at 4</w:t>
      </w:r>
      <w:r w:rsidR="008616BE" w:rsidRPr="008616BE">
        <w:t>-</w:t>
      </w:r>
      <w:r w:rsidR="003C3F02">
        <w:t>5</w:t>
      </w:r>
      <w:r w:rsidR="00D7139B">
        <w:t xml:space="preserve">; </w:t>
      </w:r>
      <w:r w:rsidR="00D7139B">
        <w:rPr>
          <w:i/>
          <w:iCs/>
        </w:rPr>
        <w:t>See also</w:t>
      </w:r>
      <w:r w:rsidR="00D7139B">
        <w:t xml:space="preserve"> Petition</w:t>
      </w:r>
      <w:r w:rsidR="008616BE" w:rsidRPr="008616BE">
        <w:t xml:space="preserve"> Appendix 1</w:t>
      </w:r>
      <w:r w:rsidR="00981D94">
        <w:t>.</w:t>
      </w:r>
    </w:p>
  </w:footnote>
  <w:footnote w:id="35">
    <w:p w14:paraId="62C7A060" w14:textId="77777777" w:rsidR="00B70F41" w:rsidRDefault="00B70F41" w:rsidP="00B70F41">
      <w:pPr>
        <w:pStyle w:val="FootnoteText"/>
      </w:pPr>
      <w:r>
        <w:rPr>
          <w:rStyle w:val="FootnoteReference"/>
        </w:rPr>
        <w:footnoteRef/>
      </w:r>
      <w:r>
        <w:t xml:space="preserve"> Petition at 28. </w:t>
      </w:r>
    </w:p>
  </w:footnote>
  <w:footnote w:id="36">
    <w:p w14:paraId="1F607691" w14:textId="77777777" w:rsidR="00B70F41" w:rsidRDefault="00B70F41" w:rsidP="00B70F41">
      <w:pPr>
        <w:pStyle w:val="FootnoteText"/>
      </w:pPr>
      <w:r>
        <w:rPr>
          <w:rStyle w:val="FootnoteReference"/>
        </w:rPr>
        <w:footnoteRef/>
      </w:r>
      <w:r>
        <w:t xml:space="preserve"> Petition at 8-9.</w:t>
      </w:r>
    </w:p>
  </w:footnote>
  <w:footnote w:id="37">
    <w:p w14:paraId="52B15D89" w14:textId="77777777" w:rsidR="00B70F41" w:rsidRDefault="00B70F41" w:rsidP="00B70F41">
      <w:pPr>
        <w:pStyle w:val="FootnoteText"/>
      </w:pPr>
      <w:r>
        <w:rPr>
          <w:rStyle w:val="FootnoteReference"/>
        </w:rPr>
        <w:footnoteRef/>
      </w:r>
      <w:r>
        <w:t xml:space="preserve"> </w:t>
      </w:r>
      <w:r w:rsidRPr="00256810">
        <w:t>Petition at 13-16</w:t>
      </w:r>
      <w:r>
        <w:t xml:space="preserve">. </w:t>
      </w:r>
    </w:p>
  </w:footnote>
  <w:footnote w:id="38">
    <w:p w14:paraId="795E27D5" w14:textId="77777777" w:rsidR="00B70F41" w:rsidRDefault="00B70F41" w:rsidP="00B70F41">
      <w:pPr>
        <w:pStyle w:val="FootnoteText"/>
      </w:pPr>
      <w:r>
        <w:rPr>
          <w:rStyle w:val="FootnoteReference"/>
        </w:rPr>
        <w:footnoteRef/>
      </w:r>
      <w:r>
        <w:t xml:space="preserve"> Petition at 7. </w:t>
      </w:r>
    </w:p>
  </w:footnote>
  <w:footnote w:id="39">
    <w:p w14:paraId="4EC1ED17" w14:textId="3BB76EA1" w:rsidR="00F04F0B" w:rsidRDefault="00F04F0B">
      <w:pPr>
        <w:pStyle w:val="FootnoteText"/>
      </w:pPr>
      <w:r>
        <w:rPr>
          <w:rStyle w:val="FootnoteReference"/>
        </w:rPr>
        <w:footnoteRef/>
      </w:r>
      <w:r>
        <w:t xml:space="preserve"> D.22-12-009 </w:t>
      </w:r>
      <w:r w:rsidR="000656F3">
        <w:t>at 42, “</w:t>
      </w:r>
      <w:r w:rsidR="00521BDF" w:rsidRPr="00521BDF">
        <w:t>For SDG&amp;E customers, there has been decreasing use of ZigBee technology among new customers for communicating meter data.</w:t>
      </w:r>
      <w:r w:rsidR="00521BDF">
        <w:t xml:space="preserve">” </w:t>
      </w:r>
    </w:p>
  </w:footnote>
  <w:footnote w:id="40">
    <w:p w14:paraId="5220DC04" w14:textId="6232F86E" w:rsidR="0057107A" w:rsidRPr="00EB220D" w:rsidRDefault="0057107A">
      <w:pPr>
        <w:pStyle w:val="FootnoteText"/>
      </w:pPr>
      <w:r>
        <w:rPr>
          <w:rStyle w:val="FootnoteReference"/>
        </w:rPr>
        <w:footnoteRef/>
      </w:r>
      <w:r>
        <w:t xml:space="preserve"> </w:t>
      </w:r>
      <w:r w:rsidR="00E10C23">
        <w:t>SDG&amp;E</w:t>
      </w:r>
      <w:r w:rsidR="00BF1C8E">
        <w:t xml:space="preserve"> Re</w:t>
      </w:r>
      <w:r w:rsidR="00767FF3">
        <w:t>sponse</w:t>
      </w:r>
      <w:r w:rsidR="00E10C23">
        <w:t xml:space="preserve"> at 4</w:t>
      </w:r>
      <w:r w:rsidR="00EB220D">
        <w:t xml:space="preserve">, </w:t>
      </w:r>
      <w:r w:rsidR="00EB220D">
        <w:rPr>
          <w:i/>
          <w:iCs/>
        </w:rPr>
        <w:t>citing</w:t>
      </w:r>
      <w:r w:rsidR="00D7139B">
        <w:rPr>
          <w:i/>
          <w:iCs/>
        </w:rPr>
        <w:t xml:space="preserve"> </w:t>
      </w:r>
      <w:r w:rsidR="00EB220D">
        <w:t xml:space="preserve">D.22-12-009 at 28. </w:t>
      </w:r>
    </w:p>
  </w:footnote>
  <w:footnote w:id="41">
    <w:p w14:paraId="5AC8A144" w14:textId="63B07378" w:rsidR="00634734" w:rsidRDefault="00634734">
      <w:pPr>
        <w:pStyle w:val="FootnoteText"/>
      </w:pPr>
      <w:r>
        <w:rPr>
          <w:rStyle w:val="FootnoteReference"/>
        </w:rPr>
        <w:footnoteRef/>
      </w:r>
      <w:r>
        <w:t xml:space="preserve"> </w:t>
      </w:r>
      <w:r w:rsidR="00650473">
        <w:t>Petition at 13-16.</w:t>
      </w:r>
    </w:p>
  </w:footnote>
  <w:footnote w:id="42">
    <w:p w14:paraId="7E539422" w14:textId="5BAD0D4F" w:rsidR="00DD6451" w:rsidRDefault="00DD6451">
      <w:pPr>
        <w:pStyle w:val="FootnoteText"/>
      </w:pPr>
      <w:r>
        <w:rPr>
          <w:rStyle w:val="FootnoteReference"/>
        </w:rPr>
        <w:footnoteRef/>
      </w:r>
      <w:r>
        <w:t xml:space="preserve"> D.09-12-046</w:t>
      </w:r>
      <w:r w:rsidR="009E78F1">
        <w:t xml:space="preserve"> at COL</w:t>
      </w:r>
      <w:r w:rsidR="00530E08">
        <w:t xml:space="preserve"> </w:t>
      </w:r>
      <w:r w:rsidR="00D32048">
        <w:t>14.</w:t>
      </w:r>
    </w:p>
  </w:footnote>
  <w:footnote w:id="43">
    <w:p w14:paraId="0FA08245" w14:textId="56641957" w:rsidR="00591EB2" w:rsidRDefault="00591EB2">
      <w:pPr>
        <w:pStyle w:val="FootnoteText"/>
      </w:pPr>
      <w:r>
        <w:rPr>
          <w:rStyle w:val="FootnoteReference"/>
        </w:rPr>
        <w:footnoteRef/>
      </w:r>
      <w:r>
        <w:t xml:space="preserve"> Petition Appendix 1. </w:t>
      </w:r>
    </w:p>
  </w:footnote>
  <w:footnote w:id="44">
    <w:p w14:paraId="604ED3F2" w14:textId="1FBF92A8" w:rsidR="00586249" w:rsidRDefault="00586249">
      <w:pPr>
        <w:pStyle w:val="FootnoteText"/>
      </w:pPr>
      <w:r>
        <w:rPr>
          <w:rStyle w:val="FootnoteReference"/>
        </w:rPr>
        <w:footnoteRef/>
      </w:r>
      <w:r>
        <w:t xml:space="preserve"> </w:t>
      </w:r>
      <w:r w:rsidR="00091ECA">
        <w:t xml:space="preserve">Petition at </w:t>
      </w:r>
      <w:r w:rsidR="00B11144">
        <w:t>14</w:t>
      </w:r>
      <w:r w:rsidR="00F1464D">
        <w:t xml:space="preserve">-18. </w:t>
      </w:r>
    </w:p>
  </w:footnote>
  <w:footnote w:id="45">
    <w:p w14:paraId="5D65CFED" w14:textId="4951519B" w:rsidR="007E5C4A" w:rsidRDefault="007E5C4A">
      <w:pPr>
        <w:pStyle w:val="FootnoteText"/>
      </w:pPr>
      <w:r>
        <w:rPr>
          <w:rStyle w:val="FootnoteReference"/>
        </w:rPr>
        <w:footnoteRef/>
      </w:r>
      <w:r>
        <w:t xml:space="preserve"> </w:t>
      </w:r>
      <w:r w:rsidR="00767FF3">
        <w:t>Petitioners Reply</w:t>
      </w:r>
      <w:r>
        <w:t xml:space="preserve"> at 2-3.</w:t>
      </w:r>
    </w:p>
  </w:footnote>
  <w:footnote w:id="46">
    <w:p w14:paraId="6727B33E" w14:textId="175B102E" w:rsidR="00AB36D5" w:rsidRDefault="00AB36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E0A9" w14:textId="5B75FFCA" w:rsidR="00873049" w:rsidRPr="000B0EA4" w:rsidRDefault="00873049" w:rsidP="00873049">
    <w:pPr>
      <w:pStyle w:val="Header"/>
      <w:tabs>
        <w:tab w:val="clear" w:pos="4680"/>
      </w:tabs>
      <w:ind w:firstLine="0"/>
      <w:rPr>
        <w:b/>
        <w:bCs/>
      </w:rPr>
    </w:pPr>
    <w:r>
      <w:t>A.22-05-002 et al.  ALJ/GT2/kp7</w:t>
    </w:r>
    <w:r>
      <w:tab/>
    </w:r>
    <w:r w:rsidRPr="00FC1422">
      <w:rPr>
        <w:b/>
        <w:bCs/>
      </w:rPr>
      <w:t>PROPOSED DECISION</w:t>
    </w:r>
    <w:r>
      <w:rPr>
        <w:b/>
        <w:bCs/>
      </w:rPr>
      <w:t xml:space="preserve"> (Rev.1)</w:t>
    </w:r>
  </w:p>
  <w:p w14:paraId="0D314A9F" w14:textId="77777777" w:rsidR="00197225" w:rsidRDefault="00197225" w:rsidP="0019722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C6686"/>
    <w:multiLevelType w:val="hybridMultilevel"/>
    <w:tmpl w:val="E0802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36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CD0D02"/>
    <w:multiLevelType w:val="multilevel"/>
    <w:tmpl w:val="8ABE0742"/>
    <w:lvl w:ilvl="0">
      <w:start w:val="4"/>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E085A20"/>
    <w:multiLevelType w:val="multilevel"/>
    <w:tmpl w:val="2468F828"/>
    <w:lvl w:ilvl="0">
      <w:start w:val="1"/>
      <w:numFmt w:val="decimal"/>
      <w:lvlText w:val="%1."/>
      <w:lvlJc w:val="left"/>
      <w:pPr>
        <w:ind w:left="1080" w:hanging="360"/>
      </w:pPr>
      <w:rPr>
        <w:rFonts w:ascii="Arial" w:hAnsi="Arial" w:hint="default"/>
        <w:b w:val="0"/>
        <w:bCs/>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216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512"/>
        </w:tabs>
        <w:ind w:left="216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216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E2242C9"/>
    <w:multiLevelType w:val="multilevel"/>
    <w:tmpl w:val="F80A60DA"/>
    <w:numStyleLink w:val="Headings"/>
  </w:abstractNum>
  <w:abstractNum w:abstractNumId="7" w15:restartNumberingAfterBreak="0">
    <w:nsid w:val="2E745A08"/>
    <w:multiLevelType w:val="hybridMultilevel"/>
    <w:tmpl w:val="5934AE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31F6D42"/>
    <w:multiLevelType w:val="multilevel"/>
    <w:tmpl w:val="F80A60DA"/>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37CE2024"/>
    <w:multiLevelType w:val="hybridMultilevel"/>
    <w:tmpl w:val="83106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C22B78"/>
    <w:multiLevelType w:val="hybridMultilevel"/>
    <w:tmpl w:val="B6741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62D84F9D"/>
    <w:multiLevelType w:val="multilevel"/>
    <w:tmpl w:val="2468F828"/>
    <w:lvl w:ilvl="0">
      <w:start w:val="1"/>
      <w:numFmt w:val="decimal"/>
      <w:lvlText w:val="%1."/>
      <w:lvlJc w:val="left"/>
      <w:pPr>
        <w:ind w:left="1080" w:hanging="360"/>
      </w:pPr>
      <w:rPr>
        <w:rFonts w:ascii="Arial" w:hAnsi="Arial" w:hint="default"/>
        <w:b w:val="0"/>
        <w:bCs/>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216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512"/>
        </w:tabs>
        <w:ind w:left="216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216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A74204"/>
    <w:multiLevelType w:val="multilevel"/>
    <w:tmpl w:val="99C2361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89A0AFE"/>
    <w:multiLevelType w:val="multilevel"/>
    <w:tmpl w:val="18F4A5AC"/>
    <w:numStyleLink w:val="FoFCoLOP"/>
  </w:abstractNum>
  <w:num w:numId="1" w16cid:durableId="952631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670908">
    <w:abstractNumId w:val="2"/>
  </w:num>
  <w:num w:numId="3" w16cid:durableId="802580698">
    <w:abstractNumId w:val="11"/>
  </w:num>
  <w:num w:numId="4" w16cid:durableId="410465738">
    <w:abstractNumId w:val="3"/>
  </w:num>
  <w:num w:numId="5" w16cid:durableId="1692994327">
    <w:abstractNumId w:val="17"/>
  </w:num>
  <w:num w:numId="6" w16cid:durableId="1745837098">
    <w:abstractNumId w:val="8"/>
  </w:num>
  <w:num w:numId="7" w16cid:durableId="420756829">
    <w:abstractNumId w:val="6"/>
  </w:num>
  <w:num w:numId="8" w16cid:durableId="857962543">
    <w:abstractNumId w:val="15"/>
  </w:num>
  <w:num w:numId="9" w16cid:durableId="2104641307">
    <w:abstractNumId w:val="0"/>
  </w:num>
  <w:num w:numId="10" w16cid:durableId="851797423">
    <w:abstractNumId w:val="8"/>
    <w:lvlOverride w:ilvl="2">
      <w:lvl w:ilvl="2">
        <w:start w:val="1"/>
        <w:numFmt w:val="decimal"/>
        <w:pStyle w:val="Heading3"/>
        <w:lvlText w:val="%1.%2.%3."/>
        <w:lvlJc w:val="left"/>
        <w:pPr>
          <w:tabs>
            <w:tab w:val="num" w:pos="1440"/>
          </w:tabs>
          <w:ind w:left="1584" w:hanging="864"/>
        </w:pPr>
      </w:lvl>
    </w:lvlOverride>
  </w:num>
  <w:num w:numId="11" w16cid:durableId="1682662300">
    <w:abstractNumId w:val="12"/>
  </w:num>
  <w:num w:numId="12" w16cid:durableId="881288970">
    <w:abstractNumId w:val="13"/>
  </w:num>
  <w:num w:numId="13" w16cid:durableId="244845372">
    <w:abstractNumId w:val="8"/>
  </w:num>
  <w:num w:numId="14" w16cid:durableId="705451149">
    <w:abstractNumId w:val="1"/>
  </w:num>
  <w:num w:numId="15" w16cid:durableId="634877223">
    <w:abstractNumId w:val="9"/>
  </w:num>
  <w:num w:numId="16" w16cid:durableId="31536045">
    <w:abstractNumId w:val="10"/>
  </w:num>
  <w:num w:numId="17" w16cid:durableId="163907324">
    <w:abstractNumId w:val="7"/>
  </w:num>
  <w:num w:numId="18" w16cid:durableId="909729516">
    <w:abstractNumId w:val="5"/>
  </w:num>
  <w:num w:numId="19" w16cid:durableId="2026860202">
    <w:abstractNumId w:val="14"/>
  </w:num>
  <w:num w:numId="20" w16cid:durableId="233901886">
    <w:abstractNumId w:val="16"/>
  </w:num>
  <w:num w:numId="21" w16cid:durableId="155912735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AF"/>
    <w:rsid w:val="000003DF"/>
    <w:rsid w:val="00000F6A"/>
    <w:rsid w:val="00001269"/>
    <w:rsid w:val="0000169E"/>
    <w:rsid w:val="000016E7"/>
    <w:rsid w:val="00001B67"/>
    <w:rsid w:val="00001EA9"/>
    <w:rsid w:val="00003396"/>
    <w:rsid w:val="00003A56"/>
    <w:rsid w:val="00010DA4"/>
    <w:rsid w:val="00010E31"/>
    <w:rsid w:val="00010FE1"/>
    <w:rsid w:val="0001133D"/>
    <w:rsid w:val="000121E5"/>
    <w:rsid w:val="00012EEE"/>
    <w:rsid w:val="00013831"/>
    <w:rsid w:val="00013ACF"/>
    <w:rsid w:val="00016907"/>
    <w:rsid w:val="00016BF9"/>
    <w:rsid w:val="0001714C"/>
    <w:rsid w:val="000178E4"/>
    <w:rsid w:val="000226A6"/>
    <w:rsid w:val="0003189A"/>
    <w:rsid w:val="000341CA"/>
    <w:rsid w:val="00034B02"/>
    <w:rsid w:val="00034DC7"/>
    <w:rsid w:val="00035521"/>
    <w:rsid w:val="00035918"/>
    <w:rsid w:val="00037B3C"/>
    <w:rsid w:val="00040965"/>
    <w:rsid w:val="00041264"/>
    <w:rsid w:val="000430E7"/>
    <w:rsid w:val="00043A7D"/>
    <w:rsid w:val="00043EFC"/>
    <w:rsid w:val="00044624"/>
    <w:rsid w:val="00044A39"/>
    <w:rsid w:val="000451F3"/>
    <w:rsid w:val="000455FC"/>
    <w:rsid w:val="00047175"/>
    <w:rsid w:val="00047623"/>
    <w:rsid w:val="00047EDB"/>
    <w:rsid w:val="0005368B"/>
    <w:rsid w:val="000552C5"/>
    <w:rsid w:val="000559C4"/>
    <w:rsid w:val="00056328"/>
    <w:rsid w:val="0005702B"/>
    <w:rsid w:val="00061AED"/>
    <w:rsid w:val="000642A6"/>
    <w:rsid w:val="000646D6"/>
    <w:rsid w:val="000646DB"/>
    <w:rsid w:val="000656F3"/>
    <w:rsid w:val="00065718"/>
    <w:rsid w:val="00065EB6"/>
    <w:rsid w:val="00066786"/>
    <w:rsid w:val="00070FA3"/>
    <w:rsid w:val="0007115A"/>
    <w:rsid w:val="0007160D"/>
    <w:rsid w:val="00071CA7"/>
    <w:rsid w:val="00072F85"/>
    <w:rsid w:val="0007427B"/>
    <w:rsid w:val="00075397"/>
    <w:rsid w:val="000754B8"/>
    <w:rsid w:val="000755FA"/>
    <w:rsid w:val="000812B4"/>
    <w:rsid w:val="0008268A"/>
    <w:rsid w:val="00083A98"/>
    <w:rsid w:val="00084453"/>
    <w:rsid w:val="00086D58"/>
    <w:rsid w:val="0009012D"/>
    <w:rsid w:val="00090399"/>
    <w:rsid w:val="000909CB"/>
    <w:rsid w:val="00091ECA"/>
    <w:rsid w:val="0009498F"/>
    <w:rsid w:val="00094CC5"/>
    <w:rsid w:val="0009576F"/>
    <w:rsid w:val="00095908"/>
    <w:rsid w:val="00096272"/>
    <w:rsid w:val="0009641A"/>
    <w:rsid w:val="00097361"/>
    <w:rsid w:val="000973C8"/>
    <w:rsid w:val="000A1BA2"/>
    <w:rsid w:val="000A2AA9"/>
    <w:rsid w:val="000A325A"/>
    <w:rsid w:val="000A38D4"/>
    <w:rsid w:val="000A5215"/>
    <w:rsid w:val="000A531D"/>
    <w:rsid w:val="000A56F2"/>
    <w:rsid w:val="000A591D"/>
    <w:rsid w:val="000A6422"/>
    <w:rsid w:val="000A6E05"/>
    <w:rsid w:val="000A761D"/>
    <w:rsid w:val="000B0EA4"/>
    <w:rsid w:val="000B12FA"/>
    <w:rsid w:val="000B28CA"/>
    <w:rsid w:val="000B3BBA"/>
    <w:rsid w:val="000B6F73"/>
    <w:rsid w:val="000C08BF"/>
    <w:rsid w:val="000C3855"/>
    <w:rsid w:val="000C3B9A"/>
    <w:rsid w:val="000C3FA7"/>
    <w:rsid w:val="000C534D"/>
    <w:rsid w:val="000C6523"/>
    <w:rsid w:val="000C6A20"/>
    <w:rsid w:val="000C6AEC"/>
    <w:rsid w:val="000D04A7"/>
    <w:rsid w:val="000D25A8"/>
    <w:rsid w:val="000D2964"/>
    <w:rsid w:val="000D3F1E"/>
    <w:rsid w:val="000D7A2F"/>
    <w:rsid w:val="000D7B75"/>
    <w:rsid w:val="000D7FE4"/>
    <w:rsid w:val="000E4C53"/>
    <w:rsid w:val="000E53FC"/>
    <w:rsid w:val="000E59AA"/>
    <w:rsid w:val="000F089E"/>
    <w:rsid w:val="000F18C6"/>
    <w:rsid w:val="000F3016"/>
    <w:rsid w:val="000F5B1A"/>
    <w:rsid w:val="000F729D"/>
    <w:rsid w:val="000F75A5"/>
    <w:rsid w:val="001023D8"/>
    <w:rsid w:val="00102B90"/>
    <w:rsid w:val="00103226"/>
    <w:rsid w:val="00103C3E"/>
    <w:rsid w:val="00107ABF"/>
    <w:rsid w:val="00107ECE"/>
    <w:rsid w:val="001132EB"/>
    <w:rsid w:val="001140D8"/>
    <w:rsid w:val="00114E84"/>
    <w:rsid w:val="00115394"/>
    <w:rsid w:val="001174BA"/>
    <w:rsid w:val="0011775E"/>
    <w:rsid w:val="00117AC6"/>
    <w:rsid w:val="00121089"/>
    <w:rsid w:val="00122CA4"/>
    <w:rsid w:val="00123192"/>
    <w:rsid w:val="00124863"/>
    <w:rsid w:val="00127140"/>
    <w:rsid w:val="001309B4"/>
    <w:rsid w:val="0013256B"/>
    <w:rsid w:val="001337E2"/>
    <w:rsid w:val="0013403E"/>
    <w:rsid w:val="001369EF"/>
    <w:rsid w:val="00140519"/>
    <w:rsid w:val="00140C7C"/>
    <w:rsid w:val="001418E5"/>
    <w:rsid w:val="00144385"/>
    <w:rsid w:val="0014445F"/>
    <w:rsid w:val="00144D1D"/>
    <w:rsid w:val="00145CDB"/>
    <w:rsid w:val="0015166A"/>
    <w:rsid w:val="00154619"/>
    <w:rsid w:val="00154FE9"/>
    <w:rsid w:val="001556BA"/>
    <w:rsid w:val="00155BCA"/>
    <w:rsid w:val="001572B1"/>
    <w:rsid w:val="001572D3"/>
    <w:rsid w:val="0015796E"/>
    <w:rsid w:val="00157EE8"/>
    <w:rsid w:val="0016014C"/>
    <w:rsid w:val="00162516"/>
    <w:rsid w:val="00163C47"/>
    <w:rsid w:val="00165318"/>
    <w:rsid w:val="0017281A"/>
    <w:rsid w:val="0017305B"/>
    <w:rsid w:val="00177E28"/>
    <w:rsid w:val="00181099"/>
    <w:rsid w:val="00182F26"/>
    <w:rsid w:val="00183358"/>
    <w:rsid w:val="00184AAD"/>
    <w:rsid w:val="00190478"/>
    <w:rsid w:val="00197225"/>
    <w:rsid w:val="001A01F3"/>
    <w:rsid w:val="001A0C26"/>
    <w:rsid w:val="001A168C"/>
    <w:rsid w:val="001A21F9"/>
    <w:rsid w:val="001A2507"/>
    <w:rsid w:val="001A284D"/>
    <w:rsid w:val="001A36B7"/>
    <w:rsid w:val="001A473E"/>
    <w:rsid w:val="001A589F"/>
    <w:rsid w:val="001A591B"/>
    <w:rsid w:val="001A667C"/>
    <w:rsid w:val="001A687C"/>
    <w:rsid w:val="001A724A"/>
    <w:rsid w:val="001B2C79"/>
    <w:rsid w:val="001B2C97"/>
    <w:rsid w:val="001B3AE3"/>
    <w:rsid w:val="001B4CFC"/>
    <w:rsid w:val="001B63B1"/>
    <w:rsid w:val="001B75A5"/>
    <w:rsid w:val="001C22D4"/>
    <w:rsid w:val="001C2CD8"/>
    <w:rsid w:val="001C363F"/>
    <w:rsid w:val="001C478C"/>
    <w:rsid w:val="001C4B58"/>
    <w:rsid w:val="001C6DD7"/>
    <w:rsid w:val="001C7217"/>
    <w:rsid w:val="001D0F12"/>
    <w:rsid w:val="001D108E"/>
    <w:rsid w:val="001D1B9E"/>
    <w:rsid w:val="001D2EBA"/>
    <w:rsid w:val="001D2FD1"/>
    <w:rsid w:val="001D3615"/>
    <w:rsid w:val="001D379F"/>
    <w:rsid w:val="001D37FC"/>
    <w:rsid w:val="001D5200"/>
    <w:rsid w:val="001D71A6"/>
    <w:rsid w:val="001E222F"/>
    <w:rsid w:val="001E2A62"/>
    <w:rsid w:val="001E37AA"/>
    <w:rsid w:val="001E5DE1"/>
    <w:rsid w:val="001F16CA"/>
    <w:rsid w:val="001F2142"/>
    <w:rsid w:val="001F2819"/>
    <w:rsid w:val="001F5812"/>
    <w:rsid w:val="001F708C"/>
    <w:rsid w:val="001F7E08"/>
    <w:rsid w:val="00201146"/>
    <w:rsid w:val="002015BA"/>
    <w:rsid w:val="002025A5"/>
    <w:rsid w:val="002043EC"/>
    <w:rsid w:val="00207009"/>
    <w:rsid w:val="00207A0F"/>
    <w:rsid w:val="00210EE0"/>
    <w:rsid w:val="00211657"/>
    <w:rsid w:val="0021365F"/>
    <w:rsid w:val="00213A3B"/>
    <w:rsid w:val="00214254"/>
    <w:rsid w:val="00216541"/>
    <w:rsid w:val="002226BF"/>
    <w:rsid w:val="00222AA6"/>
    <w:rsid w:val="00222FAA"/>
    <w:rsid w:val="00224252"/>
    <w:rsid w:val="0022517F"/>
    <w:rsid w:val="00232062"/>
    <w:rsid w:val="00234C29"/>
    <w:rsid w:val="00236356"/>
    <w:rsid w:val="002369A7"/>
    <w:rsid w:val="00237E00"/>
    <w:rsid w:val="00243DC0"/>
    <w:rsid w:val="00244059"/>
    <w:rsid w:val="00245605"/>
    <w:rsid w:val="00246826"/>
    <w:rsid w:val="00247477"/>
    <w:rsid w:val="002476B6"/>
    <w:rsid w:val="002533E4"/>
    <w:rsid w:val="00254141"/>
    <w:rsid w:val="0025415F"/>
    <w:rsid w:val="00255741"/>
    <w:rsid w:val="00255BAD"/>
    <w:rsid w:val="00257FEE"/>
    <w:rsid w:val="0026182D"/>
    <w:rsid w:val="00263398"/>
    <w:rsid w:val="00265625"/>
    <w:rsid w:val="0026596A"/>
    <w:rsid w:val="00265FA4"/>
    <w:rsid w:val="00266FB6"/>
    <w:rsid w:val="00267792"/>
    <w:rsid w:val="00270440"/>
    <w:rsid w:val="00271E41"/>
    <w:rsid w:val="002732A6"/>
    <w:rsid w:val="00273D6E"/>
    <w:rsid w:val="002750EE"/>
    <w:rsid w:val="002758A6"/>
    <w:rsid w:val="00275CCB"/>
    <w:rsid w:val="002800A0"/>
    <w:rsid w:val="00282AB4"/>
    <w:rsid w:val="00282D38"/>
    <w:rsid w:val="002831BF"/>
    <w:rsid w:val="0028684F"/>
    <w:rsid w:val="002870F1"/>
    <w:rsid w:val="00293CAE"/>
    <w:rsid w:val="00293DEE"/>
    <w:rsid w:val="00295EEE"/>
    <w:rsid w:val="0029721D"/>
    <w:rsid w:val="00297545"/>
    <w:rsid w:val="00297C98"/>
    <w:rsid w:val="002A0B14"/>
    <w:rsid w:val="002A0B5D"/>
    <w:rsid w:val="002A1EFC"/>
    <w:rsid w:val="002A2F63"/>
    <w:rsid w:val="002A57B1"/>
    <w:rsid w:val="002A5B7B"/>
    <w:rsid w:val="002A6399"/>
    <w:rsid w:val="002A73DD"/>
    <w:rsid w:val="002B7615"/>
    <w:rsid w:val="002C22DE"/>
    <w:rsid w:val="002C2D3C"/>
    <w:rsid w:val="002C4EBA"/>
    <w:rsid w:val="002C5C13"/>
    <w:rsid w:val="002C6D96"/>
    <w:rsid w:val="002C714E"/>
    <w:rsid w:val="002C7798"/>
    <w:rsid w:val="002C7FE9"/>
    <w:rsid w:val="002D009E"/>
    <w:rsid w:val="002D1B0F"/>
    <w:rsid w:val="002D1FBE"/>
    <w:rsid w:val="002D22B4"/>
    <w:rsid w:val="002D3C01"/>
    <w:rsid w:val="002D3C43"/>
    <w:rsid w:val="002D3D13"/>
    <w:rsid w:val="002D482E"/>
    <w:rsid w:val="002D4EFD"/>
    <w:rsid w:val="002D4FCD"/>
    <w:rsid w:val="002D6A42"/>
    <w:rsid w:val="002D6B24"/>
    <w:rsid w:val="002D76D0"/>
    <w:rsid w:val="002E12F8"/>
    <w:rsid w:val="002E194E"/>
    <w:rsid w:val="002E3475"/>
    <w:rsid w:val="002E3C8B"/>
    <w:rsid w:val="002E3F9A"/>
    <w:rsid w:val="002E4C4E"/>
    <w:rsid w:val="002E58CA"/>
    <w:rsid w:val="002F07E3"/>
    <w:rsid w:val="002F0BC7"/>
    <w:rsid w:val="002F16D9"/>
    <w:rsid w:val="002F2361"/>
    <w:rsid w:val="002F3A8D"/>
    <w:rsid w:val="002F3F29"/>
    <w:rsid w:val="002F4293"/>
    <w:rsid w:val="002F4553"/>
    <w:rsid w:val="002F60D3"/>
    <w:rsid w:val="002F7B08"/>
    <w:rsid w:val="00300A17"/>
    <w:rsid w:val="00300AC4"/>
    <w:rsid w:val="00300C04"/>
    <w:rsid w:val="00305088"/>
    <w:rsid w:val="0030586F"/>
    <w:rsid w:val="00306985"/>
    <w:rsid w:val="00310D87"/>
    <w:rsid w:val="003117BB"/>
    <w:rsid w:val="003133B9"/>
    <w:rsid w:val="00314EBC"/>
    <w:rsid w:val="00316071"/>
    <w:rsid w:val="00316310"/>
    <w:rsid w:val="00320B50"/>
    <w:rsid w:val="00321B6E"/>
    <w:rsid w:val="00321F02"/>
    <w:rsid w:val="00322DF7"/>
    <w:rsid w:val="0032360C"/>
    <w:rsid w:val="00323E37"/>
    <w:rsid w:val="00324242"/>
    <w:rsid w:val="003245F2"/>
    <w:rsid w:val="00324BA1"/>
    <w:rsid w:val="00330646"/>
    <w:rsid w:val="00331029"/>
    <w:rsid w:val="003313C8"/>
    <w:rsid w:val="003322F2"/>
    <w:rsid w:val="003324A7"/>
    <w:rsid w:val="003346C6"/>
    <w:rsid w:val="003355F4"/>
    <w:rsid w:val="00335E0B"/>
    <w:rsid w:val="00335F7D"/>
    <w:rsid w:val="0033608B"/>
    <w:rsid w:val="00336C9C"/>
    <w:rsid w:val="003378F7"/>
    <w:rsid w:val="00337C22"/>
    <w:rsid w:val="00341621"/>
    <w:rsid w:val="0034232A"/>
    <w:rsid w:val="0034373B"/>
    <w:rsid w:val="00343E5C"/>
    <w:rsid w:val="0034412E"/>
    <w:rsid w:val="003446DC"/>
    <w:rsid w:val="003448DD"/>
    <w:rsid w:val="00344BED"/>
    <w:rsid w:val="003468C3"/>
    <w:rsid w:val="00346A3C"/>
    <w:rsid w:val="00351638"/>
    <w:rsid w:val="00352F18"/>
    <w:rsid w:val="003547CA"/>
    <w:rsid w:val="00355C11"/>
    <w:rsid w:val="00357404"/>
    <w:rsid w:val="003577BC"/>
    <w:rsid w:val="0036017B"/>
    <w:rsid w:val="00362755"/>
    <w:rsid w:val="00364EBA"/>
    <w:rsid w:val="00365DE7"/>
    <w:rsid w:val="00366F56"/>
    <w:rsid w:val="00367A55"/>
    <w:rsid w:val="003717B8"/>
    <w:rsid w:val="00372B98"/>
    <w:rsid w:val="00373B93"/>
    <w:rsid w:val="00373E7E"/>
    <w:rsid w:val="003749A2"/>
    <w:rsid w:val="00380044"/>
    <w:rsid w:val="003800A1"/>
    <w:rsid w:val="00380C2F"/>
    <w:rsid w:val="00381402"/>
    <w:rsid w:val="00383156"/>
    <w:rsid w:val="003834C9"/>
    <w:rsid w:val="003852B8"/>
    <w:rsid w:val="003853E8"/>
    <w:rsid w:val="00386F49"/>
    <w:rsid w:val="00390488"/>
    <w:rsid w:val="003906BE"/>
    <w:rsid w:val="00391DB2"/>
    <w:rsid w:val="003A1520"/>
    <w:rsid w:val="003A16EE"/>
    <w:rsid w:val="003A2FB8"/>
    <w:rsid w:val="003A38F0"/>
    <w:rsid w:val="003A40EE"/>
    <w:rsid w:val="003A5615"/>
    <w:rsid w:val="003A5C64"/>
    <w:rsid w:val="003A5CE8"/>
    <w:rsid w:val="003A5D47"/>
    <w:rsid w:val="003B02E3"/>
    <w:rsid w:val="003B0D65"/>
    <w:rsid w:val="003B0EB0"/>
    <w:rsid w:val="003B3562"/>
    <w:rsid w:val="003B3E3E"/>
    <w:rsid w:val="003B4651"/>
    <w:rsid w:val="003B5AFD"/>
    <w:rsid w:val="003C0295"/>
    <w:rsid w:val="003C0FCE"/>
    <w:rsid w:val="003C1835"/>
    <w:rsid w:val="003C281C"/>
    <w:rsid w:val="003C3F02"/>
    <w:rsid w:val="003C432B"/>
    <w:rsid w:val="003C7F00"/>
    <w:rsid w:val="003D0435"/>
    <w:rsid w:val="003D20AC"/>
    <w:rsid w:val="003D211C"/>
    <w:rsid w:val="003D48C6"/>
    <w:rsid w:val="003D67D3"/>
    <w:rsid w:val="003D6F9F"/>
    <w:rsid w:val="003D72B6"/>
    <w:rsid w:val="003E0301"/>
    <w:rsid w:val="003E12ED"/>
    <w:rsid w:val="003E15C9"/>
    <w:rsid w:val="003E431A"/>
    <w:rsid w:val="003E4E20"/>
    <w:rsid w:val="003E68CC"/>
    <w:rsid w:val="003F268C"/>
    <w:rsid w:val="003F2E67"/>
    <w:rsid w:val="003F2F84"/>
    <w:rsid w:val="003F4329"/>
    <w:rsid w:val="003F5B14"/>
    <w:rsid w:val="003F675B"/>
    <w:rsid w:val="003F6F6A"/>
    <w:rsid w:val="00400223"/>
    <w:rsid w:val="00400EF0"/>
    <w:rsid w:val="00400F9F"/>
    <w:rsid w:val="004017D2"/>
    <w:rsid w:val="00402AE0"/>
    <w:rsid w:val="00403DF6"/>
    <w:rsid w:val="00403F90"/>
    <w:rsid w:val="00405B0A"/>
    <w:rsid w:val="00406785"/>
    <w:rsid w:val="00407483"/>
    <w:rsid w:val="00407E4C"/>
    <w:rsid w:val="00407E84"/>
    <w:rsid w:val="00410765"/>
    <w:rsid w:val="0041109A"/>
    <w:rsid w:val="00411E02"/>
    <w:rsid w:val="004123FD"/>
    <w:rsid w:val="00412534"/>
    <w:rsid w:val="004125BE"/>
    <w:rsid w:val="00412C83"/>
    <w:rsid w:val="004151C5"/>
    <w:rsid w:val="004174ED"/>
    <w:rsid w:val="004224DF"/>
    <w:rsid w:val="00422BF1"/>
    <w:rsid w:val="00424626"/>
    <w:rsid w:val="004251D8"/>
    <w:rsid w:val="00425A5D"/>
    <w:rsid w:val="00425BF1"/>
    <w:rsid w:val="00426014"/>
    <w:rsid w:val="00432A7D"/>
    <w:rsid w:val="00437573"/>
    <w:rsid w:val="00440778"/>
    <w:rsid w:val="00440B2A"/>
    <w:rsid w:val="004426E6"/>
    <w:rsid w:val="00444754"/>
    <w:rsid w:val="00444F14"/>
    <w:rsid w:val="004455EA"/>
    <w:rsid w:val="00446106"/>
    <w:rsid w:val="00447EC6"/>
    <w:rsid w:val="00450DC4"/>
    <w:rsid w:val="00451018"/>
    <w:rsid w:val="0045122B"/>
    <w:rsid w:val="00451564"/>
    <w:rsid w:val="004519D8"/>
    <w:rsid w:val="00451EF0"/>
    <w:rsid w:val="0045544E"/>
    <w:rsid w:val="0045563C"/>
    <w:rsid w:val="0045578A"/>
    <w:rsid w:val="0045605E"/>
    <w:rsid w:val="0045642A"/>
    <w:rsid w:val="00460B7D"/>
    <w:rsid w:val="00461398"/>
    <w:rsid w:val="00462672"/>
    <w:rsid w:val="00462CE9"/>
    <w:rsid w:val="004634D7"/>
    <w:rsid w:val="00465F0E"/>
    <w:rsid w:val="0046652C"/>
    <w:rsid w:val="004672E1"/>
    <w:rsid w:val="00467986"/>
    <w:rsid w:val="00467FAC"/>
    <w:rsid w:val="00470B01"/>
    <w:rsid w:val="004712F0"/>
    <w:rsid w:val="004745CC"/>
    <w:rsid w:val="004772F0"/>
    <w:rsid w:val="004804DC"/>
    <w:rsid w:val="0048054A"/>
    <w:rsid w:val="004808CD"/>
    <w:rsid w:val="00480CB0"/>
    <w:rsid w:val="00481392"/>
    <w:rsid w:val="00482F18"/>
    <w:rsid w:val="00483997"/>
    <w:rsid w:val="00484086"/>
    <w:rsid w:val="00487528"/>
    <w:rsid w:val="004945A7"/>
    <w:rsid w:val="004957B6"/>
    <w:rsid w:val="00495958"/>
    <w:rsid w:val="00497FB4"/>
    <w:rsid w:val="004A10A9"/>
    <w:rsid w:val="004A19C5"/>
    <w:rsid w:val="004A25C7"/>
    <w:rsid w:val="004A5D33"/>
    <w:rsid w:val="004A62CC"/>
    <w:rsid w:val="004B14C3"/>
    <w:rsid w:val="004B1F1D"/>
    <w:rsid w:val="004B20A3"/>
    <w:rsid w:val="004B34EA"/>
    <w:rsid w:val="004B37DE"/>
    <w:rsid w:val="004B4457"/>
    <w:rsid w:val="004B5494"/>
    <w:rsid w:val="004B599C"/>
    <w:rsid w:val="004B5C0E"/>
    <w:rsid w:val="004B5E6A"/>
    <w:rsid w:val="004B6FB2"/>
    <w:rsid w:val="004B6FB8"/>
    <w:rsid w:val="004B7FC9"/>
    <w:rsid w:val="004C06D8"/>
    <w:rsid w:val="004C30AC"/>
    <w:rsid w:val="004C3473"/>
    <w:rsid w:val="004C4AA5"/>
    <w:rsid w:val="004C5FDD"/>
    <w:rsid w:val="004C6935"/>
    <w:rsid w:val="004C7D3A"/>
    <w:rsid w:val="004D3FB3"/>
    <w:rsid w:val="004D46BA"/>
    <w:rsid w:val="004D66DA"/>
    <w:rsid w:val="004D678A"/>
    <w:rsid w:val="004E0A09"/>
    <w:rsid w:val="004E231E"/>
    <w:rsid w:val="004E24BF"/>
    <w:rsid w:val="004E35E4"/>
    <w:rsid w:val="004E3D4D"/>
    <w:rsid w:val="004E48EF"/>
    <w:rsid w:val="004E65BE"/>
    <w:rsid w:val="004E7CE1"/>
    <w:rsid w:val="004F0CAA"/>
    <w:rsid w:val="004F18D8"/>
    <w:rsid w:val="004F25E6"/>
    <w:rsid w:val="004F2A7A"/>
    <w:rsid w:val="004F371A"/>
    <w:rsid w:val="004F51F6"/>
    <w:rsid w:val="004F5E98"/>
    <w:rsid w:val="004F7C2C"/>
    <w:rsid w:val="0050169B"/>
    <w:rsid w:val="005018A8"/>
    <w:rsid w:val="00501CEB"/>
    <w:rsid w:val="00502E0C"/>
    <w:rsid w:val="00504A12"/>
    <w:rsid w:val="00505A39"/>
    <w:rsid w:val="0050656C"/>
    <w:rsid w:val="005146AD"/>
    <w:rsid w:val="00516F77"/>
    <w:rsid w:val="00517241"/>
    <w:rsid w:val="0052081E"/>
    <w:rsid w:val="00521BDF"/>
    <w:rsid w:val="00521C19"/>
    <w:rsid w:val="00522F8C"/>
    <w:rsid w:val="00523B4C"/>
    <w:rsid w:val="005240BF"/>
    <w:rsid w:val="005256B7"/>
    <w:rsid w:val="00525B98"/>
    <w:rsid w:val="005267A5"/>
    <w:rsid w:val="00530E08"/>
    <w:rsid w:val="00530E0A"/>
    <w:rsid w:val="00531BE5"/>
    <w:rsid w:val="00531F57"/>
    <w:rsid w:val="00536688"/>
    <w:rsid w:val="0053781E"/>
    <w:rsid w:val="00537972"/>
    <w:rsid w:val="00543C36"/>
    <w:rsid w:val="005452DC"/>
    <w:rsid w:val="0054585A"/>
    <w:rsid w:val="0055029E"/>
    <w:rsid w:val="00552F02"/>
    <w:rsid w:val="005534AB"/>
    <w:rsid w:val="0055374D"/>
    <w:rsid w:val="00553DD5"/>
    <w:rsid w:val="00554803"/>
    <w:rsid w:val="0055731E"/>
    <w:rsid w:val="00557EDC"/>
    <w:rsid w:val="00561292"/>
    <w:rsid w:val="00561FEA"/>
    <w:rsid w:val="00562951"/>
    <w:rsid w:val="00562B27"/>
    <w:rsid w:val="00562E22"/>
    <w:rsid w:val="00562F05"/>
    <w:rsid w:val="0056431F"/>
    <w:rsid w:val="00564EAC"/>
    <w:rsid w:val="005663B8"/>
    <w:rsid w:val="0056671B"/>
    <w:rsid w:val="00570884"/>
    <w:rsid w:val="0057107A"/>
    <w:rsid w:val="00571B9D"/>
    <w:rsid w:val="00573B0F"/>
    <w:rsid w:val="005751AB"/>
    <w:rsid w:val="00576888"/>
    <w:rsid w:val="00580C85"/>
    <w:rsid w:val="0058164D"/>
    <w:rsid w:val="005819B1"/>
    <w:rsid w:val="00581D9D"/>
    <w:rsid w:val="00581EDA"/>
    <w:rsid w:val="00582DD5"/>
    <w:rsid w:val="00583ABF"/>
    <w:rsid w:val="00584EA4"/>
    <w:rsid w:val="005850E3"/>
    <w:rsid w:val="00585390"/>
    <w:rsid w:val="005859D9"/>
    <w:rsid w:val="00586249"/>
    <w:rsid w:val="005910B3"/>
    <w:rsid w:val="00591B23"/>
    <w:rsid w:val="00591EB2"/>
    <w:rsid w:val="00592BE4"/>
    <w:rsid w:val="00592EDE"/>
    <w:rsid w:val="00592FB3"/>
    <w:rsid w:val="005939A5"/>
    <w:rsid w:val="005965FB"/>
    <w:rsid w:val="005A148C"/>
    <w:rsid w:val="005A3674"/>
    <w:rsid w:val="005A3C46"/>
    <w:rsid w:val="005A45B2"/>
    <w:rsid w:val="005A5D9E"/>
    <w:rsid w:val="005B002B"/>
    <w:rsid w:val="005B0F68"/>
    <w:rsid w:val="005B12A9"/>
    <w:rsid w:val="005B15A7"/>
    <w:rsid w:val="005B27F6"/>
    <w:rsid w:val="005B303B"/>
    <w:rsid w:val="005B46E1"/>
    <w:rsid w:val="005B4D25"/>
    <w:rsid w:val="005B7BED"/>
    <w:rsid w:val="005C0D47"/>
    <w:rsid w:val="005C13EE"/>
    <w:rsid w:val="005C1D3B"/>
    <w:rsid w:val="005C2B83"/>
    <w:rsid w:val="005C354E"/>
    <w:rsid w:val="005C37E2"/>
    <w:rsid w:val="005C6965"/>
    <w:rsid w:val="005C79DE"/>
    <w:rsid w:val="005D0045"/>
    <w:rsid w:val="005D1E6F"/>
    <w:rsid w:val="005D65DF"/>
    <w:rsid w:val="005D7D83"/>
    <w:rsid w:val="005E311B"/>
    <w:rsid w:val="005E3E80"/>
    <w:rsid w:val="005E4868"/>
    <w:rsid w:val="005E6B0D"/>
    <w:rsid w:val="005F0CEB"/>
    <w:rsid w:val="005F7131"/>
    <w:rsid w:val="00600670"/>
    <w:rsid w:val="00604DDE"/>
    <w:rsid w:val="00605910"/>
    <w:rsid w:val="00606C1E"/>
    <w:rsid w:val="00607276"/>
    <w:rsid w:val="00612676"/>
    <w:rsid w:val="00613155"/>
    <w:rsid w:val="0061326A"/>
    <w:rsid w:val="006135AA"/>
    <w:rsid w:val="00613E9C"/>
    <w:rsid w:val="006141B4"/>
    <w:rsid w:val="00615DC1"/>
    <w:rsid w:val="006177B8"/>
    <w:rsid w:val="006222F7"/>
    <w:rsid w:val="00622686"/>
    <w:rsid w:val="00624500"/>
    <w:rsid w:val="006259BB"/>
    <w:rsid w:val="00627499"/>
    <w:rsid w:val="00627A28"/>
    <w:rsid w:val="00632207"/>
    <w:rsid w:val="00632513"/>
    <w:rsid w:val="00632EAC"/>
    <w:rsid w:val="006339F7"/>
    <w:rsid w:val="00634734"/>
    <w:rsid w:val="00634778"/>
    <w:rsid w:val="0063491C"/>
    <w:rsid w:val="00640273"/>
    <w:rsid w:val="00641550"/>
    <w:rsid w:val="006419F3"/>
    <w:rsid w:val="00644D18"/>
    <w:rsid w:val="00644F6A"/>
    <w:rsid w:val="00646D7C"/>
    <w:rsid w:val="00650473"/>
    <w:rsid w:val="00653465"/>
    <w:rsid w:val="00653F73"/>
    <w:rsid w:val="006550AF"/>
    <w:rsid w:val="0065563E"/>
    <w:rsid w:val="006575D8"/>
    <w:rsid w:val="006600D1"/>
    <w:rsid w:val="00660FA4"/>
    <w:rsid w:val="0066159E"/>
    <w:rsid w:val="006623C2"/>
    <w:rsid w:val="00663928"/>
    <w:rsid w:val="006643EB"/>
    <w:rsid w:val="0066527A"/>
    <w:rsid w:val="006661C6"/>
    <w:rsid w:val="006679BD"/>
    <w:rsid w:val="00670037"/>
    <w:rsid w:val="006712A0"/>
    <w:rsid w:val="006714E3"/>
    <w:rsid w:val="00671C84"/>
    <w:rsid w:val="00672316"/>
    <w:rsid w:val="00673BCE"/>
    <w:rsid w:val="006764CA"/>
    <w:rsid w:val="006764F8"/>
    <w:rsid w:val="00676A55"/>
    <w:rsid w:val="006778E5"/>
    <w:rsid w:val="0068034D"/>
    <w:rsid w:val="006829A8"/>
    <w:rsid w:val="00684436"/>
    <w:rsid w:val="006847DD"/>
    <w:rsid w:val="00684FBB"/>
    <w:rsid w:val="006851CC"/>
    <w:rsid w:val="006855B1"/>
    <w:rsid w:val="00686DD7"/>
    <w:rsid w:val="006910D3"/>
    <w:rsid w:val="00692D94"/>
    <w:rsid w:val="00692F5F"/>
    <w:rsid w:val="00693CEF"/>
    <w:rsid w:val="0069529B"/>
    <w:rsid w:val="006969F2"/>
    <w:rsid w:val="006977A2"/>
    <w:rsid w:val="006A0848"/>
    <w:rsid w:val="006A0D3B"/>
    <w:rsid w:val="006A1AAF"/>
    <w:rsid w:val="006A28A5"/>
    <w:rsid w:val="006A3D08"/>
    <w:rsid w:val="006A48EC"/>
    <w:rsid w:val="006A523A"/>
    <w:rsid w:val="006A5304"/>
    <w:rsid w:val="006A571A"/>
    <w:rsid w:val="006A6CAA"/>
    <w:rsid w:val="006B0354"/>
    <w:rsid w:val="006B072C"/>
    <w:rsid w:val="006B1419"/>
    <w:rsid w:val="006B1F97"/>
    <w:rsid w:val="006B2125"/>
    <w:rsid w:val="006B2D8D"/>
    <w:rsid w:val="006B3139"/>
    <w:rsid w:val="006B54AF"/>
    <w:rsid w:val="006B66D3"/>
    <w:rsid w:val="006B77C8"/>
    <w:rsid w:val="006B7C44"/>
    <w:rsid w:val="006C2811"/>
    <w:rsid w:val="006C3BE3"/>
    <w:rsid w:val="006C46C3"/>
    <w:rsid w:val="006C5844"/>
    <w:rsid w:val="006C58EE"/>
    <w:rsid w:val="006C66B2"/>
    <w:rsid w:val="006C6E6D"/>
    <w:rsid w:val="006D0EB8"/>
    <w:rsid w:val="006D0FFC"/>
    <w:rsid w:val="006D1263"/>
    <w:rsid w:val="006D3186"/>
    <w:rsid w:val="006D365E"/>
    <w:rsid w:val="006D43D4"/>
    <w:rsid w:val="006D48D9"/>
    <w:rsid w:val="006D793D"/>
    <w:rsid w:val="006E0B40"/>
    <w:rsid w:val="006E319F"/>
    <w:rsid w:val="006E3A16"/>
    <w:rsid w:val="006E44EE"/>
    <w:rsid w:val="006E5BCE"/>
    <w:rsid w:val="006E5E28"/>
    <w:rsid w:val="006E6574"/>
    <w:rsid w:val="006F1C90"/>
    <w:rsid w:val="006F283E"/>
    <w:rsid w:val="006F2882"/>
    <w:rsid w:val="006F4186"/>
    <w:rsid w:val="006F5A4E"/>
    <w:rsid w:val="006F605B"/>
    <w:rsid w:val="006F6525"/>
    <w:rsid w:val="00702338"/>
    <w:rsid w:val="00703106"/>
    <w:rsid w:val="00705B57"/>
    <w:rsid w:val="00705DDC"/>
    <w:rsid w:val="00706F74"/>
    <w:rsid w:val="00707924"/>
    <w:rsid w:val="007117D4"/>
    <w:rsid w:val="00711F87"/>
    <w:rsid w:val="00714790"/>
    <w:rsid w:val="00714CF2"/>
    <w:rsid w:val="0071545C"/>
    <w:rsid w:val="007156B9"/>
    <w:rsid w:val="00715C38"/>
    <w:rsid w:val="00716927"/>
    <w:rsid w:val="00717475"/>
    <w:rsid w:val="00720817"/>
    <w:rsid w:val="0072181B"/>
    <w:rsid w:val="00722850"/>
    <w:rsid w:val="00722BE9"/>
    <w:rsid w:val="0072321A"/>
    <w:rsid w:val="00723D4E"/>
    <w:rsid w:val="007248A9"/>
    <w:rsid w:val="00724D9F"/>
    <w:rsid w:val="0072510B"/>
    <w:rsid w:val="00727C61"/>
    <w:rsid w:val="00727F44"/>
    <w:rsid w:val="00732171"/>
    <w:rsid w:val="0073353F"/>
    <w:rsid w:val="0073433A"/>
    <w:rsid w:val="00737F3F"/>
    <w:rsid w:val="0074033B"/>
    <w:rsid w:val="00742B3E"/>
    <w:rsid w:val="00742E45"/>
    <w:rsid w:val="007447AF"/>
    <w:rsid w:val="00744810"/>
    <w:rsid w:val="00744F89"/>
    <w:rsid w:val="00745731"/>
    <w:rsid w:val="0074620C"/>
    <w:rsid w:val="007474B8"/>
    <w:rsid w:val="00747C0F"/>
    <w:rsid w:val="00750816"/>
    <w:rsid w:val="0075371C"/>
    <w:rsid w:val="00754554"/>
    <w:rsid w:val="00755C07"/>
    <w:rsid w:val="00756033"/>
    <w:rsid w:val="00756142"/>
    <w:rsid w:val="00757F39"/>
    <w:rsid w:val="00760CF1"/>
    <w:rsid w:val="0076130B"/>
    <w:rsid w:val="00761CA6"/>
    <w:rsid w:val="00763538"/>
    <w:rsid w:val="00764AD0"/>
    <w:rsid w:val="007650D7"/>
    <w:rsid w:val="007654E7"/>
    <w:rsid w:val="007657C1"/>
    <w:rsid w:val="00765E79"/>
    <w:rsid w:val="00767A58"/>
    <w:rsid w:val="00767BC1"/>
    <w:rsid w:val="00767FF3"/>
    <w:rsid w:val="00771197"/>
    <w:rsid w:val="007714CF"/>
    <w:rsid w:val="00772585"/>
    <w:rsid w:val="00773882"/>
    <w:rsid w:val="00774AEC"/>
    <w:rsid w:val="0077503A"/>
    <w:rsid w:val="00775885"/>
    <w:rsid w:val="0078000E"/>
    <w:rsid w:val="00782A77"/>
    <w:rsid w:val="00783DC9"/>
    <w:rsid w:val="00786965"/>
    <w:rsid w:val="00786BFA"/>
    <w:rsid w:val="00790995"/>
    <w:rsid w:val="00791CC5"/>
    <w:rsid w:val="00792D43"/>
    <w:rsid w:val="00792E37"/>
    <w:rsid w:val="00793826"/>
    <w:rsid w:val="0079393E"/>
    <w:rsid w:val="00794BF1"/>
    <w:rsid w:val="00796F01"/>
    <w:rsid w:val="00797773"/>
    <w:rsid w:val="007A219D"/>
    <w:rsid w:val="007A406D"/>
    <w:rsid w:val="007A58B8"/>
    <w:rsid w:val="007A62B0"/>
    <w:rsid w:val="007A7588"/>
    <w:rsid w:val="007B1DD2"/>
    <w:rsid w:val="007B3205"/>
    <w:rsid w:val="007B3C6A"/>
    <w:rsid w:val="007B52DA"/>
    <w:rsid w:val="007B5CD3"/>
    <w:rsid w:val="007B6797"/>
    <w:rsid w:val="007B75FB"/>
    <w:rsid w:val="007C0447"/>
    <w:rsid w:val="007C1193"/>
    <w:rsid w:val="007C2D59"/>
    <w:rsid w:val="007C3C2D"/>
    <w:rsid w:val="007C3E5C"/>
    <w:rsid w:val="007C3EAE"/>
    <w:rsid w:val="007C40F6"/>
    <w:rsid w:val="007C4D8B"/>
    <w:rsid w:val="007C55D8"/>
    <w:rsid w:val="007C5A0C"/>
    <w:rsid w:val="007C5F4F"/>
    <w:rsid w:val="007C6986"/>
    <w:rsid w:val="007D1D50"/>
    <w:rsid w:val="007D2B9B"/>
    <w:rsid w:val="007D53EF"/>
    <w:rsid w:val="007D59E8"/>
    <w:rsid w:val="007D5D6B"/>
    <w:rsid w:val="007D6557"/>
    <w:rsid w:val="007D7056"/>
    <w:rsid w:val="007E0FEE"/>
    <w:rsid w:val="007E2A3F"/>
    <w:rsid w:val="007E2C3C"/>
    <w:rsid w:val="007E5C4A"/>
    <w:rsid w:val="007E6E4B"/>
    <w:rsid w:val="007E7337"/>
    <w:rsid w:val="007F2017"/>
    <w:rsid w:val="007F38B1"/>
    <w:rsid w:val="007F44F9"/>
    <w:rsid w:val="007F4E5F"/>
    <w:rsid w:val="007F5C48"/>
    <w:rsid w:val="007F5F55"/>
    <w:rsid w:val="007F6657"/>
    <w:rsid w:val="007F6D36"/>
    <w:rsid w:val="007F75B3"/>
    <w:rsid w:val="00800629"/>
    <w:rsid w:val="008007D7"/>
    <w:rsid w:val="0080147B"/>
    <w:rsid w:val="00803B14"/>
    <w:rsid w:val="00803F8F"/>
    <w:rsid w:val="008048FB"/>
    <w:rsid w:val="0080509D"/>
    <w:rsid w:val="0080650C"/>
    <w:rsid w:val="00807C5C"/>
    <w:rsid w:val="00810185"/>
    <w:rsid w:val="00810406"/>
    <w:rsid w:val="00811A4E"/>
    <w:rsid w:val="00811EB5"/>
    <w:rsid w:val="008125E2"/>
    <w:rsid w:val="00814180"/>
    <w:rsid w:val="00817AF2"/>
    <w:rsid w:val="0082227C"/>
    <w:rsid w:val="008256F9"/>
    <w:rsid w:val="00826007"/>
    <w:rsid w:val="00831A9C"/>
    <w:rsid w:val="008334A3"/>
    <w:rsid w:val="0083361D"/>
    <w:rsid w:val="0083364C"/>
    <w:rsid w:val="008339BB"/>
    <w:rsid w:val="00834C7C"/>
    <w:rsid w:val="0083593C"/>
    <w:rsid w:val="008369EE"/>
    <w:rsid w:val="00836A4D"/>
    <w:rsid w:val="00836FEB"/>
    <w:rsid w:val="00837D96"/>
    <w:rsid w:val="008407F1"/>
    <w:rsid w:val="008411BF"/>
    <w:rsid w:val="008413C1"/>
    <w:rsid w:val="0084359B"/>
    <w:rsid w:val="008440C6"/>
    <w:rsid w:val="008440F0"/>
    <w:rsid w:val="00844276"/>
    <w:rsid w:val="00845954"/>
    <w:rsid w:val="008459BA"/>
    <w:rsid w:val="00845A09"/>
    <w:rsid w:val="00845B21"/>
    <w:rsid w:val="0084638A"/>
    <w:rsid w:val="00846BC6"/>
    <w:rsid w:val="00847BBC"/>
    <w:rsid w:val="00850DF4"/>
    <w:rsid w:val="00851108"/>
    <w:rsid w:val="0085151D"/>
    <w:rsid w:val="00851F3B"/>
    <w:rsid w:val="00852B33"/>
    <w:rsid w:val="00855758"/>
    <w:rsid w:val="00855990"/>
    <w:rsid w:val="008560D9"/>
    <w:rsid w:val="00857F2A"/>
    <w:rsid w:val="008616BE"/>
    <w:rsid w:val="00863F81"/>
    <w:rsid w:val="0086419A"/>
    <w:rsid w:val="00864202"/>
    <w:rsid w:val="00864736"/>
    <w:rsid w:val="00864EDD"/>
    <w:rsid w:val="008653D4"/>
    <w:rsid w:val="00865486"/>
    <w:rsid w:val="0086583C"/>
    <w:rsid w:val="00866F1D"/>
    <w:rsid w:val="0087023B"/>
    <w:rsid w:val="00870EC5"/>
    <w:rsid w:val="00871441"/>
    <w:rsid w:val="008729E2"/>
    <w:rsid w:val="00872C19"/>
    <w:rsid w:val="00873049"/>
    <w:rsid w:val="00873349"/>
    <w:rsid w:val="00873A75"/>
    <w:rsid w:val="00874C91"/>
    <w:rsid w:val="0087586A"/>
    <w:rsid w:val="0088057D"/>
    <w:rsid w:val="00881E1A"/>
    <w:rsid w:val="00881EB7"/>
    <w:rsid w:val="00882D9C"/>
    <w:rsid w:val="0088667D"/>
    <w:rsid w:val="00886A3F"/>
    <w:rsid w:val="0089086D"/>
    <w:rsid w:val="0089195C"/>
    <w:rsid w:val="008928A7"/>
    <w:rsid w:val="008929E8"/>
    <w:rsid w:val="008930CC"/>
    <w:rsid w:val="00893200"/>
    <w:rsid w:val="008940E3"/>
    <w:rsid w:val="008945A3"/>
    <w:rsid w:val="00894912"/>
    <w:rsid w:val="008974E5"/>
    <w:rsid w:val="008A119E"/>
    <w:rsid w:val="008A179F"/>
    <w:rsid w:val="008A228E"/>
    <w:rsid w:val="008A352A"/>
    <w:rsid w:val="008A5051"/>
    <w:rsid w:val="008A5711"/>
    <w:rsid w:val="008A60CA"/>
    <w:rsid w:val="008A662B"/>
    <w:rsid w:val="008B0864"/>
    <w:rsid w:val="008B0AA5"/>
    <w:rsid w:val="008B1B68"/>
    <w:rsid w:val="008B1C87"/>
    <w:rsid w:val="008B43D4"/>
    <w:rsid w:val="008B71E3"/>
    <w:rsid w:val="008B7B72"/>
    <w:rsid w:val="008C2097"/>
    <w:rsid w:val="008C2841"/>
    <w:rsid w:val="008C3428"/>
    <w:rsid w:val="008C42D0"/>
    <w:rsid w:val="008C7413"/>
    <w:rsid w:val="008D107A"/>
    <w:rsid w:val="008D16B7"/>
    <w:rsid w:val="008D5B6F"/>
    <w:rsid w:val="008E2278"/>
    <w:rsid w:val="008E374A"/>
    <w:rsid w:val="008E3854"/>
    <w:rsid w:val="008E3ABE"/>
    <w:rsid w:val="008E5695"/>
    <w:rsid w:val="008E63C5"/>
    <w:rsid w:val="008E6AE6"/>
    <w:rsid w:val="008F0116"/>
    <w:rsid w:val="008F0BE4"/>
    <w:rsid w:val="008F11F4"/>
    <w:rsid w:val="008F143D"/>
    <w:rsid w:val="008F2180"/>
    <w:rsid w:val="008F5BFA"/>
    <w:rsid w:val="008F67E7"/>
    <w:rsid w:val="008F6911"/>
    <w:rsid w:val="008F7635"/>
    <w:rsid w:val="00900040"/>
    <w:rsid w:val="009049AF"/>
    <w:rsid w:val="00904C3C"/>
    <w:rsid w:val="00905154"/>
    <w:rsid w:val="00905F1A"/>
    <w:rsid w:val="00905F8A"/>
    <w:rsid w:val="009068ED"/>
    <w:rsid w:val="0091203F"/>
    <w:rsid w:val="00913398"/>
    <w:rsid w:val="009141A7"/>
    <w:rsid w:val="00915697"/>
    <w:rsid w:val="009173FF"/>
    <w:rsid w:val="00917C23"/>
    <w:rsid w:val="009206EA"/>
    <w:rsid w:val="009230A7"/>
    <w:rsid w:val="0092365C"/>
    <w:rsid w:val="0092466F"/>
    <w:rsid w:val="00924C15"/>
    <w:rsid w:val="0092500E"/>
    <w:rsid w:val="009250BD"/>
    <w:rsid w:val="009276CA"/>
    <w:rsid w:val="00927BE6"/>
    <w:rsid w:val="00927D4C"/>
    <w:rsid w:val="0093052C"/>
    <w:rsid w:val="00930672"/>
    <w:rsid w:val="00930C61"/>
    <w:rsid w:val="00931B0C"/>
    <w:rsid w:val="00932865"/>
    <w:rsid w:val="00932BD2"/>
    <w:rsid w:val="00933077"/>
    <w:rsid w:val="009336CD"/>
    <w:rsid w:val="00934E7B"/>
    <w:rsid w:val="0093786D"/>
    <w:rsid w:val="00937A52"/>
    <w:rsid w:val="00937D15"/>
    <w:rsid w:val="009409E1"/>
    <w:rsid w:val="00942585"/>
    <w:rsid w:val="00944A20"/>
    <w:rsid w:val="00945EC0"/>
    <w:rsid w:val="00947BC6"/>
    <w:rsid w:val="00951BAF"/>
    <w:rsid w:val="00952612"/>
    <w:rsid w:val="0095491B"/>
    <w:rsid w:val="00955C02"/>
    <w:rsid w:val="009570AF"/>
    <w:rsid w:val="0095780E"/>
    <w:rsid w:val="00964B09"/>
    <w:rsid w:val="0096571F"/>
    <w:rsid w:val="00972535"/>
    <w:rsid w:val="00972567"/>
    <w:rsid w:val="00973243"/>
    <w:rsid w:val="00974326"/>
    <w:rsid w:val="00975FA0"/>
    <w:rsid w:val="00976601"/>
    <w:rsid w:val="009770A3"/>
    <w:rsid w:val="00977DFD"/>
    <w:rsid w:val="0098138E"/>
    <w:rsid w:val="00981D94"/>
    <w:rsid w:val="0098655A"/>
    <w:rsid w:val="00986EC9"/>
    <w:rsid w:val="00987E49"/>
    <w:rsid w:val="009909AF"/>
    <w:rsid w:val="00991477"/>
    <w:rsid w:val="009929B9"/>
    <w:rsid w:val="00992E96"/>
    <w:rsid w:val="00997B10"/>
    <w:rsid w:val="009A0A1A"/>
    <w:rsid w:val="009A27E0"/>
    <w:rsid w:val="009A2A98"/>
    <w:rsid w:val="009A2B32"/>
    <w:rsid w:val="009A2B3B"/>
    <w:rsid w:val="009A2BC5"/>
    <w:rsid w:val="009A3553"/>
    <w:rsid w:val="009A53A4"/>
    <w:rsid w:val="009A54AE"/>
    <w:rsid w:val="009A5EA8"/>
    <w:rsid w:val="009A6617"/>
    <w:rsid w:val="009A71E3"/>
    <w:rsid w:val="009A73F6"/>
    <w:rsid w:val="009B002F"/>
    <w:rsid w:val="009B22FF"/>
    <w:rsid w:val="009B4546"/>
    <w:rsid w:val="009B4625"/>
    <w:rsid w:val="009B5F0A"/>
    <w:rsid w:val="009B6C3E"/>
    <w:rsid w:val="009B756F"/>
    <w:rsid w:val="009C1087"/>
    <w:rsid w:val="009C318B"/>
    <w:rsid w:val="009C48A2"/>
    <w:rsid w:val="009C4BD0"/>
    <w:rsid w:val="009C4C53"/>
    <w:rsid w:val="009C4EA6"/>
    <w:rsid w:val="009C5578"/>
    <w:rsid w:val="009C5950"/>
    <w:rsid w:val="009C5B8A"/>
    <w:rsid w:val="009C74BC"/>
    <w:rsid w:val="009D05B9"/>
    <w:rsid w:val="009D1349"/>
    <w:rsid w:val="009D168D"/>
    <w:rsid w:val="009D2642"/>
    <w:rsid w:val="009D2D6E"/>
    <w:rsid w:val="009D48D9"/>
    <w:rsid w:val="009D624E"/>
    <w:rsid w:val="009D744E"/>
    <w:rsid w:val="009E0548"/>
    <w:rsid w:val="009E3FB5"/>
    <w:rsid w:val="009E6E21"/>
    <w:rsid w:val="009E78F1"/>
    <w:rsid w:val="009E7C7F"/>
    <w:rsid w:val="009F0BFB"/>
    <w:rsid w:val="009F0D6F"/>
    <w:rsid w:val="009F17EF"/>
    <w:rsid w:val="009F2AF9"/>
    <w:rsid w:val="009F4AEB"/>
    <w:rsid w:val="009F527A"/>
    <w:rsid w:val="009F60F6"/>
    <w:rsid w:val="00A016E4"/>
    <w:rsid w:val="00A01D51"/>
    <w:rsid w:val="00A03F3D"/>
    <w:rsid w:val="00A052D6"/>
    <w:rsid w:val="00A061BA"/>
    <w:rsid w:val="00A11EE4"/>
    <w:rsid w:val="00A12547"/>
    <w:rsid w:val="00A14DBF"/>
    <w:rsid w:val="00A15876"/>
    <w:rsid w:val="00A16627"/>
    <w:rsid w:val="00A17CE0"/>
    <w:rsid w:val="00A20BB5"/>
    <w:rsid w:val="00A21B95"/>
    <w:rsid w:val="00A22702"/>
    <w:rsid w:val="00A24262"/>
    <w:rsid w:val="00A24383"/>
    <w:rsid w:val="00A2534A"/>
    <w:rsid w:val="00A262B4"/>
    <w:rsid w:val="00A338E5"/>
    <w:rsid w:val="00A34E9A"/>
    <w:rsid w:val="00A35613"/>
    <w:rsid w:val="00A35D12"/>
    <w:rsid w:val="00A3634D"/>
    <w:rsid w:val="00A4190F"/>
    <w:rsid w:val="00A41DB5"/>
    <w:rsid w:val="00A42191"/>
    <w:rsid w:val="00A42306"/>
    <w:rsid w:val="00A43637"/>
    <w:rsid w:val="00A44486"/>
    <w:rsid w:val="00A45405"/>
    <w:rsid w:val="00A45A13"/>
    <w:rsid w:val="00A460E2"/>
    <w:rsid w:val="00A46D74"/>
    <w:rsid w:val="00A47021"/>
    <w:rsid w:val="00A508B6"/>
    <w:rsid w:val="00A50B88"/>
    <w:rsid w:val="00A50FFE"/>
    <w:rsid w:val="00A5188B"/>
    <w:rsid w:val="00A51E39"/>
    <w:rsid w:val="00A525EB"/>
    <w:rsid w:val="00A5456D"/>
    <w:rsid w:val="00A54A50"/>
    <w:rsid w:val="00A550DA"/>
    <w:rsid w:val="00A55ACD"/>
    <w:rsid w:val="00A627F8"/>
    <w:rsid w:val="00A63F71"/>
    <w:rsid w:val="00A6417B"/>
    <w:rsid w:val="00A64369"/>
    <w:rsid w:val="00A6441B"/>
    <w:rsid w:val="00A65679"/>
    <w:rsid w:val="00A65D93"/>
    <w:rsid w:val="00A67DBB"/>
    <w:rsid w:val="00A708B4"/>
    <w:rsid w:val="00A71497"/>
    <w:rsid w:val="00A746BC"/>
    <w:rsid w:val="00A75AA5"/>
    <w:rsid w:val="00A760F8"/>
    <w:rsid w:val="00A7692E"/>
    <w:rsid w:val="00A769FA"/>
    <w:rsid w:val="00A76D6E"/>
    <w:rsid w:val="00A76D9F"/>
    <w:rsid w:val="00A77058"/>
    <w:rsid w:val="00A77283"/>
    <w:rsid w:val="00A8031B"/>
    <w:rsid w:val="00A80FC8"/>
    <w:rsid w:val="00A83195"/>
    <w:rsid w:val="00A86E26"/>
    <w:rsid w:val="00A90BEB"/>
    <w:rsid w:val="00A91790"/>
    <w:rsid w:val="00A91D70"/>
    <w:rsid w:val="00A92440"/>
    <w:rsid w:val="00A97379"/>
    <w:rsid w:val="00AA05D8"/>
    <w:rsid w:val="00AA2F09"/>
    <w:rsid w:val="00AA6175"/>
    <w:rsid w:val="00AA63D2"/>
    <w:rsid w:val="00AA7806"/>
    <w:rsid w:val="00AB01C0"/>
    <w:rsid w:val="00AB0A85"/>
    <w:rsid w:val="00AB0FA7"/>
    <w:rsid w:val="00AB36D5"/>
    <w:rsid w:val="00AB3A1A"/>
    <w:rsid w:val="00AB46D6"/>
    <w:rsid w:val="00AC2CAF"/>
    <w:rsid w:val="00AC5221"/>
    <w:rsid w:val="00AC7DAF"/>
    <w:rsid w:val="00AD0355"/>
    <w:rsid w:val="00AD0ED8"/>
    <w:rsid w:val="00AD10DC"/>
    <w:rsid w:val="00AD1AEB"/>
    <w:rsid w:val="00AD2959"/>
    <w:rsid w:val="00AD2ED8"/>
    <w:rsid w:val="00AD3197"/>
    <w:rsid w:val="00AD52F0"/>
    <w:rsid w:val="00AD5D27"/>
    <w:rsid w:val="00AD6FF3"/>
    <w:rsid w:val="00AE10CF"/>
    <w:rsid w:val="00AE297D"/>
    <w:rsid w:val="00AE55B6"/>
    <w:rsid w:val="00AE57AC"/>
    <w:rsid w:val="00AE72BC"/>
    <w:rsid w:val="00AF091C"/>
    <w:rsid w:val="00AF257F"/>
    <w:rsid w:val="00AF2A01"/>
    <w:rsid w:val="00AF2C6F"/>
    <w:rsid w:val="00AF47E6"/>
    <w:rsid w:val="00AF67B9"/>
    <w:rsid w:val="00AF729E"/>
    <w:rsid w:val="00AF791E"/>
    <w:rsid w:val="00B0049F"/>
    <w:rsid w:val="00B01F7E"/>
    <w:rsid w:val="00B04EC7"/>
    <w:rsid w:val="00B066B8"/>
    <w:rsid w:val="00B11144"/>
    <w:rsid w:val="00B14EA2"/>
    <w:rsid w:val="00B15A37"/>
    <w:rsid w:val="00B17142"/>
    <w:rsid w:val="00B17FBF"/>
    <w:rsid w:val="00B20185"/>
    <w:rsid w:val="00B20F0F"/>
    <w:rsid w:val="00B21E64"/>
    <w:rsid w:val="00B23222"/>
    <w:rsid w:val="00B23AB7"/>
    <w:rsid w:val="00B25591"/>
    <w:rsid w:val="00B30251"/>
    <w:rsid w:val="00B3087D"/>
    <w:rsid w:val="00B308B8"/>
    <w:rsid w:val="00B308E4"/>
    <w:rsid w:val="00B30B73"/>
    <w:rsid w:val="00B30E9A"/>
    <w:rsid w:val="00B30F1B"/>
    <w:rsid w:val="00B31533"/>
    <w:rsid w:val="00B32702"/>
    <w:rsid w:val="00B34294"/>
    <w:rsid w:val="00B34794"/>
    <w:rsid w:val="00B34BF4"/>
    <w:rsid w:val="00B3559C"/>
    <w:rsid w:val="00B361F8"/>
    <w:rsid w:val="00B364FC"/>
    <w:rsid w:val="00B36A52"/>
    <w:rsid w:val="00B36C20"/>
    <w:rsid w:val="00B40907"/>
    <w:rsid w:val="00B40D7B"/>
    <w:rsid w:val="00B41E8C"/>
    <w:rsid w:val="00B4321D"/>
    <w:rsid w:val="00B43C9C"/>
    <w:rsid w:val="00B46020"/>
    <w:rsid w:val="00B5433D"/>
    <w:rsid w:val="00B5459B"/>
    <w:rsid w:val="00B55E02"/>
    <w:rsid w:val="00B5677C"/>
    <w:rsid w:val="00B57282"/>
    <w:rsid w:val="00B57E7D"/>
    <w:rsid w:val="00B60421"/>
    <w:rsid w:val="00B6341B"/>
    <w:rsid w:val="00B641E8"/>
    <w:rsid w:val="00B64CF1"/>
    <w:rsid w:val="00B65DAC"/>
    <w:rsid w:val="00B6734F"/>
    <w:rsid w:val="00B678B7"/>
    <w:rsid w:val="00B70DDA"/>
    <w:rsid w:val="00B70F41"/>
    <w:rsid w:val="00B71033"/>
    <w:rsid w:val="00B7277E"/>
    <w:rsid w:val="00B77FD9"/>
    <w:rsid w:val="00B811F9"/>
    <w:rsid w:val="00B815B7"/>
    <w:rsid w:val="00B84189"/>
    <w:rsid w:val="00B87762"/>
    <w:rsid w:val="00B90B44"/>
    <w:rsid w:val="00B90E18"/>
    <w:rsid w:val="00B93371"/>
    <w:rsid w:val="00B94069"/>
    <w:rsid w:val="00B96183"/>
    <w:rsid w:val="00B9795A"/>
    <w:rsid w:val="00B97F5F"/>
    <w:rsid w:val="00BA1B95"/>
    <w:rsid w:val="00BA7283"/>
    <w:rsid w:val="00BB01F4"/>
    <w:rsid w:val="00BB0243"/>
    <w:rsid w:val="00BB024E"/>
    <w:rsid w:val="00BB0D6C"/>
    <w:rsid w:val="00BB158F"/>
    <w:rsid w:val="00BB61F4"/>
    <w:rsid w:val="00BB7571"/>
    <w:rsid w:val="00BB782C"/>
    <w:rsid w:val="00BB7A51"/>
    <w:rsid w:val="00BC03EC"/>
    <w:rsid w:val="00BC2BB8"/>
    <w:rsid w:val="00BC4519"/>
    <w:rsid w:val="00BD040C"/>
    <w:rsid w:val="00BD16D0"/>
    <w:rsid w:val="00BD4F5A"/>
    <w:rsid w:val="00BD5661"/>
    <w:rsid w:val="00BD72DF"/>
    <w:rsid w:val="00BE04E9"/>
    <w:rsid w:val="00BE05A4"/>
    <w:rsid w:val="00BE4536"/>
    <w:rsid w:val="00BE4973"/>
    <w:rsid w:val="00BE4BA9"/>
    <w:rsid w:val="00BE4DBF"/>
    <w:rsid w:val="00BE5617"/>
    <w:rsid w:val="00BE5CE0"/>
    <w:rsid w:val="00BE6287"/>
    <w:rsid w:val="00BE686F"/>
    <w:rsid w:val="00BE6B5A"/>
    <w:rsid w:val="00BE742D"/>
    <w:rsid w:val="00BE7F45"/>
    <w:rsid w:val="00BF0AA4"/>
    <w:rsid w:val="00BF1BE9"/>
    <w:rsid w:val="00BF1C8E"/>
    <w:rsid w:val="00BF1DDD"/>
    <w:rsid w:val="00BF4624"/>
    <w:rsid w:val="00BF5532"/>
    <w:rsid w:val="00BF7290"/>
    <w:rsid w:val="00BF7A36"/>
    <w:rsid w:val="00C02E7C"/>
    <w:rsid w:val="00C045E8"/>
    <w:rsid w:val="00C04825"/>
    <w:rsid w:val="00C05C14"/>
    <w:rsid w:val="00C05F39"/>
    <w:rsid w:val="00C06F87"/>
    <w:rsid w:val="00C0733D"/>
    <w:rsid w:val="00C07E1F"/>
    <w:rsid w:val="00C10B5F"/>
    <w:rsid w:val="00C112B3"/>
    <w:rsid w:val="00C1193A"/>
    <w:rsid w:val="00C11BD4"/>
    <w:rsid w:val="00C14A8B"/>
    <w:rsid w:val="00C20388"/>
    <w:rsid w:val="00C235BD"/>
    <w:rsid w:val="00C23D5B"/>
    <w:rsid w:val="00C26CEB"/>
    <w:rsid w:val="00C272EA"/>
    <w:rsid w:val="00C275D7"/>
    <w:rsid w:val="00C344E4"/>
    <w:rsid w:val="00C40063"/>
    <w:rsid w:val="00C401F7"/>
    <w:rsid w:val="00C41712"/>
    <w:rsid w:val="00C41D53"/>
    <w:rsid w:val="00C4304D"/>
    <w:rsid w:val="00C431C9"/>
    <w:rsid w:val="00C446F6"/>
    <w:rsid w:val="00C52B9B"/>
    <w:rsid w:val="00C533E4"/>
    <w:rsid w:val="00C54505"/>
    <w:rsid w:val="00C549B2"/>
    <w:rsid w:val="00C5525B"/>
    <w:rsid w:val="00C55D67"/>
    <w:rsid w:val="00C55E02"/>
    <w:rsid w:val="00C565AF"/>
    <w:rsid w:val="00C56C00"/>
    <w:rsid w:val="00C57745"/>
    <w:rsid w:val="00C610D9"/>
    <w:rsid w:val="00C632E0"/>
    <w:rsid w:val="00C6449B"/>
    <w:rsid w:val="00C6579C"/>
    <w:rsid w:val="00C65EA6"/>
    <w:rsid w:val="00C70C9B"/>
    <w:rsid w:val="00C72989"/>
    <w:rsid w:val="00C72BF8"/>
    <w:rsid w:val="00C743D8"/>
    <w:rsid w:val="00C81595"/>
    <w:rsid w:val="00C816DB"/>
    <w:rsid w:val="00C82DDB"/>
    <w:rsid w:val="00C82F69"/>
    <w:rsid w:val="00C83EA6"/>
    <w:rsid w:val="00C86FE8"/>
    <w:rsid w:val="00C875C4"/>
    <w:rsid w:val="00C913A1"/>
    <w:rsid w:val="00C92BA9"/>
    <w:rsid w:val="00C93FD1"/>
    <w:rsid w:val="00C94994"/>
    <w:rsid w:val="00C96191"/>
    <w:rsid w:val="00C96D6F"/>
    <w:rsid w:val="00C97049"/>
    <w:rsid w:val="00CA242B"/>
    <w:rsid w:val="00CA3578"/>
    <w:rsid w:val="00CA5474"/>
    <w:rsid w:val="00CA73F9"/>
    <w:rsid w:val="00CB00F3"/>
    <w:rsid w:val="00CB05C2"/>
    <w:rsid w:val="00CB1B25"/>
    <w:rsid w:val="00CB2EB9"/>
    <w:rsid w:val="00CB32F8"/>
    <w:rsid w:val="00CB43CC"/>
    <w:rsid w:val="00CB4AE5"/>
    <w:rsid w:val="00CB6AF7"/>
    <w:rsid w:val="00CB6FFD"/>
    <w:rsid w:val="00CB7371"/>
    <w:rsid w:val="00CC242C"/>
    <w:rsid w:val="00CC252E"/>
    <w:rsid w:val="00CC2876"/>
    <w:rsid w:val="00CC316C"/>
    <w:rsid w:val="00CC37FF"/>
    <w:rsid w:val="00CC5DEC"/>
    <w:rsid w:val="00CC6A99"/>
    <w:rsid w:val="00CD20AA"/>
    <w:rsid w:val="00CD3549"/>
    <w:rsid w:val="00CD4EBC"/>
    <w:rsid w:val="00CE011C"/>
    <w:rsid w:val="00CE222A"/>
    <w:rsid w:val="00CE43B8"/>
    <w:rsid w:val="00CE54A4"/>
    <w:rsid w:val="00CE605B"/>
    <w:rsid w:val="00CE6196"/>
    <w:rsid w:val="00CE7969"/>
    <w:rsid w:val="00CE7CC4"/>
    <w:rsid w:val="00CF3AAE"/>
    <w:rsid w:val="00CF49F9"/>
    <w:rsid w:val="00CF540E"/>
    <w:rsid w:val="00CF6350"/>
    <w:rsid w:val="00D002A6"/>
    <w:rsid w:val="00D00AA3"/>
    <w:rsid w:val="00D034F0"/>
    <w:rsid w:val="00D03EC7"/>
    <w:rsid w:val="00D046FA"/>
    <w:rsid w:val="00D0551D"/>
    <w:rsid w:val="00D07F73"/>
    <w:rsid w:val="00D110F1"/>
    <w:rsid w:val="00D1531A"/>
    <w:rsid w:val="00D16248"/>
    <w:rsid w:val="00D16872"/>
    <w:rsid w:val="00D16FB8"/>
    <w:rsid w:val="00D17AED"/>
    <w:rsid w:val="00D2041C"/>
    <w:rsid w:val="00D20C17"/>
    <w:rsid w:val="00D22082"/>
    <w:rsid w:val="00D243EA"/>
    <w:rsid w:val="00D2539A"/>
    <w:rsid w:val="00D25ADE"/>
    <w:rsid w:val="00D26E41"/>
    <w:rsid w:val="00D30348"/>
    <w:rsid w:val="00D30BD8"/>
    <w:rsid w:val="00D313B4"/>
    <w:rsid w:val="00D31A60"/>
    <w:rsid w:val="00D31A95"/>
    <w:rsid w:val="00D32048"/>
    <w:rsid w:val="00D34C81"/>
    <w:rsid w:val="00D363D6"/>
    <w:rsid w:val="00D40174"/>
    <w:rsid w:val="00D40964"/>
    <w:rsid w:val="00D41768"/>
    <w:rsid w:val="00D41A1C"/>
    <w:rsid w:val="00D4305F"/>
    <w:rsid w:val="00D4312F"/>
    <w:rsid w:val="00D43297"/>
    <w:rsid w:val="00D43C42"/>
    <w:rsid w:val="00D44738"/>
    <w:rsid w:val="00D44DB6"/>
    <w:rsid w:val="00D46211"/>
    <w:rsid w:val="00D4688D"/>
    <w:rsid w:val="00D468A3"/>
    <w:rsid w:val="00D47121"/>
    <w:rsid w:val="00D50119"/>
    <w:rsid w:val="00D51F76"/>
    <w:rsid w:val="00D532E2"/>
    <w:rsid w:val="00D5330C"/>
    <w:rsid w:val="00D53558"/>
    <w:rsid w:val="00D558FC"/>
    <w:rsid w:val="00D57758"/>
    <w:rsid w:val="00D57FB4"/>
    <w:rsid w:val="00D63B76"/>
    <w:rsid w:val="00D64463"/>
    <w:rsid w:val="00D64D60"/>
    <w:rsid w:val="00D65E4C"/>
    <w:rsid w:val="00D6626A"/>
    <w:rsid w:val="00D67620"/>
    <w:rsid w:val="00D7139B"/>
    <w:rsid w:val="00D7351E"/>
    <w:rsid w:val="00D743A7"/>
    <w:rsid w:val="00D751CD"/>
    <w:rsid w:val="00D7579B"/>
    <w:rsid w:val="00D804C3"/>
    <w:rsid w:val="00D80DB4"/>
    <w:rsid w:val="00D813AA"/>
    <w:rsid w:val="00D82337"/>
    <w:rsid w:val="00D82A43"/>
    <w:rsid w:val="00D84FAD"/>
    <w:rsid w:val="00D85A1B"/>
    <w:rsid w:val="00D86600"/>
    <w:rsid w:val="00D9002D"/>
    <w:rsid w:val="00D907E0"/>
    <w:rsid w:val="00D90B56"/>
    <w:rsid w:val="00D96BE8"/>
    <w:rsid w:val="00DA289F"/>
    <w:rsid w:val="00DA2AE9"/>
    <w:rsid w:val="00DA3825"/>
    <w:rsid w:val="00DA7B5D"/>
    <w:rsid w:val="00DB0969"/>
    <w:rsid w:val="00DB24C3"/>
    <w:rsid w:val="00DB2A41"/>
    <w:rsid w:val="00DB487D"/>
    <w:rsid w:val="00DB59D1"/>
    <w:rsid w:val="00DB765C"/>
    <w:rsid w:val="00DC0FDC"/>
    <w:rsid w:val="00DC12AD"/>
    <w:rsid w:val="00DC1A5A"/>
    <w:rsid w:val="00DC2B3E"/>
    <w:rsid w:val="00DC2F83"/>
    <w:rsid w:val="00DC5344"/>
    <w:rsid w:val="00DC75FA"/>
    <w:rsid w:val="00DD1845"/>
    <w:rsid w:val="00DD1ADE"/>
    <w:rsid w:val="00DD34CB"/>
    <w:rsid w:val="00DD3F67"/>
    <w:rsid w:val="00DD6451"/>
    <w:rsid w:val="00DD74FE"/>
    <w:rsid w:val="00DE093D"/>
    <w:rsid w:val="00DE25A9"/>
    <w:rsid w:val="00DE32C5"/>
    <w:rsid w:val="00DE4FF6"/>
    <w:rsid w:val="00DE6CB0"/>
    <w:rsid w:val="00DF2385"/>
    <w:rsid w:val="00DF58E7"/>
    <w:rsid w:val="00DF71E3"/>
    <w:rsid w:val="00DF7CA9"/>
    <w:rsid w:val="00E008E5"/>
    <w:rsid w:val="00E0188E"/>
    <w:rsid w:val="00E01B1E"/>
    <w:rsid w:val="00E01FD9"/>
    <w:rsid w:val="00E027F1"/>
    <w:rsid w:val="00E033E7"/>
    <w:rsid w:val="00E045A1"/>
    <w:rsid w:val="00E062E8"/>
    <w:rsid w:val="00E07A26"/>
    <w:rsid w:val="00E10166"/>
    <w:rsid w:val="00E10C23"/>
    <w:rsid w:val="00E10EB7"/>
    <w:rsid w:val="00E1113F"/>
    <w:rsid w:val="00E11876"/>
    <w:rsid w:val="00E129C0"/>
    <w:rsid w:val="00E14807"/>
    <w:rsid w:val="00E14B39"/>
    <w:rsid w:val="00E15E18"/>
    <w:rsid w:val="00E16495"/>
    <w:rsid w:val="00E2122B"/>
    <w:rsid w:val="00E21448"/>
    <w:rsid w:val="00E23900"/>
    <w:rsid w:val="00E23CBB"/>
    <w:rsid w:val="00E251F5"/>
    <w:rsid w:val="00E26C6C"/>
    <w:rsid w:val="00E30981"/>
    <w:rsid w:val="00E30BD0"/>
    <w:rsid w:val="00E31604"/>
    <w:rsid w:val="00E316B1"/>
    <w:rsid w:val="00E31751"/>
    <w:rsid w:val="00E31BB6"/>
    <w:rsid w:val="00E33863"/>
    <w:rsid w:val="00E3665C"/>
    <w:rsid w:val="00E37B59"/>
    <w:rsid w:val="00E406F9"/>
    <w:rsid w:val="00E4125F"/>
    <w:rsid w:val="00E427A1"/>
    <w:rsid w:val="00E43BDC"/>
    <w:rsid w:val="00E4529B"/>
    <w:rsid w:val="00E46B0B"/>
    <w:rsid w:val="00E47444"/>
    <w:rsid w:val="00E5169B"/>
    <w:rsid w:val="00E51BD4"/>
    <w:rsid w:val="00E51F27"/>
    <w:rsid w:val="00E55778"/>
    <w:rsid w:val="00E56167"/>
    <w:rsid w:val="00E5719F"/>
    <w:rsid w:val="00E57489"/>
    <w:rsid w:val="00E57960"/>
    <w:rsid w:val="00E61C36"/>
    <w:rsid w:val="00E63D5B"/>
    <w:rsid w:val="00E647EA"/>
    <w:rsid w:val="00E64B45"/>
    <w:rsid w:val="00E65443"/>
    <w:rsid w:val="00E65987"/>
    <w:rsid w:val="00E666DC"/>
    <w:rsid w:val="00E66BE7"/>
    <w:rsid w:val="00E673C4"/>
    <w:rsid w:val="00E67571"/>
    <w:rsid w:val="00E7084B"/>
    <w:rsid w:val="00E72799"/>
    <w:rsid w:val="00E72DF5"/>
    <w:rsid w:val="00E73EA7"/>
    <w:rsid w:val="00E75728"/>
    <w:rsid w:val="00E775EC"/>
    <w:rsid w:val="00E80A24"/>
    <w:rsid w:val="00E8112C"/>
    <w:rsid w:val="00E8120B"/>
    <w:rsid w:val="00E8135A"/>
    <w:rsid w:val="00E8259E"/>
    <w:rsid w:val="00E82AD7"/>
    <w:rsid w:val="00E85E10"/>
    <w:rsid w:val="00E86C2B"/>
    <w:rsid w:val="00E86E78"/>
    <w:rsid w:val="00E87666"/>
    <w:rsid w:val="00E87798"/>
    <w:rsid w:val="00E907E9"/>
    <w:rsid w:val="00E9184C"/>
    <w:rsid w:val="00E9250D"/>
    <w:rsid w:val="00E92693"/>
    <w:rsid w:val="00E93A16"/>
    <w:rsid w:val="00E95FB8"/>
    <w:rsid w:val="00E96444"/>
    <w:rsid w:val="00E97E3A"/>
    <w:rsid w:val="00EA1695"/>
    <w:rsid w:val="00EA19FD"/>
    <w:rsid w:val="00EA1C39"/>
    <w:rsid w:val="00EA36C6"/>
    <w:rsid w:val="00EA3EF5"/>
    <w:rsid w:val="00EA5484"/>
    <w:rsid w:val="00EA5AEE"/>
    <w:rsid w:val="00EA6388"/>
    <w:rsid w:val="00EA6516"/>
    <w:rsid w:val="00EA65E3"/>
    <w:rsid w:val="00EA7047"/>
    <w:rsid w:val="00EB1FB7"/>
    <w:rsid w:val="00EB220D"/>
    <w:rsid w:val="00EB3357"/>
    <w:rsid w:val="00EB3469"/>
    <w:rsid w:val="00EB3B88"/>
    <w:rsid w:val="00EB48BB"/>
    <w:rsid w:val="00EB6FB3"/>
    <w:rsid w:val="00EC3757"/>
    <w:rsid w:val="00EC512B"/>
    <w:rsid w:val="00EC53D5"/>
    <w:rsid w:val="00EC7060"/>
    <w:rsid w:val="00EC72C1"/>
    <w:rsid w:val="00EC77DE"/>
    <w:rsid w:val="00ED03AC"/>
    <w:rsid w:val="00ED2904"/>
    <w:rsid w:val="00ED55D8"/>
    <w:rsid w:val="00ED5725"/>
    <w:rsid w:val="00ED7031"/>
    <w:rsid w:val="00EE0C8B"/>
    <w:rsid w:val="00EE14D8"/>
    <w:rsid w:val="00EE3060"/>
    <w:rsid w:val="00EE4315"/>
    <w:rsid w:val="00EE5D18"/>
    <w:rsid w:val="00EE62BF"/>
    <w:rsid w:val="00EF145C"/>
    <w:rsid w:val="00EF1DA4"/>
    <w:rsid w:val="00EF1FBB"/>
    <w:rsid w:val="00EF400E"/>
    <w:rsid w:val="00EF5265"/>
    <w:rsid w:val="00EF635C"/>
    <w:rsid w:val="00EF68B7"/>
    <w:rsid w:val="00F04C1F"/>
    <w:rsid w:val="00F04F0B"/>
    <w:rsid w:val="00F059CF"/>
    <w:rsid w:val="00F05AA7"/>
    <w:rsid w:val="00F05BF9"/>
    <w:rsid w:val="00F06368"/>
    <w:rsid w:val="00F06FDD"/>
    <w:rsid w:val="00F07468"/>
    <w:rsid w:val="00F07B30"/>
    <w:rsid w:val="00F111FD"/>
    <w:rsid w:val="00F12034"/>
    <w:rsid w:val="00F135CB"/>
    <w:rsid w:val="00F14447"/>
    <w:rsid w:val="00F1464D"/>
    <w:rsid w:val="00F15E6D"/>
    <w:rsid w:val="00F1655A"/>
    <w:rsid w:val="00F16E2B"/>
    <w:rsid w:val="00F20749"/>
    <w:rsid w:val="00F23AC7"/>
    <w:rsid w:val="00F2478D"/>
    <w:rsid w:val="00F2624C"/>
    <w:rsid w:val="00F267F1"/>
    <w:rsid w:val="00F26ED3"/>
    <w:rsid w:val="00F30177"/>
    <w:rsid w:val="00F30260"/>
    <w:rsid w:val="00F3161F"/>
    <w:rsid w:val="00F3248B"/>
    <w:rsid w:val="00F36113"/>
    <w:rsid w:val="00F3794D"/>
    <w:rsid w:val="00F414AF"/>
    <w:rsid w:val="00F4264E"/>
    <w:rsid w:val="00F42692"/>
    <w:rsid w:val="00F45318"/>
    <w:rsid w:val="00F50BFA"/>
    <w:rsid w:val="00F50C0B"/>
    <w:rsid w:val="00F51A8D"/>
    <w:rsid w:val="00F5212A"/>
    <w:rsid w:val="00F52DE5"/>
    <w:rsid w:val="00F53975"/>
    <w:rsid w:val="00F5731E"/>
    <w:rsid w:val="00F6077E"/>
    <w:rsid w:val="00F61A4D"/>
    <w:rsid w:val="00F62B7A"/>
    <w:rsid w:val="00F63481"/>
    <w:rsid w:val="00F63750"/>
    <w:rsid w:val="00F6397D"/>
    <w:rsid w:val="00F64778"/>
    <w:rsid w:val="00F64B41"/>
    <w:rsid w:val="00F65644"/>
    <w:rsid w:val="00F67505"/>
    <w:rsid w:val="00F67765"/>
    <w:rsid w:val="00F726CF"/>
    <w:rsid w:val="00F7293E"/>
    <w:rsid w:val="00F73F6B"/>
    <w:rsid w:val="00F76536"/>
    <w:rsid w:val="00F76650"/>
    <w:rsid w:val="00F776E5"/>
    <w:rsid w:val="00F777E8"/>
    <w:rsid w:val="00F8064B"/>
    <w:rsid w:val="00F80ED9"/>
    <w:rsid w:val="00F82AA7"/>
    <w:rsid w:val="00F83338"/>
    <w:rsid w:val="00F8438A"/>
    <w:rsid w:val="00F85829"/>
    <w:rsid w:val="00F85FB6"/>
    <w:rsid w:val="00F86CCE"/>
    <w:rsid w:val="00F87891"/>
    <w:rsid w:val="00F90AEB"/>
    <w:rsid w:val="00F9165F"/>
    <w:rsid w:val="00F9187B"/>
    <w:rsid w:val="00F91C44"/>
    <w:rsid w:val="00F92385"/>
    <w:rsid w:val="00F927C5"/>
    <w:rsid w:val="00F943E1"/>
    <w:rsid w:val="00F95B22"/>
    <w:rsid w:val="00F96652"/>
    <w:rsid w:val="00FA10D0"/>
    <w:rsid w:val="00FA1B4F"/>
    <w:rsid w:val="00FA30B0"/>
    <w:rsid w:val="00FA3619"/>
    <w:rsid w:val="00FA4037"/>
    <w:rsid w:val="00FA501E"/>
    <w:rsid w:val="00FA52CF"/>
    <w:rsid w:val="00FA54E9"/>
    <w:rsid w:val="00FA6429"/>
    <w:rsid w:val="00FA6777"/>
    <w:rsid w:val="00FB196E"/>
    <w:rsid w:val="00FB29A7"/>
    <w:rsid w:val="00FB3AD7"/>
    <w:rsid w:val="00FB4590"/>
    <w:rsid w:val="00FB5C9E"/>
    <w:rsid w:val="00FB6BAD"/>
    <w:rsid w:val="00FB79B5"/>
    <w:rsid w:val="00FB7EB6"/>
    <w:rsid w:val="00FC05EB"/>
    <w:rsid w:val="00FC1422"/>
    <w:rsid w:val="00FC36A5"/>
    <w:rsid w:val="00FC40E7"/>
    <w:rsid w:val="00FC47F9"/>
    <w:rsid w:val="00FC48A2"/>
    <w:rsid w:val="00FC5EED"/>
    <w:rsid w:val="00FC770F"/>
    <w:rsid w:val="00FC785D"/>
    <w:rsid w:val="00FD04A2"/>
    <w:rsid w:val="00FD2B24"/>
    <w:rsid w:val="00FD3F5F"/>
    <w:rsid w:val="00FD4E31"/>
    <w:rsid w:val="00FD762F"/>
    <w:rsid w:val="00FE5580"/>
    <w:rsid w:val="00FE63E8"/>
    <w:rsid w:val="00FE6D06"/>
    <w:rsid w:val="00FE7841"/>
    <w:rsid w:val="00FF0C40"/>
    <w:rsid w:val="00FF110C"/>
    <w:rsid w:val="00FF1189"/>
    <w:rsid w:val="00FF3ACA"/>
    <w:rsid w:val="00FF427E"/>
    <w:rsid w:val="00FF49FD"/>
    <w:rsid w:val="00FF65E7"/>
    <w:rsid w:val="00FF6EB3"/>
    <w:rsid w:val="00FF78F9"/>
    <w:rsid w:val="00FF7AEA"/>
    <w:rsid w:val="1477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11490"/>
  <w15:chartTrackingRefBased/>
  <w15:docId w15:val="{41419682-CC56-4FF9-8E52-70F421F4CA0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10"/>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10"/>
      </w:numPr>
      <w:outlineLvl w:val="1"/>
    </w:pPr>
  </w:style>
  <w:style w:type="paragraph" w:styleId="Heading3">
    <w:name w:val="heading 3"/>
    <w:basedOn w:val="Dummy"/>
    <w:next w:val="Standard"/>
    <w:link w:val="Heading3Char"/>
    <w:uiPriority w:val="4"/>
    <w:qFormat/>
    <w:rsid w:val="00947BC6"/>
    <w:pPr>
      <w:numPr>
        <w:ilvl w:val="2"/>
        <w:numId w:val="10"/>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10"/>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10"/>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10"/>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5850E3"/>
    <w:pPr>
      <w:spacing w:after="120" w:line="240" w:lineRule="auto"/>
      <w:ind w:firstLine="0"/>
    </w:pPr>
    <w:rPr>
      <w:sz w:val="22"/>
    </w:rPr>
  </w:style>
  <w:style w:type="character" w:customStyle="1" w:styleId="FootnoteTextChar">
    <w:name w:val="Footnote Text Char"/>
    <w:aliases w:val="Footnote Text Char1 Char1,Footnote Text Char Char Char2,Footnote Text Char2 Char Char1,Footnote Text Char Char Char Char1,Footnote Text Char2 Char Char Char Char1,Footnote Text Char Char Char Char Char Char1,fn Char1"/>
    <w:basedOn w:val="DefaultParagraphFont"/>
    <w:link w:val="FootnoteText"/>
    <w:uiPriority w:val="99"/>
    <w:rsid w:val="005850E3"/>
    <w:rPr>
      <w:rFonts w:ascii="Book Antiqua" w:hAnsi="Book Antiqua"/>
    </w:rPr>
  </w:style>
  <w:style w:type="character" w:styleId="FootnoteReference">
    <w:name w:val="footnote reference"/>
    <w:aliases w:val="o,fr,o1,o2,o3,o4,o5,o6,o11,o21,o7,Style 3,o + Times New Roman,Style 58"/>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left="0" w:firstLine="547"/>
    </w:pPr>
  </w:style>
  <w:style w:type="paragraph" w:customStyle="1" w:styleId="CoL">
    <w:name w:val="CoL"/>
    <w:basedOn w:val="Standard"/>
    <w:uiPriority w:val="7"/>
    <w:qFormat/>
    <w:rsid w:val="001E2A62"/>
    <w:pPr>
      <w:numPr>
        <w:numId w:val="4"/>
      </w:numPr>
      <w:ind w:left="0"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ind w:left="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10"/>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paragraph" w:customStyle="1" w:styleId="standard0">
    <w:name w:val="standard"/>
    <w:basedOn w:val="Normal"/>
    <w:link w:val="standardChar"/>
    <w:rsid w:val="005850E3"/>
    <w:rPr>
      <w:rFonts w:ascii="Palatino" w:eastAsia="Times New Roman" w:hAnsi="Palatino" w:cs="Times New Roman"/>
      <w:szCs w:val="20"/>
    </w:rPr>
  </w:style>
  <w:style w:type="character" w:customStyle="1" w:styleId="standardChar">
    <w:name w:val="standard Char"/>
    <w:link w:val="standard0"/>
    <w:rsid w:val="005850E3"/>
    <w:rPr>
      <w:rFonts w:ascii="Palatino" w:eastAsia="Times New Roman" w:hAnsi="Palatino" w:cs="Times New Roman"/>
      <w:sz w:val="26"/>
      <w:szCs w:val="20"/>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semiHidden/>
    <w:rsid w:val="005850E3"/>
    <w:rPr>
      <w:rFonts w:ascii="Palatino" w:hAnsi="Palatino"/>
      <w:sz w:val="24"/>
      <w:lang w:val="en-US" w:eastAsia="en-US" w:bidi="ar-SA"/>
    </w:rPr>
  </w:style>
  <w:style w:type="paragraph" w:styleId="NormalWeb">
    <w:name w:val="Normal (Web)"/>
    <w:basedOn w:val="Normal"/>
    <w:uiPriority w:val="99"/>
    <w:rsid w:val="005850E3"/>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Revision">
    <w:name w:val="Revision"/>
    <w:hidden/>
    <w:uiPriority w:val="99"/>
    <w:semiHidden/>
    <w:rsid w:val="00881EB7"/>
    <w:pPr>
      <w:spacing w:after="0" w:line="240" w:lineRule="auto"/>
    </w:pPr>
    <w:rPr>
      <w:rFonts w:ascii="Book Antiqua" w:hAnsi="Book Antiqua"/>
      <w:sz w:val="26"/>
    </w:rPr>
  </w:style>
  <w:style w:type="character" w:styleId="UnresolvedMention">
    <w:name w:val="Unresolved Mention"/>
    <w:basedOn w:val="DefaultParagraphFont"/>
    <w:uiPriority w:val="99"/>
    <w:semiHidden/>
    <w:unhideWhenUsed/>
    <w:rsid w:val="00C81595"/>
    <w:rPr>
      <w:color w:val="605E5C"/>
      <w:shd w:val="clear" w:color="auto" w:fill="E1DFDD"/>
    </w:rPr>
  </w:style>
  <w:style w:type="character" w:styleId="CommentReference">
    <w:name w:val="annotation reference"/>
    <w:basedOn w:val="DefaultParagraphFont"/>
    <w:uiPriority w:val="99"/>
    <w:semiHidden/>
    <w:unhideWhenUsed/>
    <w:rsid w:val="001B75A5"/>
    <w:rPr>
      <w:sz w:val="16"/>
      <w:szCs w:val="16"/>
    </w:rPr>
  </w:style>
  <w:style w:type="paragraph" w:styleId="CommentText">
    <w:name w:val="annotation text"/>
    <w:basedOn w:val="Normal"/>
    <w:link w:val="CommentTextChar"/>
    <w:uiPriority w:val="99"/>
    <w:unhideWhenUsed/>
    <w:rsid w:val="001B75A5"/>
    <w:pPr>
      <w:spacing w:line="240" w:lineRule="auto"/>
    </w:pPr>
    <w:rPr>
      <w:sz w:val="20"/>
      <w:szCs w:val="20"/>
    </w:rPr>
  </w:style>
  <w:style w:type="character" w:customStyle="1" w:styleId="CommentTextChar">
    <w:name w:val="Comment Text Char"/>
    <w:basedOn w:val="DefaultParagraphFont"/>
    <w:link w:val="CommentText"/>
    <w:uiPriority w:val="99"/>
    <w:rsid w:val="001B75A5"/>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1B75A5"/>
    <w:rPr>
      <w:b/>
      <w:bCs/>
    </w:rPr>
  </w:style>
  <w:style w:type="character" w:customStyle="1" w:styleId="CommentSubjectChar">
    <w:name w:val="Comment Subject Char"/>
    <w:basedOn w:val="CommentTextChar"/>
    <w:link w:val="CommentSubject"/>
    <w:uiPriority w:val="99"/>
    <w:semiHidden/>
    <w:rsid w:val="001B75A5"/>
    <w:rPr>
      <w:rFonts w:ascii="Book Antiqua" w:hAnsi="Book Antiqua"/>
      <w:b/>
      <w:bCs/>
      <w:sz w:val="20"/>
      <w:szCs w:val="20"/>
    </w:rPr>
  </w:style>
  <w:style w:type="paragraph" w:styleId="ListParagraph">
    <w:name w:val="List Paragraph"/>
    <w:basedOn w:val="Normal"/>
    <w:uiPriority w:val="34"/>
    <w:rsid w:val="000A531D"/>
    <w:pPr>
      <w:ind w:left="720"/>
      <w:contextualSpacing/>
    </w:pPr>
  </w:style>
  <w:style w:type="character" w:styleId="PlaceholderText">
    <w:name w:val="Placeholder Text"/>
    <w:basedOn w:val="DefaultParagraphFont"/>
    <w:uiPriority w:val="99"/>
    <w:semiHidden/>
    <w:rsid w:val="004A10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1253">
      <w:bodyDiv w:val="1"/>
      <w:marLeft w:val="0"/>
      <w:marRight w:val="0"/>
      <w:marTop w:val="0"/>
      <w:marBottom w:val="0"/>
      <w:divBdr>
        <w:top w:val="none" w:sz="0" w:space="0" w:color="auto"/>
        <w:left w:val="none" w:sz="0" w:space="0" w:color="auto"/>
        <w:bottom w:val="none" w:sz="0" w:space="0" w:color="auto"/>
        <w:right w:val="none" w:sz="0" w:space="0" w:color="auto"/>
      </w:divBdr>
    </w:div>
    <w:div w:id="392582885">
      <w:bodyDiv w:val="1"/>
      <w:marLeft w:val="0"/>
      <w:marRight w:val="0"/>
      <w:marTop w:val="0"/>
      <w:marBottom w:val="0"/>
      <w:divBdr>
        <w:top w:val="none" w:sz="0" w:space="0" w:color="auto"/>
        <w:left w:val="none" w:sz="0" w:space="0" w:color="auto"/>
        <w:bottom w:val="none" w:sz="0" w:space="0" w:color="auto"/>
        <w:right w:val="none" w:sz="0" w:space="0" w:color="auto"/>
      </w:divBdr>
    </w:div>
    <w:div w:id="688604064">
      <w:bodyDiv w:val="1"/>
      <w:marLeft w:val="0"/>
      <w:marRight w:val="0"/>
      <w:marTop w:val="0"/>
      <w:marBottom w:val="0"/>
      <w:divBdr>
        <w:top w:val="none" w:sz="0" w:space="0" w:color="auto"/>
        <w:left w:val="none" w:sz="0" w:space="0" w:color="auto"/>
        <w:bottom w:val="none" w:sz="0" w:space="0" w:color="auto"/>
        <w:right w:val="none" w:sz="0" w:space="0" w:color="auto"/>
      </w:divBdr>
    </w:div>
    <w:div w:id="832792478">
      <w:bodyDiv w:val="1"/>
      <w:marLeft w:val="0"/>
      <w:marRight w:val="0"/>
      <w:marTop w:val="0"/>
      <w:marBottom w:val="0"/>
      <w:divBdr>
        <w:top w:val="none" w:sz="0" w:space="0" w:color="auto"/>
        <w:left w:val="none" w:sz="0" w:space="0" w:color="auto"/>
        <w:bottom w:val="none" w:sz="0" w:space="0" w:color="auto"/>
        <w:right w:val="none" w:sz="0" w:space="0" w:color="auto"/>
      </w:divBdr>
    </w:div>
    <w:div w:id="1023556135">
      <w:bodyDiv w:val="1"/>
      <w:marLeft w:val="0"/>
      <w:marRight w:val="0"/>
      <w:marTop w:val="0"/>
      <w:marBottom w:val="0"/>
      <w:divBdr>
        <w:top w:val="none" w:sz="0" w:space="0" w:color="auto"/>
        <w:left w:val="none" w:sz="0" w:space="0" w:color="auto"/>
        <w:bottom w:val="none" w:sz="0" w:space="0" w:color="auto"/>
        <w:right w:val="none" w:sz="0" w:space="0" w:color="auto"/>
      </w:divBdr>
    </w:div>
    <w:div w:id="1327981591">
      <w:bodyDiv w:val="1"/>
      <w:marLeft w:val="0"/>
      <w:marRight w:val="0"/>
      <w:marTop w:val="0"/>
      <w:marBottom w:val="0"/>
      <w:divBdr>
        <w:top w:val="none" w:sz="0" w:space="0" w:color="auto"/>
        <w:left w:val="none" w:sz="0" w:space="0" w:color="auto"/>
        <w:bottom w:val="none" w:sz="0" w:space="0" w:color="auto"/>
        <w:right w:val="none" w:sz="0" w:space="0" w:color="auto"/>
      </w:divBdr>
    </w:div>
    <w:div w:id="1387487736">
      <w:bodyDiv w:val="1"/>
      <w:marLeft w:val="0"/>
      <w:marRight w:val="0"/>
      <w:marTop w:val="0"/>
      <w:marBottom w:val="0"/>
      <w:divBdr>
        <w:top w:val="none" w:sz="0" w:space="0" w:color="auto"/>
        <w:left w:val="none" w:sz="0" w:space="0" w:color="auto"/>
        <w:bottom w:val="none" w:sz="0" w:space="0" w:color="auto"/>
        <w:right w:val="none" w:sz="0" w:space="0" w:color="auto"/>
      </w:divBdr>
    </w:div>
    <w:div w:id="1434084577">
      <w:bodyDiv w:val="1"/>
      <w:marLeft w:val="0"/>
      <w:marRight w:val="0"/>
      <w:marTop w:val="0"/>
      <w:marBottom w:val="0"/>
      <w:divBdr>
        <w:top w:val="none" w:sz="0" w:space="0" w:color="auto"/>
        <w:left w:val="none" w:sz="0" w:space="0" w:color="auto"/>
        <w:bottom w:val="none" w:sz="0" w:space="0" w:color="auto"/>
        <w:right w:val="none" w:sz="0" w:space="0" w:color="auto"/>
      </w:divBdr>
    </w:div>
    <w:div w:id="1466660183">
      <w:bodyDiv w:val="1"/>
      <w:marLeft w:val="0"/>
      <w:marRight w:val="0"/>
      <w:marTop w:val="0"/>
      <w:marBottom w:val="0"/>
      <w:divBdr>
        <w:top w:val="none" w:sz="0" w:space="0" w:color="auto"/>
        <w:left w:val="none" w:sz="0" w:space="0" w:color="auto"/>
        <w:bottom w:val="none" w:sz="0" w:space="0" w:color="auto"/>
        <w:right w:val="none" w:sz="0" w:space="0" w:color="auto"/>
      </w:divBdr>
    </w:div>
    <w:div w:id="1507284528">
      <w:bodyDiv w:val="1"/>
      <w:marLeft w:val="0"/>
      <w:marRight w:val="0"/>
      <w:marTop w:val="0"/>
      <w:marBottom w:val="0"/>
      <w:divBdr>
        <w:top w:val="none" w:sz="0" w:space="0" w:color="auto"/>
        <w:left w:val="none" w:sz="0" w:space="0" w:color="auto"/>
        <w:bottom w:val="none" w:sz="0" w:space="0" w:color="auto"/>
        <w:right w:val="none" w:sz="0" w:space="0" w:color="auto"/>
      </w:divBdr>
    </w:div>
    <w:div w:id="1661732851">
      <w:bodyDiv w:val="1"/>
      <w:marLeft w:val="0"/>
      <w:marRight w:val="0"/>
      <w:marTop w:val="0"/>
      <w:marBottom w:val="0"/>
      <w:divBdr>
        <w:top w:val="none" w:sz="0" w:space="0" w:color="auto"/>
        <w:left w:val="none" w:sz="0" w:space="0" w:color="auto"/>
        <w:bottom w:val="none" w:sz="0" w:space="0" w:color="auto"/>
        <w:right w:val="none" w:sz="0" w:space="0" w:color="auto"/>
      </w:divBdr>
    </w:div>
    <w:div w:id="1674139524">
      <w:bodyDiv w:val="1"/>
      <w:marLeft w:val="0"/>
      <w:marRight w:val="0"/>
      <w:marTop w:val="0"/>
      <w:marBottom w:val="0"/>
      <w:divBdr>
        <w:top w:val="none" w:sz="0" w:space="0" w:color="auto"/>
        <w:left w:val="none" w:sz="0" w:space="0" w:color="auto"/>
        <w:bottom w:val="none" w:sz="0" w:space="0" w:color="auto"/>
        <w:right w:val="none" w:sz="0" w:space="0" w:color="auto"/>
      </w:divBdr>
    </w:div>
    <w:div w:id="1992369535">
      <w:bodyDiv w:val="1"/>
      <w:marLeft w:val="0"/>
      <w:marRight w:val="0"/>
      <w:marTop w:val="0"/>
      <w:marBottom w:val="0"/>
      <w:divBdr>
        <w:top w:val="none" w:sz="0" w:space="0" w:color="auto"/>
        <w:left w:val="none" w:sz="0" w:space="0" w:color="auto"/>
        <w:bottom w:val="none" w:sz="0" w:space="0" w:color="auto"/>
        <w:right w:val="none" w:sz="0" w:space="0" w:color="auto"/>
      </w:divBdr>
    </w:div>
    <w:div w:id="2108883030">
      <w:bodyDiv w:val="1"/>
      <w:marLeft w:val="0"/>
      <w:marRight w:val="0"/>
      <w:marTop w:val="0"/>
      <w:marBottom w:val="0"/>
      <w:divBdr>
        <w:top w:val="none" w:sz="0" w:space="0" w:color="auto"/>
        <w:left w:val="none" w:sz="0" w:space="0" w:color="auto"/>
        <w:bottom w:val="none" w:sz="0" w:space="0" w:color="auto"/>
        <w:right w:val="none" w:sz="0" w:space="0" w:color="auto"/>
      </w:divBdr>
    </w:div>
    <w:div w:id="214133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docs.cpuc.ca.gov/PublishedDocs/Published/G000/M582/K913/582913355.pdf" TargetMode="External" Id="Rbbb438d7c59441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1B40F286E44B4880627F647F6557A9" ma:contentTypeVersion="3" ma:contentTypeDescription="Create a new document." ma:contentTypeScope="" ma:versionID="99d5ebf442f3f07b85f0eeb2a5a75f07">
  <xsd:schema xmlns:xsd="http://www.w3.org/2001/XMLSchema" xmlns:xs="http://www.w3.org/2001/XMLSchema" xmlns:p="http://schemas.microsoft.com/office/2006/metadata/properties" xmlns:ns2="60a131e1-bb3a-4e19-9206-c07b0057434b" targetNamespace="http://schemas.microsoft.com/office/2006/metadata/properties" ma:root="true" ma:fieldsID="61f5533721ed44b2a33ea7d8ac9564dc" ns2:_="">
    <xsd:import namespace="60a131e1-bb3a-4e19-9206-c07b005743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131e1-bb3a-4e19-9206-c07b00574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2D1C0-B55E-46AE-9AA4-41AA237A1D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customXml/itemProps3.xml><?xml version="1.0" encoding="utf-8"?>
<ds:datastoreItem xmlns:ds="http://schemas.openxmlformats.org/officeDocument/2006/customXml" ds:itemID="{373CCA25-BED7-4692-8EAB-A0C604D10601}">
  <ds:schemaRefs>
    <ds:schemaRef ds:uri="http://schemas.microsoft.com/sharepoint/v3/contenttype/forms"/>
  </ds:schemaRefs>
</ds:datastoreItem>
</file>

<file path=customXml/itemProps4.xml><?xml version="1.0" encoding="utf-8"?>
<ds:datastoreItem xmlns:ds="http://schemas.openxmlformats.org/officeDocument/2006/customXml" ds:itemID="{87F1CADE-F297-4491-908B-C1BDEF780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131e1-bb3a-4e19-9206-c07b00574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3097</ap:Words>
  <ap:Characters>17658</ap:Characters>
  <ap:Application>Microsoft Office Word</ap:Application>
  <ap:DocSecurity>0</ap:DocSecurity>
  <ap:Lines>147</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20714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2025-10-06T16:10:46Z</dcterms:created>
  <dcterms:modified xsi:type="dcterms:W3CDTF">2025-10-06T16:10:46Z</dcterms:modified>
</cp:coreProperties>
</file>