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5E3BA1" w14:paraId="7E69593B" w14:textId="2D5D50BE">
      <w:pPr>
        <w:tabs>
          <w:tab w:val="center" w:pos="4680"/>
          <w:tab w:val="right" w:pos="9360"/>
        </w:tabs>
        <w:spacing w:line="240" w:lineRule="auto"/>
        <w:ind w:firstLine="0"/>
      </w:pPr>
      <w:r>
        <w:t>ALJ/MLQ/</w:t>
      </w:r>
      <w:proofErr w:type="spellStart"/>
      <w:r>
        <w:t>avs</w:t>
      </w:r>
      <w:proofErr w:type="spellEnd"/>
      <w:r w:rsidR="007E0FEE">
        <w:tab/>
      </w:r>
      <w:r w:rsidR="00DA7B5D">
        <w:tab/>
      </w:r>
      <w:r w:rsidR="00D6144E">
        <w:rPr>
          <w:b/>
        </w:rPr>
        <w:t>Date of Issuance 10/10/2025</w:t>
      </w:r>
    </w:p>
    <w:p w:rsidR="005E3BA1" w:rsidP="00632207" w:rsidRDefault="005E3BA1" w14:paraId="5C8EA9C8" w14:textId="77777777">
      <w:pPr>
        <w:spacing w:line="240" w:lineRule="auto"/>
        <w:jc w:val="right"/>
        <w:rPr>
          <w:b/>
        </w:rPr>
      </w:pPr>
    </w:p>
    <w:p w:rsidRPr="00EE4315" w:rsidR="00D6144E" w:rsidP="00632207" w:rsidRDefault="00D6144E" w14:paraId="49F634E5" w14:textId="77777777">
      <w:pPr>
        <w:spacing w:line="240" w:lineRule="auto"/>
        <w:jc w:val="right"/>
        <w:rPr>
          <w:b/>
        </w:rPr>
      </w:pPr>
    </w:p>
    <w:p w:rsidRPr="00EE3060" w:rsidR="00DA7B5D" w:rsidP="0098655A" w:rsidRDefault="00DA7B5D" w14:paraId="1C3A3D2F" w14:textId="25EE841E">
      <w:pPr>
        <w:ind w:left="1080" w:hanging="1080"/>
      </w:pPr>
      <w:r>
        <w:t>Decision</w:t>
      </w:r>
      <w:r w:rsidR="00E90E41">
        <w:t xml:space="preserve"> </w:t>
      </w:r>
      <w:r w:rsidR="00D6144E">
        <w:t>25-10-</w:t>
      </w:r>
      <w:proofErr w:type="gramStart"/>
      <w:r w:rsidR="00D6144E">
        <w:t>008  October</w:t>
      </w:r>
      <w:proofErr w:type="gramEnd"/>
      <w:r w:rsidR="00D6144E">
        <w:t xml:space="preserve"> 9, 2025</w:t>
      </w:r>
    </w:p>
    <w:p w:rsidR="00DA7B5D" w:rsidP="00BB0243" w:rsidRDefault="00DA7B5D" w14:paraId="0149FEA2" w14:textId="77777777">
      <w:pPr>
        <w:spacing w:line="240" w:lineRule="auto"/>
        <w:jc w:val="center"/>
        <w:rPr>
          <w:u w:val="single"/>
        </w:rPr>
      </w:pPr>
    </w:p>
    <w:p w:rsidR="00DA7B5D" w:rsidP="00BB0243" w:rsidRDefault="00DA7B5D" w14:paraId="0EBA361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8B8D9E9"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DE9DBF1" w14:textId="77777777">
        <w:trPr>
          <w:jc w:val="center"/>
        </w:trPr>
        <w:tc>
          <w:tcPr>
            <w:tcW w:w="5040" w:type="dxa"/>
            <w:tcBorders>
              <w:top w:val="nil"/>
              <w:left w:val="nil"/>
              <w:bottom w:val="single" w:color="auto" w:sz="4" w:space="0"/>
              <w:right w:val="single" w:color="auto" w:sz="4" w:space="0"/>
            </w:tcBorders>
          </w:tcPr>
          <w:p w:rsidRPr="00DA7B5D" w:rsidR="00DA7B5D" w:rsidP="00C76641" w:rsidRDefault="007175D7" w14:paraId="068C7350" w14:textId="46CCAF42">
            <w:pPr>
              <w:spacing w:line="240" w:lineRule="auto"/>
              <w:ind w:firstLine="0"/>
              <w:rPr>
                <w:rFonts w:cs="Arial"/>
                <w:szCs w:val="26"/>
              </w:rPr>
            </w:pPr>
            <w:r w:rsidRPr="007175D7">
              <w:rPr>
                <w:rFonts w:cs="Arial"/>
                <w:szCs w:val="26"/>
              </w:rPr>
              <w:t>In the Matter of the Application of Crimson California Pipeline L.P. (PLC-26) for Authority to Increase Rates for its Crude Oil Pipeline Services.</w:t>
            </w:r>
            <w:r w:rsidR="00C76641">
              <w:rPr>
                <w:rFonts w:cs="Arial"/>
                <w:szCs w:val="26"/>
              </w:rPr>
              <w:t xml:space="preserve"> </w:t>
            </w:r>
            <w:r w:rsidRPr="007175D7">
              <w:rPr>
                <w:rFonts w:cs="Arial"/>
                <w:szCs w:val="26"/>
              </w:rPr>
              <w:t>(SOUTHERN CALIFORNIA)</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9313EC" w14:paraId="55306D9C" w14:textId="6F622696">
            <w:pPr>
              <w:spacing w:line="240" w:lineRule="auto"/>
              <w:ind w:firstLine="0"/>
              <w:jc w:val="center"/>
              <w:rPr>
                <w:rFonts w:cs="Arial"/>
                <w:szCs w:val="26"/>
              </w:rPr>
            </w:pPr>
            <w:r>
              <w:rPr>
                <w:rFonts w:cs="Arial"/>
                <w:szCs w:val="26"/>
              </w:rPr>
              <w:t>Application 23-06-022</w:t>
            </w:r>
          </w:p>
        </w:tc>
      </w:tr>
    </w:tbl>
    <w:p w:rsidR="00DA7B5D" w:rsidP="008F0116" w:rsidRDefault="00DA7B5D" w14:paraId="4FA77BAD" w14:textId="77777777">
      <w:pPr>
        <w:spacing w:line="240" w:lineRule="auto"/>
        <w:ind w:firstLine="0"/>
        <w:rPr>
          <w:rFonts w:ascii="Arial" w:hAnsi="Arial" w:cs="Arial"/>
          <w:sz w:val="24"/>
          <w:szCs w:val="24"/>
        </w:rPr>
      </w:pPr>
    </w:p>
    <w:p w:rsidR="00DA7B5D" w:rsidP="008F0116" w:rsidRDefault="00DA7B5D" w14:paraId="67406E7E" w14:textId="77777777">
      <w:pPr>
        <w:spacing w:line="240" w:lineRule="auto"/>
        <w:ind w:firstLine="0"/>
        <w:rPr>
          <w:rFonts w:ascii="Arial" w:hAnsi="Arial" w:cs="Arial"/>
          <w:sz w:val="24"/>
          <w:szCs w:val="24"/>
        </w:rPr>
      </w:pPr>
    </w:p>
    <w:p w:rsidR="0098655A" w:rsidP="005E3BA1" w:rsidRDefault="009313EC" w14:paraId="1926531D" w14:textId="6DA66BC3">
      <w:pPr>
        <w:pStyle w:val="Dummy"/>
        <w:jc w:val="center"/>
      </w:pPr>
      <w:bookmarkStart w:name="_Hlk206405110" w:id="0"/>
      <w:r>
        <w:t xml:space="preserve">DECISION APPROVING THE SETTLEMENT </w:t>
      </w:r>
      <w:r w:rsidR="004B709A">
        <w:t xml:space="preserve">AGREEMENT </w:t>
      </w:r>
      <w:r>
        <w:t>BETWEEN CRIMSON</w:t>
      </w:r>
      <w:r w:rsidR="008860C7">
        <w:t xml:space="preserve"> CALIFORNIA PIPELINE</w:t>
      </w:r>
      <w:r w:rsidR="000B24DF">
        <w:t xml:space="preserve"> </w:t>
      </w:r>
      <w:r w:rsidR="008860C7">
        <w:t>L.P. AND</w:t>
      </w:r>
      <w:r w:rsidR="005849DE">
        <w:t xml:space="preserve"> </w:t>
      </w:r>
      <w:r w:rsidR="001F48CB">
        <w:t>PHILLIP</w:t>
      </w:r>
      <w:r w:rsidR="004B709A">
        <w:t>S</w:t>
      </w:r>
      <w:r w:rsidR="001F48CB">
        <w:t xml:space="preserve"> 66 COMPANY</w:t>
      </w:r>
      <w:bookmarkEnd w:id="0"/>
      <w:r w:rsidR="005E3BA1">
        <w:t xml:space="preserve"> </w:t>
      </w:r>
    </w:p>
    <w:p w:rsidR="005A148C" w:rsidP="005A148C" w:rsidRDefault="005A148C" w14:paraId="6E4F3688" w14:textId="77777777">
      <w:pPr>
        <w:pStyle w:val="Dummy"/>
      </w:pPr>
      <w:bookmarkStart w:name="_Toc8123714" w:id="1"/>
      <w:bookmarkStart w:name="_Toc133843842" w:id="2"/>
      <w:r>
        <w:t>Summary</w:t>
      </w:r>
      <w:bookmarkEnd w:id="1"/>
      <w:bookmarkEnd w:id="2"/>
    </w:p>
    <w:p w:rsidR="006E3889" w:rsidP="006E3889" w:rsidRDefault="008B6FAC" w14:paraId="6FC4751A" w14:textId="34FB83E6">
      <w:pPr>
        <w:pStyle w:val="Standard"/>
      </w:pPr>
      <w:r>
        <w:t xml:space="preserve">This decision approves the settlement </w:t>
      </w:r>
      <w:r w:rsidR="00FB09C3">
        <w:t xml:space="preserve">agreement </w:t>
      </w:r>
      <w:r>
        <w:t xml:space="preserve">between Crimson California Pipeline L.P. (Crimson) and </w:t>
      </w:r>
      <w:r w:rsidR="006B528A">
        <w:t>Phill</w:t>
      </w:r>
      <w:r w:rsidR="00BF3782">
        <w:t>i</w:t>
      </w:r>
      <w:r w:rsidR="006B528A">
        <w:t xml:space="preserve">ps 66 Company </w:t>
      </w:r>
      <w:r>
        <w:t>(together, Settling Parties)</w:t>
      </w:r>
      <w:r w:rsidR="00F778F1">
        <w:t xml:space="preserve"> that resolves all issues in this proceeding</w:t>
      </w:r>
      <w:r>
        <w:t>.</w:t>
      </w:r>
      <w:r w:rsidR="00FB09C3">
        <w:t xml:space="preserve">  The settlement agreement</w:t>
      </w:r>
      <w:r w:rsidR="003B7BF7">
        <w:t xml:space="preserve"> </w:t>
      </w:r>
      <w:r w:rsidR="004910B1">
        <w:t xml:space="preserve">includes a 12.52% increase in rates </w:t>
      </w:r>
      <w:r w:rsidR="00577E3D">
        <w:t xml:space="preserve">for crude oil pipeline services </w:t>
      </w:r>
      <w:r w:rsidR="004910B1">
        <w:t xml:space="preserve">for the period of August 1, </w:t>
      </w:r>
      <w:proofErr w:type="gramStart"/>
      <w:r w:rsidR="004910B1">
        <w:t>2023</w:t>
      </w:r>
      <w:proofErr w:type="gramEnd"/>
      <w:r w:rsidR="004910B1">
        <w:t xml:space="preserve"> to July 31, 2024</w:t>
      </w:r>
      <w:r w:rsidR="001753A0">
        <w:t xml:space="preserve"> </w:t>
      </w:r>
      <w:r w:rsidR="00BE457D">
        <w:t>(Rate Period)</w:t>
      </w:r>
      <w:r w:rsidR="00577E3D">
        <w:t xml:space="preserve">.  A 12.52% increase in rates </w:t>
      </w:r>
      <w:r w:rsidR="001753A0">
        <w:t>achieve</w:t>
      </w:r>
      <w:r w:rsidR="00002BF4">
        <w:t>s</w:t>
      </w:r>
      <w:r w:rsidR="001753A0">
        <w:t xml:space="preserve"> an additional $3,518,744 in revenue</w:t>
      </w:r>
      <w:r w:rsidR="00BE457D">
        <w:t xml:space="preserve"> for the Rate Period.  </w:t>
      </w:r>
      <w:r w:rsidR="002936D9">
        <w:t>Phillips 66 is responsible for payment of $2,500,000 while the other shippers on Crimson’s Southern California system will be collectively responsible</w:t>
      </w:r>
      <w:r w:rsidR="00C6177B">
        <w:t xml:space="preserve"> for payment of $1,018,744 based upon their respective volumes shipped.</w:t>
      </w:r>
      <w:r w:rsidR="006E3889">
        <w:t xml:space="preserve">  </w:t>
      </w:r>
    </w:p>
    <w:p w:rsidR="00FE55E2" w:rsidP="006E3889" w:rsidRDefault="006E3889" w14:paraId="605B99B9" w14:textId="77777777">
      <w:pPr>
        <w:pStyle w:val="Standard"/>
        <w:sectPr w:rsidR="00FE55E2" w:rsidSect="00D44DB6">
          <w:headerReference w:type="default" r:id="rId11"/>
          <w:footerReference w:type="default" r:id="rId12"/>
          <w:pgSz w:w="12240" w:h="15840"/>
          <w:pgMar w:top="1728" w:right="1440" w:bottom="1440" w:left="1440" w:header="720" w:footer="720" w:gutter="0"/>
          <w:pgNumType w:start="1"/>
          <w:cols w:space="720"/>
          <w:docGrid w:linePitch="360"/>
        </w:sectPr>
      </w:pPr>
      <w:r>
        <w:t>Ap</w:t>
      </w:r>
      <w:r w:rsidR="008B6FAC">
        <w:t xml:space="preserve">plication </w:t>
      </w:r>
      <w:r w:rsidR="00E05DFF">
        <w:t>23-06-022</w:t>
      </w:r>
      <w:r w:rsidR="008B6FAC">
        <w:t xml:space="preserve"> is closed.</w:t>
      </w:r>
    </w:p>
    <w:p w:rsidRPr="00121089" w:rsidR="005A148C" w:rsidP="00881351" w:rsidRDefault="00F14BFB" w14:paraId="5C33FD40" w14:textId="1ACA2452">
      <w:pPr>
        <w:pStyle w:val="Heading1"/>
      </w:pPr>
      <w:bookmarkStart w:name="_Toc8123715" w:id="3"/>
      <w:bookmarkStart w:name="_Toc133843843" w:id="4"/>
      <w:r>
        <w:lastRenderedPageBreak/>
        <w:t xml:space="preserve">Procedural </w:t>
      </w:r>
      <w:r w:rsidRPr="00121089" w:rsidR="002C7FE9">
        <w:t>Background</w:t>
      </w:r>
      <w:bookmarkEnd w:id="3"/>
      <w:bookmarkEnd w:id="4"/>
    </w:p>
    <w:p w:rsidR="002C7FE9" w:rsidP="006E6574" w:rsidRDefault="00D34459" w14:paraId="5187657A" w14:textId="6203E401">
      <w:pPr>
        <w:pStyle w:val="Standard"/>
      </w:pPr>
      <w:r>
        <w:t xml:space="preserve">Crimson California </w:t>
      </w:r>
      <w:r w:rsidR="00DF22B5">
        <w:t>Pipeline L.P. (Crimson) filed Application (A.) 23-06-022</w:t>
      </w:r>
      <w:r w:rsidR="004B165E">
        <w:t xml:space="preserve"> on June 30, 202</w:t>
      </w:r>
      <w:r w:rsidR="00BF3782">
        <w:t>3</w:t>
      </w:r>
      <w:r w:rsidR="004B165E">
        <w:t>, requesting authorization to increase rates for its crude oil pipeline services</w:t>
      </w:r>
      <w:r w:rsidR="000F34EA">
        <w:t xml:space="preserve"> (Application)</w:t>
      </w:r>
      <w:r w:rsidR="00521A45">
        <w:t xml:space="preserve">.  </w:t>
      </w:r>
    </w:p>
    <w:p w:rsidR="00FE55E2" w:rsidP="00825F45" w:rsidRDefault="00E614DA" w14:paraId="0918B354" w14:textId="77777777">
      <w:pPr>
        <w:pStyle w:val="Standard"/>
      </w:pPr>
      <w:r w:rsidRPr="008B2706">
        <w:t>On August 10, 202</w:t>
      </w:r>
      <w:r w:rsidR="00BF3782">
        <w:t>3</w:t>
      </w:r>
      <w:r w:rsidRPr="008B2706">
        <w:t xml:space="preserve">, Phillips 66 Company </w:t>
      </w:r>
      <w:r w:rsidR="00955392">
        <w:t xml:space="preserve">(Phillips 66) </w:t>
      </w:r>
      <w:r w:rsidRPr="008B2706">
        <w:t>filed an Intervention and Protest of Crimson’s Application</w:t>
      </w:r>
      <w:r w:rsidR="000F34EA">
        <w:t xml:space="preserve"> (Protest)</w:t>
      </w:r>
      <w:r w:rsidRPr="008B2706">
        <w:t>.</w:t>
      </w:r>
      <w:r w:rsidR="00FE55E2">
        <w:t xml:space="preserve">  </w:t>
      </w:r>
      <w:r w:rsidR="007F6779">
        <w:t>On October</w:t>
      </w:r>
      <w:r w:rsidR="00FE55E2">
        <w:t> </w:t>
      </w:r>
      <w:r w:rsidR="007F6779">
        <w:t>17,</w:t>
      </w:r>
      <w:r w:rsidR="00FE55E2">
        <w:t> </w:t>
      </w:r>
      <w:r w:rsidR="007F6779">
        <w:t>2023, the assigned Administrative Law Judge (ALJ) conducted a prehearing conference (PHC).  At the PHC, the assigned ALJ discussed Phill</w:t>
      </w:r>
      <w:r w:rsidR="00BF3782">
        <w:t>i</w:t>
      </w:r>
      <w:r w:rsidR="007F6779">
        <w:t xml:space="preserve">ps 66’s application for rehearing of Decision </w:t>
      </w:r>
      <w:r w:rsidR="00C76641">
        <w:t xml:space="preserve">(D.) </w:t>
      </w:r>
      <w:r w:rsidR="007F6779">
        <w:t xml:space="preserve">24-05-007 </w:t>
      </w:r>
      <w:r w:rsidR="00BF3782">
        <w:t>in</w:t>
      </w:r>
      <w:r w:rsidR="007F6779">
        <w:t xml:space="preserve"> A.22-03-013 (Rehearing Application).  The parties acknowledged that the Rehearing Application affected the current proceeding and agreed to an abeyance of </w:t>
      </w:r>
    </w:p>
    <w:p w:rsidR="007F6779" w:rsidP="00FE55E2" w:rsidRDefault="007F6779" w14:paraId="0AACC02C" w14:textId="1A14C30E">
      <w:pPr>
        <w:pStyle w:val="Standard"/>
        <w:ind w:firstLine="0"/>
      </w:pPr>
      <w:r>
        <w:t xml:space="preserve">A.23-06-022 until a final decision on the Rehearing Application was issued.  As a result, Commissioner </w:t>
      </w:r>
      <w:r w:rsidR="00C70F34">
        <w:t>Genevieve Shiroma</w:t>
      </w:r>
      <w:r>
        <w:t xml:space="preserve"> did not issue a Scoping Memo and Ruling.</w:t>
      </w:r>
    </w:p>
    <w:p w:rsidR="00D47CF5" w:rsidP="00FD3B96" w:rsidRDefault="00D47CF5" w14:paraId="435FCCF6" w14:textId="2933B555">
      <w:pPr>
        <w:pStyle w:val="Standard"/>
      </w:pPr>
      <w:r>
        <w:t>On March 5, 2024, A.23-06-022 was reassigned to Commissioner Matthew Baker.</w:t>
      </w:r>
    </w:p>
    <w:p w:rsidR="007665C9" w:rsidP="007665C9" w:rsidRDefault="007665C9" w14:paraId="248F2798" w14:textId="5999362D">
      <w:pPr>
        <w:pStyle w:val="Standard"/>
      </w:pPr>
      <w:r>
        <w:t>On December 4, 2024, the Commission issued D.24-12-027, an order modifying certain holdings of D.24-05-007 and denying rehearing of the decision.</w:t>
      </w:r>
    </w:p>
    <w:p w:rsidR="007665C9" w:rsidP="007665C9" w:rsidRDefault="007665C9" w14:paraId="22EEBF79" w14:textId="7DB64A7E">
      <w:pPr>
        <w:pStyle w:val="Standard"/>
      </w:pPr>
      <w:r>
        <w:t xml:space="preserve">On December 19, 2024, the Commission issued D.24-12-045, an order extending the statutory deadline </w:t>
      </w:r>
      <w:r w:rsidR="00BF3782">
        <w:t xml:space="preserve">in this proceeding </w:t>
      </w:r>
      <w:r>
        <w:t xml:space="preserve">from December 30, </w:t>
      </w:r>
      <w:proofErr w:type="gramStart"/>
      <w:r>
        <w:t>2024</w:t>
      </w:r>
      <w:proofErr w:type="gramEnd"/>
      <w:r>
        <w:t xml:space="preserve"> to June 30, 2025.</w:t>
      </w:r>
    </w:p>
    <w:p w:rsidR="007665C9" w:rsidP="007665C9" w:rsidRDefault="007665C9" w14:paraId="3C3442D9" w14:textId="77777777">
      <w:pPr>
        <w:pStyle w:val="Standard"/>
      </w:pPr>
      <w:r>
        <w:t xml:space="preserve">On January 28, 2025, the assigned ALJ held a status conference (SC) to determine Crimson’s intent to proceed or dismiss its application and to discuss whether evidentiary hearings were necessary.  At the SC, the parties agreed to use the Commission’s Alternative Dispute Resolution process. </w:t>
      </w:r>
    </w:p>
    <w:p w:rsidR="00683B2C" w:rsidP="007E377E" w:rsidRDefault="004C5F73" w14:paraId="08ECC080" w14:textId="0F62923D">
      <w:pPr>
        <w:pStyle w:val="Standard"/>
      </w:pPr>
      <w:r w:rsidRPr="004C5F73">
        <w:lastRenderedPageBreak/>
        <w:t xml:space="preserve">On </w:t>
      </w:r>
      <w:r w:rsidR="00C33E25">
        <w:t>June 12, 2025</w:t>
      </w:r>
      <w:r w:rsidRPr="004C5F73">
        <w:t>, the Commission issued D.2</w:t>
      </w:r>
      <w:r w:rsidR="00C33E25">
        <w:t>5-06-027</w:t>
      </w:r>
      <w:r w:rsidRPr="004C5F73">
        <w:t xml:space="preserve">, an order extending the statutory deadline </w:t>
      </w:r>
      <w:r w:rsidR="00BF3782">
        <w:t xml:space="preserve">in this proceeding </w:t>
      </w:r>
      <w:r w:rsidRPr="004C5F73">
        <w:t xml:space="preserve">from June 30, </w:t>
      </w:r>
      <w:proofErr w:type="gramStart"/>
      <w:r w:rsidRPr="004C5F73">
        <w:t>2025</w:t>
      </w:r>
      <w:proofErr w:type="gramEnd"/>
      <w:r w:rsidR="00C33E25">
        <w:t xml:space="preserve"> to February </w:t>
      </w:r>
      <w:r w:rsidR="005F55A1">
        <w:t>27, 2026</w:t>
      </w:r>
      <w:r w:rsidRPr="004C5F73">
        <w:t>.</w:t>
      </w:r>
    </w:p>
    <w:p w:rsidR="00401FCA" w:rsidP="007E377E" w:rsidRDefault="00263A8E" w14:paraId="0A5742C7" w14:textId="366F10D2">
      <w:pPr>
        <w:pStyle w:val="Standard"/>
      </w:pPr>
      <w:r>
        <w:t xml:space="preserve">On August 14, 2025, </w:t>
      </w:r>
      <w:r w:rsidR="00956D65">
        <w:t>Crimson filed a motion (</w:t>
      </w:r>
      <w:r w:rsidR="002034A9">
        <w:t xml:space="preserve">Settlement </w:t>
      </w:r>
      <w:r w:rsidR="00956D65">
        <w:t>Motion) for adoption of a settlement agreement</w:t>
      </w:r>
      <w:r w:rsidR="00CF5D02">
        <w:t xml:space="preserve"> (Settlement Agreement)</w:t>
      </w:r>
      <w:r w:rsidR="00654496">
        <w:t xml:space="preserve"> between Crimson and Phillips 66 (Settling Parties)</w:t>
      </w:r>
      <w:r w:rsidR="00CF5D02">
        <w:t>.</w:t>
      </w:r>
    </w:p>
    <w:p w:rsidR="00691BAA" w:rsidP="00691BAA" w:rsidRDefault="00691BAA" w14:paraId="4132A2E5" w14:textId="6B841ADC">
      <w:pPr>
        <w:pStyle w:val="Heading1"/>
      </w:pPr>
      <w:r>
        <w:t>Background</w:t>
      </w:r>
    </w:p>
    <w:p w:rsidR="00C76D98" w:rsidP="00691BAA" w:rsidRDefault="00C76D98" w14:paraId="1A232C05" w14:textId="227A54CD">
      <w:pPr>
        <w:pStyle w:val="Standard"/>
      </w:pPr>
      <w:r w:rsidRPr="00C76D98">
        <w:t xml:space="preserve">Crimson is a California limited partnership authorized to do business in the State of California as a pipeline corporation as defined by Public Utilities (Pub. Util.) Code Section 228. </w:t>
      </w:r>
    </w:p>
    <w:p w:rsidRPr="00691BAA" w:rsidR="00691BAA" w:rsidP="00691BAA" w:rsidRDefault="00C76D98" w14:paraId="23C76A2A" w14:textId="4CE21C18">
      <w:pPr>
        <w:pStyle w:val="Standard"/>
      </w:pPr>
      <w:r w:rsidRPr="00C76D98">
        <w:t xml:space="preserve">Crimson owns and operates a network of six common carrier crude oil pipeline systems in Southern California. </w:t>
      </w:r>
      <w:r w:rsidR="00977F5A">
        <w:t xml:space="preserve"> </w:t>
      </w:r>
      <w:r w:rsidRPr="00C76D98">
        <w:t>The systems total approximately 300</w:t>
      </w:r>
      <w:r w:rsidR="00FE55E2">
        <w:t> </w:t>
      </w:r>
      <w:r w:rsidRPr="00C76D98">
        <w:t xml:space="preserve">miles of pipeline connecting various producing oil fields in the Los Angeles Basin to refineries in Los Angeles. </w:t>
      </w:r>
      <w:r w:rsidR="00977F5A">
        <w:t xml:space="preserve"> </w:t>
      </w:r>
      <w:r w:rsidRPr="00C76D98">
        <w:t>Its systems include crude oil pipelines and related infrastructure.</w:t>
      </w:r>
    </w:p>
    <w:p w:rsidR="00404DFB" w:rsidP="00996ED2" w:rsidRDefault="00D40695" w14:paraId="6E67EFE8" w14:textId="65C048C4">
      <w:pPr>
        <w:pStyle w:val="Heading1"/>
      </w:pPr>
      <w:r>
        <w:t>Overview of Crimson’s Application</w:t>
      </w:r>
      <w:r w:rsidR="00C94F31">
        <w:t xml:space="preserve"> </w:t>
      </w:r>
      <w:r w:rsidR="00C76641">
        <w:br/>
      </w:r>
      <w:r w:rsidR="00C94F31">
        <w:t>and Testimony</w:t>
      </w:r>
    </w:p>
    <w:p w:rsidR="00B85B68" w:rsidP="00B85B68" w:rsidRDefault="00901368" w14:paraId="305193B4" w14:textId="492998F3">
      <w:pPr>
        <w:pStyle w:val="Standard"/>
      </w:pPr>
      <w:r w:rsidRPr="00901368">
        <w:t>On June 30, 202</w:t>
      </w:r>
      <w:r w:rsidR="003E5BD6">
        <w:t>3</w:t>
      </w:r>
      <w:r w:rsidRPr="00901368">
        <w:t>, Crimson filed A.2</w:t>
      </w:r>
      <w:r w:rsidR="003E5BD6">
        <w:t>3-06-022</w:t>
      </w:r>
      <w:r w:rsidRPr="00901368">
        <w:t>, seeking to increase each of its individual rates on its Southern California system by 10%, effective August</w:t>
      </w:r>
      <w:r w:rsidR="00C76641">
        <w:t> </w:t>
      </w:r>
      <w:r w:rsidRPr="00901368">
        <w:t>1,</w:t>
      </w:r>
      <w:r w:rsidR="00C76641">
        <w:t> </w:t>
      </w:r>
      <w:r w:rsidRPr="00901368">
        <w:t>202</w:t>
      </w:r>
      <w:r w:rsidR="0075609C">
        <w:t>3</w:t>
      </w:r>
      <w:r w:rsidRPr="00901368">
        <w:t xml:space="preserve">. </w:t>
      </w:r>
      <w:r w:rsidR="0075609C">
        <w:t xml:space="preserve"> </w:t>
      </w:r>
      <w:r w:rsidRPr="00901368">
        <w:t xml:space="preserve">Crimson </w:t>
      </w:r>
      <w:r w:rsidR="00A935B7">
        <w:t>did not</w:t>
      </w:r>
      <w:r w:rsidRPr="00901368">
        <w:t xml:space="preserve"> file</w:t>
      </w:r>
      <w:r w:rsidR="00A935B7">
        <w:t xml:space="preserve"> an</w:t>
      </w:r>
      <w:r w:rsidRPr="00901368">
        <w:t xml:space="preserve"> Advice Letter, </w:t>
      </w:r>
      <w:r w:rsidR="008663F3">
        <w:t>pursuant to</w:t>
      </w:r>
      <w:r w:rsidR="0061434A">
        <w:t xml:space="preserve"> </w:t>
      </w:r>
      <w:r w:rsidR="00066DCB">
        <w:t xml:space="preserve">Pub. Util. Code </w:t>
      </w:r>
      <w:r w:rsidR="00100B7E">
        <w:t>S</w:t>
      </w:r>
      <w:r w:rsidR="00066DCB">
        <w:t>ection 455.3.</w:t>
      </w:r>
      <w:r w:rsidR="005D7812">
        <w:t xml:space="preserve">  </w:t>
      </w:r>
      <w:r w:rsidR="00D23927">
        <w:t xml:space="preserve">Crimson </w:t>
      </w:r>
      <w:r w:rsidR="00B808D3">
        <w:t>also submitted testimony supporting</w:t>
      </w:r>
      <w:r w:rsidR="00D23927">
        <w:t xml:space="preserve"> </w:t>
      </w:r>
      <w:r w:rsidR="00082A11">
        <w:t>a</w:t>
      </w:r>
      <w:r w:rsidR="00B808D3">
        <w:t>n additional</w:t>
      </w:r>
      <w:r w:rsidR="00082A11">
        <w:t xml:space="preserve"> 2</w:t>
      </w:r>
      <w:r w:rsidR="00D23927">
        <w:t>4.9% increase</w:t>
      </w:r>
      <w:r w:rsidR="00082A11">
        <w:t xml:space="preserve"> in rates beyond </w:t>
      </w:r>
      <w:proofErr w:type="gramStart"/>
      <w:r w:rsidR="00082A11">
        <w:t>the 10</w:t>
      </w:r>
      <w:proofErr w:type="gramEnd"/>
      <w:r w:rsidR="00082A11">
        <w:t>%</w:t>
      </w:r>
      <w:r w:rsidR="007C42B4">
        <w:t>, for a total increase of 34.9%</w:t>
      </w:r>
      <w:r w:rsidR="00082A11">
        <w:t>.</w:t>
      </w:r>
    </w:p>
    <w:p w:rsidR="001D59CD" w:rsidP="00B85B68" w:rsidRDefault="001D59CD" w14:paraId="476DD4C7" w14:textId="1DD931A0">
      <w:pPr>
        <w:pStyle w:val="Standard"/>
      </w:pPr>
      <w:r>
        <w:t xml:space="preserve">Dr. Michael J. Webb offered testimony in support of Crimson’s application for a </w:t>
      </w:r>
      <w:r w:rsidR="00066DCB">
        <w:t>10%</w:t>
      </w:r>
      <w:r>
        <w:t xml:space="preserve"> rate increase.  First, he adopted the base-period and test-period framework de</w:t>
      </w:r>
      <w:r w:rsidR="000D5F29">
        <w:t>scribed</w:t>
      </w:r>
      <w:r>
        <w:t xml:space="preserve"> in </w:t>
      </w:r>
      <w:r w:rsidR="00C76641">
        <w:t>D.</w:t>
      </w:r>
      <w:r w:rsidR="00302CAA">
        <w:t>24-05-007</w:t>
      </w:r>
      <w:r>
        <w:t>.</w:t>
      </w:r>
      <w:r w:rsidR="00C96C6A">
        <w:rPr>
          <w:rStyle w:val="FootnoteReference"/>
        </w:rPr>
        <w:footnoteReference w:id="2"/>
      </w:r>
      <w:r>
        <w:t xml:space="preserve">  Second, </w:t>
      </w:r>
      <w:r w:rsidR="00A33030">
        <w:t>h</w:t>
      </w:r>
      <w:r w:rsidRPr="00A33030" w:rsidR="00A33030">
        <w:t xml:space="preserve">e then presented a cost-of-service analysis based on updated data for the twelve-month period ending </w:t>
      </w:r>
      <w:r w:rsidRPr="00A33030" w:rsidR="00A33030">
        <w:lastRenderedPageBreak/>
        <w:t>March 31, 2023, with adjustments to reflect all known and measurable</w:t>
      </w:r>
      <w:r w:rsidR="00100B7E">
        <w:t xml:space="preserve"> data</w:t>
      </w:r>
      <w:r>
        <w:t>.</w:t>
      </w:r>
      <w:r w:rsidR="00C96C6A">
        <w:rPr>
          <w:rStyle w:val="FootnoteReference"/>
        </w:rPr>
        <w:footnoteReference w:id="3"/>
      </w:r>
      <w:r>
        <w:t xml:space="preserve">  Finally, he </w:t>
      </w:r>
      <w:r w:rsidR="00A33030">
        <w:t>projected</w:t>
      </w:r>
      <w:r>
        <w:t xml:space="preserve"> an 11.53</w:t>
      </w:r>
      <w:r w:rsidR="00F622A9">
        <w:t>%</w:t>
      </w:r>
      <w:r>
        <w:t xml:space="preserve"> decline</w:t>
      </w:r>
      <w:r w:rsidR="00A33030">
        <w:t xml:space="preserve"> in volume</w:t>
      </w:r>
      <w:r>
        <w:t>, a figure he substantiate</w:t>
      </w:r>
      <w:r w:rsidR="00F622A9">
        <w:t>d</w:t>
      </w:r>
      <w:r>
        <w:t xml:space="preserve"> with historical Southern California volume data.</w:t>
      </w:r>
      <w:r w:rsidR="00C96C6A">
        <w:rPr>
          <w:rStyle w:val="FootnoteReference"/>
        </w:rPr>
        <w:footnoteReference w:id="4"/>
      </w:r>
      <w:r w:rsidR="00C96C6A">
        <w:t xml:space="preserve">  </w:t>
      </w:r>
      <w:r>
        <w:t xml:space="preserve">On the basis of this analysis, Dr. Webb concluded that Crimson’s request for a </w:t>
      </w:r>
      <w:r w:rsidR="00066DCB">
        <w:t>10%</w:t>
      </w:r>
      <w:r>
        <w:t xml:space="preserve"> increase in rates </w:t>
      </w:r>
      <w:r w:rsidR="00A53775">
        <w:t>is</w:t>
      </w:r>
      <w:r>
        <w:t xml:space="preserve"> fully justified.</w:t>
      </w:r>
    </w:p>
    <w:p w:rsidR="005872AE" w:rsidP="00996ED2" w:rsidRDefault="005872AE" w14:paraId="0AE2CC95" w14:textId="799E9799">
      <w:pPr>
        <w:pStyle w:val="Heading1"/>
      </w:pPr>
      <w:r>
        <w:t xml:space="preserve">Overview of </w:t>
      </w:r>
      <w:r w:rsidR="00DE7402">
        <w:t>Phill</w:t>
      </w:r>
      <w:r w:rsidR="003E3A85">
        <w:t>i</w:t>
      </w:r>
      <w:r w:rsidR="00DE7402">
        <w:t xml:space="preserve">ps 66 </w:t>
      </w:r>
      <w:r w:rsidR="00B75A3C">
        <w:t>Protest</w:t>
      </w:r>
    </w:p>
    <w:p w:rsidR="00B75A3C" w:rsidP="00B75A3C" w:rsidRDefault="00C820B1" w14:paraId="2AF6714D" w14:textId="7BA5E1B3">
      <w:pPr>
        <w:pStyle w:val="Standard"/>
      </w:pPr>
      <w:r>
        <w:t>Phill</w:t>
      </w:r>
      <w:r w:rsidR="003E3A85">
        <w:t>i</w:t>
      </w:r>
      <w:r>
        <w:t>ps 66 asserts that Crimson’s Application is vague as to its justification and the ti</w:t>
      </w:r>
      <w:r w:rsidR="00DA09C6">
        <w:t>me period over which its costs</w:t>
      </w:r>
      <w:r w:rsidR="008D1C62">
        <w:t>-</w:t>
      </w:r>
      <w:r w:rsidR="00DA09C6">
        <w:t>of</w:t>
      </w:r>
      <w:r w:rsidR="008D1C62">
        <w:t>-</w:t>
      </w:r>
      <w:r w:rsidR="00DA09C6">
        <w:t>service is meant to apply.</w:t>
      </w:r>
      <w:r w:rsidR="00DA09C6">
        <w:rPr>
          <w:rStyle w:val="FootnoteReference"/>
        </w:rPr>
        <w:footnoteReference w:id="5"/>
      </w:r>
      <w:r w:rsidR="00DA09C6">
        <w:t xml:space="preserve">  Phill</w:t>
      </w:r>
      <w:r w:rsidR="003E3A85">
        <w:t>i</w:t>
      </w:r>
      <w:r w:rsidR="00DA09C6">
        <w:t xml:space="preserve">ps 66 states that Crimson’s Application is vague because it </w:t>
      </w:r>
      <w:r w:rsidR="0012507F">
        <w:t>is ambiguous as to key facts.</w:t>
      </w:r>
      <w:r w:rsidR="0012507F">
        <w:rPr>
          <w:rStyle w:val="FootnoteReference"/>
        </w:rPr>
        <w:footnoteReference w:id="6"/>
      </w:r>
      <w:r w:rsidR="0012507F">
        <w:t xml:space="preserve">  </w:t>
      </w:r>
      <w:r w:rsidR="00751079">
        <w:t>Phill</w:t>
      </w:r>
      <w:r w:rsidR="003E3A85">
        <w:t>i</w:t>
      </w:r>
      <w:r w:rsidR="00751079">
        <w:t>ps 66 contends</w:t>
      </w:r>
      <w:r w:rsidR="00E03069">
        <w:t xml:space="preserve"> that Crimson appears to be attempting to justify its new rate increase, for a new period, with new assertions, but without any new investigation.</w:t>
      </w:r>
      <w:r w:rsidR="009C186D">
        <w:rPr>
          <w:rStyle w:val="FootnoteReference"/>
        </w:rPr>
        <w:footnoteReference w:id="7"/>
      </w:r>
      <w:r w:rsidR="009C186D">
        <w:t xml:space="preserve">  </w:t>
      </w:r>
      <w:r w:rsidR="006729A4">
        <w:t>According to Phill</w:t>
      </w:r>
      <w:r w:rsidR="003E3A85">
        <w:t>i</w:t>
      </w:r>
      <w:r w:rsidR="006729A4">
        <w:t>ps 66, Crimson’s Application does not provide any basis to determine whether the current proposed rate increase is just and reasonable.</w:t>
      </w:r>
      <w:r w:rsidR="006729A4">
        <w:rPr>
          <w:rStyle w:val="FootnoteReference"/>
        </w:rPr>
        <w:footnoteReference w:id="8"/>
      </w:r>
    </w:p>
    <w:p w:rsidRPr="00B75A3C" w:rsidR="006729A4" w:rsidP="00B75A3C" w:rsidRDefault="004B329E" w14:paraId="4EABF8E3" w14:textId="0F07D3BA">
      <w:pPr>
        <w:pStyle w:val="Standard"/>
      </w:pPr>
      <w:r>
        <w:t>In addition, Phill</w:t>
      </w:r>
      <w:r w:rsidR="003E3A85">
        <w:t>i</w:t>
      </w:r>
      <w:r>
        <w:t>ps 66 asserts that Crimson’s cost</w:t>
      </w:r>
      <w:r w:rsidR="008D1C62">
        <w:t>-</w:t>
      </w:r>
      <w:r>
        <w:t>of</w:t>
      </w:r>
      <w:r w:rsidR="008D1C62">
        <w:t>-</w:t>
      </w:r>
      <w:r>
        <w:t>service is implausible and unsupported.</w:t>
      </w:r>
      <w:r>
        <w:rPr>
          <w:rStyle w:val="FootnoteReference"/>
        </w:rPr>
        <w:footnoteReference w:id="9"/>
      </w:r>
      <w:r>
        <w:t xml:space="preserve">  </w:t>
      </w:r>
      <w:r w:rsidR="00D969E9">
        <w:t>Phillips 66 conten</w:t>
      </w:r>
      <w:r w:rsidR="008D1C62">
        <w:t>ds</w:t>
      </w:r>
      <w:r w:rsidR="00D969E9">
        <w:t xml:space="preserve"> that Crimson’s Application is likely </w:t>
      </w:r>
      <w:proofErr w:type="gramStart"/>
      <w:r w:rsidR="00D969E9">
        <w:t>overstating</w:t>
      </w:r>
      <w:proofErr w:type="gramEnd"/>
      <w:r w:rsidR="00D969E9">
        <w:t xml:space="preserve"> its cost</w:t>
      </w:r>
      <w:r w:rsidR="008D1C62">
        <w:t>-</w:t>
      </w:r>
      <w:r w:rsidR="00D969E9">
        <w:t>of</w:t>
      </w:r>
      <w:r w:rsidR="008D1C62">
        <w:t>-</w:t>
      </w:r>
      <w:r w:rsidR="00D969E9">
        <w:t xml:space="preserve">service and understating its revenue by relying on </w:t>
      </w:r>
      <w:r w:rsidR="00694B35">
        <w:t>assumptions that are unsound and erroneous as well as adjustments that are unexplained and unjustified.</w:t>
      </w:r>
      <w:r w:rsidR="00694B35">
        <w:rPr>
          <w:rStyle w:val="FootnoteReference"/>
        </w:rPr>
        <w:footnoteReference w:id="10"/>
      </w:r>
      <w:r w:rsidR="00694B35">
        <w:t xml:space="preserve">  </w:t>
      </w:r>
    </w:p>
    <w:p w:rsidR="005A148C" w:rsidP="005939A5" w:rsidRDefault="004F704F" w14:paraId="45362F2F" w14:textId="1EA52D99">
      <w:pPr>
        <w:pStyle w:val="Heading1"/>
      </w:pPr>
      <w:r>
        <w:lastRenderedPageBreak/>
        <w:t>Overview of Settlement Agreement</w:t>
      </w:r>
    </w:p>
    <w:p w:rsidR="005939A5" w:rsidP="00A44E8D" w:rsidRDefault="004F704F" w14:paraId="4ABD05ED" w14:textId="31B46492">
      <w:pPr>
        <w:pStyle w:val="Standard"/>
      </w:pPr>
      <w:r>
        <w:t xml:space="preserve">On </w:t>
      </w:r>
      <w:r w:rsidR="002077CE">
        <w:t>August 14</w:t>
      </w:r>
      <w:r w:rsidR="002A0BA7">
        <w:t xml:space="preserve">, 2025, </w:t>
      </w:r>
      <w:r w:rsidR="007B062B">
        <w:t>Crimson</w:t>
      </w:r>
      <w:r w:rsidR="002A0BA7">
        <w:t xml:space="preserve"> filed a </w:t>
      </w:r>
      <w:r w:rsidR="002034A9">
        <w:t>Settl</w:t>
      </w:r>
      <w:r w:rsidR="00654496">
        <w:t>e</w:t>
      </w:r>
      <w:r w:rsidR="002034A9">
        <w:t xml:space="preserve">ment </w:t>
      </w:r>
      <w:r w:rsidR="002A0BA7">
        <w:t>Motion for adoption of a Settlement Agreement.</w:t>
      </w:r>
    </w:p>
    <w:p w:rsidR="002A0BA7" w:rsidP="002A0BA7" w:rsidRDefault="002A0BA7" w14:paraId="46CF49F2" w14:textId="7082A871">
      <w:pPr>
        <w:pStyle w:val="Heading2"/>
      </w:pPr>
      <w:r>
        <w:t>Parties to the Settlement Agreement</w:t>
      </w:r>
    </w:p>
    <w:p w:rsidR="002A0BA7" w:rsidP="002A0BA7" w:rsidRDefault="002A0BA7" w14:paraId="0A845092" w14:textId="5453CBB3">
      <w:pPr>
        <w:pStyle w:val="Standard"/>
      </w:pPr>
      <w:r>
        <w:t>The Settling Parties for the Settlement Agreement are Crimson</w:t>
      </w:r>
      <w:r w:rsidR="00737E2E">
        <w:t xml:space="preserve"> and Phill</w:t>
      </w:r>
      <w:r w:rsidR="00955392">
        <w:t>i</w:t>
      </w:r>
      <w:r w:rsidR="00737E2E">
        <w:t xml:space="preserve">ps 66.  </w:t>
      </w:r>
      <w:r w:rsidRPr="0027331F" w:rsidR="0027331F">
        <w:t>Crimson is a pipeline company engaged in the transportation of crude petroleum in the state of California and is regulated as a "common carrier" by the Commission under Sections 211, 216, and 228 of the California Public Utilities Code.</w:t>
      </w:r>
      <w:r w:rsidR="0027331F">
        <w:rPr>
          <w:rStyle w:val="FootnoteReference"/>
        </w:rPr>
        <w:footnoteReference w:id="11"/>
      </w:r>
      <w:r w:rsidR="0027331F">
        <w:t xml:space="preserve"> </w:t>
      </w:r>
      <w:r w:rsidRPr="0027331F" w:rsidR="0027331F">
        <w:t xml:space="preserve"> </w:t>
      </w:r>
      <w:r w:rsidRPr="001E54EF" w:rsidR="001E54EF">
        <w:t xml:space="preserve">Phillips 66 is a shipper of crude petroleum on Crimson's </w:t>
      </w:r>
      <w:r w:rsidR="00955392">
        <w:t>S</w:t>
      </w:r>
      <w:r w:rsidRPr="001E54EF" w:rsidR="001E54EF">
        <w:t>outhern California pipeline</w:t>
      </w:r>
      <w:r w:rsidR="00955392">
        <w:t xml:space="preserve"> system</w:t>
      </w:r>
      <w:r w:rsidRPr="001E54EF" w:rsidR="001E54EF">
        <w:t>, and its shipments constitute the majority of the volumes shipped on that pipeline system.</w:t>
      </w:r>
      <w:r w:rsidR="001E54EF">
        <w:rPr>
          <w:rStyle w:val="FootnoteReference"/>
        </w:rPr>
        <w:footnoteReference w:id="12"/>
      </w:r>
    </w:p>
    <w:p w:rsidR="00560930" w:rsidP="00560930" w:rsidRDefault="00560930" w14:paraId="27AD5ED2" w14:textId="38FFF486">
      <w:pPr>
        <w:pStyle w:val="Heading2"/>
      </w:pPr>
      <w:r>
        <w:t>Settlement Agreement Terms</w:t>
      </w:r>
    </w:p>
    <w:p w:rsidR="005E0C9F" w:rsidP="005E0C9F" w:rsidRDefault="00987773" w14:paraId="6F4F8A7B" w14:textId="6AC37210">
      <w:pPr>
        <w:pStyle w:val="Standard"/>
      </w:pPr>
      <w:r>
        <w:t xml:space="preserve">The </w:t>
      </w:r>
      <w:r w:rsidR="00D53BC0">
        <w:t xml:space="preserve">Settlement Agreement’s terms </w:t>
      </w:r>
      <w:r w:rsidR="00955392">
        <w:t>and</w:t>
      </w:r>
      <w:r w:rsidR="00D53BC0">
        <w:t xml:space="preserve"> conditions </w:t>
      </w:r>
      <w:r>
        <w:t xml:space="preserve">contain </w:t>
      </w:r>
      <w:r w:rsidR="00C9154E">
        <w:t>five sections which set forth the Settling Parties</w:t>
      </w:r>
      <w:r w:rsidR="000F2430">
        <w:t>’</w:t>
      </w:r>
      <w:r w:rsidR="00C9154E">
        <w:t xml:space="preserve"> resolution: A)</w:t>
      </w:r>
      <w:r w:rsidR="00D10D4F">
        <w:t xml:space="preserve"> Resolution of Protests Associated with A.23-06-022 and advice letter 58-O</w:t>
      </w:r>
      <w:r w:rsidR="005D59F5">
        <w:t xml:space="preserve">; B) Motion for Commission Approval of Settlement; C) Crimson’s </w:t>
      </w:r>
      <w:r w:rsidR="00CE56CC">
        <w:t xml:space="preserve">Compliance Filing; D) Settlement Payment; and E) </w:t>
      </w:r>
      <w:r w:rsidR="00F12516">
        <w:t>A.24-06-019.</w:t>
      </w:r>
    </w:p>
    <w:p w:rsidRPr="00D62AB5" w:rsidR="00D62AB5" w:rsidP="005E0C9F" w:rsidRDefault="003958C1" w14:paraId="1693130E" w14:textId="77777777">
      <w:pPr>
        <w:pStyle w:val="Standard"/>
        <w:numPr>
          <w:ilvl w:val="0"/>
          <w:numId w:val="20"/>
        </w:numPr>
      </w:pPr>
      <w:r w:rsidRPr="00D62AB5">
        <w:rPr>
          <w:u w:val="single"/>
        </w:rPr>
        <w:t>Resolution of Protests Associated with A.23-06-022</w:t>
      </w:r>
      <w:r w:rsidRPr="00D62AB5" w:rsidR="007A3721">
        <w:rPr>
          <w:bCs/>
        </w:rPr>
        <w:t>.</w:t>
      </w:r>
      <w:r w:rsidR="007A3721">
        <w:rPr>
          <w:b/>
        </w:rPr>
        <w:t xml:space="preserve">  </w:t>
      </w:r>
    </w:p>
    <w:p w:rsidRPr="00173749" w:rsidR="007A3721" w:rsidP="00C76641" w:rsidRDefault="00EC6DE0" w14:paraId="6D59BF50" w14:textId="195C95CC">
      <w:pPr>
        <w:pStyle w:val="Standard"/>
        <w:spacing w:after="120" w:line="240" w:lineRule="auto"/>
        <w:ind w:left="1080" w:right="1440" w:firstLine="0"/>
      </w:pPr>
      <w:r>
        <w:rPr>
          <w:bCs/>
        </w:rPr>
        <w:t>Upon the effective date</w:t>
      </w:r>
      <w:r w:rsidR="00C67729">
        <w:rPr>
          <w:bCs/>
        </w:rPr>
        <w:t>,</w:t>
      </w:r>
      <w:r>
        <w:rPr>
          <w:bCs/>
        </w:rPr>
        <w:t xml:space="preserve"> this settlement agreement sat</w:t>
      </w:r>
      <w:r w:rsidR="00C67729">
        <w:rPr>
          <w:bCs/>
        </w:rPr>
        <w:t xml:space="preserve">isfies and extinguishes </w:t>
      </w:r>
      <w:proofErr w:type="gramStart"/>
      <w:r w:rsidR="00C67729">
        <w:rPr>
          <w:bCs/>
        </w:rPr>
        <w:t>any and all</w:t>
      </w:r>
      <w:proofErr w:type="gramEnd"/>
      <w:r w:rsidR="00C67729">
        <w:rPr>
          <w:bCs/>
        </w:rPr>
        <w:t xml:space="preserve"> claims</w:t>
      </w:r>
      <w:r w:rsidR="00F11E04">
        <w:rPr>
          <w:bCs/>
        </w:rPr>
        <w:t xml:space="preserve"> of Phill</w:t>
      </w:r>
      <w:r w:rsidR="00955392">
        <w:rPr>
          <w:bCs/>
        </w:rPr>
        <w:t>i</w:t>
      </w:r>
      <w:r w:rsidR="00F11E04">
        <w:rPr>
          <w:bCs/>
        </w:rPr>
        <w:t xml:space="preserve">ps 66 </w:t>
      </w:r>
      <w:proofErr w:type="gramStart"/>
      <w:r w:rsidR="00F11E04">
        <w:rPr>
          <w:bCs/>
        </w:rPr>
        <w:t>with regard to</w:t>
      </w:r>
      <w:proofErr w:type="gramEnd"/>
      <w:r w:rsidR="00F11E04">
        <w:rPr>
          <w:bCs/>
        </w:rPr>
        <w:t xml:space="preserve"> its protests of A.23-06-022 and </w:t>
      </w:r>
      <w:r w:rsidR="00285CF8">
        <w:rPr>
          <w:bCs/>
        </w:rPr>
        <w:t xml:space="preserve">Crimson’s Advice Letter No. 58-O associated with the Commission’s </w:t>
      </w:r>
      <w:r w:rsidR="00FE55E2">
        <w:rPr>
          <w:bCs/>
        </w:rPr>
        <w:br/>
      </w:r>
      <w:r w:rsidR="00285CF8">
        <w:rPr>
          <w:bCs/>
        </w:rPr>
        <w:t>D.24-05-007</w:t>
      </w:r>
      <w:r w:rsidR="00B34280">
        <w:rPr>
          <w:bCs/>
        </w:rPr>
        <w:t xml:space="preserve"> and D.24-12-027 and the carrier’s refund calculation associated</w:t>
      </w:r>
      <w:r w:rsidR="00565822">
        <w:rPr>
          <w:bCs/>
        </w:rPr>
        <w:t>.  Phill</w:t>
      </w:r>
      <w:r w:rsidR="00955392">
        <w:rPr>
          <w:bCs/>
        </w:rPr>
        <w:t>i</w:t>
      </w:r>
      <w:r w:rsidR="00565822">
        <w:rPr>
          <w:bCs/>
        </w:rPr>
        <w:t>ps 66 shall within 5 days of the effective date</w:t>
      </w:r>
      <w:r w:rsidR="00173749">
        <w:rPr>
          <w:bCs/>
        </w:rPr>
        <w:t xml:space="preserve"> file to withdraw its referenced protests related to these proceedings.</w:t>
      </w:r>
    </w:p>
    <w:p w:rsidRPr="00D62AB5" w:rsidR="00173749" w:rsidP="00C76641" w:rsidRDefault="00173749" w14:paraId="35DA34E3" w14:textId="30A939AC">
      <w:pPr>
        <w:pStyle w:val="Standard"/>
        <w:keepNext/>
        <w:keepLines/>
        <w:numPr>
          <w:ilvl w:val="0"/>
          <w:numId w:val="20"/>
        </w:numPr>
        <w:rPr>
          <w:u w:val="single"/>
        </w:rPr>
      </w:pPr>
      <w:r w:rsidRPr="00D62AB5">
        <w:rPr>
          <w:bCs/>
          <w:u w:val="single"/>
        </w:rPr>
        <w:lastRenderedPageBreak/>
        <w:t xml:space="preserve">Motion for Commission Approval of Settlement.  </w:t>
      </w:r>
    </w:p>
    <w:p w:rsidR="00D62AB5" w:rsidP="00C76641" w:rsidRDefault="00CF509D" w14:paraId="578C970E" w14:textId="59785F82">
      <w:pPr>
        <w:pStyle w:val="Standard"/>
        <w:keepNext/>
        <w:keepLines/>
        <w:spacing w:after="120" w:line="240" w:lineRule="auto"/>
        <w:ind w:left="1080" w:right="1440" w:firstLine="0"/>
        <w:rPr>
          <w:bCs/>
        </w:rPr>
      </w:pPr>
      <w:r>
        <w:rPr>
          <w:bCs/>
        </w:rPr>
        <w:t xml:space="preserve">Upon execution of the Settlement Agreement, Crimson shall </w:t>
      </w:r>
      <w:r w:rsidR="00430BED">
        <w:rPr>
          <w:bCs/>
        </w:rPr>
        <w:t xml:space="preserve">within 15 days file a </w:t>
      </w:r>
      <w:r w:rsidR="00932961">
        <w:rPr>
          <w:bCs/>
        </w:rPr>
        <w:t>m</w:t>
      </w:r>
      <w:r w:rsidR="00430BED">
        <w:rPr>
          <w:bCs/>
        </w:rPr>
        <w:t xml:space="preserve">otion </w:t>
      </w:r>
      <w:r w:rsidR="00932961">
        <w:rPr>
          <w:bCs/>
        </w:rPr>
        <w:t>r</w:t>
      </w:r>
      <w:r w:rsidR="00430BED">
        <w:rPr>
          <w:bCs/>
        </w:rPr>
        <w:t xml:space="preserve">equesting </w:t>
      </w:r>
      <w:r w:rsidR="00932961">
        <w:rPr>
          <w:bCs/>
        </w:rPr>
        <w:t>a</w:t>
      </w:r>
      <w:r w:rsidR="00430BED">
        <w:rPr>
          <w:bCs/>
        </w:rPr>
        <w:t xml:space="preserve">pproval of the </w:t>
      </w:r>
      <w:r w:rsidR="002034A9">
        <w:rPr>
          <w:bCs/>
        </w:rPr>
        <w:t>Settlement Motion</w:t>
      </w:r>
      <w:r w:rsidR="00430BED">
        <w:rPr>
          <w:bCs/>
        </w:rPr>
        <w:t>.</w:t>
      </w:r>
    </w:p>
    <w:p w:rsidR="003463FB" w:rsidP="003463FB" w:rsidRDefault="003463FB" w14:paraId="6B3F4A01" w14:textId="587D515D">
      <w:pPr>
        <w:pStyle w:val="Standard"/>
        <w:numPr>
          <w:ilvl w:val="0"/>
          <w:numId w:val="20"/>
        </w:numPr>
        <w:rPr>
          <w:bCs/>
          <w:u w:val="single"/>
        </w:rPr>
      </w:pPr>
      <w:r w:rsidRPr="003463FB">
        <w:rPr>
          <w:bCs/>
          <w:u w:val="single"/>
        </w:rPr>
        <w:t>Crimson Compliance Filing.</w:t>
      </w:r>
    </w:p>
    <w:p w:rsidR="003463FB" w:rsidP="000F62BC" w:rsidRDefault="00AD28E1" w14:paraId="5AC7F6BA" w14:textId="31C1B68F">
      <w:pPr>
        <w:pStyle w:val="Standard"/>
        <w:spacing w:after="120" w:line="240" w:lineRule="auto"/>
        <w:ind w:left="1080" w:right="1440" w:firstLine="0"/>
        <w:rPr>
          <w:bCs/>
        </w:rPr>
      </w:pPr>
      <w:r>
        <w:rPr>
          <w:bCs/>
        </w:rPr>
        <w:t>Crimson shall, within 30 days of the effective date, file an advice letter implementing the terms</w:t>
      </w:r>
      <w:r w:rsidR="001A3D6B">
        <w:rPr>
          <w:bCs/>
        </w:rPr>
        <w:t xml:space="preserve"> of the Settlement Agreement, including a 12.52% increase in rates for the period of August 1, 2023 to July 31, 2024</w:t>
      </w:r>
      <w:r w:rsidR="00D25A3E">
        <w:rPr>
          <w:bCs/>
        </w:rPr>
        <w:t xml:space="preserve"> (Rate Period) necessary to achieve an additional $3,518,744</w:t>
      </w:r>
      <w:r w:rsidR="005C37F7">
        <w:rPr>
          <w:bCs/>
        </w:rPr>
        <w:t xml:space="preserve"> in revenue and no more for the Rate Period.</w:t>
      </w:r>
      <w:r w:rsidR="008315AE">
        <w:rPr>
          <w:rStyle w:val="FootnoteReference"/>
          <w:bCs/>
        </w:rPr>
        <w:footnoteReference w:id="13"/>
      </w:r>
      <w:r w:rsidR="005C37F7">
        <w:rPr>
          <w:bCs/>
        </w:rPr>
        <w:t xml:space="preserve">  Phill</w:t>
      </w:r>
      <w:r w:rsidR="00955392">
        <w:rPr>
          <w:bCs/>
        </w:rPr>
        <w:t>i</w:t>
      </w:r>
      <w:r w:rsidR="005C37F7">
        <w:rPr>
          <w:bCs/>
        </w:rPr>
        <w:t xml:space="preserve">ps 66 agrees not to protest the Advice Letter filing so long as it </w:t>
      </w:r>
      <w:r w:rsidR="00D85ADD">
        <w:rPr>
          <w:bCs/>
        </w:rPr>
        <w:t>follows</w:t>
      </w:r>
      <w:r w:rsidR="005C37F7">
        <w:rPr>
          <w:bCs/>
        </w:rPr>
        <w:t xml:space="preserve"> the Settlement Agreement.</w:t>
      </w:r>
    </w:p>
    <w:p w:rsidR="005C37F7" w:rsidP="0073532B" w:rsidRDefault="0073532B" w14:paraId="2F64EE52" w14:textId="31857BF8">
      <w:pPr>
        <w:pStyle w:val="Standard"/>
        <w:numPr>
          <w:ilvl w:val="0"/>
          <w:numId w:val="20"/>
        </w:numPr>
        <w:rPr>
          <w:bCs/>
          <w:u w:val="single"/>
        </w:rPr>
      </w:pPr>
      <w:r w:rsidRPr="0073532B">
        <w:rPr>
          <w:bCs/>
          <w:u w:val="single"/>
        </w:rPr>
        <w:t>Settlement Payment.</w:t>
      </w:r>
    </w:p>
    <w:p w:rsidR="0073532B" w:rsidP="000F62BC" w:rsidRDefault="0073532B" w14:paraId="19762300" w14:textId="455EC451">
      <w:pPr>
        <w:pStyle w:val="Standard"/>
        <w:spacing w:after="120" w:line="240" w:lineRule="auto"/>
        <w:ind w:left="1080" w:right="1440" w:firstLine="0"/>
        <w:rPr>
          <w:bCs/>
        </w:rPr>
      </w:pPr>
      <w:r>
        <w:rPr>
          <w:bCs/>
        </w:rPr>
        <w:t xml:space="preserve">Upon approval of the </w:t>
      </w:r>
      <w:r w:rsidR="002034A9">
        <w:rPr>
          <w:bCs/>
        </w:rPr>
        <w:t>Settlement Motion</w:t>
      </w:r>
      <w:r>
        <w:rPr>
          <w:bCs/>
        </w:rPr>
        <w:t xml:space="preserve"> by the Commission, </w:t>
      </w:r>
      <w:r w:rsidR="00DA2962">
        <w:rPr>
          <w:bCs/>
        </w:rPr>
        <w:t>Phill</w:t>
      </w:r>
      <w:r w:rsidR="00955392">
        <w:rPr>
          <w:bCs/>
        </w:rPr>
        <w:t>i</w:t>
      </w:r>
      <w:r w:rsidR="00DA2962">
        <w:rPr>
          <w:bCs/>
        </w:rPr>
        <w:t xml:space="preserve">ps 66 shall within 15 days of the effective date remit to Crimson a payment of $2,500,000 for its </w:t>
      </w:r>
      <w:proofErr w:type="gramStart"/>
      <w:r w:rsidR="00DA2962">
        <w:rPr>
          <w:bCs/>
        </w:rPr>
        <w:t>volume shipped</w:t>
      </w:r>
      <w:proofErr w:type="gramEnd"/>
      <w:r w:rsidR="00DA2962">
        <w:rPr>
          <w:bCs/>
        </w:rPr>
        <w:t xml:space="preserve"> during the Rate Period</w:t>
      </w:r>
      <w:r w:rsidR="001C6477">
        <w:rPr>
          <w:bCs/>
        </w:rPr>
        <w:t>, accounting for the difference between the rate collected and the r</w:t>
      </w:r>
      <w:r w:rsidR="00B17574">
        <w:rPr>
          <w:bCs/>
        </w:rPr>
        <w:t xml:space="preserve">eferenced rate increase.  Of the referenced </w:t>
      </w:r>
      <w:r w:rsidR="00A608FB">
        <w:rPr>
          <w:bCs/>
        </w:rPr>
        <w:t>$3,518,744 in additional revenue, Phill</w:t>
      </w:r>
      <w:r w:rsidR="00955392">
        <w:rPr>
          <w:bCs/>
        </w:rPr>
        <w:t>i</w:t>
      </w:r>
      <w:r w:rsidR="00A608FB">
        <w:rPr>
          <w:bCs/>
        </w:rPr>
        <w:t>ps 66 will be responsible for no more than $2,500,000.</w:t>
      </w:r>
    </w:p>
    <w:p w:rsidR="00A608FB" w:rsidP="00A608FB" w:rsidRDefault="00A608FB" w14:paraId="5545D82C" w14:textId="488AC342">
      <w:pPr>
        <w:pStyle w:val="Standard"/>
        <w:numPr>
          <w:ilvl w:val="0"/>
          <w:numId w:val="20"/>
        </w:numPr>
        <w:rPr>
          <w:bCs/>
          <w:u w:val="single"/>
        </w:rPr>
      </w:pPr>
      <w:r w:rsidRPr="00A608FB">
        <w:rPr>
          <w:bCs/>
          <w:u w:val="single"/>
        </w:rPr>
        <w:t>A.24-06-019.</w:t>
      </w:r>
    </w:p>
    <w:p w:rsidRPr="006879B8" w:rsidR="00430BED" w:rsidP="000F62BC" w:rsidRDefault="00E73DA3" w14:paraId="3B65FD89" w14:textId="44B36217">
      <w:pPr>
        <w:pStyle w:val="Standard"/>
        <w:spacing w:after="120" w:line="240" w:lineRule="auto"/>
        <w:ind w:left="1080" w:right="1440" w:firstLine="0"/>
        <w:rPr>
          <w:bCs/>
        </w:rPr>
      </w:pPr>
      <w:r>
        <w:rPr>
          <w:bCs/>
        </w:rPr>
        <w:t xml:space="preserve">Phillips 66 agrees that it </w:t>
      </w:r>
      <w:r w:rsidR="000E7214">
        <w:rPr>
          <w:bCs/>
        </w:rPr>
        <w:t>shall not file a protest or complain</w:t>
      </w:r>
      <w:r w:rsidR="00BE5890">
        <w:rPr>
          <w:bCs/>
        </w:rPr>
        <w:t>t</w:t>
      </w:r>
      <w:r w:rsidR="000E7214">
        <w:rPr>
          <w:bCs/>
        </w:rPr>
        <w:t xml:space="preserve"> </w:t>
      </w:r>
      <w:proofErr w:type="gramStart"/>
      <w:r w:rsidR="000E7214">
        <w:rPr>
          <w:bCs/>
        </w:rPr>
        <w:t>to</w:t>
      </w:r>
      <w:proofErr w:type="gramEnd"/>
      <w:r w:rsidR="000E7214">
        <w:rPr>
          <w:bCs/>
        </w:rPr>
        <w:t xml:space="preserve"> this application.  Crimson agrees </w:t>
      </w:r>
      <w:r w:rsidR="004C6F25">
        <w:rPr>
          <w:bCs/>
        </w:rPr>
        <w:t>that it will not seek to increase rates above those rates</w:t>
      </w:r>
      <w:r w:rsidR="006B2868">
        <w:rPr>
          <w:bCs/>
        </w:rPr>
        <w:t xml:space="preserve"> identified in its application filed on June 28, 2024, specifically the 36.92% rate increase described in A.24-06-019.</w:t>
      </w:r>
    </w:p>
    <w:p w:rsidR="005939A5" w:rsidP="007567FE" w:rsidRDefault="006739FA" w14:paraId="5099257F" w14:textId="534A883F">
      <w:pPr>
        <w:pStyle w:val="Heading2"/>
      </w:pPr>
      <w:r>
        <w:lastRenderedPageBreak/>
        <w:t>Standard of Review for Settlements</w:t>
      </w:r>
    </w:p>
    <w:p w:rsidR="007567FE" w:rsidP="007567FE" w:rsidRDefault="00C31646" w14:paraId="3E53A07A" w14:textId="099EEE4D">
      <w:pPr>
        <w:pStyle w:val="Standard"/>
      </w:pPr>
      <w:bookmarkStart w:name="_Toc133843850" w:id="5"/>
      <w:r>
        <w:t>Rule </w:t>
      </w:r>
      <w:r w:rsidRPr="00213E92">
        <w:t>12.1(d)</w:t>
      </w:r>
      <w:r>
        <w:t xml:space="preserve"> of the Commission’s </w:t>
      </w:r>
      <w:r w:rsidRPr="007D012E">
        <w:t xml:space="preserve">Rules of Practice and Procedure </w:t>
      </w:r>
      <w:r>
        <w:t>(</w:t>
      </w:r>
      <w:r w:rsidRPr="007D012E">
        <w:t>Rules</w:t>
      </w:r>
      <w:r>
        <w:t>)</w:t>
      </w:r>
      <w:r w:rsidRPr="00213E92">
        <w:t xml:space="preserve"> requires that, prior to approval, the Commission must find a settlement </w:t>
      </w:r>
      <w:r>
        <w:t>“</w:t>
      </w:r>
      <w:r w:rsidRPr="00213E92">
        <w:t>reasonable in light of the whole record, consistent with law, and in the public interest.</w:t>
      </w:r>
      <w:r>
        <w:t>”</w:t>
      </w:r>
    </w:p>
    <w:bookmarkEnd w:id="5"/>
    <w:p w:rsidR="00EA36C6" w:rsidP="007567FE" w:rsidRDefault="00C31646" w14:paraId="24297917" w14:textId="5FA50FFC">
      <w:pPr>
        <w:pStyle w:val="Heading2"/>
      </w:pPr>
      <w:r>
        <w:t xml:space="preserve">Approval of the Settlement Agreement </w:t>
      </w:r>
      <w:r w:rsidR="00EC22D4">
        <w:br/>
      </w:r>
      <w:r>
        <w:t xml:space="preserve">and </w:t>
      </w:r>
      <w:r w:rsidR="000F4B00">
        <w:t>Crimson’s Application</w:t>
      </w:r>
    </w:p>
    <w:p w:rsidRPr="00213E92" w:rsidR="001905FB" w:rsidP="001905FB" w:rsidRDefault="001905FB" w14:paraId="0E439489" w14:textId="2FB02BCB">
      <w:pPr>
        <w:pStyle w:val="Standard"/>
      </w:pPr>
      <w:bookmarkStart w:name="_Toc133843851" w:id="6"/>
      <w:r w:rsidRPr="006F7FF6">
        <w:t xml:space="preserve">We reviewed the proposed </w:t>
      </w:r>
      <w:r>
        <w:t>Settlement</w:t>
      </w:r>
      <w:r w:rsidRPr="006F7FF6">
        <w:t xml:space="preserve"> </w:t>
      </w:r>
      <w:r>
        <w:t xml:space="preserve">Agreement </w:t>
      </w:r>
      <w:r w:rsidRPr="006F7FF6">
        <w:t xml:space="preserve">pursuant to </w:t>
      </w:r>
      <w:r>
        <w:t>Rule </w:t>
      </w:r>
      <w:r w:rsidRPr="006F7FF6">
        <w:t>12.1(d) (defined above) and found the</w:t>
      </w:r>
      <w:r>
        <w:t xml:space="preserve"> S</w:t>
      </w:r>
      <w:r w:rsidRPr="006F7FF6">
        <w:t xml:space="preserve">ettlement </w:t>
      </w:r>
      <w:r>
        <w:t xml:space="preserve">Agreement </w:t>
      </w:r>
      <w:r w:rsidRPr="006F7FF6">
        <w:t>meets the three criteria of reasonableness, legal consistency, and in the public interest.</w:t>
      </w:r>
      <w:r>
        <w:t xml:space="preserve">  </w:t>
      </w:r>
      <w:r w:rsidRPr="006F7FF6">
        <w:t xml:space="preserve">We therefore conclude that the Settlement </w:t>
      </w:r>
      <w:r>
        <w:t xml:space="preserve">Agreement </w:t>
      </w:r>
      <w:r w:rsidRPr="006F7FF6">
        <w:t>should be adopted by the Commission.</w:t>
      </w:r>
      <w:r>
        <w:t xml:space="preserve">  </w:t>
      </w:r>
      <w:r w:rsidRPr="006F7FF6">
        <w:t xml:space="preserve">We discuss and analyze each of the three criteria below. </w:t>
      </w:r>
      <w:r>
        <w:t xml:space="preserve"> </w:t>
      </w:r>
      <w:r w:rsidRPr="006F7FF6">
        <w:t xml:space="preserve">We grant the </w:t>
      </w:r>
      <w:r w:rsidR="002034A9">
        <w:t>Settlement Motion</w:t>
      </w:r>
      <w:r w:rsidRPr="006F7FF6">
        <w:t xml:space="preserve"> of </w:t>
      </w:r>
      <w:r w:rsidR="00CA24D3">
        <w:t>Crimson</w:t>
      </w:r>
      <w:r w:rsidR="00CD4DEA">
        <w:t>,</w:t>
      </w:r>
      <w:r w:rsidRPr="006F7FF6">
        <w:t xml:space="preserve"> adopting the Settlement </w:t>
      </w:r>
      <w:r>
        <w:t xml:space="preserve">Agreement </w:t>
      </w:r>
      <w:r w:rsidRPr="006F7FF6">
        <w:t>as proposed.</w:t>
      </w:r>
    </w:p>
    <w:p w:rsidR="007156B9" w:rsidP="007567FE" w:rsidRDefault="00EA36C6" w14:paraId="221C3025" w14:textId="5A632E22">
      <w:pPr>
        <w:pStyle w:val="Heading2"/>
      </w:pPr>
      <w:r w:rsidRPr="00D25ADE">
        <w:t>Th</w:t>
      </w:r>
      <w:bookmarkEnd w:id="6"/>
      <w:r w:rsidR="001905FB">
        <w:t xml:space="preserve">e Settlement Agreement is Reasonable </w:t>
      </w:r>
      <w:r w:rsidR="00EC22D4">
        <w:br/>
      </w:r>
      <w:proofErr w:type="gramStart"/>
      <w:r w:rsidR="001905FB">
        <w:t>in Light of</w:t>
      </w:r>
      <w:proofErr w:type="gramEnd"/>
      <w:r w:rsidR="001905FB">
        <w:t xml:space="preserve"> the Whole Record</w:t>
      </w:r>
    </w:p>
    <w:p w:rsidR="003252D0" w:rsidP="003252D0" w:rsidRDefault="00B402BF" w14:paraId="20E51E7D" w14:textId="4DFE4714">
      <w:pPr>
        <w:pStyle w:val="Standard"/>
      </w:pPr>
      <w:bookmarkStart w:name="_Toc133843852" w:id="7"/>
      <w:bookmarkStart w:name="_Toc8123721" w:id="8"/>
      <w:r>
        <w:t xml:space="preserve">Rule 12.1(d) requires a settlement to be reasonable </w:t>
      </w:r>
      <w:proofErr w:type="gramStart"/>
      <w:r>
        <w:t>in light of</w:t>
      </w:r>
      <w:proofErr w:type="gramEnd"/>
      <w:r>
        <w:t xml:space="preserve"> the whole record.  </w:t>
      </w:r>
      <w:r w:rsidRPr="00213E92" w:rsidR="003252D0">
        <w:t xml:space="preserve">In the </w:t>
      </w:r>
      <w:r w:rsidR="002034A9">
        <w:t>Settlement Motion</w:t>
      </w:r>
      <w:r w:rsidRPr="00213E92" w:rsidR="003252D0">
        <w:t xml:space="preserve">, </w:t>
      </w:r>
      <w:r w:rsidR="00CA24D3">
        <w:t>Crimson</w:t>
      </w:r>
      <w:r w:rsidRPr="00213E92" w:rsidR="003252D0">
        <w:t xml:space="preserve"> present</w:t>
      </w:r>
      <w:r w:rsidR="00CA24D3">
        <w:t>s</w:t>
      </w:r>
      <w:r w:rsidRPr="00213E92" w:rsidR="003252D0">
        <w:t xml:space="preserve"> three arguments to justify why the Settlement </w:t>
      </w:r>
      <w:r w:rsidR="003252D0">
        <w:t xml:space="preserve">Agreement </w:t>
      </w:r>
      <w:r w:rsidRPr="00213E92" w:rsidR="003252D0">
        <w:t xml:space="preserve">is reasonable </w:t>
      </w:r>
      <w:proofErr w:type="gramStart"/>
      <w:r w:rsidRPr="00213E92" w:rsidR="003252D0">
        <w:t>in light of</w:t>
      </w:r>
      <w:proofErr w:type="gramEnd"/>
      <w:r w:rsidRPr="00213E92" w:rsidR="003252D0">
        <w:t xml:space="preserve"> the entire record</w:t>
      </w:r>
      <w:r w:rsidR="003252D0">
        <w:t>:</w:t>
      </w:r>
    </w:p>
    <w:p w:rsidR="003252D0" w:rsidP="003252D0" w:rsidRDefault="003252D0" w14:paraId="10CF739C" w14:textId="330D64CA">
      <w:pPr>
        <w:pStyle w:val="BlockQuoteH025"/>
        <w:numPr>
          <w:ilvl w:val="0"/>
          <w:numId w:val="18"/>
        </w:numPr>
        <w:ind w:left="1080"/>
      </w:pPr>
      <w:r>
        <w:t xml:space="preserve">The Settling Parties are knowledgeable and experienced regarding the issues in this application for increased </w:t>
      </w:r>
      <w:proofErr w:type="gramStart"/>
      <w:r>
        <w:t>rates  and</w:t>
      </w:r>
      <w:proofErr w:type="gramEnd"/>
      <w:r>
        <w:t xml:space="preserve"> represent distinct and affected </w:t>
      </w:r>
      <w:proofErr w:type="gramStart"/>
      <w:r>
        <w:t>interests;</w:t>
      </w:r>
      <w:proofErr w:type="gramEnd"/>
    </w:p>
    <w:p w:rsidR="003252D0" w:rsidP="003252D0" w:rsidRDefault="003252D0" w14:paraId="0192E51E" w14:textId="51EBA81A">
      <w:pPr>
        <w:pStyle w:val="BlockQuoteH025"/>
        <w:numPr>
          <w:ilvl w:val="0"/>
          <w:numId w:val="18"/>
        </w:numPr>
        <w:ind w:left="1080"/>
      </w:pPr>
      <w:r>
        <w:t xml:space="preserve">The Settlement Agreement represents a compromise based on the </w:t>
      </w:r>
      <w:r w:rsidR="006113C7">
        <w:t>substantive</w:t>
      </w:r>
      <w:r>
        <w:t xml:space="preserve"> record in this proceeding; and</w:t>
      </w:r>
    </w:p>
    <w:p w:rsidR="003252D0" w:rsidP="003252D0" w:rsidRDefault="003252D0" w14:paraId="7B6C6146" w14:textId="4C96288E">
      <w:pPr>
        <w:pStyle w:val="BlockQuoteH025"/>
        <w:numPr>
          <w:ilvl w:val="0"/>
          <w:numId w:val="18"/>
        </w:numPr>
        <w:ind w:left="1080"/>
      </w:pPr>
      <w:r>
        <w:t xml:space="preserve">The Settlement Agreement represents common ground through </w:t>
      </w:r>
      <w:r w:rsidR="00EB2270">
        <w:t xml:space="preserve">extensive </w:t>
      </w:r>
      <w:r w:rsidR="00CB4D05">
        <w:t>negotiations</w:t>
      </w:r>
      <w:r>
        <w:t xml:space="preserve"> in areas where they originally differed.</w:t>
      </w:r>
      <w:r>
        <w:rPr>
          <w:rStyle w:val="FootnoteReference"/>
        </w:rPr>
        <w:footnoteReference w:id="14"/>
      </w:r>
    </w:p>
    <w:p w:rsidR="002978C1" w:rsidP="002978C1" w:rsidRDefault="00EA462D" w14:paraId="6D99BC65" w14:textId="07AC5DCC">
      <w:pPr>
        <w:pStyle w:val="BlockQuoteH025"/>
        <w:ind w:left="0" w:firstLine="0"/>
      </w:pPr>
      <w:r>
        <w:t>As such, w</w:t>
      </w:r>
      <w:r w:rsidRPr="002978C1" w:rsidR="002978C1">
        <w:t xml:space="preserve">e find the Settlement Agreement is reasonable </w:t>
      </w:r>
      <w:proofErr w:type="gramStart"/>
      <w:r w:rsidRPr="002978C1" w:rsidR="002978C1">
        <w:t>in light of</w:t>
      </w:r>
      <w:proofErr w:type="gramEnd"/>
      <w:r w:rsidRPr="002978C1" w:rsidR="002978C1">
        <w:t xml:space="preserve"> the whole record.  </w:t>
      </w:r>
    </w:p>
    <w:p w:rsidR="009A12C7" w:rsidP="007567FE" w:rsidRDefault="009A12C7" w14:paraId="02018573" w14:textId="29EDA44C">
      <w:pPr>
        <w:pStyle w:val="Heading2"/>
      </w:pPr>
      <w:r>
        <w:lastRenderedPageBreak/>
        <w:t xml:space="preserve">The Settlement Agreement is </w:t>
      </w:r>
      <w:r w:rsidR="00EC22D4">
        <w:br/>
      </w:r>
      <w:r>
        <w:t>Consistent with the Law</w:t>
      </w:r>
    </w:p>
    <w:p w:rsidR="00AC1034" w:rsidP="00AC1034" w:rsidRDefault="00E77106" w14:paraId="2704F0FA" w14:textId="70830090">
      <w:pPr>
        <w:pStyle w:val="Standard"/>
      </w:pPr>
      <w:r>
        <w:t xml:space="preserve">Rule 12.1(d) requires a settlement </w:t>
      </w:r>
      <w:r w:rsidR="00AC1FBE">
        <w:t>to be consistent with applicable law.  The applicable law includes state and federal la</w:t>
      </w:r>
      <w:r w:rsidR="00250A34">
        <w:t xml:space="preserve">w and Commission decisions.  </w:t>
      </w:r>
      <w:r w:rsidRPr="00213E92" w:rsidR="00AC1034">
        <w:t xml:space="preserve">In the </w:t>
      </w:r>
      <w:r w:rsidR="002034A9">
        <w:t>Settlement Motion</w:t>
      </w:r>
      <w:r w:rsidRPr="00213E92" w:rsidR="00AC1034">
        <w:t xml:space="preserve">, </w:t>
      </w:r>
      <w:r w:rsidR="00CD4DEA">
        <w:t>Crimson</w:t>
      </w:r>
      <w:r w:rsidRPr="00213E92" w:rsidR="00AC1034">
        <w:t xml:space="preserve"> assert</w:t>
      </w:r>
      <w:r w:rsidR="00CD4DEA">
        <w:t>s</w:t>
      </w:r>
      <w:r w:rsidRPr="00213E92" w:rsidR="00AC1034">
        <w:t xml:space="preserve"> that the terms of the</w:t>
      </w:r>
      <w:r w:rsidR="00AC1034">
        <w:t xml:space="preserve"> </w:t>
      </w:r>
      <w:r w:rsidRPr="00213E92" w:rsidR="00AC1034">
        <w:t>Settlement</w:t>
      </w:r>
      <w:r w:rsidR="00AC1034">
        <w:t xml:space="preserve"> </w:t>
      </w:r>
      <w:r w:rsidR="000C3F0F">
        <w:t>Agreement</w:t>
      </w:r>
      <w:r w:rsidRPr="00213E92" w:rsidR="00AC1034">
        <w:t xml:space="preserve"> </w:t>
      </w:r>
      <w:r w:rsidR="009B0882">
        <w:t>comply with all applicable statutes and prior Commission decisions.</w:t>
      </w:r>
      <w:r w:rsidR="009B0882">
        <w:rPr>
          <w:rStyle w:val="FootnoteReference"/>
        </w:rPr>
        <w:footnoteReference w:id="15"/>
      </w:r>
      <w:r w:rsidR="002F1FAE">
        <w:t xml:space="preserve"> </w:t>
      </w:r>
      <w:r w:rsidR="007B062B">
        <w:t xml:space="preserve"> </w:t>
      </w:r>
      <w:r w:rsidR="00E75E6C">
        <w:t xml:space="preserve">A review of the Settlement Agreement confirms </w:t>
      </w:r>
      <w:r w:rsidR="0056657F">
        <w:t>that the Settlement Agreement is consistent with applicable law.</w:t>
      </w:r>
      <w:r w:rsidR="0014529D">
        <w:t xml:space="preserve"> </w:t>
      </w:r>
      <w:r w:rsidR="0056657F">
        <w:t xml:space="preserve"> </w:t>
      </w:r>
      <w:r w:rsidR="00EA462D">
        <w:t>As such,</w:t>
      </w:r>
      <w:r w:rsidR="002F1FAE">
        <w:t xml:space="preserve"> </w:t>
      </w:r>
      <w:r w:rsidR="00EA462D">
        <w:t>w</w:t>
      </w:r>
      <w:r w:rsidRPr="002F1FAE" w:rsidR="002F1FAE">
        <w:t xml:space="preserve">e find the Settlement Agreement is consistent with the law and our prior decisions.  </w:t>
      </w:r>
    </w:p>
    <w:p w:rsidR="00AC1034" w:rsidP="007567FE" w:rsidRDefault="004128F1" w14:paraId="61BD6269" w14:textId="1CC4B833">
      <w:pPr>
        <w:pStyle w:val="Heading2"/>
      </w:pPr>
      <w:r>
        <w:t xml:space="preserve">The Settlement Agreement is </w:t>
      </w:r>
      <w:r w:rsidR="00EC22D4">
        <w:br/>
      </w:r>
      <w:r>
        <w:t xml:space="preserve">in </w:t>
      </w:r>
      <w:proofErr w:type="gramStart"/>
      <w:r>
        <w:t>the Public</w:t>
      </w:r>
      <w:proofErr w:type="gramEnd"/>
      <w:r>
        <w:t xml:space="preserve"> Interest</w:t>
      </w:r>
    </w:p>
    <w:p w:rsidR="00470FC1" w:rsidP="00470FC1" w:rsidRDefault="002F1FAE" w14:paraId="02D32646" w14:textId="0D7E673D">
      <w:pPr>
        <w:pStyle w:val="Standard"/>
      </w:pPr>
      <w:r>
        <w:t xml:space="preserve">Rule 12.1(d) requires a settlement to be in the public interest.  </w:t>
      </w:r>
      <w:r w:rsidRPr="00E71608" w:rsidR="00470FC1">
        <w:t xml:space="preserve">In the </w:t>
      </w:r>
      <w:r w:rsidR="002034A9">
        <w:t>Settlement Motion</w:t>
      </w:r>
      <w:r w:rsidRPr="00E71608" w:rsidR="00470FC1">
        <w:t xml:space="preserve">, the </w:t>
      </w:r>
      <w:r w:rsidR="00364560">
        <w:t>Crimson</w:t>
      </w:r>
      <w:r w:rsidRPr="00E71608" w:rsidR="00470FC1">
        <w:t xml:space="preserve"> assert</w:t>
      </w:r>
      <w:r w:rsidR="00364560">
        <w:t>s</w:t>
      </w:r>
      <w:r w:rsidRPr="00E71608" w:rsidR="00470FC1">
        <w:t xml:space="preserve"> that the Settlement </w:t>
      </w:r>
      <w:r w:rsidR="00470FC1">
        <w:t xml:space="preserve">Agreement </w:t>
      </w:r>
      <w:r w:rsidRPr="00E71608" w:rsidR="00470FC1">
        <w:t xml:space="preserve">will conserve Commission resources and </w:t>
      </w:r>
      <w:r w:rsidR="00035A90">
        <w:t>achieve</w:t>
      </w:r>
      <w:r w:rsidR="00A068F2">
        <w:t>s a mutually acceptable resolution with greater finality, in less time, and at less cost to the Settling Parties</w:t>
      </w:r>
      <w:r w:rsidR="008B36F1">
        <w:t xml:space="preserve"> than would be the case if evidentiary hearings were held to resolve the settled issues.</w:t>
      </w:r>
      <w:r w:rsidR="008B36F1">
        <w:rPr>
          <w:rStyle w:val="FootnoteReference"/>
        </w:rPr>
        <w:footnoteReference w:id="16"/>
      </w:r>
      <w:r w:rsidR="00476FC6">
        <w:t xml:space="preserve">  We evaluate</w:t>
      </w:r>
      <w:r w:rsidR="0014529D">
        <w:t>d</w:t>
      </w:r>
      <w:r w:rsidR="00476FC6">
        <w:t xml:space="preserve"> the Settlement Agreement as a whole, and we conclude</w:t>
      </w:r>
      <w:r w:rsidR="00B402BF">
        <w:t xml:space="preserve"> that it serves the public interest by expeditiously resolving issues that would otherwise be litigated.</w:t>
      </w:r>
      <w:r w:rsidR="00D82E9B">
        <w:t xml:space="preserve">  As such, we find the Settlement Agreement is in </w:t>
      </w:r>
      <w:proofErr w:type="gramStart"/>
      <w:r w:rsidR="00D82E9B">
        <w:t>the public</w:t>
      </w:r>
      <w:proofErr w:type="gramEnd"/>
      <w:r w:rsidR="00D82E9B">
        <w:t xml:space="preserve"> interest.</w:t>
      </w:r>
    </w:p>
    <w:p w:rsidR="009A12C7" w:rsidP="00470FC1" w:rsidRDefault="00470FC1" w14:paraId="6BEB85F9" w14:textId="74CBFEB3">
      <w:pPr>
        <w:pStyle w:val="Heading1"/>
      </w:pPr>
      <w:r>
        <w:t>Conclusion</w:t>
      </w:r>
    </w:p>
    <w:p w:rsidRPr="00470FC1" w:rsidR="00470FC1" w:rsidP="00470FC1" w:rsidRDefault="00A75ECC" w14:paraId="30EF07F0" w14:textId="6FAF84A9">
      <w:pPr>
        <w:pStyle w:val="Standard"/>
      </w:pPr>
      <w:r w:rsidRPr="00A75ECC">
        <w:t xml:space="preserve">Because the Settlement Agreement meets the three requirements for approval, we conclude it is reasonable for the Commission to </w:t>
      </w:r>
      <w:r w:rsidR="00F778F1">
        <w:t xml:space="preserve">approve and </w:t>
      </w:r>
      <w:r w:rsidRPr="00A75ECC">
        <w:t xml:space="preserve">adopt the Settlement Agreement.  </w:t>
      </w:r>
    </w:p>
    <w:p w:rsidR="00603238" w:rsidP="00FA1B4F" w:rsidRDefault="00603238" w14:paraId="30AC7801" w14:textId="77777777">
      <w:pPr>
        <w:pStyle w:val="Heading1"/>
      </w:pPr>
      <w:r>
        <w:lastRenderedPageBreak/>
        <w:t>Summary of Public Comment</w:t>
      </w:r>
      <w:bookmarkEnd w:id="7"/>
    </w:p>
    <w:p w:rsidR="00E44606" w:rsidP="00E44606" w:rsidRDefault="00E44606" w14:paraId="745DF794" w14:textId="77777777">
      <w:pPr>
        <w:pStyle w:val="Standard"/>
      </w:pPr>
      <w:bookmarkStart w:name="_Toc133843853" w:id="9"/>
      <w:r>
        <w:t>Rule </w:t>
      </w:r>
      <w:r w:rsidRPr="00001D1D">
        <w:t xml:space="preserve">1.18 allows any member of the public to submit written comment in any Commission proceeding using the </w:t>
      </w:r>
      <w:r>
        <w:t>“</w:t>
      </w:r>
      <w:r w:rsidRPr="00001D1D">
        <w:t>Public Comment</w:t>
      </w:r>
      <w:r>
        <w:t>”</w:t>
      </w:r>
      <w:r w:rsidRPr="00001D1D">
        <w:t xml:space="preserve"> tab of the online Docket Card for that proceeding on the Commission</w:t>
      </w:r>
      <w:r>
        <w:t>’</w:t>
      </w:r>
      <w:r w:rsidRPr="00001D1D">
        <w:t>s website.</w:t>
      </w:r>
      <w:r>
        <w:t xml:space="preserve">  Rule </w:t>
      </w:r>
      <w:r w:rsidRPr="00001D1D">
        <w:t>1.18(b) requires that relevant written comment submitted in a proceeding be summarized in the final decision issued in that proceeding.</w:t>
      </w:r>
    </w:p>
    <w:p w:rsidRPr="00A53100" w:rsidR="00E44606" w:rsidP="00E44606" w:rsidRDefault="00E44606" w14:paraId="53EFD017" w14:textId="77777777">
      <w:pPr>
        <w:pStyle w:val="Standard"/>
        <w:rPr>
          <w:rFonts w:ascii="Calibri" w:hAnsi="Calibri"/>
          <w:sz w:val="22"/>
        </w:rPr>
      </w:pPr>
      <w:r>
        <w:t>There are no public comments found for this proceeding.</w:t>
      </w:r>
    </w:p>
    <w:p w:rsidR="004A1EAD" w:rsidP="004A1EAD" w:rsidRDefault="004A1EAD" w14:paraId="1AC3F972" w14:textId="77777777">
      <w:pPr>
        <w:pStyle w:val="Heading1"/>
      </w:pPr>
      <w:bookmarkStart w:name="_Toc8123723" w:id="10"/>
      <w:bookmarkStart w:name="_Toc133843854" w:id="11"/>
      <w:bookmarkEnd w:id="8"/>
      <w:bookmarkEnd w:id="9"/>
      <w:r>
        <w:t>Procedural Matters</w:t>
      </w:r>
    </w:p>
    <w:p w:rsidRPr="008B175A" w:rsidR="004A1EAD" w:rsidP="004A1EAD" w:rsidRDefault="004A1EAD" w14:paraId="6B453EDD" w14:textId="436D0F3C">
      <w:pPr>
        <w:pStyle w:val="Standard"/>
      </w:pPr>
      <w:r w:rsidRPr="008B175A">
        <w:t xml:space="preserve">This decision affirms all rulings made by the </w:t>
      </w:r>
      <w:r w:rsidR="00EC22D4">
        <w:t>ALJ</w:t>
      </w:r>
      <w:r w:rsidRPr="008B175A">
        <w:t xml:space="preserve"> and assigned Commissioner in this proceeding. </w:t>
      </w:r>
      <w:r w:rsidR="00E44606">
        <w:t xml:space="preserve"> </w:t>
      </w:r>
      <w:r w:rsidRPr="008B175A">
        <w:t>All motions not ruled on are deemed denied.</w:t>
      </w:r>
    </w:p>
    <w:bookmarkEnd w:id="10"/>
    <w:bookmarkEnd w:id="11"/>
    <w:p w:rsidR="005939A5" w:rsidP="005939A5" w:rsidRDefault="00C471A4" w14:paraId="5A8983D1" w14:textId="2BFBA1FA">
      <w:pPr>
        <w:pStyle w:val="Heading1"/>
      </w:pPr>
      <w:r>
        <w:t>Waiver of Comment Period</w:t>
      </w:r>
    </w:p>
    <w:p w:rsidRPr="001A0186" w:rsidR="001A0186" w:rsidP="0012450B" w:rsidRDefault="001A0186" w14:paraId="5F371E40" w14:textId="7484A586">
      <w:pPr>
        <w:pStyle w:val="Standard"/>
      </w:pPr>
      <w:r>
        <w:t>Crimson and Phillips 66 resolved Phillips</w:t>
      </w:r>
      <w:r w:rsidR="0012450B">
        <w:t xml:space="preserve"> 66’s</w:t>
      </w:r>
      <w:r>
        <w:t xml:space="preserve"> Protest and</w:t>
      </w:r>
      <w:r w:rsidR="00364560">
        <w:t xml:space="preserve"> Crimson</w:t>
      </w:r>
      <w:r>
        <w:t xml:space="preserve"> filed a </w:t>
      </w:r>
      <w:r w:rsidR="002034A9">
        <w:t>Settlement Motion</w:t>
      </w:r>
      <w:r>
        <w:t xml:space="preserve"> for </w:t>
      </w:r>
      <w:r w:rsidR="008F0893">
        <w:t>a</w:t>
      </w:r>
      <w:r>
        <w:t xml:space="preserve">doption of the Settlement Agreement on </w:t>
      </w:r>
      <w:r w:rsidR="0012450B">
        <w:t>August 14, 2025</w:t>
      </w:r>
      <w:r>
        <w:t xml:space="preserve">. </w:t>
      </w:r>
      <w:r w:rsidR="009D47F0">
        <w:t xml:space="preserve"> </w:t>
      </w:r>
      <w:r>
        <w:t xml:space="preserve">This proposed decision grants the </w:t>
      </w:r>
      <w:r w:rsidR="002034A9">
        <w:t>Settlement Motion</w:t>
      </w:r>
      <w:r>
        <w:t xml:space="preserve"> for </w:t>
      </w:r>
      <w:r w:rsidR="008F0893">
        <w:t>a</w:t>
      </w:r>
      <w:r>
        <w:t xml:space="preserve">pproval of </w:t>
      </w:r>
      <w:r w:rsidR="00A953A5">
        <w:t xml:space="preserve">the </w:t>
      </w:r>
      <w:r>
        <w:t>Settlement</w:t>
      </w:r>
      <w:r w:rsidR="00A953A5">
        <w:t xml:space="preserve"> Agreement</w:t>
      </w:r>
      <w:r>
        <w:t xml:space="preserve">. </w:t>
      </w:r>
      <w:r w:rsidR="00A953A5">
        <w:t xml:space="preserve"> </w:t>
      </w:r>
      <w:r>
        <w:t>Therefore, this is now an uncontested matter in which the proposed decision grants the relief</w:t>
      </w:r>
      <w:r w:rsidR="0012450B">
        <w:t xml:space="preserve"> </w:t>
      </w:r>
      <w:r>
        <w:t xml:space="preserve">requested. </w:t>
      </w:r>
      <w:r w:rsidR="00A953A5">
        <w:t xml:space="preserve"> </w:t>
      </w:r>
      <w:r>
        <w:t>Accordingly, pursuant to §</w:t>
      </w:r>
      <w:r w:rsidR="00FD3B96">
        <w:t> </w:t>
      </w:r>
      <w:r>
        <w:t>311(g)(2) and Rule 14.6(c)(2), the otherwise applicable 30-day period for public review and comment is waived.</w:t>
      </w:r>
    </w:p>
    <w:p w:rsidR="005939A5" w:rsidP="005939A5" w:rsidRDefault="005939A5" w14:paraId="62B3EB86" w14:textId="77777777">
      <w:pPr>
        <w:pStyle w:val="Heading1"/>
      </w:pPr>
      <w:bookmarkStart w:name="_Toc8123724" w:id="12"/>
      <w:bookmarkStart w:name="_Toc133843855" w:id="13"/>
      <w:r>
        <w:t>Assignment of Proceeding</w:t>
      </w:r>
      <w:bookmarkEnd w:id="12"/>
      <w:bookmarkEnd w:id="13"/>
    </w:p>
    <w:p w:rsidR="005939A5" w:rsidP="006E6574" w:rsidRDefault="00933D48" w14:paraId="2B5F6712" w14:textId="423C03E1">
      <w:pPr>
        <w:pStyle w:val="Standard"/>
      </w:pPr>
      <w:r>
        <w:t xml:space="preserve">Matthew Baker </w:t>
      </w:r>
      <w:r w:rsidR="005939A5">
        <w:t xml:space="preserve">is the assigned Commissioner and </w:t>
      </w:r>
      <w:r>
        <w:t>Minh LeQuan</w:t>
      </w:r>
      <w:r w:rsidR="00D012B7">
        <w:t>g</w:t>
      </w:r>
      <w:r w:rsidR="005939A5">
        <w:t xml:space="preserve"> is the assigned </w:t>
      </w:r>
      <w:r w:rsidR="00EC22D4">
        <w:t>ALJ</w:t>
      </w:r>
      <w:r w:rsidR="005939A5">
        <w:t xml:space="preserve"> in this proceeding.</w:t>
      </w:r>
    </w:p>
    <w:p w:rsidR="005939A5" w:rsidP="005939A5" w:rsidRDefault="005939A5" w14:paraId="0601ECE4" w14:textId="77777777">
      <w:pPr>
        <w:pStyle w:val="Dummy"/>
      </w:pPr>
      <w:bookmarkStart w:name="_Toc8123725" w:id="14"/>
      <w:bookmarkStart w:name="_Toc133843856" w:id="15"/>
      <w:r>
        <w:t>Findings of Fact</w:t>
      </w:r>
      <w:bookmarkEnd w:id="14"/>
      <w:bookmarkEnd w:id="15"/>
    </w:p>
    <w:p w:rsidR="008E6AE6" w:rsidP="00792A87" w:rsidRDefault="00674360" w14:paraId="20B1FC1C" w14:textId="66E2F803">
      <w:pPr>
        <w:pStyle w:val="FoF"/>
      </w:pPr>
      <w:r w:rsidRPr="00674360">
        <w:t xml:space="preserve">Crimson owns and operates a network of six common carrier crude oil pipeline systems in Southern California. </w:t>
      </w:r>
      <w:r w:rsidR="00C00748">
        <w:t xml:space="preserve"> </w:t>
      </w:r>
      <w:r w:rsidRPr="00674360">
        <w:t>The systems total approximately 300</w:t>
      </w:r>
      <w:r w:rsidR="00EC22D4">
        <w:t> </w:t>
      </w:r>
      <w:r w:rsidRPr="00674360">
        <w:t xml:space="preserve">miles of pipeline connecting various producing oil fields in the Los Angeles Basin to refineries in Los Angeles. </w:t>
      </w:r>
      <w:r w:rsidR="00247808">
        <w:t xml:space="preserve"> </w:t>
      </w:r>
      <w:r w:rsidRPr="00674360">
        <w:t>Its systems include crude oil pipelines and related infrastructure.</w:t>
      </w:r>
    </w:p>
    <w:p w:rsidR="00674360" w:rsidP="001E2A62" w:rsidRDefault="002E4A42" w14:paraId="0420ADD2" w14:textId="5E46C1E1">
      <w:pPr>
        <w:pStyle w:val="FoF"/>
      </w:pPr>
      <w:r>
        <w:lastRenderedPageBreak/>
        <w:t xml:space="preserve">In the Application, Crimson </w:t>
      </w:r>
      <w:r w:rsidR="00247808">
        <w:t>requests</w:t>
      </w:r>
      <w:r>
        <w:t xml:space="preserve"> authority </w:t>
      </w:r>
      <w:r w:rsidR="002226C9">
        <w:t xml:space="preserve">for a 10% rate </w:t>
      </w:r>
      <w:proofErr w:type="gramStart"/>
      <w:r w:rsidR="002226C9">
        <w:t>increase</w:t>
      </w:r>
      <w:proofErr w:type="gramEnd"/>
      <w:r w:rsidR="002226C9">
        <w:t xml:space="preserve"> effective August 1, 202</w:t>
      </w:r>
      <w:r w:rsidR="00247808">
        <w:t>3</w:t>
      </w:r>
      <w:r w:rsidR="002226C9">
        <w:t>.</w:t>
      </w:r>
    </w:p>
    <w:p w:rsidR="002226C9" w:rsidP="001E2A62" w:rsidRDefault="00F824A1" w14:paraId="1C55147F" w14:textId="25B809EA">
      <w:pPr>
        <w:pStyle w:val="FoF"/>
      </w:pPr>
      <w:r>
        <w:t xml:space="preserve">On August 14, 2025, </w:t>
      </w:r>
      <w:r w:rsidR="002A2EAA">
        <w:t>Crimson</w:t>
      </w:r>
      <w:r>
        <w:t xml:space="preserve"> filed a </w:t>
      </w:r>
      <w:r w:rsidR="002034A9">
        <w:t>Settlement Motion</w:t>
      </w:r>
      <w:r>
        <w:t xml:space="preserve"> for approval of the Settlement Agreement that resolves all disputes</w:t>
      </w:r>
      <w:r w:rsidR="00611A0A">
        <w:t xml:space="preserve"> regarding</w:t>
      </w:r>
      <w:r w:rsidR="0053083B">
        <w:t xml:space="preserve"> A.23-06-022 and Crimson’s Advice Letter No. 58-O associated with the Commission’s D.24-05-007 and D.24-12-027</w:t>
      </w:r>
      <w:r w:rsidR="005F479E">
        <w:t xml:space="preserve"> and the carrier’s </w:t>
      </w:r>
      <w:r w:rsidR="002B4EA8">
        <w:t xml:space="preserve">associated </w:t>
      </w:r>
      <w:r w:rsidR="005F479E">
        <w:t>refund calculations.</w:t>
      </w:r>
    </w:p>
    <w:p w:rsidR="00BA5E98" w:rsidP="001E2A62" w:rsidRDefault="00B72A16" w14:paraId="334A176E" w14:textId="0FA69525">
      <w:pPr>
        <w:pStyle w:val="FoF"/>
      </w:pPr>
      <w:r>
        <w:t xml:space="preserve">The Settlement Agreement reflects a compromise of the positions of </w:t>
      </w:r>
      <w:r w:rsidR="005B1A20">
        <w:t>the Settling Parties.</w:t>
      </w:r>
    </w:p>
    <w:p w:rsidR="005B1A20" w:rsidP="001E2A62" w:rsidRDefault="006E1E90" w14:paraId="0B2F0CE8" w14:textId="5F1D926E">
      <w:pPr>
        <w:pStyle w:val="FoF"/>
      </w:pPr>
      <w:r>
        <w:t>The Commission has repeatedly conveyed a policy of preference of favoring settlements.</w:t>
      </w:r>
    </w:p>
    <w:p w:rsidR="00FE7F0D" w:rsidP="00792A87" w:rsidRDefault="002B4EA8" w14:paraId="2BB3F6F4" w14:textId="421FB0E0">
      <w:pPr>
        <w:pStyle w:val="FoF"/>
      </w:pPr>
      <w:r>
        <w:t>The Commission is not aware of any provision</w:t>
      </w:r>
      <w:r w:rsidR="006E1E90">
        <w:t xml:space="preserve"> in the Settlement Agreement that contravenes </w:t>
      </w:r>
      <w:r w:rsidR="00FE7F0D">
        <w:t>statu</w:t>
      </w:r>
      <w:r>
        <w:t>t</w:t>
      </w:r>
      <w:r w:rsidR="00FE7F0D">
        <w:t>e or prior Commission decisions.</w:t>
      </w:r>
      <w:r w:rsidR="00792A87">
        <w:t xml:space="preserve"> </w:t>
      </w:r>
    </w:p>
    <w:p w:rsidRPr="0003320D" w:rsidR="0003320D" w:rsidP="0003320D" w:rsidRDefault="0003320D" w14:paraId="28FA1D64" w14:textId="10C80921">
      <w:pPr>
        <w:pStyle w:val="FoF"/>
      </w:pPr>
      <w:r w:rsidRPr="0003320D">
        <w:t xml:space="preserve">Without the Settlement Agreement, </w:t>
      </w:r>
      <w:r w:rsidR="00BB0517">
        <w:t xml:space="preserve">the </w:t>
      </w:r>
      <w:r w:rsidRPr="0003320D">
        <w:t>Settling Parties would have spent additional time and resources preparing for and participating in an evidentiary hearing and preparing post hearing briefs presenting arguments on the disputed issues.</w:t>
      </w:r>
    </w:p>
    <w:p w:rsidRPr="00B82785" w:rsidR="00B82785" w:rsidP="00792A87" w:rsidRDefault="0034645C" w14:paraId="2FFE7CD4" w14:textId="1E7F0F72">
      <w:pPr>
        <w:pStyle w:val="FoF"/>
      </w:pPr>
      <w:r w:rsidRPr="0034645C">
        <w:t>The Settlement Agreement conserves party and Commission resources.</w:t>
      </w:r>
    </w:p>
    <w:p w:rsidRPr="001E2A62" w:rsidR="005B1A20" w:rsidP="009D4279" w:rsidRDefault="00B61BB8" w14:paraId="18B09673" w14:textId="268E01E5">
      <w:pPr>
        <w:pStyle w:val="FoF"/>
      </w:pPr>
      <w:r w:rsidRPr="00B61BB8">
        <w:t>All issues within the scope of this proceeding are resolved.</w:t>
      </w:r>
    </w:p>
    <w:p w:rsidR="005939A5" w:rsidP="005939A5" w:rsidRDefault="005939A5" w14:paraId="6721843A" w14:textId="77777777">
      <w:pPr>
        <w:pStyle w:val="Dummy"/>
      </w:pPr>
      <w:bookmarkStart w:name="_Toc8123726" w:id="16"/>
      <w:bookmarkStart w:name="_Toc133843857" w:id="17"/>
      <w:r>
        <w:t>Conclusions of Law</w:t>
      </w:r>
      <w:bookmarkEnd w:id="16"/>
      <w:bookmarkEnd w:id="17"/>
    </w:p>
    <w:p w:rsidR="00FE04D6" w:rsidP="00FE04D6" w:rsidRDefault="00FE04D6" w14:paraId="75D08CFE" w14:textId="77777777">
      <w:pPr>
        <w:pStyle w:val="CoL"/>
      </w:pPr>
      <w:r w:rsidRPr="00107C1E">
        <w:t xml:space="preserve">The Settlement Agreement is reasonable </w:t>
      </w:r>
      <w:proofErr w:type="gramStart"/>
      <w:r w:rsidRPr="00107C1E">
        <w:t>in light of</w:t>
      </w:r>
      <w:proofErr w:type="gramEnd"/>
      <w:r w:rsidRPr="00107C1E">
        <w:t xml:space="preserve"> the whole record.</w:t>
      </w:r>
    </w:p>
    <w:p w:rsidR="00FE04D6" w:rsidP="00FE04D6" w:rsidRDefault="00FE04D6" w14:paraId="5CBDDA7E" w14:textId="77777777">
      <w:pPr>
        <w:pStyle w:val="CoL"/>
      </w:pPr>
      <w:r w:rsidRPr="00250477">
        <w:t>The Settlement Agreement is consistent with law.</w:t>
      </w:r>
    </w:p>
    <w:p w:rsidR="00FE04D6" w:rsidP="00FE04D6" w:rsidRDefault="00FE04D6" w14:paraId="7A73F51A" w14:textId="77777777">
      <w:pPr>
        <w:pStyle w:val="CoL"/>
      </w:pPr>
      <w:r w:rsidRPr="00FE0535">
        <w:t xml:space="preserve">The Settlement Agreement is in </w:t>
      </w:r>
      <w:proofErr w:type="gramStart"/>
      <w:r w:rsidRPr="00FE0535">
        <w:t>the public</w:t>
      </w:r>
      <w:proofErr w:type="gramEnd"/>
      <w:r w:rsidRPr="00FE0535">
        <w:t xml:space="preserve"> interest.</w:t>
      </w:r>
    </w:p>
    <w:p w:rsidR="00FE04D6" w:rsidP="00FE04D6" w:rsidRDefault="00FE04D6" w14:paraId="7DEB635B" w14:textId="45BE840B">
      <w:pPr>
        <w:pStyle w:val="CoL"/>
      </w:pPr>
      <w:r>
        <w:t>The Settlement Agreement should be approved and adopted.</w:t>
      </w:r>
    </w:p>
    <w:p w:rsidRPr="001E2A62" w:rsidR="008F143D" w:rsidP="00FE04D6" w:rsidRDefault="00FE04D6" w14:paraId="205DD621" w14:textId="434E9E1A">
      <w:pPr>
        <w:pStyle w:val="CoL"/>
      </w:pPr>
      <w:r>
        <w:t xml:space="preserve">Application </w:t>
      </w:r>
      <w:r w:rsidR="001F49DE">
        <w:t>23-06-022 should be closed.</w:t>
      </w:r>
    </w:p>
    <w:p w:rsidR="00BB0243" w:rsidP="000A6E05" w:rsidRDefault="005939A5" w14:paraId="4AEC84BB" w14:textId="20E82D23">
      <w:pPr>
        <w:pStyle w:val="Mainex"/>
      </w:pPr>
      <w:bookmarkStart w:name="_Toc133843858" w:id="18"/>
      <w:r>
        <w:lastRenderedPageBreak/>
        <w:t>O</w:t>
      </w:r>
      <w:r w:rsidR="00722850">
        <w:t>RDER</w:t>
      </w:r>
      <w:bookmarkEnd w:id="18"/>
    </w:p>
    <w:p w:rsidR="00BB0243" w:rsidP="000A6E05" w:rsidRDefault="00BB0243" w14:paraId="6EACE47B" w14:textId="77777777">
      <w:pPr>
        <w:keepNext/>
      </w:pPr>
      <w:r w:rsidRPr="00BB0243">
        <w:rPr>
          <w:b/>
        </w:rPr>
        <w:t>IT IS ORDERED</w:t>
      </w:r>
      <w:r>
        <w:t xml:space="preserve"> that:</w:t>
      </w:r>
    </w:p>
    <w:p w:rsidR="00932865" w:rsidP="001E2A62" w:rsidRDefault="007633E9" w14:paraId="79C627C2" w14:textId="20611B65">
      <w:pPr>
        <w:pStyle w:val="OP"/>
      </w:pPr>
      <w:r>
        <w:t xml:space="preserve">The August 14, 2025, </w:t>
      </w:r>
      <w:r w:rsidR="002034A9">
        <w:t>Settlement Motion</w:t>
      </w:r>
      <w:r>
        <w:t xml:space="preserve"> of Crimson California Pipeline L.P. and Phill</w:t>
      </w:r>
      <w:r w:rsidR="00417D30">
        <w:t>i</w:t>
      </w:r>
      <w:r>
        <w:t xml:space="preserve">ps 66 </w:t>
      </w:r>
      <w:r w:rsidR="00B94735">
        <w:t xml:space="preserve">Company for approval of the Settlement Agreement is granted, and the </w:t>
      </w:r>
      <w:r w:rsidR="00EA5CDD">
        <w:t xml:space="preserve">August 14, </w:t>
      </w:r>
      <w:proofErr w:type="gramStart"/>
      <w:r w:rsidR="00EA5CDD">
        <w:t>2025</w:t>
      </w:r>
      <w:proofErr w:type="gramEnd"/>
      <w:r w:rsidR="00EA5CDD">
        <w:t xml:space="preserve"> Settlement Agreement attached as Appendix 1 to this decision is </w:t>
      </w:r>
      <w:r w:rsidR="00F778F1">
        <w:t xml:space="preserve">approved and </w:t>
      </w:r>
      <w:r w:rsidR="00EA5CDD">
        <w:t>adopted.</w:t>
      </w:r>
    </w:p>
    <w:p w:rsidRPr="001E2A62" w:rsidR="00417D30" w:rsidP="001E2A62" w:rsidRDefault="00417D30" w14:paraId="68DBD802" w14:textId="13B5C0E6">
      <w:pPr>
        <w:pStyle w:val="OP"/>
      </w:pPr>
      <w:r>
        <w:t xml:space="preserve">Within 30 days of the effective date of this decision, Crimson California Pipeline L.P. shall file a Tier 1 Advice Letter to implement the terms of the August 14, </w:t>
      </w:r>
      <w:proofErr w:type="gramStart"/>
      <w:r>
        <w:t>2025</w:t>
      </w:r>
      <w:proofErr w:type="gramEnd"/>
      <w:r>
        <w:t xml:space="preserve"> Settlement Agreement attached as Appendix 1 to this decision.</w:t>
      </w:r>
    </w:p>
    <w:p w:rsidR="00F6397D" w:rsidP="00B3087D" w:rsidRDefault="00E23CBB" w14:paraId="41F03F07" w14:textId="0965F5DA">
      <w:pPr>
        <w:pStyle w:val="OP"/>
      </w:pPr>
      <w:r w:rsidRPr="001E2A62">
        <w:t>Application</w:t>
      </w:r>
      <w:r w:rsidR="00EA5CDD">
        <w:t xml:space="preserve"> 23-06-022</w:t>
      </w:r>
      <w:r w:rsidRPr="001E2A62">
        <w:t xml:space="preserve"> is closed.</w:t>
      </w:r>
    </w:p>
    <w:p w:rsidR="008F0116" w:rsidP="008F0116" w:rsidRDefault="008F0116" w14:paraId="38AECBA1" w14:textId="77777777">
      <w:r>
        <w:t>This order is effective today.</w:t>
      </w:r>
    </w:p>
    <w:p w:rsidR="00714CF2" w:rsidP="00816E05" w:rsidRDefault="008F0116" w14:paraId="24C6C265" w14:textId="39DEA915">
      <w:r>
        <w:t>Dated</w:t>
      </w:r>
      <w:r w:rsidR="007B692B">
        <w:t xml:space="preserve"> October 9, 2025</w:t>
      </w:r>
      <w:r>
        <w:t>, at</w:t>
      </w:r>
      <w:r w:rsidR="00FD2632">
        <w:t xml:space="preserve"> Bellflower</w:t>
      </w:r>
      <w:r>
        <w:t>, California</w:t>
      </w:r>
      <w:r w:rsidR="001B2D1F">
        <w:t>.</w:t>
      </w:r>
    </w:p>
    <w:p w:rsidR="001B2D1F" w:rsidP="00816E05" w:rsidRDefault="001B2D1F" w14:paraId="280FF444" w14:textId="77777777"/>
    <w:p w:rsidR="007B692B" w:rsidP="007B692B" w:rsidRDefault="007B692B" w14:paraId="7B383857" w14:textId="77777777">
      <w:pPr>
        <w:autoSpaceDE w:val="0"/>
        <w:autoSpaceDN w:val="0"/>
        <w:adjustRightInd w:val="0"/>
        <w:spacing w:line="240" w:lineRule="auto"/>
        <w:ind w:left="4950"/>
        <w:jc w:val="both"/>
        <w:rPr>
          <w:rFonts w:cs="Times New Roman"/>
          <w:szCs w:val="20"/>
        </w:rPr>
      </w:pPr>
      <w:r>
        <w:rPr>
          <w:rFonts w:cs="Times New Roman"/>
          <w:szCs w:val="20"/>
        </w:rPr>
        <w:t>ALICE REYNOLDS</w:t>
      </w:r>
    </w:p>
    <w:p w:rsidR="007B692B" w:rsidP="007B692B" w:rsidRDefault="007B692B" w14:paraId="36D660E9" w14:textId="77777777">
      <w:pPr>
        <w:autoSpaceDE w:val="0"/>
        <w:autoSpaceDN w:val="0"/>
        <w:adjustRightInd w:val="0"/>
        <w:spacing w:line="240" w:lineRule="auto"/>
        <w:ind w:left="6750" w:firstLine="90"/>
        <w:jc w:val="both"/>
        <w:rPr>
          <w:rFonts w:cs="Times New Roman"/>
          <w:szCs w:val="20"/>
        </w:rPr>
      </w:pPr>
      <w:r>
        <w:rPr>
          <w:rFonts w:cs="Times New Roman"/>
          <w:szCs w:val="20"/>
        </w:rPr>
        <w:t>President</w:t>
      </w:r>
    </w:p>
    <w:p w:rsidR="007B692B" w:rsidP="007B692B" w:rsidRDefault="007B692B" w14:paraId="5950957F" w14:textId="77777777">
      <w:pPr>
        <w:autoSpaceDE w:val="0"/>
        <w:autoSpaceDN w:val="0"/>
        <w:adjustRightInd w:val="0"/>
        <w:spacing w:line="240" w:lineRule="auto"/>
        <w:ind w:left="4950"/>
        <w:jc w:val="both"/>
        <w:rPr>
          <w:rFonts w:cs="Times New Roman"/>
          <w:szCs w:val="20"/>
        </w:rPr>
      </w:pPr>
      <w:r>
        <w:rPr>
          <w:rFonts w:cs="Times New Roman"/>
          <w:szCs w:val="20"/>
        </w:rPr>
        <w:t>DARCIE L. HOUCK</w:t>
      </w:r>
    </w:p>
    <w:p w:rsidR="007B692B" w:rsidP="007B692B" w:rsidRDefault="007B692B" w14:paraId="03841497" w14:textId="77777777">
      <w:pPr>
        <w:autoSpaceDE w:val="0"/>
        <w:autoSpaceDN w:val="0"/>
        <w:adjustRightInd w:val="0"/>
        <w:spacing w:line="240" w:lineRule="auto"/>
        <w:ind w:left="4950"/>
        <w:jc w:val="both"/>
        <w:rPr>
          <w:rFonts w:cs="Times New Roman"/>
          <w:szCs w:val="20"/>
        </w:rPr>
      </w:pPr>
      <w:r>
        <w:rPr>
          <w:rFonts w:cs="Times New Roman"/>
          <w:szCs w:val="20"/>
        </w:rPr>
        <w:t>JOHN REYNOLDS</w:t>
      </w:r>
    </w:p>
    <w:p w:rsidR="007B692B" w:rsidP="007B692B" w:rsidRDefault="007B692B" w14:paraId="7D168419" w14:textId="77777777">
      <w:pPr>
        <w:autoSpaceDE w:val="0"/>
        <w:autoSpaceDN w:val="0"/>
        <w:adjustRightInd w:val="0"/>
        <w:spacing w:line="240" w:lineRule="auto"/>
        <w:ind w:left="4950"/>
        <w:jc w:val="both"/>
        <w:rPr>
          <w:rFonts w:cs="Times New Roman"/>
          <w:szCs w:val="20"/>
        </w:rPr>
      </w:pPr>
      <w:r>
        <w:rPr>
          <w:rFonts w:cs="Times New Roman"/>
          <w:szCs w:val="20"/>
        </w:rPr>
        <w:t>KAREN DOUGLAS</w:t>
      </w:r>
    </w:p>
    <w:p w:rsidR="007B692B" w:rsidP="007B692B" w:rsidRDefault="007B692B" w14:paraId="63D6A978" w14:textId="77777777">
      <w:pPr>
        <w:autoSpaceDE w:val="0"/>
        <w:autoSpaceDN w:val="0"/>
        <w:adjustRightInd w:val="0"/>
        <w:spacing w:line="240" w:lineRule="auto"/>
        <w:ind w:left="4950"/>
        <w:jc w:val="both"/>
        <w:rPr>
          <w:rFonts w:cs="Times New Roman"/>
          <w:szCs w:val="20"/>
        </w:rPr>
      </w:pPr>
      <w:r>
        <w:rPr>
          <w:rFonts w:cs="Times New Roman"/>
          <w:szCs w:val="20"/>
        </w:rPr>
        <w:t>MATTHEW BAKER</w:t>
      </w:r>
    </w:p>
    <w:p w:rsidR="001B2D1F" w:rsidP="007B692B" w:rsidRDefault="007B692B" w14:paraId="242E4D1D" w14:textId="3D303A22">
      <w:pPr>
        <w:spacing w:line="240" w:lineRule="auto"/>
        <w:ind w:right="1350"/>
        <w:jc w:val="right"/>
      </w:pPr>
      <w:r>
        <w:rPr>
          <w:rFonts w:cs="Times New Roman"/>
          <w:szCs w:val="20"/>
        </w:rPr>
        <w:t>Commissioners</w:t>
      </w:r>
    </w:p>
    <w:p w:rsidR="001B2D1F" w:rsidP="001B2D1F" w:rsidRDefault="001B2D1F" w14:paraId="029331C2" w14:textId="77777777">
      <w:pPr>
        <w:spacing w:line="240" w:lineRule="auto"/>
      </w:pPr>
    </w:p>
    <w:p w:rsidR="001B2D1F" w:rsidP="001B2D1F" w:rsidRDefault="001B2D1F" w14:paraId="6A6362F2" w14:textId="77777777">
      <w:pPr>
        <w:spacing w:line="240" w:lineRule="auto"/>
      </w:pPr>
    </w:p>
    <w:p w:rsidR="001B2D1F" w:rsidP="001B2D1F" w:rsidRDefault="001B2D1F" w14:paraId="51DFC215" w14:textId="77777777">
      <w:pPr>
        <w:spacing w:line="240" w:lineRule="auto"/>
      </w:pPr>
    </w:p>
    <w:p w:rsidR="001B2D1F" w:rsidP="001B2D1F" w:rsidRDefault="001B2D1F" w14:paraId="731188B8" w14:textId="77777777">
      <w:pPr>
        <w:spacing w:line="240" w:lineRule="auto"/>
        <w:sectPr w:rsidR="001B2D1F" w:rsidSect="00937709">
          <w:headerReference w:type="default" r:id="rId13"/>
          <w:footerReference w:type="default" r:id="rId14"/>
          <w:pgSz w:w="12240" w:h="15840"/>
          <w:pgMar w:top="1728" w:right="1440" w:bottom="1440" w:left="1440" w:header="720" w:footer="720" w:gutter="0"/>
          <w:cols w:space="720"/>
          <w:docGrid w:linePitch="360"/>
        </w:sectPr>
      </w:pPr>
    </w:p>
    <w:p w:rsidR="001B2D1F" w:rsidP="001B2D1F" w:rsidRDefault="001B2D1F" w14:paraId="09DCB4D2" w14:textId="77777777">
      <w:pPr>
        <w:spacing w:line="240" w:lineRule="auto"/>
        <w:ind w:firstLine="0"/>
        <w:jc w:val="center"/>
      </w:pPr>
    </w:p>
    <w:p w:rsidR="001B2D1F" w:rsidP="001B2D1F" w:rsidRDefault="001B2D1F" w14:paraId="3858EC56" w14:textId="77777777">
      <w:pPr>
        <w:spacing w:line="240" w:lineRule="auto"/>
        <w:ind w:firstLine="0"/>
        <w:jc w:val="center"/>
      </w:pPr>
    </w:p>
    <w:p w:rsidR="001B2D1F" w:rsidP="001B2D1F" w:rsidRDefault="001B2D1F" w14:paraId="39B95803" w14:textId="77777777">
      <w:pPr>
        <w:spacing w:line="240" w:lineRule="auto"/>
        <w:ind w:firstLine="0"/>
        <w:jc w:val="center"/>
      </w:pPr>
    </w:p>
    <w:p w:rsidR="001B2D1F" w:rsidP="001B2D1F" w:rsidRDefault="001B2D1F" w14:paraId="3A801C7A" w14:textId="77777777">
      <w:pPr>
        <w:spacing w:line="240" w:lineRule="auto"/>
        <w:ind w:firstLine="0"/>
        <w:jc w:val="center"/>
      </w:pPr>
    </w:p>
    <w:p w:rsidR="001B2D1F" w:rsidP="001B2D1F" w:rsidRDefault="001B2D1F" w14:paraId="79BC2311" w14:textId="77777777">
      <w:pPr>
        <w:spacing w:line="240" w:lineRule="auto"/>
        <w:ind w:firstLine="0"/>
        <w:jc w:val="center"/>
      </w:pPr>
    </w:p>
    <w:p w:rsidR="001B2D1F" w:rsidP="001B2D1F" w:rsidRDefault="001B2D1F" w14:paraId="54404732" w14:textId="77777777">
      <w:pPr>
        <w:spacing w:line="240" w:lineRule="auto"/>
        <w:ind w:firstLine="0"/>
        <w:jc w:val="center"/>
      </w:pPr>
    </w:p>
    <w:p w:rsidR="001B2D1F" w:rsidP="001B2D1F" w:rsidRDefault="001B2D1F" w14:paraId="23552D9C" w14:textId="77777777">
      <w:pPr>
        <w:spacing w:line="240" w:lineRule="auto"/>
        <w:ind w:firstLine="0"/>
        <w:jc w:val="center"/>
      </w:pPr>
    </w:p>
    <w:p w:rsidR="001B2D1F" w:rsidP="001B2D1F" w:rsidRDefault="001B2D1F" w14:paraId="0A2743F7" w14:textId="77777777">
      <w:pPr>
        <w:spacing w:line="240" w:lineRule="auto"/>
        <w:ind w:firstLine="0"/>
        <w:jc w:val="center"/>
      </w:pPr>
    </w:p>
    <w:p w:rsidR="001B2D1F" w:rsidP="001B2D1F" w:rsidRDefault="001B2D1F" w14:paraId="4FDAF5F3" w14:textId="77777777">
      <w:pPr>
        <w:spacing w:line="240" w:lineRule="auto"/>
        <w:ind w:firstLine="0"/>
        <w:jc w:val="center"/>
      </w:pPr>
    </w:p>
    <w:p w:rsidR="001B2D1F" w:rsidP="001B2D1F" w:rsidRDefault="001B2D1F" w14:paraId="092A5D23" w14:textId="77777777">
      <w:pPr>
        <w:spacing w:line="240" w:lineRule="auto"/>
        <w:ind w:firstLine="0"/>
        <w:jc w:val="center"/>
      </w:pPr>
    </w:p>
    <w:p w:rsidR="001B2D1F" w:rsidP="001B2D1F" w:rsidRDefault="001B2D1F" w14:paraId="74B38C84" w14:textId="77777777">
      <w:pPr>
        <w:spacing w:line="240" w:lineRule="auto"/>
        <w:ind w:firstLine="0"/>
        <w:jc w:val="center"/>
      </w:pPr>
    </w:p>
    <w:p w:rsidR="001B2D1F" w:rsidP="001B2D1F" w:rsidRDefault="001B2D1F" w14:paraId="74EC9C46" w14:textId="77777777">
      <w:pPr>
        <w:spacing w:line="240" w:lineRule="auto"/>
        <w:ind w:firstLine="0"/>
        <w:jc w:val="center"/>
      </w:pPr>
    </w:p>
    <w:p w:rsidR="001B2D1F" w:rsidP="001B2D1F" w:rsidRDefault="001B2D1F" w14:paraId="51788ECD" w14:textId="77777777">
      <w:pPr>
        <w:spacing w:line="240" w:lineRule="auto"/>
        <w:ind w:firstLine="0"/>
        <w:jc w:val="center"/>
      </w:pPr>
    </w:p>
    <w:p w:rsidR="001B2D1F" w:rsidP="001B2D1F" w:rsidRDefault="001B2D1F" w14:paraId="5C1376DD" w14:textId="77777777">
      <w:pPr>
        <w:spacing w:line="240" w:lineRule="auto"/>
        <w:ind w:firstLine="0"/>
        <w:jc w:val="center"/>
      </w:pPr>
    </w:p>
    <w:p w:rsidRPr="001B2D1F" w:rsidR="001B2D1F" w:rsidP="001B2D1F" w:rsidRDefault="001B2D1F" w14:paraId="018734F7" w14:textId="59B34C12">
      <w:pPr>
        <w:spacing w:line="240" w:lineRule="auto"/>
        <w:ind w:firstLine="0"/>
        <w:jc w:val="center"/>
        <w:rPr>
          <w:b/>
          <w:bCs/>
        </w:rPr>
      </w:pPr>
      <w:r w:rsidRPr="001B2D1F">
        <w:rPr>
          <w:b/>
          <w:bCs/>
        </w:rPr>
        <w:t>(APPENDIX 1)</w:t>
      </w:r>
    </w:p>
    <w:p w:rsidRPr="001B2D1F" w:rsidR="001B2D1F" w:rsidP="001B2D1F" w:rsidRDefault="001B2D1F" w14:paraId="4104108C" w14:textId="4C2D7DCF">
      <w:pPr>
        <w:spacing w:line="240" w:lineRule="auto"/>
        <w:ind w:firstLine="0"/>
        <w:jc w:val="center"/>
        <w:rPr>
          <w:b/>
          <w:bCs/>
        </w:rPr>
      </w:pPr>
      <w:r w:rsidRPr="001B2D1F">
        <w:rPr>
          <w:b/>
          <w:bCs/>
        </w:rPr>
        <w:t>Settlement Agreement</w:t>
      </w:r>
    </w:p>
    <w:sectPr w:rsidRPr="001B2D1F" w:rsidR="001B2D1F" w:rsidSect="00937709">
      <w:headerReference w:type="default" r:id="rId15"/>
      <w:footerReference w:type="default" r:id="rId16"/>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64B7" w14:textId="77777777" w:rsidR="00E17AA2" w:rsidRDefault="00E17AA2" w:rsidP="0098138E">
      <w:pPr>
        <w:spacing w:line="240" w:lineRule="auto"/>
      </w:pPr>
      <w:r>
        <w:separator/>
      </w:r>
    </w:p>
  </w:endnote>
  <w:endnote w:type="continuationSeparator" w:id="0">
    <w:p w14:paraId="00285A24" w14:textId="77777777" w:rsidR="00E17AA2" w:rsidRDefault="00E17AA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8131" w14:textId="16A7E812" w:rsidR="00E23CBB" w:rsidRDefault="00D6144E" w:rsidP="001B7C0C">
    <w:pPr>
      <w:ind w:firstLine="0"/>
    </w:pPr>
    <w:r w:rsidRPr="00D6144E">
      <w:rPr>
        <w:sz w:val="16"/>
        <w:szCs w:val="16"/>
      </w:rPr>
      <w:t>583407632</w:t>
    </w:r>
    <w:r w:rsidR="001B7C0C">
      <w:tab/>
    </w:r>
    <w:r w:rsidR="001B7C0C">
      <w:tab/>
    </w:r>
    <w:r w:rsidR="001B7C0C">
      <w:tab/>
    </w:r>
    <w:r w:rsidR="001B7C0C">
      <w:tab/>
    </w:r>
    <w:r w:rsidR="001B7C0C">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C9BE" w14:textId="77777777" w:rsidR="00937709" w:rsidRDefault="00937709" w:rsidP="007E0FEE">
    <w:pPr>
      <w:ind w:firstLine="0"/>
      <w:jc w:val="center"/>
    </w:pPr>
    <w:r>
      <w:t>-</w:t>
    </w:r>
    <w:sdt>
      <w:sdtPr>
        <w:id w:val="534853029"/>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6FA" w14:textId="26E4012D" w:rsidR="001B2D1F" w:rsidRPr="001B2D1F" w:rsidRDefault="001B2D1F" w:rsidP="001B2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4A20" w14:textId="77777777" w:rsidR="00E17AA2" w:rsidRDefault="00E17AA2" w:rsidP="00DF58E7">
      <w:pPr>
        <w:spacing w:line="240" w:lineRule="auto"/>
        <w:ind w:firstLine="0"/>
      </w:pPr>
      <w:r>
        <w:separator/>
      </w:r>
    </w:p>
  </w:footnote>
  <w:footnote w:type="continuationSeparator" w:id="0">
    <w:p w14:paraId="1976E3C1" w14:textId="77777777" w:rsidR="00E17AA2" w:rsidRDefault="00E17AA2" w:rsidP="00DF58E7">
      <w:pPr>
        <w:spacing w:line="240" w:lineRule="auto"/>
        <w:ind w:firstLine="0"/>
      </w:pPr>
      <w:r>
        <w:continuationSeparator/>
      </w:r>
    </w:p>
  </w:footnote>
  <w:footnote w:type="continuationNotice" w:id="1">
    <w:p w14:paraId="49D3B91E" w14:textId="77777777" w:rsidR="00E17AA2" w:rsidRPr="00DF58E7" w:rsidRDefault="00E17AA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DC69B7D" w14:textId="40C9179A" w:rsidR="00C96C6A" w:rsidRDefault="00C96C6A">
      <w:pPr>
        <w:pStyle w:val="FootnoteText"/>
      </w:pPr>
      <w:r>
        <w:rPr>
          <w:rStyle w:val="FootnoteReference"/>
        </w:rPr>
        <w:footnoteRef/>
      </w:r>
      <w:r>
        <w:t xml:space="preserve"> Application </w:t>
      </w:r>
      <w:r w:rsidR="00FA0487">
        <w:t>Exhibit D</w:t>
      </w:r>
      <w:r w:rsidR="00383DCC">
        <w:t xml:space="preserve"> </w:t>
      </w:r>
      <w:r w:rsidR="00CB4641">
        <w:t xml:space="preserve">at </w:t>
      </w:r>
      <w:r w:rsidR="00383DCC">
        <w:t>1-</w:t>
      </w:r>
      <w:r w:rsidR="00792A87">
        <w:t>2</w:t>
      </w:r>
      <w:r w:rsidR="00E2150D">
        <w:t>.</w:t>
      </w:r>
    </w:p>
  </w:footnote>
  <w:footnote w:id="3">
    <w:p w14:paraId="16BCCED4" w14:textId="498942AE" w:rsidR="00C96C6A" w:rsidRPr="0014529D" w:rsidRDefault="00C96C6A">
      <w:pPr>
        <w:pStyle w:val="FootnoteText"/>
        <w:rPr>
          <w:i/>
          <w:iCs/>
        </w:rPr>
      </w:pPr>
      <w:r w:rsidRPr="0014529D">
        <w:rPr>
          <w:rStyle w:val="FootnoteReference"/>
          <w:i/>
          <w:iCs/>
        </w:rPr>
        <w:footnoteRef/>
      </w:r>
      <w:r w:rsidRPr="0014529D">
        <w:rPr>
          <w:i/>
          <w:iCs/>
        </w:rPr>
        <w:t xml:space="preserve"> Id.</w:t>
      </w:r>
    </w:p>
  </w:footnote>
  <w:footnote w:id="4">
    <w:p w14:paraId="0E3082CC" w14:textId="19006521" w:rsidR="00C96C6A" w:rsidRDefault="00C96C6A">
      <w:pPr>
        <w:pStyle w:val="FootnoteText"/>
      </w:pPr>
      <w:r w:rsidRPr="0014529D">
        <w:rPr>
          <w:rStyle w:val="FootnoteReference"/>
          <w:i/>
          <w:iCs/>
        </w:rPr>
        <w:footnoteRef/>
      </w:r>
      <w:r w:rsidRPr="0014529D">
        <w:rPr>
          <w:i/>
          <w:iCs/>
        </w:rPr>
        <w:t xml:space="preserve"> Id.</w:t>
      </w:r>
    </w:p>
  </w:footnote>
  <w:footnote w:id="5">
    <w:p w14:paraId="5436FD8F" w14:textId="3ED977AC" w:rsidR="00DA09C6" w:rsidRDefault="00DA09C6">
      <w:pPr>
        <w:pStyle w:val="FootnoteText"/>
      </w:pPr>
      <w:r>
        <w:rPr>
          <w:rStyle w:val="FootnoteReference"/>
        </w:rPr>
        <w:footnoteRef/>
      </w:r>
      <w:r>
        <w:t xml:space="preserve"> Protest at 4.</w:t>
      </w:r>
    </w:p>
  </w:footnote>
  <w:footnote w:id="6">
    <w:p w14:paraId="445889BC" w14:textId="39A9FDC0" w:rsidR="0012507F" w:rsidRDefault="0012507F">
      <w:pPr>
        <w:pStyle w:val="FootnoteText"/>
      </w:pPr>
      <w:r>
        <w:rPr>
          <w:rStyle w:val="FootnoteReference"/>
        </w:rPr>
        <w:footnoteRef/>
      </w:r>
      <w:r>
        <w:t xml:space="preserve"> Protest at 5.</w:t>
      </w:r>
    </w:p>
  </w:footnote>
  <w:footnote w:id="7">
    <w:p w14:paraId="06E6A5BC" w14:textId="0C0CC397" w:rsidR="009C186D" w:rsidRPr="0014529D" w:rsidRDefault="009C186D">
      <w:pPr>
        <w:pStyle w:val="FootnoteText"/>
        <w:rPr>
          <w:i/>
          <w:iCs/>
        </w:rPr>
      </w:pPr>
      <w:r w:rsidRPr="0014529D">
        <w:rPr>
          <w:rStyle w:val="FootnoteReference"/>
          <w:i/>
          <w:iCs/>
        </w:rPr>
        <w:footnoteRef/>
      </w:r>
      <w:r w:rsidRPr="0014529D">
        <w:rPr>
          <w:i/>
          <w:iCs/>
        </w:rPr>
        <w:t xml:space="preserve"> Id.</w:t>
      </w:r>
    </w:p>
  </w:footnote>
  <w:footnote w:id="8">
    <w:p w14:paraId="7E1115F2" w14:textId="65D7D1FF" w:rsidR="006729A4" w:rsidRDefault="006729A4">
      <w:pPr>
        <w:pStyle w:val="FootnoteText"/>
      </w:pPr>
      <w:r>
        <w:rPr>
          <w:rStyle w:val="FootnoteReference"/>
        </w:rPr>
        <w:footnoteRef/>
      </w:r>
      <w:r>
        <w:t xml:space="preserve"> Protest at 7.</w:t>
      </w:r>
    </w:p>
  </w:footnote>
  <w:footnote w:id="9">
    <w:p w14:paraId="419BE8F3" w14:textId="0DBFCC7D" w:rsidR="004B329E" w:rsidRPr="0014529D" w:rsidRDefault="004B329E">
      <w:pPr>
        <w:pStyle w:val="FootnoteText"/>
        <w:rPr>
          <w:i/>
          <w:iCs/>
        </w:rPr>
      </w:pPr>
      <w:r w:rsidRPr="0014529D">
        <w:rPr>
          <w:rStyle w:val="FootnoteReference"/>
          <w:i/>
          <w:iCs/>
        </w:rPr>
        <w:footnoteRef/>
      </w:r>
      <w:r w:rsidRPr="0014529D">
        <w:rPr>
          <w:i/>
          <w:iCs/>
        </w:rPr>
        <w:t xml:space="preserve"> Id.</w:t>
      </w:r>
    </w:p>
  </w:footnote>
  <w:footnote w:id="10">
    <w:p w14:paraId="1338B252" w14:textId="67C88F72" w:rsidR="00694B35" w:rsidRDefault="00694B35">
      <w:pPr>
        <w:pStyle w:val="FootnoteText"/>
      </w:pPr>
      <w:r>
        <w:rPr>
          <w:rStyle w:val="FootnoteReference"/>
        </w:rPr>
        <w:footnoteRef/>
      </w:r>
      <w:r>
        <w:t xml:space="preserve"> Protest at 8.</w:t>
      </w:r>
    </w:p>
  </w:footnote>
  <w:footnote w:id="11">
    <w:p w14:paraId="7C5C31AB" w14:textId="4864ACCF" w:rsidR="0027331F" w:rsidRDefault="0027331F">
      <w:pPr>
        <w:pStyle w:val="FootnoteText"/>
      </w:pPr>
      <w:r>
        <w:rPr>
          <w:rStyle w:val="FootnoteReference"/>
        </w:rPr>
        <w:footnoteRef/>
      </w:r>
      <w:r>
        <w:t xml:space="preserve"> </w:t>
      </w:r>
      <w:r w:rsidR="002034A9">
        <w:t>Settlement Motion</w:t>
      </w:r>
      <w:r w:rsidR="000F34EA">
        <w:t xml:space="preserve"> Attachment A at 1.</w:t>
      </w:r>
    </w:p>
  </w:footnote>
  <w:footnote w:id="12">
    <w:p w14:paraId="5E6ACB1E" w14:textId="7A2283E3" w:rsidR="001E54EF" w:rsidRPr="0014529D" w:rsidRDefault="001E54EF">
      <w:pPr>
        <w:pStyle w:val="FootnoteText"/>
        <w:rPr>
          <w:i/>
          <w:iCs/>
        </w:rPr>
      </w:pPr>
      <w:r w:rsidRPr="0014529D">
        <w:rPr>
          <w:rStyle w:val="FootnoteReference"/>
          <w:i/>
          <w:iCs/>
        </w:rPr>
        <w:footnoteRef/>
      </w:r>
      <w:r w:rsidRPr="0014529D">
        <w:rPr>
          <w:i/>
          <w:iCs/>
        </w:rPr>
        <w:t xml:space="preserve"> Id.</w:t>
      </w:r>
    </w:p>
  </w:footnote>
  <w:footnote w:id="13">
    <w:p w14:paraId="34FCA59B" w14:textId="5946671A" w:rsidR="008315AE" w:rsidRDefault="008315AE">
      <w:pPr>
        <w:pStyle w:val="FootnoteText"/>
      </w:pPr>
      <w:r>
        <w:rPr>
          <w:rStyle w:val="FootnoteReference"/>
        </w:rPr>
        <w:footnoteRef/>
      </w:r>
      <w:r>
        <w:t xml:space="preserve"> </w:t>
      </w:r>
      <w:r w:rsidR="002034A9">
        <w:t>Settlement Motion</w:t>
      </w:r>
      <w:r w:rsidR="00110427">
        <w:t xml:space="preserve"> at 6.  </w:t>
      </w:r>
      <w:r w:rsidR="00800436">
        <w:t>The Settlement Agreement requires Crimson’s shippers to provide an additional $3,518,744 in revenue</w:t>
      </w:r>
      <w:r w:rsidR="00E2150D">
        <w:t xml:space="preserve">. </w:t>
      </w:r>
      <w:r w:rsidR="00800436">
        <w:t xml:space="preserve"> Phill</w:t>
      </w:r>
      <w:r w:rsidR="00955392">
        <w:t>i</w:t>
      </w:r>
      <w:r w:rsidR="00800436">
        <w:t>ps 66 is responsible for payment of $2,500,000 while the other shippers</w:t>
      </w:r>
      <w:r w:rsidR="005004E8">
        <w:t xml:space="preserve"> on Crimson’s Southern California system will be collectively responsible for payment of $1,018,744 based upon their respective volumes shipped.</w:t>
      </w:r>
    </w:p>
  </w:footnote>
  <w:footnote w:id="14">
    <w:p w14:paraId="07DCAF2C" w14:textId="7CEE2B7B" w:rsidR="003252D0" w:rsidRDefault="003252D0" w:rsidP="003252D0">
      <w:pPr>
        <w:pStyle w:val="FootnoteText"/>
      </w:pPr>
      <w:r>
        <w:rPr>
          <w:rStyle w:val="FootnoteReference"/>
        </w:rPr>
        <w:footnoteRef/>
      </w:r>
      <w:r>
        <w:t xml:space="preserve"> </w:t>
      </w:r>
      <w:r w:rsidR="002034A9">
        <w:t>Settlement Motion</w:t>
      </w:r>
      <w:r>
        <w:t xml:space="preserve"> at </w:t>
      </w:r>
      <w:r w:rsidR="00C66B09">
        <w:t>6</w:t>
      </w:r>
      <w:r>
        <w:t>.</w:t>
      </w:r>
    </w:p>
  </w:footnote>
  <w:footnote w:id="15">
    <w:p w14:paraId="1C1862D9" w14:textId="5807021F" w:rsidR="009B0882" w:rsidRDefault="009B0882">
      <w:pPr>
        <w:pStyle w:val="FootnoteText"/>
      </w:pPr>
      <w:r>
        <w:rPr>
          <w:rStyle w:val="FootnoteReference"/>
        </w:rPr>
        <w:footnoteRef/>
      </w:r>
      <w:r>
        <w:t xml:space="preserve"> </w:t>
      </w:r>
      <w:r w:rsidR="002034A9">
        <w:t>Settlement Motion</w:t>
      </w:r>
      <w:r w:rsidR="000C3F0F">
        <w:t xml:space="preserve"> at 7.</w:t>
      </w:r>
    </w:p>
  </w:footnote>
  <w:footnote w:id="16">
    <w:p w14:paraId="6610A89B" w14:textId="7094780B" w:rsidR="008B36F1" w:rsidRPr="0014529D" w:rsidRDefault="008B36F1">
      <w:pPr>
        <w:pStyle w:val="FootnoteText"/>
        <w:rPr>
          <w:i/>
          <w:iCs/>
        </w:rPr>
      </w:pPr>
      <w:r w:rsidRPr="0014529D">
        <w:rPr>
          <w:rStyle w:val="FootnoteReference"/>
          <w:i/>
          <w:iCs/>
        </w:rPr>
        <w:footnoteRef/>
      </w:r>
      <w:r w:rsidRPr="0014529D">
        <w:rPr>
          <w:i/>
          <w:iCs/>
        </w:rP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B4A5" w14:textId="50F69AA2" w:rsidR="00FE2351" w:rsidRDefault="00FE2351" w:rsidP="005E3BA1">
    <w:pPr>
      <w:pStyle w:val="Header"/>
      <w:ind w:firstLine="0"/>
    </w:pPr>
  </w:p>
  <w:p w14:paraId="1F0D43B2" w14:textId="77777777" w:rsidR="005E3BA1" w:rsidRPr="005E3BA1" w:rsidRDefault="005E3BA1" w:rsidP="005E3BA1">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BD2" w14:textId="283D9309" w:rsidR="00937709" w:rsidRDefault="008C17F1" w:rsidP="005E3BA1">
    <w:pPr>
      <w:pStyle w:val="Header"/>
      <w:tabs>
        <w:tab w:val="clear" w:pos="4680"/>
      </w:tabs>
      <w:ind w:firstLine="0"/>
      <w:rPr>
        <w:b/>
      </w:rPr>
    </w:pPr>
    <w:r>
      <w:t>A.23-06-</w:t>
    </w:r>
    <w:proofErr w:type="gramStart"/>
    <w:r>
      <w:t>022  ALJ</w:t>
    </w:r>
    <w:proofErr w:type="gramEnd"/>
    <w:r>
      <w:t>/MLQ/</w:t>
    </w:r>
    <w:proofErr w:type="spellStart"/>
    <w:r>
      <w:t>avs</w:t>
    </w:r>
    <w:proofErr w:type="spellEnd"/>
    <w:r w:rsidR="00937709">
      <w:tab/>
    </w:r>
  </w:p>
  <w:p w14:paraId="5BACAF38" w14:textId="77777777" w:rsidR="00937709" w:rsidRDefault="00937709" w:rsidP="005E3BA1">
    <w:pPr>
      <w:pStyle w:val="Header"/>
      <w:ind w:firstLine="0"/>
    </w:pPr>
  </w:p>
  <w:p w14:paraId="0ACADF6C" w14:textId="77777777" w:rsidR="00937709" w:rsidRPr="005E3BA1" w:rsidRDefault="00937709" w:rsidP="005E3BA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D58" w14:textId="19A747E6" w:rsidR="001B2D1F" w:rsidRDefault="001B2D1F" w:rsidP="005E3BA1">
    <w:pPr>
      <w:pStyle w:val="Header"/>
      <w:tabs>
        <w:tab w:val="clear" w:pos="4680"/>
      </w:tabs>
      <w:ind w:firstLine="0"/>
      <w:rPr>
        <w:b/>
      </w:rPr>
    </w:pPr>
    <w:r>
      <w:t>A.23-06-</w:t>
    </w:r>
    <w:proofErr w:type="gramStart"/>
    <w:r>
      <w:t>022  ALJ</w:t>
    </w:r>
    <w:proofErr w:type="gramEnd"/>
    <w:r>
      <w:t>/MLQ/</w:t>
    </w:r>
    <w:proofErr w:type="spellStart"/>
    <w:r>
      <w:t>avs</w:t>
    </w:r>
    <w:proofErr w:type="spellEnd"/>
    <w:r>
      <w:tab/>
    </w:r>
  </w:p>
  <w:p w14:paraId="7CF7A0F7" w14:textId="77777777" w:rsidR="001B2D1F" w:rsidRDefault="001B2D1F" w:rsidP="005E3BA1">
    <w:pPr>
      <w:pStyle w:val="Header"/>
      <w:ind w:firstLine="0"/>
    </w:pPr>
  </w:p>
  <w:p w14:paraId="42E7305F" w14:textId="77777777" w:rsidR="001B2D1F" w:rsidRPr="005E3BA1" w:rsidRDefault="001B2D1F" w:rsidP="005E3BA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244270C"/>
    <w:multiLevelType w:val="hybridMultilevel"/>
    <w:tmpl w:val="E92A8EC8"/>
    <w:lvl w:ilvl="0" w:tplc="E1E6A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5693706"/>
    <w:multiLevelType w:val="hybridMultilevel"/>
    <w:tmpl w:val="ACB4EC74"/>
    <w:lvl w:ilvl="0" w:tplc="0409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CB35C84"/>
    <w:multiLevelType w:val="hybridMultilevel"/>
    <w:tmpl w:val="E63C3D6C"/>
    <w:lvl w:ilvl="0" w:tplc="E698D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16cid:durableId="1354526949">
    <w:abstractNumId w:val="13"/>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2" w16cid:durableId="140774137">
    <w:abstractNumId w:val="1"/>
  </w:num>
  <w:num w:numId="3" w16cid:durableId="1898543446">
    <w:abstractNumId w:val="12"/>
  </w:num>
  <w:num w:numId="4" w16cid:durableId="701521005">
    <w:abstractNumId w:val="2"/>
  </w:num>
  <w:num w:numId="5" w16cid:durableId="2017029027">
    <w:abstractNumId w:val="17"/>
  </w:num>
  <w:num w:numId="6" w16cid:durableId="973756952">
    <w:abstractNumId w:val="10"/>
  </w:num>
  <w:num w:numId="7" w16cid:durableId="827667741">
    <w:abstractNumId w:val="5"/>
  </w:num>
  <w:num w:numId="8" w16cid:durableId="1760327020">
    <w:abstractNumId w:val="16"/>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4"/>
    <w:lvlOverride w:ilvl="0">
      <w:lvl w:ilvl="0">
        <w:start w:val="1"/>
        <w:numFmt w:val="decimal"/>
        <w:pStyle w:val="Heading1"/>
        <w:lvlText w:val="%1."/>
        <w:lvlJc w:val="left"/>
        <w:pPr>
          <w:ind w:left="720" w:hanging="720"/>
        </w:pPr>
      </w:lvl>
    </w:lvlOverride>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845484073">
    <w:abstractNumId w:val="11"/>
  </w:num>
  <w:num w:numId="19" w16cid:durableId="1499425558">
    <w:abstractNumId w:val="9"/>
  </w:num>
  <w:num w:numId="20" w16cid:durableId="143216835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FE"/>
    <w:rsid w:val="00000F6A"/>
    <w:rsid w:val="00002BF4"/>
    <w:rsid w:val="00016894"/>
    <w:rsid w:val="00017C44"/>
    <w:rsid w:val="00020A07"/>
    <w:rsid w:val="000277CC"/>
    <w:rsid w:val="0003320D"/>
    <w:rsid w:val="00035A90"/>
    <w:rsid w:val="00041CF1"/>
    <w:rsid w:val="00050F16"/>
    <w:rsid w:val="00066DCB"/>
    <w:rsid w:val="0007115A"/>
    <w:rsid w:val="00082A11"/>
    <w:rsid w:val="00083A39"/>
    <w:rsid w:val="000973C8"/>
    <w:rsid w:val="000A2AA9"/>
    <w:rsid w:val="000A56F2"/>
    <w:rsid w:val="000A6E05"/>
    <w:rsid w:val="000B12FA"/>
    <w:rsid w:val="000B24DF"/>
    <w:rsid w:val="000C08BF"/>
    <w:rsid w:val="000C3B9A"/>
    <w:rsid w:val="000C3F0F"/>
    <w:rsid w:val="000D25A8"/>
    <w:rsid w:val="000D5F29"/>
    <w:rsid w:val="000E270A"/>
    <w:rsid w:val="000E4C53"/>
    <w:rsid w:val="000E7214"/>
    <w:rsid w:val="000F2430"/>
    <w:rsid w:val="000F34EA"/>
    <w:rsid w:val="000F48C6"/>
    <w:rsid w:val="000F4B00"/>
    <w:rsid w:val="000F4BDB"/>
    <w:rsid w:val="000F62BC"/>
    <w:rsid w:val="00100B7E"/>
    <w:rsid w:val="00110427"/>
    <w:rsid w:val="00115915"/>
    <w:rsid w:val="00120EF8"/>
    <w:rsid w:val="00121089"/>
    <w:rsid w:val="0012450B"/>
    <w:rsid w:val="0012507F"/>
    <w:rsid w:val="00143E64"/>
    <w:rsid w:val="0014529D"/>
    <w:rsid w:val="0016441C"/>
    <w:rsid w:val="00173749"/>
    <w:rsid w:val="001753A0"/>
    <w:rsid w:val="00184A8F"/>
    <w:rsid w:val="001905FB"/>
    <w:rsid w:val="001A0186"/>
    <w:rsid w:val="001A3D6B"/>
    <w:rsid w:val="001B2D1F"/>
    <w:rsid w:val="001B4451"/>
    <w:rsid w:val="001B7C0C"/>
    <w:rsid w:val="001C09BB"/>
    <w:rsid w:val="001C363F"/>
    <w:rsid w:val="001C6477"/>
    <w:rsid w:val="001D59CD"/>
    <w:rsid w:val="001E2A62"/>
    <w:rsid w:val="001E54EF"/>
    <w:rsid w:val="001F2819"/>
    <w:rsid w:val="001F48CB"/>
    <w:rsid w:val="001F49DE"/>
    <w:rsid w:val="001F72AA"/>
    <w:rsid w:val="002034A9"/>
    <w:rsid w:val="002041F2"/>
    <w:rsid w:val="002043EC"/>
    <w:rsid w:val="002077CE"/>
    <w:rsid w:val="00216EB0"/>
    <w:rsid w:val="002226C9"/>
    <w:rsid w:val="00234A08"/>
    <w:rsid w:val="00243DC0"/>
    <w:rsid w:val="00247477"/>
    <w:rsid w:val="00247808"/>
    <w:rsid w:val="00250A34"/>
    <w:rsid w:val="00254F55"/>
    <w:rsid w:val="00263A8E"/>
    <w:rsid w:val="00270440"/>
    <w:rsid w:val="0027331F"/>
    <w:rsid w:val="00284D8D"/>
    <w:rsid w:val="00285CF8"/>
    <w:rsid w:val="00287BC5"/>
    <w:rsid w:val="002936D9"/>
    <w:rsid w:val="00293DEE"/>
    <w:rsid w:val="002978C1"/>
    <w:rsid w:val="002A0B5D"/>
    <w:rsid w:val="002A0BA7"/>
    <w:rsid w:val="002A2EAA"/>
    <w:rsid w:val="002B21D1"/>
    <w:rsid w:val="002B4EA8"/>
    <w:rsid w:val="002B70FE"/>
    <w:rsid w:val="002C7FE9"/>
    <w:rsid w:val="002D0DC5"/>
    <w:rsid w:val="002D4EFD"/>
    <w:rsid w:val="002E4A42"/>
    <w:rsid w:val="002F1FAE"/>
    <w:rsid w:val="00302CAA"/>
    <w:rsid w:val="00315A97"/>
    <w:rsid w:val="00316071"/>
    <w:rsid w:val="003252D0"/>
    <w:rsid w:val="00325D64"/>
    <w:rsid w:val="003431DA"/>
    <w:rsid w:val="00343E5C"/>
    <w:rsid w:val="00344FB8"/>
    <w:rsid w:val="003463FB"/>
    <w:rsid w:val="0034645C"/>
    <w:rsid w:val="0036017B"/>
    <w:rsid w:val="00362755"/>
    <w:rsid w:val="00364560"/>
    <w:rsid w:val="00373B93"/>
    <w:rsid w:val="00380CD1"/>
    <w:rsid w:val="00383DCC"/>
    <w:rsid w:val="003958C1"/>
    <w:rsid w:val="003A02CA"/>
    <w:rsid w:val="003A38F0"/>
    <w:rsid w:val="003B7BF7"/>
    <w:rsid w:val="003D0D42"/>
    <w:rsid w:val="003E3A85"/>
    <w:rsid w:val="003E5BD6"/>
    <w:rsid w:val="003F069A"/>
    <w:rsid w:val="003F0F04"/>
    <w:rsid w:val="003F4329"/>
    <w:rsid w:val="003F7B40"/>
    <w:rsid w:val="00401FCA"/>
    <w:rsid w:val="00404DFB"/>
    <w:rsid w:val="00412534"/>
    <w:rsid w:val="004128F1"/>
    <w:rsid w:val="00412C83"/>
    <w:rsid w:val="00417D30"/>
    <w:rsid w:val="0042527B"/>
    <w:rsid w:val="00425329"/>
    <w:rsid w:val="00426014"/>
    <w:rsid w:val="00426E24"/>
    <w:rsid w:val="00430BED"/>
    <w:rsid w:val="00433E5C"/>
    <w:rsid w:val="004366FB"/>
    <w:rsid w:val="0043684B"/>
    <w:rsid w:val="00444F7F"/>
    <w:rsid w:val="0044617E"/>
    <w:rsid w:val="00454187"/>
    <w:rsid w:val="0046078B"/>
    <w:rsid w:val="00460B7D"/>
    <w:rsid w:val="00470FC1"/>
    <w:rsid w:val="00476FC6"/>
    <w:rsid w:val="00480CB0"/>
    <w:rsid w:val="00483603"/>
    <w:rsid w:val="00490500"/>
    <w:rsid w:val="004910B1"/>
    <w:rsid w:val="00497780"/>
    <w:rsid w:val="004A1EAD"/>
    <w:rsid w:val="004A47BE"/>
    <w:rsid w:val="004A7372"/>
    <w:rsid w:val="004B165E"/>
    <w:rsid w:val="004B329E"/>
    <w:rsid w:val="004B34EA"/>
    <w:rsid w:val="004B5494"/>
    <w:rsid w:val="004B709A"/>
    <w:rsid w:val="004C5F73"/>
    <w:rsid w:val="004C6F25"/>
    <w:rsid w:val="004C7A2B"/>
    <w:rsid w:val="004C7D3A"/>
    <w:rsid w:val="004F39C7"/>
    <w:rsid w:val="004F704F"/>
    <w:rsid w:val="005004E8"/>
    <w:rsid w:val="0050055B"/>
    <w:rsid w:val="005018A8"/>
    <w:rsid w:val="00505A39"/>
    <w:rsid w:val="00507C17"/>
    <w:rsid w:val="00521A45"/>
    <w:rsid w:val="005240BF"/>
    <w:rsid w:val="0053083B"/>
    <w:rsid w:val="00533F83"/>
    <w:rsid w:val="00560930"/>
    <w:rsid w:val="00565822"/>
    <w:rsid w:val="0056657F"/>
    <w:rsid w:val="00567CED"/>
    <w:rsid w:val="00577E3D"/>
    <w:rsid w:val="00577FFA"/>
    <w:rsid w:val="005818FE"/>
    <w:rsid w:val="005849DE"/>
    <w:rsid w:val="00585390"/>
    <w:rsid w:val="005872AE"/>
    <w:rsid w:val="005939A5"/>
    <w:rsid w:val="005A148C"/>
    <w:rsid w:val="005A1C5E"/>
    <w:rsid w:val="005A3F60"/>
    <w:rsid w:val="005A5350"/>
    <w:rsid w:val="005B1A20"/>
    <w:rsid w:val="005B1D81"/>
    <w:rsid w:val="005C37F7"/>
    <w:rsid w:val="005C58FA"/>
    <w:rsid w:val="005C7425"/>
    <w:rsid w:val="005D59F5"/>
    <w:rsid w:val="005D7812"/>
    <w:rsid w:val="005E0C9F"/>
    <w:rsid w:val="005E3BA1"/>
    <w:rsid w:val="005F479E"/>
    <w:rsid w:val="005F55A1"/>
    <w:rsid w:val="00603238"/>
    <w:rsid w:val="006113C7"/>
    <w:rsid w:val="00611A0A"/>
    <w:rsid w:val="0061434A"/>
    <w:rsid w:val="00631D7E"/>
    <w:rsid w:val="00632207"/>
    <w:rsid w:val="0063491C"/>
    <w:rsid w:val="00641A5C"/>
    <w:rsid w:val="00654496"/>
    <w:rsid w:val="00661AFE"/>
    <w:rsid w:val="006729A4"/>
    <w:rsid w:val="006739FA"/>
    <w:rsid w:val="00674360"/>
    <w:rsid w:val="00680F19"/>
    <w:rsid w:val="00682634"/>
    <w:rsid w:val="006828A3"/>
    <w:rsid w:val="00682E87"/>
    <w:rsid w:val="00683B2C"/>
    <w:rsid w:val="006859FE"/>
    <w:rsid w:val="006879B8"/>
    <w:rsid w:val="00691BAA"/>
    <w:rsid w:val="006922CF"/>
    <w:rsid w:val="00692C3D"/>
    <w:rsid w:val="0069318E"/>
    <w:rsid w:val="00694B35"/>
    <w:rsid w:val="006B2868"/>
    <w:rsid w:val="006B528A"/>
    <w:rsid w:val="006B54C7"/>
    <w:rsid w:val="006C1F10"/>
    <w:rsid w:val="006E1E90"/>
    <w:rsid w:val="006E3889"/>
    <w:rsid w:val="006E5E28"/>
    <w:rsid w:val="006E6574"/>
    <w:rsid w:val="00706E37"/>
    <w:rsid w:val="007148E7"/>
    <w:rsid w:val="00714CF2"/>
    <w:rsid w:val="007156B9"/>
    <w:rsid w:val="007175D7"/>
    <w:rsid w:val="00717E7B"/>
    <w:rsid w:val="00720817"/>
    <w:rsid w:val="00722850"/>
    <w:rsid w:val="0073353F"/>
    <w:rsid w:val="0073532B"/>
    <w:rsid w:val="00735A91"/>
    <w:rsid w:val="00736675"/>
    <w:rsid w:val="00737E2E"/>
    <w:rsid w:val="00740122"/>
    <w:rsid w:val="00742E45"/>
    <w:rsid w:val="007447AF"/>
    <w:rsid w:val="00750816"/>
    <w:rsid w:val="00751079"/>
    <w:rsid w:val="0075609C"/>
    <w:rsid w:val="007567FE"/>
    <w:rsid w:val="007633E9"/>
    <w:rsid w:val="007657C1"/>
    <w:rsid w:val="007665C9"/>
    <w:rsid w:val="0077755F"/>
    <w:rsid w:val="00792A87"/>
    <w:rsid w:val="007A3721"/>
    <w:rsid w:val="007A406D"/>
    <w:rsid w:val="007A62B0"/>
    <w:rsid w:val="007B062B"/>
    <w:rsid w:val="007B692B"/>
    <w:rsid w:val="007C42B4"/>
    <w:rsid w:val="007C5A0C"/>
    <w:rsid w:val="007E0FEE"/>
    <w:rsid w:val="007E377E"/>
    <w:rsid w:val="007F2017"/>
    <w:rsid w:val="007F6779"/>
    <w:rsid w:val="00800436"/>
    <w:rsid w:val="0080390E"/>
    <w:rsid w:val="0081489D"/>
    <w:rsid w:val="008159CF"/>
    <w:rsid w:val="00816E05"/>
    <w:rsid w:val="00825F45"/>
    <w:rsid w:val="008315AE"/>
    <w:rsid w:val="008339BB"/>
    <w:rsid w:val="00833DA9"/>
    <w:rsid w:val="00844738"/>
    <w:rsid w:val="00845F6F"/>
    <w:rsid w:val="008476A4"/>
    <w:rsid w:val="0086419A"/>
    <w:rsid w:val="008663F3"/>
    <w:rsid w:val="0087023B"/>
    <w:rsid w:val="00876877"/>
    <w:rsid w:val="00880244"/>
    <w:rsid w:val="00881351"/>
    <w:rsid w:val="008860C7"/>
    <w:rsid w:val="008A08BF"/>
    <w:rsid w:val="008A179F"/>
    <w:rsid w:val="008B0864"/>
    <w:rsid w:val="008B175A"/>
    <w:rsid w:val="008B36F1"/>
    <w:rsid w:val="008B6FAC"/>
    <w:rsid w:val="008C17F1"/>
    <w:rsid w:val="008C3CB7"/>
    <w:rsid w:val="008C6424"/>
    <w:rsid w:val="008C7413"/>
    <w:rsid w:val="008D16B7"/>
    <w:rsid w:val="008D1C62"/>
    <w:rsid w:val="008E6AE6"/>
    <w:rsid w:val="008F0116"/>
    <w:rsid w:val="008F0893"/>
    <w:rsid w:val="008F143D"/>
    <w:rsid w:val="00901368"/>
    <w:rsid w:val="009078DC"/>
    <w:rsid w:val="00912005"/>
    <w:rsid w:val="009313EC"/>
    <w:rsid w:val="00932865"/>
    <w:rsid w:val="00932961"/>
    <w:rsid w:val="00933D48"/>
    <w:rsid w:val="00937709"/>
    <w:rsid w:val="00950B3A"/>
    <w:rsid w:val="00955392"/>
    <w:rsid w:val="00956D65"/>
    <w:rsid w:val="009737B4"/>
    <w:rsid w:val="00973C63"/>
    <w:rsid w:val="00977F5A"/>
    <w:rsid w:val="0098138E"/>
    <w:rsid w:val="0098655A"/>
    <w:rsid w:val="00987773"/>
    <w:rsid w:val="00996ED2"/>
    <w:rsid w:val="009A12C7"/>
    <w:rsid w:val="009A1AE6"/>
    <w:rsid w:val="009A6E36"/>
    <w:rsid w:val="009B0882"/>
    <w:rsid w:val="009C0AB0"/>
    <w:rsid w:val="009C186D"/>
    <w:rsid w:val="009C3D77"/>
    <w:rsid w:val="009D4279"/>
    <w:rsid w:val="009D47F0"/>
    <w:rsid w:val="009E6052"/>
    <w:rsid w:val="009E7C7F"/>
    <w:rsid w:val="009F1347"/>
    <w:rsid w:val="009F30E7"/>
    <w:rsid w:val="009F5F1D"/>
    <w:rsid w:val="00A068F2"/>
    <w:rsid w:val="00A17CE0"/>
    <w:rsid w:val="00A23D48"/>
    <w:rsid w:val="00A30DE0"/>
    <w:rsid w:val="00A33030"/>
    <w:rsid w:val="00A40814"/>
    <w:rsid w:val="00A42306"/>
    <w:rsid w:val="00A44E8D"/>
    <w:rsid w:val="00A46EA8"/>
    <w:rsid w:val="00A53775"/>
    <w:rsid w:val="00A53953"/>
    <w:rsid w:val="00A55ACD"/>
    <w:rsid w:val="00A608FB"/>
    <w:rsid w:val="00A6629C"/>
    <w:rsid w:val="00A7081E"/>
    <w:rsid w:val="00A75ECC"/>
    <w:rsid w:val="00A85D27"/>
    <w:rsid w:val="00A935B7"/>
    <w:rsid w:val="00A953A5"/>
    <w:rsid w:val="00A95D6C"/>
    <w:rsid w:val="00AA4129"/>
    <w:rsid w:val="00AB7875"/>
    <w:rsid w:val="00AC1034"/>
    <w:rsid w:val="00AC1FBE"/>
    <w:rsid w:val="00AC64A4"/>
    <w:rsid w:val="00AC68EE"/>
    <w:rsid w:val="00AD28E1"/>
    <w:rsid w:val="00AF744C"/>
    <w:rsid w:val="00B01F7E"/>
    <w:rsid w:val="00B02293"/>
    <w:rsid w:val="00B062A2"/>
    <w:rsid w:val="00B11152"/>
    <w:rsid w:val="00B16C2A"/>
    <w:rsid w:val="00B17574"/>
    <w:rsid w:val="00B3087D"/>
    <w:rsid w:val="00B34280"/>
    <w:rsid w:val="00B34794"/>
    <w:rsid w:val="00B402BF"/>
    <w:rsid w:val="00B50BE5"/>
    <w:rsid w:val="00B60421"/>
    <w:rsid w:val="00B61BB8"/>
    <w:rsid w:val="00B72A16"/>
    <w:rsid w:val="00B75643"/>
    <w:rsid w:val="00B75A3C"/>
    <w:rsid w:val="00B808D3"/>
    <w:rsid w:val="00B81EB6"/>
    <w:rsid w:val="00B82785"/>
    <w:rsid w:val="00B85B68"/>
    <w:rsid w:val="00B94735"/>
    <w:rsid w:val="00B94C34"/>
    <w:rsid w:val="00BA5E98"/>
    <w:rsid w:val="00BA7015"/>
    <w:rsid w:val="00BB0243"/>
    <w:rsid w:val="00BB0517"/>
    <w:rsid w:val="00BC7972"/>
    <w:rsid w:val="00BD1D51"/>
    <w:rsid w:val="00BE457D"/>
    <w:rsid w:val="00BE5890"/>
    <w:rsid w:val="00BF3782"/>
    <w:rsid w:val="00C00748"/>
    <w:rsid w:val="00C01CB1"/>
    <w:rsid w:val="00C10B5F"/>
    <w:rsid w:val="00C129BE"/>
    <w:rsid w:val="00C20F3D"/>
    <w:rsid w:val="00C31646"/>
    <w:rsid w:val="00C33E25"/>
    <w:rsid w:val="00C46190"/>
    <w:rsid w:val="00C471A4"/>
    <w:rsid w:val="00C53366"/>
    <w:rsid w:val="00C5380E"/>
    <w:rsid w:val="00C6177B"/>
    <w:rsid w:val="00C66B09"/>
    <w:rsid w:val="00C67729"/>
    <w:rsid w:val="00C6777E"/>
    <w:rsid w:val="00C70F34"/>
    <w:rsid w:val="00C7200D"/>
    <w:rsid w:val="00C76641"/>
    <w:rsid w:val="00C76D98"/>
    <w:rsid w:val="00C820B1"/>
    <w:rsid w:val="00C86BAB"/>
    <w:rsid w:val="00C878D5"/>
    <w:rsid w:val="00C9033B"/>
    <w:rsid w:val="00C913A1"/>
    <w:rsid w:val="00C9154E"/>
    <w:rsid w:val="00C94F31"/>
    <w:rsid w:val="00C96C6A"/>
    <w:rsid w:val="00CA24D3"/>
    <w:rsid w:val="00CB0CA6"/>
    <w:rsid w:val="00CB4641"/>
    <w:rsid w:val="00CB4D05"/>
    <w:rsid w:val="00CC6A99"/>
    <w:rsid w:val="00CD027C"/>
    <w:rsid w:val="00CD4DEA"/>
    <w:rsid w:val="00CE56CC"/>
    <w:rsid w:val="00CF20D9"/>
    <w:rsid w:val="00CF509D"/>
    <w:rsid w:val="00CF5D02"/>
    <w:rsid w:val="00D00AA3"/>
    <w:rsid w:val="00D012B7"/>
    <w:rsid w:val="00D0504E"/>
    <w:rsid w:val="00D07F73"/>
    <w:rsid w:val="00D10D4F"/>
    <w:rsid w:val="00D14844"/>
    <w:rsid w:val="00D2041C"/>
    <w:rsid w:val="00D23927"/>
    <w:rsid w:val="00D25A3E"/>
    <w:rsid w:val="00D25ADE"/>
    <w:rsid w:val="00D30472"/>
    <w:rsid w:val="00D34459"/>
    <w:rsid w:val="00D40695"/>
    <w:rsid w:val="00D43297"/>
    <w:rsid w:val="00D44DB6"/>
    <w:rsid w:val="00D47CF5"/>
    <w:rsid w:val="00D50119"/>
    <w:rsid w:val="00D53BC0"/>
    <w:rsid w:val="00D6144E"/>
    <w:rsid w:val="00D62AB5"/>
    <w:rsid w:val="00D82A43"/>
    <w:rsid w:val="00D82E9B"/>
    <w:rsid w:val="00D85ADD"/>
    <w:rsid w:val="00D9618C"/>
    <w:rsid w:val="00D969E9"/>
    <w:rsid w:val="00DA09C6"/>
    <w:rsid w:val="00DA2962"/>
    <w:rsid w:val="00DA7B5D"/>
    <w:rsid w:val="00DB31FC"/>
    <w:rsid w:val="00DB5B2A"/>
    <w:rsid w:val="00DE1F65"/>
    <w:rsid w:val="00DE7402"/>
    <w:rsid w:val="00DF22B5"/>
    <w:rsid w:val="00DF2AD7"/>
    <w:rsid w:val="00DF58E7"/>
    <w:rsid w:val="00E03069"/>
    <w:rsid w:val="00E05DFF"/>
    <w:rsid w:val="00E11876"/>
    <w:rsid w:val="00E17AA2"/>
    <w:rsid w:val="00E2150D"/>
    <w:rsid w:val="00E23CBB"/>
    <w:rsid w:val="00E37B59"/>
    <w:rsid w:val="00E42742"/>
    <w:rsid w:val="00E44606"/>
    <w:rsid w:val="00E47FF5"/>
    <w:rsid w:val="00E53438"/>
    <w:rsid w:val="00E54095"/>
    <w:rsid w:val="00E614DA"/>
    <w:rsid w:val="00E63983"/>
    <w:rsid w:val="00E725FC"/>
    <w:rsid w:val="00E73DA3"/>
    <w:rsid w:val="00E75E6C"/>
    <w:rsid w:val="00E77106"/>
    <w:rsid w:val="00E82A50"/>
    <w:rsid w:val="00E90E41"/>
    <w:rsid w:val="00E90E59"/>
    <w:rsid w:val="00E96C5E"/>
    <w:rsid w:val="00EA36C6"/>
    <w:rsid w:val="00EA462D"/>
    <w:rsid w:val="00EA5CDD"/>
    <w:rsid w:val="00EB2270"/>
    <w:rsid w:val="00EB596F"/>
    <w:rsid w:val="00EC22D4"/>
    <w:rsid w:val="00EC30F9"/>
    <w:rsid w:val="00EC448F"/>
    <w:rsid w:val="00EC6DE0"/>
    <w:rsid w:val="00EC7300"/>
    <w:rsid w:val="00ED4879"/>
    <w:rsid w:val="00ED5725"/>
    <w:rsid w:val="00ED7031"/>
    <w:rsid w:val="00EE3060"/>
    <w:rsid w:val="00EE4315"/>
    <w:rsid w:val="00EE5339"/>
    <w:rsid w:val="00EF6925"/>
    <w:rsid w:val="00F11E04"/>
    <w:rsid w:val="00F12118"/>
    <w:rsid w:val="00F12516"/>
    <w:rsid w:val="00F14BFB"/>
    <w:rsid w:val="00F26ED3"/>
    <w:rsid w:val="00F41736"/>
    <w:rsid w:val="00F5417C"/>
    <w:rsid w:val="00F622A9"/>
    <w:rsid w:val="00F62B7A"/>
    <w:rsid w:val="00F6397D"/>
    <w:rsid w:val="00F66649"/>
    <w:rsid w:val="00F7293E"/>
    <w:rsid w:val="00F76650"/>
    <w:rsid w:val="00F778F1"/>
    <w:rsid w:val="00F824A1"/>
    <w:rsid w:val="00F9187B"/>
    <w:rsid w:val="00F92385"/>
    <w:rsid w:val="00F96E9A"/>
    <w:rsid w:val="00FA0487"/>
    <w:rsid w:val="00FA1B4F"/>
    <w:rsid w:val="00FA6248"/>
    <w:rsid w:val="00FB09C3"/>
    <w:rsid w:val="00FB22D0"/>
    <w:rsid w:val="00FC47F9"/>
    <w:rsid w:val="00FC4CE6"/>
    <w:rsid w:val="00FC631C"/>
    <w:rsid w:val="00FD2632"/>
    <w:rsid w:val="00FD3B96"/>
    <w:rsid w:val="00FD590D"/>
    <w:rsid w:val="00FE04D6"/>
    <w:rsid w:val="00FE0F86"/>
    <w:rsid w:val="00FE2351"/>
    <w:rsid w:val="00FE337D"/>
    <w:rsid w:val="00FE5580"/>
    <w:rsid w:val="00FE55E2"/>
    <w:rsid w:val="00FE7F0D"/>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D659"/>
  <w15:chartTrackingRefBased/>
  <w15:docId w15:val="{6E66B03D-9656-4C0C-91B8-EC559EF3FE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BlockQuoteH025">
    <w:name w:val="BlockQuoteH025"/>
    <w:basedOn w:val="Normal"/>
    <w:qFormat/>
    <w:rsid w:val="003252D0"/>
    <w:pPr>
      <w:spacing w:after="120" w:line="240" w:lineRule="auto"/>
      <w:ind w:left="1080" w:right="1440" w:hanging="360"/>
    </w:pPr>
  </w:style>
  <w:style w:type="paragraph" w:styleId="Revision">
    <w:name w:val="Revision"/>
    <w:hidden/>
    <w:uiPriority w:val="99"/>
    <w:semiHidden/>
    <w:rsid w:val="00A95D6C"/>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3E3A85"/>
    <w:rPr>
      <w:sz w:val="16"/>
      <w:szCs w:val="16"/>
    </w:rPr>
  </w:style>
  <w:style w:type="paragraph" w:styleId="CommentText">
    <w:name w:val="annotation text"/>
    <w:basedOn w:val="Normal"/>
    <w:link w:val="CommentTextChar"/>
    <w:uiPriority w:val="99"/>
    <w:unhideWhenUsed/>
    <w:rsid w:val="003E3A85"/>
    <w:pPr>
      <w:spacing w:line="240" w:lineRule="auto"/>
    </w:pPr>
    <w:rPr>
      <w:sz w:val="20"/>
      <w:szCs w:val="20"/>
    </w:rPr>
  </w:style>
  <w:style w:type="character" w:customStyle="1" w:styleId="CommentTextChar">
    <w:name w:val="Comment Text Char"/>
    <w:basedOn w:val="DefaultParagraphFont"/>
    <w:link w:val="CommentText"/>
    <w:uiPriority w:val="99"/>
    <w:rsid w:val="003E3A8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E3A85"/>
    <w:rPr>
      <w:b/>
      <w:bCs/>
    </w:rPr>
  </w:style>
  <w:style w:type="character" w:customStyle="1" w:styleId="CommentSubjectChar">
    <w:name w:val="Comment Subject Char"/>
    <w:basedOn w:val="CommentTextChar"/>
    <w:link w:val="CommentSubject"/>
    <w:uiPriority w:val="99"/>
    <w:semiHidden/>
    <w:rsid w:val="003E3A85"/>
    <w:rPr>
      <w:rFonts w:ascii="Book Antiqua" w:hAnsi="Book Antiqua"/>
      <w:b/>
      <w:bCs/>
      <w:sz w:val="20"/>
      <w:szCs w:val="20"/>
    </w:rPr>
  </w:style>
  <w:style w:type="character" w:styleId="UnresolvedMention">
    <w:name w:val="Unresolved Mention"/>
    <w:basedOn w:val="DefaultParagraphFont"/>
    <w:uiPriority w:val="99"/>
    <w:semiHidden/>
    <w:unhideWhenUsed/>
    <w:rsid w:val="00B50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eadb811a423ef882cafa2f2e1b4b1b05">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9576be6e8b018745c3568d6a9572ab2c"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5A46E-829B-4AE8-8F85-72CCB53B5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2256</ap:Words>
  <ap:Characters>12862</ap:Characters>
  <ap:Application>Microsoft Office Word</ap:Application>
  <ap:DocSecurity>0</ap:DocSecurity>
  <ap:Lines>107</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15088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2025-10-10T12:13:35Z</dcterms:created>
  <dcterms:modified xsi:type="dcterms:W3CDTF">2025-10-10T12:13:35Z</dcterms:modified>
</cp:coreProperties>
</file>