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10DB936">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5D05F8">
        <w:rPr>
          <w:b/>
          <w:bCs/>
          <w:szCs w:val="24"/>
        </w:rPr>
        <w:tab/>
        <w:t xml:space="preserve">   </w:t>
      </w:r>
      <w:r>
        <w:rPr>
          <w:szCs w:val="24"/>
        </w:rPr>
        <w:tab/>
      </w:r>
      <w:r>
        <w:rPr>
          <w:szCs w:val="24"/>
        </w:rPr>
        <w:tab/>
        <w:t xml:space="preserve">         </w:t>
      </w:r>
      <w:r w:rsidR="00B807CA">
        <w:rPr>
          <w:szCs w:val="24"/>
        </w:rPr>
        <w:tab/>
      </w:r>
      <w:r w:rsidR="005D05F8">
        <w:rPr>
          <w:szCs w:val="24"/>
        </w:rPr>
        <w:t xml:space="preserve">         </w:t>
      </w:r>
      <w:r>
        <w:rPr>
          <w:b/>
          <w:szCs w:val="24"/>
        </w:rPr>
        <w:t>PRESS RELEASE</w:t>
      </w:r>
    </w:p>
    <w:p w:rsidRPr="000372AB" w:rsidR="000964E3" w:rsidP="000964E3" w:rsidRDefault="000964E3" w14:paraId="728853A2" w14:textId="66F2CE44">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5D05F8">
        <w:rPr>
          <w:color w:val="FF0000"/>
          <w:szCs w:val="24"/>
        </w:rPr>
        <w:t xml:space="preserve">    </w:t>
      </w:r>
      <w:r w:rsidRPr="00C33199" w:rsidR="00C644FC">
        <w:rPr>
          <w:szCs w:val="24"/>
        </w:rPr>
        <w:t>Docket #:</w:t>
      </w:r>
      <w:bookmarkEnd w:id="1"/>
      <w:r w:rsidRPr="00C33199" w:rsidR="00C33199">
        <w:rPr>
          <w:szCs w:val="24"/>
        </w:rPr>
        <w:t xml:space="preserve"> </w:t>
      </w:r>
      <w:r w:rsidRPr="007E7477" w:rsidR="007E7477">
        <w:rPr>
          <w:szCs w:val="24"/>
        </w:rPr>
        <w:t>R.20-02-008</w:t>
      </w:r>
    </w:p>
    <w:p w:rsidRPr="009C47C3" w:rsidR="000964E3" w:rsidP="00774645" w:rsidRDefault="000964E3" w14:paraId="72FD6044" w14:textId="77777777">
      <w:pPr>
        <w:pStyle w:val="ReleaseHead"/>
      </w:pPr>
    </w:p>
    <w:p w:rsidRPr="00774645" w:rsidR="00774645" w:rsidP="00774645" w:rsidRDefault="00774645" w14:paraId="005CB189" w14:textId="02F82931">
      <w:pPr>
        <w:pStyle w:val="NormalWeb"/>
        <w:spacing w:line="240" w:lineRule="auto"/>
        <w:jc w:val="center"/>
        <w:rPr>
          <w:b/>
          <w:bCs/>
          <w:sz w:val="28"/>
          <w:szCs w:val="28"/>
        </w:rPr>
      </w:pPr>
      <w:r w:rsidRPr="00774645">
        <w:rPr>
          <w:b/>
          <w:bCs/>
          <w:sz w:val="28"/>
          <w:szCs w:val="28"/>
        </w:rPr>
        <w:t>CPUC Expands Access to Communications for California Foster Youth</w:t>
      </w:r>
      <w:r>
        <w:rPr>
          <w:b/>
          <w:bCs/>
          <w:sz w:val="28"/>
          <w:szCs w:val="28"/>
        </w:rPr>
        <w:br/>
      </w:r>
      <w:r w:rsidR="008E697F">
        <w:rPr>
          <w:i/>
          <w:iCs/>
          <w:sz w:val="28"/>
          <w:szCs w:val="28"/>
        </w:rPr>
        <w:br/>
      </w:r>
      <w:r w:rsidRPr="00774645">
        <w:rPr>
          <w:i/>
          <w:iCs/>
          <w:sz w:val="28"/>
          <w:szCs w:val="28"/>
        </w:rPr>
        <w:t>New Modifications to the LifeLine Foster Youth Program</w:t>
      </w:r>
      <w:r>
        <w:rPr>
          <w:i/>
          <w:iCs/>
          <w:sz w:val="28"/>
          <w:szCs w:val="28"/>
        </w:rPr>
        <w:br/>
      </w:r>
      <w:r w:rsidRPr="00774645">
        <w:rPr>
          <w:i/>
          <w:iCs/>
          <w:sz w:val="28"/>
          <w:szCs w:val="28"/>
        </w:rPr>
        <w:t>Remove Barriers and Extend Support</w:t>
      </w:r>
    </w:p>
    <w:p w:rsidR="007E7477" w:rsidP="007E7477" w:rsidRDefault="348D47A1" w14:paraId="734A2E9F" w14:textId="66D4F2DB">
      <w:pPr>
        <w:pStyle w:val="NormalWeb"/>
      </w:pPr>
      <w:r>
        <w:t xml:space="preserve">SAN FRANCISCO, </w:t>
      </w:r>
      <w:r w:rsidR="009E1E4B">
        <w:t>Oct</w:t>
      </w:r>
      <w:r w:rsidR="00577680">
        <w:t>.</w:t>
      </w:r>
      <w:r w:rsidR="50FEC27F">
        <w:t xml:space="preserve"> </w:t>
      </w:r>
      <w:r w:rsidR="003C0E05">
        <w:t>1</w:t>
      </w:r>
      <w:r w:rsidR="005D05F8">
        <w:t>3</w:t>
      </w:r>
      <w:r>
        <w:t xml:space="preserve">, 2025 – </w:t>
      </w:r>
      <w:r w:rsidR="007E7477">
        <w:t xml:space="preserve">The California Public Utilities Commission (CPUC) </w:t>
      </w:r>
      <w:r w:rsidR="00DB0E6F">
        <w:t xml:space="preserve">has </w:t>
      </w:r>
      <w:r w:rsidR="00D90FC6">
        <w:t>made</w:t>
      </w:r>
      <w:r w:rsidR="007E7477">
        <w:t xml:space="preserve"> major enhancements to the </w:t>
      </w:r>
      <w:hyperlink w:history="1" r:id="rId13">
        <w:r w:rsidRPr="00D90FC6" w:rsidR="007E7477">
          <w:rPr>
            <w:rStyle w:val="Hyperlink"/>
          </w:rPr>
          <w:t>California LifeLine Foster Youth Program</w:t>
        </w:r>
      </w:hyperlink>
      <w:r w:rsidR="007E7477">
        <w:t>, significantly expanding access to communications services for current and former foster youth across the state.</w:t>
      </w:r>
    </w:p>
    <w:p w:rsidR="00D96B56" w:rsidP="007E7477" w:rsidRDefault="007E7477" w14:paraId="711CAADD" w14:textId="2B3808B9">
      <w:pPr>
        <w:pStyle w:val="NormalWeb"/>
      </w:pPr>
      <w:r>
        <w:t>The</w:t>
      </w:r>
      <w:r w:rsidR="00DB0E6F">
        <w:t xml:space="preserve"> </w:t>
      </w:r>
      <w:r>
        <w:t xml:space="preserve">changes </w:t>
      </w:r>
      <w:r w:rsidR="00DB0E6F">
        <w:t>approved at the CPUC’s Oct</w:t>
      </w:r>
      <w:r w:rsidR="00DB6D2F">
        <w:t xml:space="preserve">ober </w:t>
      </w:r>
      <w:r w:rsidR="00DB0E6F">
        <w:t>9</w:t>
      </w:r>
      <w:r w:rsidRPr="005D05F8" w:rsidR="00DB6D2F">
        <w:rPr>
          <w:vertAlign w:val="superscript"/>
        </w:rPr>
        <w:t>th</w:t>
      </w:r>
      <w:r w:rsidR="00DB6D2F">
        <w:t xml:space="preserve"> </w:t>
      </w:r>
      <w:r w:rsidR="00DB0E6F">
        <w:t xml:space="preserve">Voting Meeting </w:t>
      </w:r>
      <w:r>
        <w:t xml:space="preserve">reflect the continued focus on digital inclusion and the </w:t>
      </w:r>
      <w:r w:rsidR="00DB6D2F">
        <w:t xml:space="preserve">objective </w:t>
      </w:r>
      <w:r>
        <w:t>that every young person in foster care deserves reliable, affordable access to phone service to stay connected, pursue education and employment, and build independent lives.</w:t>
      </w:r>
    </w:p>
    <w:p w:rsidRPr="007E7477" w:rsidR="007E7477" w:rsidP="007E7477" w:rsidRDefault="007E7477" w14:paraId="6B5E473F" w14:textId="671D4878">
      <w:pPr>
        <w:pStyle w:val="NormalWeb"/>
        <w:rPr>
          <w:b/>
          <w:bCs/>
        </w:rPr>
      </w:pPr>
      <w:r w:rsidRPr="007E7477">
        <w:rPr>
          <w:b/>
          <w:bCs/>
        </w:rPr>
        <w:t xml:space="preserve">Key </w:t>
      </w:r>
      <w:r w:rsidR="00DB0E6F">
        <w:rPr>
          <w:b/>
          <w:bCs/>
        </w:rPr>
        <w:t xml:space="preserve">Program </w:t>
      </w:r>
      <w:r w:rsidRPr="007E7477">
        <w:rPr>
          <w:b/>
          <w:bCs/>
        </w:rPr>
        <w:t>Modifications</w:t>
      </w:r>
    </w:p>
    <w:p w:rsidR="007E7477" w:rsidP="007E7477" w:rsidRDefault="007E7477" w14:paraId="22AE26BC" w14:textId="55BB157F">
      <w:pPr>
        <w:pStyle w:val="NormalWeb"/>
        <w:numPr>
          <w:ilvl w:val="0"/>
          <w:numId w:val="7"/>
        </w:numPr>
      </w:pPr>
      <w:r w:rsidRPr="007E7477">
        <w:rPr>
          <w:b/>
          <w:bCs/>
        </w:rPr>
        <w:t>Expanded Eligibility</w:t>
      </w:r>
      <w:r>
        <w:t>: The program now includes all current and former foster youth ages 13 through 20 who were in foster care at any point on or after their 13</w:t>
      </w:r>
      <w:r w:rsidRPr="00DB0E6F">
        <w:rPr>
          <w:vertAlign w:val="superscript"/>
        </w:rPr>
        <w:t>th</w:t>
      </w:r>
      <w:r w:rsidR="00DB0E6F">
        <w:t xml:space="preserve"> </w:t>
      </w:r>
      <w:r>
        <w:t>birthday.</w:t>
      </w:r>
    </w:p>
    <w:p w:rsidR="007E7477" w:rsidP="007E7477" w:rsidRDefault="007E7477" w14:paraId="335CDA48" w14:textId="10955692">
      <w:pPr>
        <w:pStyle w:val="NormalWeb"/>
        <w:numPr>
          <w:ilvl w:val="0"/>
          <w:numId w:val="7"/>
        </w:numPr>
      </w:pPr>
      <w:r w:rsidRPr="007E7477">
        <w:rPr>
          <w:b/>
          <w:bCs/>
        </w:rPr>
        <w:t>Simplified Documentation</w:t>
      </w:r>
      <w:r>
        <w:t xml:space="preserve">: New flexibility in verification allows youth to use alternative documents or statements from </w:t>
      </w:r>
      <w:r w:rsidR="00111712">
        <w:t>the California Office of the Foster Care Ombudsperson Office</w:t>
      </w:r>
      <w:r>
        <w:t>, reducing delays and administrative burdens.</w:t>
      </w:r>
    </w:p>
    <w:p w:rsidR="00111712" w:rsidP="00C84A26" w:rsidRDefault="007E7477" w14:paraId="38875BAC" w14:textId="0A247D3D">
      <w:pPr>
        <w:pStyle w:val="NormalWeb"/>
        <w:numPr>
          <w:ilvl w:val="0"/>
          <w:numId w:val="7"/>
        </w:numPr>
      </w:pPr>
      <w:r w:rsidRPr="00C84A26">
        <w:rPr>
          <w:b/>
          <w:bCs/>
        </w:rPr>
        <w:t>Enrollment</w:t>
      </w:r>
      <w:r w:rsidRPr="00C84A26" w:rsidR="00C84A26">
        <w:rPr>
          <w:b/>
          <w:bCs/>
        </w:rPr>
        <w:t xml:space="preserve"> Streamlining</w:t>
      </w:r>
      <w:r>
        <w:t xml:space="preserve">: Non-minor foster youth can now sign up independently, and authorized representatives may assist </w:t>
      </w:r>
      <w:r w:rsidR="00C84A26">
        <w:t xml:space="preserve">both </w:t>
      </w:r>
      <w:r>
        <w:t xml:space="preserve">minor </w:t>
      </w:r>
      <w:r w:rsidR="00C84A26">
        <w:t xml:space="preserve">and non-minor </w:t>
      </w:r>
      <w:r>
        <w:t>youth.</w:t>
      </w:r>
      <w:r w:rsidR="00C84A26">
        <w:t xml:space="preserve"> </w:t>
      </w:r>
    </w:p>
    <w:p w:rsidR="007E7477" w:rsidP="007E7477" w:rsidRDefault="007E7477" w14:paraId="747979F8" w14:textId="261857BD">
      <w:pPr>
        <w:pStyle w:val="NormalWeb"/>
        <w:numPr>
          <w:ilvl w:val="0"/>
          <w:numId w:val="7"/>
        </w:numPr>
      </w:pPr>
      <w:r w:rsidRPr="007E7477">
        <w:rPr>
          <w:b/>
          <w:bCs/>
        </w:rPr>
        <w:t>Extended Benefits</w:t>
      </w:r>
      <w:r>
        <w:t>: Youth exiting foster care can continue receiving service for six months after turning 21.</w:t>
      </w:r>
    </w:p>
    <w:p w:rsidR="007E7477" w:rsidP="007E7477" w:rsidRDefault="007E7477" w14:paraId="52E44ABD" w14:textId="4632CE12">
      <w:pPr>
        <w:pStyle w:val="NormalWeb"/>
        <w:numPr>
          <w:ilvl w:val="0"/>
          <w:numId w:val="7"/>
        </w:numPr>
      </w:pPr>
      <w:r w:rsidRPr="007E7477">
        <w:rPr>
          <w:b/>
          <w:bCs/>
        </w:rPr>
        <w:t>Device Improvements</w:t>
      </w:r>
      <w:r>
        <w:t>: All phones will be preloaded with the Family Urgent Response System (FURS) hotline for quick access to support.</w:t>
      </w:r>
    </w:p>
    <w:p w:rsidR="007E7477" w:rsidP="007E7477" w:rsidRDefault="007E7477" w14:paraId="6C4C0CDC" w14:textId="5A70C557">
      <w:pPr>
        <w:pStyle w:val="NormalWeb"/>
        <w:numPr>
          <w:ilvl w:val="0"/>
          <w:numId w:val="7"/>
        </w:numPr>
      </w:pPr>
      <w:r w:rsidRPr="007E7477">
        <w:rPr>
          <w:b/>
          <w:bCs/>
        </w:rPr>
        <w:lastRenderedPageBreak/>
        <w:t>Stronger Transition Pathways</w:t>
      </w:r>
      <w:r>
        <w:t xml:space="preserve">: Youth turning 18 will now have the option to seamlessly move into the general </w:t>
      </w:r>
      <w:hyperlink w:history="1" r:id="rId14">
        <w:r w:rsidRPr="00812E59">
          <w:rPr>
            <w:rStyle w:val="Hyperlink"/>
          </w:rPr>
          <w:t>California LifeLine</w:t>
        </w:r>
      </w:hyperlink>
      <w:r>
        <w:t xml:space="preserve"> program.</w:t>
      </w:r>
    </w:p>
    <w:p w:rsidR="007E7477" w:rsidP="007E7477" w:rsidRDefault="007E7477" w14:paraId="115D62C2" w14:textId="3C963781">
      <w:pPr>
        <w:pStyle w:val="NormalWeb"/>
        <w:numPr>
          <w:ilvl w:val="0"/>
          <w:numId w:val="7"/>
        </w:numPr>
      </w:pPr>
      <w:r w:rsidRPr="007E7477">
        <w:rPr>
          <w:b/>
          <w:bCs/>
        </w:rPr>
        <w:t>New Non-Usage Policy</w:t>
      </w:r>
      <w:r>
        <w:t>: A 90-day usage rule ensures continued service for active users while allowing re-entry for youth who need replacement phones.</w:t>
      </w:r>
    </w:p>
    <w:p w:rsidR="007E7477" w:rsidP="007E7477" w:rsidRDefault="007E7477" w14:paraId="559BB62A" w14:textId="1830FA3E">
      <w:pPr>
        <w:pStyle w:val="NormalWeb"/>
      </w:pPr>
      <w:r>
        <w:t xml:space="preserve">“These reforms make the LifeLine Foster Youth Program more accessible, more responsive, and </w:t>
      </w:r>
      <w:r w:rsidR="00A03015">
        <w:t xml:space="preserve">better </w:t>
      </w:r>
      <w:r>
        <w:t>aligned with the real experiences of foster youth,” said CPUC President Alice Reynolds</w:t>
      </w:r>
      <w:r w:rsidR="00DB6D2F">
        <w:t>.</w:t>
      </w:r>
      <w:r>
        <w:t xml:space="preserve"> “We’re eliminating red tape, expanding coverage, and </w:t>
      </w:r>
      <w:r w:rsidR="00DB6D2F">
        <w:t xml:space="preserve">providing </w:t>
      </w:r>
      <w:r>
        <w:t xml:space="preserve">young people </w:t>
      </w:r>
      <w:r w:rsidR="00DB6D2F">
        <w:t>with</w:t>
      </w:r>
      <w:r>
        <w:t xml:space="preserve"> </w:t>
      </w:r>
      <w:r w:rsidR="00DB6D2F">
        <w:t xml:space="preserve">digital </w:t>
      </w:r>
      <w:r>
        <w:t xml:space="preserve">tools </w:t>
      </w:r>
      <w:r w:rsidR="00A03015">
        <w:t>that are necessary for</w:t>
      </w:r>
      <w:r>
        <w:t xml:space="preserve"> succe</w:t>
      </w:r>
      <w:r w:rsidR="00A03015">
        <w:t>ss and safety</w:t>
      </w:r>
      <w:r w:rsidR="00DB0E6F">
        <w:t xml:space="preserve"> </w:t>
      </w:r>
      <w:r>
        <w:t>in foster care and beyond. Our staff will continue working closely with community partners to keep improving this program.”</w:t>
      </w:r>
    </w:p>
    <w:p w:rsidR="00DB6D2F" w:rsidP="007E7477" w:rsidRDefault="00DB6D2F" w14:paraId="1A16E6DE" w14:textId="3A0349A0">
      <w:pPr>
        <w:pStyle w:val="NormalWeb"/>
      </w:pPr>
      <w:r w:rsidRPr="00DB6D2F">
        <w:t>“It is essential that foster youth have affordable and reliable communications services. These smartphones and free monthly plans help foster youth stay in contact with their caretakers, family members and one another, access education and healthcare, and contact emergency services if necessary,</w:t>
      </w:r>
      <w:r w:rsidR="00812E59">
        <w:t>”</w:t>
      </w:r>
      <w:r w:rsidRPr="00DB6D2F">
        <w:t xml:space="preserve"> said Commissioner Darcie L. Houck. </w:t>
      </w:r>
      <w:r w:rsidR="00812E59">
        <w:t>“</w:t>
      </w:r>
      <w:r w:rsidRPr="00DB6D2F">
        <w:t xml:space="preserve">I am pleased that our decision will expand eligibility to more foster youth and streamline their participation in the California LifeLine </w:t>
      </w:r>
      <w:r w:rsidR="00812E59">
        <w:t>p</w:t>
      </w:r>
      <w:r w:rsidRPr="00DB6D2F">
        <w:t>rogram.”</w:t>
      </w:r>
    </w:p>
    <w:p w:rsidR="007E7477" w:rsidP="007E7477" w:rsidRDefault="007E7477" w14:paraId="28F1A723" w14:textId="5BAC17F3">
      <w:pPr>
        <w:pStyle w:val="NormalWeb"/>
      </w:pPr>
      <w:r>
        <w:t xml:space="preserve">These enhancements build on the CPUC’s </w:t>
      </w:r>
      <w:hyperlink w:history="1" r:id="rId15">
        <w:r w:rsidRPr="00DB0E6F">
          <w:rPr>
            <w:rStyle w:val="Hyperlink"/>
          </w:rPr>
          <w:t>2024 decision</w:t>
        </w:r>
      </w:hyperlink>
      <w:r>
        <w:t xml:space="preserve"> that formally transitioned the foster youth pilot into a long-term component of the </w:t>
      </w:r>
      <w:r w:rsidRPr="00812E59">
        <w:t xml:space="preserve">California LifeLine </w:t>
      </w:r>
      <w:r w:rsidR="00812E59">
        <w:t>p</w:t>
      </w:r>
      <w:r w:rsidRPr="00812E59">
        <w:t>rogram</w:t>
      </w:r>
      <w:r>
        <w:t>. The updates come in response to a petition from the Youth Law Center, with support from stakeholders including The Utility Reform Network (TURN), Verizon/TracFone, and county agencies.</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00DB0E6F" w:rsidP="00DB0E6F" w:rsidRDefault="00DB0E6F" w14:paraId="40BE5E25" w14:textId="77777777">
      <w:pPr>
        <w:pStyle w:val="NormalWeb"/>
        <w:numPr>
          <w:ilvl w:val="0"/>
          <w:numId w:val="3"/>
        </w:numPr>
        <w:spacing w:before="0" w:beforeAutospacing="0" w:after="0" w:afterAutospacing="0"/>
      </w:pPr>
      <w:hyperlink w:history="1" r:id="rId16">
        <w:r w:rsidRPr="00DB0E6F">
          <w:rPr>
            <w:rStyle w:val="Hyperlink"/>
          </w:rPr>
          <w:t>California LifeLine Foster Youth Program</w:t>
        </w:r>
      </w:hyperlink>
    </w:p>
    <w:p w:rsidR="00216355" w:rsidP="00DB0E6F" w:rsidRDefault="00216355" w14:paraId="4D33C603" w14:textId="7A386196">
      <w:pPr>
        <w:pStyle w:val="NormalWeb"/>
        <w:numPr>
          <w:ilvl w:val="0"/>
          <w:numId w:val="3"/>
        </w:numPr>
        <w:spacing w:before="0" w:beforeAutospacing="0" w:after="0" w:afterAutospacing="0"/>
      </w:pPr>
      <w:hyperlink w:history="1" r:id="rId17">
        <w:r w:rsidRPr="00DB0E6F">
          <w:rPr>
            <w:rStyle w:val="Hyperlink"/>
          </w:rPr>
          <w:t>California LifeLine Program</w:t>
        </w:r>
      </w:hyperlink>
    </w:p>
    <w:p w:rsidR="008B1830" w:rsidP="008B1830" w:rsidRDefault="008B1830" w14:paraId="5B89FAF2" w14:textId="6673CEA3">
      <w:pPr>
        <w:pStyle w:val="NormalWeb"/>
        <w:numPr>
          <w:ilvl w:val="0"/>
          <w:numId w:val="3"/>
        </w:numPr>
        <w:spacing w:before="0" w:beforeAutospacing="0" w:after="0" w:afterAutospacing="0"/>
      </w:pPr>
      <w:hyperlink w:history="1" r:id="rId18">
        <w:r w:rsidRPr="007E7477">
          <w:rPr>
            <w:rStyle w:val="Hyperlink"/>
          </w:rPr>
          <w:t>Proposal Approved</w:t>
        </w:r>
      </w:hyperlink>
    </w:p>
    <w:p w:rsidR="00DB0E6F" w:rsidP="00DB0E6F" w:rsidRDefault="00DB0E6F" w14:paraId="2F431396" w14:textId="35503BED">
      <w:pPr>
        <w:pStyle w:val="NormalWeb"/>
        <w:numPr>
          <w:ilvl w:val="0"/>
          <w:numId w:val="3"/>
        </w:numPr>
        <w:spacing w:before="0" w:beforeAutospacing="0" w:after="0" w:afterAutospacing="0"/>
      </w:pPr>
      <w:hyperlink w:history="1" r:id="rId19">
        <w:r w:rsidRPr="00DB0E6F">
          <w:rPr>
            <w:rStyle w:val="Hyperlink"/>
          </w:rPr>
          <w:t>Proceeding Documents</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20">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76E8" w14:textId="77777777" w:rsidR="00BC69F2" w:rsidRDefault="00BC69F2">
      <w:pPr>
        <w:spacing w:line="240" w:lineRule="auto"/>
      </w:pPr>
      <w:r>
        <w:separator/>
      </w:r>
    </w:p>
    <w:p w14:paraId="1E377F7F" w14:textId="77777777" w:rsidR="00BC69F2" w:rsidRDefault="00BC69F2"/>
  </w:endnote>
  <w:endnote w:type="continuationSeparator" w:id="0">
    <w:p w14:paraId="1E89814C" w14:textId="77777777" w:rsidR="00BC69F2" w:rsidRDefault="00BC69F2">
      <w:pPr>
        <w:spacing w:line="240" w:lineRule="auto"/>
      </w:pPr>
      <w:r>
        <w:continuationSeparator/>
      </w:r>
    </w:p>
    <w:p w14:paraId="1C31F955" w14:textId="77777777" w:rsidR="00BC69F2" w:rsidRDefault="00BC6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2F92" id="Rectangle 8" o:spid="_x0000_s1026" href="https://www.linkedin.com/company/CaliforniaPUC" style="position:absolute;margin-left:288.65pt;margin-top:13.6pt;width:12.6pt;height:12.9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o:button="t" filled="f" stroked="f" strokeweight="1pt">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E660A" id="Rectangle 7" o:spid="_x0000_s1026" href="https://www.youtube.com/user/CaliforniaPUC" style="position:absolute;margin-left:273.65pt;margin-top:13.65pt;width:12.6pt;height:1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356F8" id="Rectangle 6" o:spid="_x0000_s1026" href="https://www.instagram.com/CaliforniaPUC/" style="position:absolute;margin-left:258.65pt;margin-top:13.65pt;width:12.6pt;height:1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C52A3" id="Rectangle 5" o:spid="_x0000_s1026" href="https://www.facebook.com/CaliforniaPUC" style="position:absolute;margin-left:243.7pt;margin-top:13.65pt;width:12.6pt;height:1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o:button="t" filled="f" stroked="f" strokeweight="1pt">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146EA" id="Rectangle 4" o:spid="_x0000_s1026" href="https://twitter.com/californiapuc" style="position:absolute;margin-left:228.65pt;margin-top:13.75pt;width:12.6pt;height: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o:button="t" filled="f" stroked="f" strokeweight="1pt">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ECD2" w14:textId="77777777" w:rsidR="00BC69F2" w:rsidRDefault="00BC69F2">
      <w:pPr>
        <w:spacing w:line="240" w:lineRule="auto"/>
      </w:pPr>
      <w:r>
        <w:separator/>
      </w:r>
    </w:p>
    <w:p w14:paraId="4BAA110D" w14:textId="77777777" w:rsidR="00BC69F2" w:rsidRDefault="00BC69F2"/>
  </w:footnote>
  <w:footnote w:type="continuationSeparator" w:id="0">
    <w:p w14:paraId="47212385" w14:textId="77777777" w:rsidR="00BC69F2" w:rsidRDefault="00BC69F2">
      <w:pPr>
        <w:spacing w:line="240" w:lineRule="auto"/>
      </w:pPr>
      <w:r>
        <w:continuationSeparator/>
      </w:r>
    </w:p>
    <w:p w14:paraId="5D5C8227" w14:textId="77777777" w:rsidR="00BC69F2" w:rsidRDefault="00BC6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654D5"/>
    <w:multiLevelType w:val="hybridMultilevel"/>
    <w:tmpl w:val="8188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6"/>
  </w:num>
  <w:num w:numId="4" w16cid:durableId="1324746911">
    <w:abstractNumId w:val="5"/>
  </w:num>
  <w:num w:numId="5" w16cid:durableId="1740515815">
    <w:abstractNumId w:val="4"/>
  </w:num>
  <w:num w:numId="6" w16cid:durableId="1261837000">
    <w:abstractNumId w:val="2"/>
  </w:num>
  <w:num w:numId="7" w16cid:durableId="277685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01C76"/>
    <w:rsid w:val="00027F62"/>
    <w:rsid w:val="00032DF2"/>
    <w:rsid w:val="00034C07"/>
    <w:rsid w:val="000372AB"/>
    <w:rsid w:val="000511DF"/>
    <w:rsid w:val="000527AF"/>
    <w:rsid w:val="00064C9B"/>
    <w:rsid w:val="00065488"/>
    <w:rsid w:val="000671F7"/>
    <w:rsid w:val="00067BC8"/>
    <w:rsid w:val="000964E3"/>
    <w:rsid w:val="000A17C9"/>
    <w:rsid w:val="000A3901"/>
    <w:rsid w:val="000A6282"/>
    <w:rsid w:val="000B035D"/>
    <w:rsid w:val="000B3734"/>
    <w:rsid w:val="000B3D43"/>
    <w:rsid w:val="000B5979"/>
    <w:rsid w:val="000B7BD1"/>
    <w:rsid w:val="000D695E"/>
    <w:rsid w:val="000E0857"/>
    <w:rsid w:val="001103D7"/>
    <w:rsid w:val="00111712"/>
    <w:rsid w:val="001121D2"/>
    <w:rsid w:val="00140CFB"/>
    <w:rsid w:val="00166728"/>
    <w:rsid w:val="001A0CC0"/>
    <w:rsid w:val="001D2C18"/>
    <w:rsid w:val="001D355F"/>
    <w:rsid w:val="001E434A"/>
    <w:rsid w:val="001E44E0"/>
    <w:rsid w:val="00200D54"/>
    <w:rsid w:val="00211BF7"/>
    <w:rsid w:val="00216355"/>
    <w:rsid w:val="002171EF"/>
    <w:rsid w:val="002557D4"/>
    <w:rsid w:val="00260757"/>
    <w:rsid w:val="00260E9E"/>
    <w:rsid w:val="00265714"/>
    <w:rsid w:val="002931FB"/>
    <w:rsid w:val="002A1FEF"/>
    <w:rsid w:val="002A209F"/>
    <w:rsid w:val="002C649D"/>
    <w:rsid w:val="002C7075"/>
    <w:rsid w:val="002D1E41"/>
    <w:rsid w:val="002D66B6"/>
    <w:rsid w:val="002E08B7"/>
    <w:rsid w:val="002E3C91"/>
    <w:rsid w:val="002F7D6C"/>
    <w:rsid w:val="003055DE"/>
    <w:rsid w:val="00305629"/>
    <w:rsid w:val="00310B9B"/>
    <w:rsid w:val="00313D21"/>
    <w:rsid w:val="00314343"/>
    <w:rsid w:val="003164F0"/>
    <w:rsid w:val="003402D8"/>
    <w:rsid w:val="003546B1"/>
    <w:rsid w:val="00362D44"/>
    <w:rsid w:val="003666E8"/>
    <w:rsid w:val="003A7882"/>
    <w:rsid w:val="003B1208"/>
    <w:rsid w:val="003B32A6"/>
    <w:rsid w:val="003C0E05"/>
    <w:rsid w:val="003D5ECD"/>
    <w:rsid w:val="003E2832"/>
    <w:rsid w:val="003E2DF6"/>
    <w:rsid w:val="003E6BAB"/>
    <w:rsid w:val="003F07C4"/>
    <w:rsid w:val="00412D3E"/>
    <w:rsid w:val="00427583"/>
    <w:rsid w:val="004327DC"/>
    <w:rsid w:val="00465E73"/>
    <w:rsid w:val="004718FF"/>
    <w:rsid w:val="0048184C"/>
    <w:rsid w:val="004A6C2D"/>
    <w:rsid w:val="004A77EE"/>
    <w:rsid w:val="00503C35"/>
    <w:rsid w:val="00507FF7"/>
    <w:rsid w:val="00510C78"/>
    <w:rsid w:val="00510E1D"/>
    <w:rsid w:val="005119F2"/>
    <w:rsid w:val="00516C98"/>
    <w:rsid w:val="00517157"/>
    <w:rsid w:val="00520CC7"/>
    <w:rsid w:val="00546BD0"/>
    <w:rsid w:val="00565E23"/>
    <w:rsid w:val="00577680"/>
    <w:rsid w:val="005A12F2"/>
    <w:rsid w:val="005A4882"/>
    <w:rsid w:val="005B53C9"/>
    <w:rsid w:val="005C025C"/>
    <w:rsid w:val="005C4F9F"/>
    <w:rsid w:val="005D05F8"/>
    <w:rsid w:val="005E3ECB"/>
    <w:rsid w:val="005E5942"/>
    <w:rsid w:val="005E657A"/>
    <w:rsid w:val="00605487"/>
    <w:rsid w:val="00636239"/>
    <w:rsid w:val="00637220"/>
    <w:rsid w:val="00654243"/>
    <w:rsid w:val="00655980"/>
    <w:rsid w:val="006624D7"/>
    <w:rsid w:val="00662A7E"/>
    <w:rsid w:val="006809B6"/>
    <w:rsid w:val="00681F83"/>
    <w:rsid w:val="00684FF5"/>
    <w:rsid w:val="006905CA"/>
    <w:rsid w:val="00693F98"/>
    <w:rsid w:val="006B4BF5"/>
    <w:rsid w:val="006C256F"/>
    <w:rsid w:val="006C29FE"/>
    <w:rsid w:val="006E484B"/>
    <w:rsid w:val="006E525A"/>
    <w:rsid w:val="006E65E3"/>
    <w:rsid w:val="00726E07"/>
    <w:rsid w:val="00727998"/>
    <w:rsid w:val="00754FE0"/>
    <w:rsid w:val="00773D0D"/>
    <w:rsid w:val="00774645"/>
    <w:rsid w:val="007748F0"/>
    <w:rsid w:val="007A3960"/>
    <w:rsid w:val="007B3B9B"/>
    <w:rsid w:val="007B7FB7"/>
    <w:rsid w:val="007E1B99"/>
    <w:rsid w:val="007E7477"/>
    <w:rsid w:val="007F74BA"/>
    <w:rsid w:val="008079F6"/>
    <w:rsid w:val="00812E59"/>
    <w:rsid w:val="00825427"/>
    <w:rsid w:val="00825BF6"/>
    <w:rsid w:val="00855272"/>
    <w:rsid w:val="008678B1"/>
    <w:rsid w:val="00872530"/>
    <w:rsid w:val="00877625"/>
    <w:rsid w:val="00881D75"/>
    <w:rsid w:val="00882D9F"/>
    <w:rsid w:val="008A0FA8"/>
    <w:rsid w:val="008B1830"/>
    <w:rsid w:val="008B3D3C"/>
    <w:rsid w:val="008B796C"/>
    <w:rsid w:val="008C38F6"/>
    <w:rsid w:val="008D247E"/>
    <w:rsid w:val="008E25C0"/>
    <w:rsid w:val="008E697F"/>
    <w:rsid w:val="008F1159"/>
    <w:rsid w:val="008F553B"/>
    <w:rsid w:val="00900D0D"/>
    <w:rsid w:val="009042CB"/>
    <w:rsid w:val="00916768"/>
    <w:rsid w:val="009422DC"/>
    <w:rsid w:val="009456D3"/>
    <w:rsid w:val="00952356"/>
    <w:rsid w:val="0095374D"/>
    <w:rsid w:val="00963365"/>
    <w:rsid w:val="00973CB7"/>
    <w:rsid w:val="00982B42"/>
    <w:rsid w:val="009915DC"/>
    <w:rsid w:val="00991D2A"/>
    <w:rsid w:val="00995160"/>
    <w:rsid w:val="009A094A"/>
    <w:rsid w:val="009A2082"/>
    <w:rsid w:val="009C47C3"/>
    <w:rsid w:val="009C6C1D"/>
    <w:rsid w:val="009E1E4B"/>
    <w:rsid w:val="009E4971"/>
    <w:rsid w:val="009E4EBA"/>
    <w:rsid w:val="00A03015"/>
    <w:rsid w:val="00A15979"/>
    <w:rsid w:val="00A21E9A"/>
    <w:rsid w:val="00A3512C"/>
    <w:rsid w:val="00A36204"/>
    <w:rsid w:val="00A4490A"/>
    <w:rsid w:val="00A87FF5"/>
    <w:rsid w:val="00AA186B"/>
    <w:rsid w:val="00AA2945"/>
    <w:rsid w:val="00AB48E3"/>
    <w:rsid w:val="00AB5C38"/>
    <w:rsid w:val="00AD19BC"/>
    <w:rsid w:val="00AE2C34"/>
    <w:rsid w:val="00B0491A"/>
    <w:rsid w:val="00B072CF"/>
    <w:rsid w:val="00B12683"/>
    <w:rsid w:val="00B2336C"/>
    <w:rsid w:val="00B46AF6"/>
    <w:rsid w:val="00B51427"/>
    <w:rsid w:val="00B61D69"/>
    <w:rsid w:val="00B774FA"/>
    <w:rsid w:val="00B807CA"/>
    <w:rsid w:val="00B82F89"/>
    <w:rsid w:val="00B948C7"/>
    <w:rsid w:val="00B960ED"/>
    <w:rsid w:val="00B97CD7"/>
    <w:rsid w:val="00BA2810"/>
    <w:rsid w:val="00BA3F99"/>
    <w:rsid w:val="00BA63D7"/>
    <w:rsid w:val="00BA7935"/>
    <w:rsid w:val="00BA7C1C"/>
    <w:rsid w:val="00BB30D3"/>
    <w:rsid w:val="00BC54BE"/>
    <w:rsid w:val="00BC69F2"/>
    <w:rsid w:val="00BE0F70"/>
    <w:rsid w:val="00BE10C4"/>
    <w:rsid w:val="00C145F8"/>
    <w:rsid w:val="00C33199"/>
    <w:rsid w:val="00C644FC"/>
    <w:rsid w:val="00C773F0"/>
    <w:rsid w:val="00C84A26"/>
    <w:rsid w:val="00C877C9"/>
    <w:rsid w:val="00CD3AA8"/>
    <w:rsid w:val="00CE4FFC"/>
    <w:rsid w:val="00CE71A1"/>
    <w:rsid w:val="00CF2404"/>
    <w:rsid w:val="00D00FD1"/>
    <w:rsid w:val="00D13DF3"/>
    <w:rsid w:val="00D24F67"/>
    <w:rsid w:val="00D427B0"/>
    <w:rsid w:val="00D42CD4"/>
    <w:rsid w:val="00D81466"/>
    <w:rsid w:val="00D820A1"/>
    <w:rsid w:val="00D861FF"/>
    <w:rsid w:val="00D879A8"/>
    <w:rsid w:val="00D90FC6"/>
    <w:rsid w:val="00D92AD2"/>
    <w:rsid w:val="00D94998"/>
    <w:rsid w:val="00D96B56"/>
    <w:rsid w:val="00DA1186"/>
    <w:rsid w:val="00DA1B3D"/>
    <w:rsid w:val="00DB0E6F"/>
    <w:rsid w:val="00DB6396"/>
    <w:rsid w:val="00DB6D2F"/>
    <w:rsid w:val="00DE7181"/>
    <w:rsid w:val="00E07B5E"/>
    <w:rsid w:val="00E10C42"/>
    <w:rsid w:val="00E26C03"/>
    <w:rsid w:val="00E46C3D"/>
    <w:rsid w:val="00E53723"/>
    <w:rsid w:val="00E96318"/>
    <w:rsid w:val="00EB6332"/>
    <w:rsid w:val="00EC6158"/>
    <w:rsid w:val="00ED4643"/>
    <w:rsid w:val="00ED4CAE"/>
    <w:rsid w:val="00EE06DC"/>
    <w:rsid w:val="00EF0B74"/>
    <w:rsid w:val="00F0113C"/>
    <w:rsid w:val="00F06E27"/>
    <w:rsid w:val="00F132D9"/>
    <w:rsid w:val="00F50CA0"/>
    <w:rsid w:val="00F51D8E"/>
    <w:rsid w:val="00F5295D"/>
    <w:rsid w:val="00F663E3"/>
    <w:rsid w:val="00F703B4"/>
    <w:rsid w:val="00F713B1"/>
    <w:rsid w:val="00F90ED9"/>
    <w:rsid w:val="00FC02CF"/>
    <w:rsid w:val="00FD0A4E"/>
    <w:rsid w:val="00FD1A5E"/>
    <w:rsid w:val="00FD3A07"/>
    <w:rsid w:val="00FE272C"/>
    <w:rsid w:val="00FF2710"/>
    <w:rsid w:val="010D9642"/>
    <w:rsid w:val="025B17E2"/>
    <w:rsid w:val="0372A4E7"/>
    <w:rsid w:val="0383495F"/>
    <w:rsid w:val="050E7CDB"/>
    <w:rsid w:val="051DA533"/>
    <w:rsid w:val="085443F1"/>
    <w:rsid w:val="096207D9"/>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774645"/>
    <w:pPr>
      <w:tabs>
        <w:tab w:val="left" w:pos="4680"/>
      </w:tabs>
      <w:spacing w:line="240" w:lineRule="auto"/>
      <w:ind w:firstLine="0"/>
      <w:jc w:val="center"/>
      <w:outlineLvl w:val="0"/>
    </w:pPr>
    <w:rPr>
      <w:i/>
      <w:iCs/>
      <w:sz w:val="28"/>
      <w:szCs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ifornialifeline.com/Foster/en" TargetMode="External"/><Relationship Id="rId18" Type="http://schemas.openxmlformats.org/officeDocument/2006/relationships/hyperlink" Target="https://docs.cpuc.ca.gov/PublishedDocs/Published/G000/M583/K056/583056146.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www.californialifeline.com/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alifornialifeline.com/Foster/en" TargetMode="External"/><Relationship Id="rId20" Type="http://schemas.openxmlformats.org/officeDocument/2006/relationships/hyperlink" Target="http://www.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s.cpuc.ca.gov/PublishedDocs/Published/G000/M531/K291/531291841.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cpuc.ca.gov/apex/f?p=401:56::::RP,57,RIR:P5_PROCEEDING_SELECT:R2002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ifornialifeline.com/e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2.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3.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4.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659</ap:Words>
  <ap:Characters>3760</ap:Characters>
  <ap:Application>Microsoft Office Word</ap:Application>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4411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2025-10-13T12:56:24Z</dcterms:created>
  <dcterms:modified xsi:type="dcterms:W3CDTF">2025-10-13T12:56:24Z</dcterms:modified>
</cp:coreProperties>
</file>