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Layout w:type="fixed"/>
        <w:tblLook w:val="0000" w:firstRow="0" w:lastRow="0" w:firstColumn="0" w:lastColumn="0" w:noHBand="0" w:noVBand="0"/>
      </w:tblPr>
      <w:tblGrid>
        <w:gridCol w:w="4425"/>
        <w:gridCol w:w="5133"/>
      </w:tblGrid>
      <w:tr w:rsidRPr="00C26E58" w:rsidR="005918EE" w:rsidTr="4277C904" w14:paraId="38BB642F" w14:textId="77777777">
        <w:trPr>
          <w:trHeight w:val="280" w:hRule="exact"/>
        </w:trPr>
        <w:tc>
          <w:tcPr>
            <w:tcW w:w="4425" w:type="dxa"/>
          </w:tcPr>
          <w:p w:rsidRPr="00C26E58" w:rsidR="005918EE" w:rsidP="003E710C" w:rsidRDefault="005918EE" w14:paraId="27D4B0A7" w14:textId="77777777">
            <w:pPr>
              <w:rPr>
                <w:bCs/>
                <w:sz w:val="26"/>
                <w:szCs w:val="26"/>
              </w:rPr>
            </w:pPr>
            <w:r w:rsidRPr="00C26E58">
              <w:rPr>
                <w:bCs/>
                <w:sz w:val="26"/>
                <w:szCs w:val="26"/>
              </w:rPr>
              <w:t>State of California</w:t>
            </w:r>
          </w:p>
        </w:tc>
        <w:tc>
          <w:tcPr>
            <w:tcW w:w="5133" w:type="dxa"/>
          </w:tcPr>
          <w:p w:rsidRPr="00C26E58" w:rsidR="005918EE" w:rsidP="003E710C" w:rsidRDefault="005918EE" w14:paraId="2589C62C" w14:textId="77777777">
            <w:pPr>
              <w:jc w:val="right"/>
              <w:rPr>
                <w:bCs/>
                <w:sz w:val="26"/>
                <w:szCs w:val="26"/>
              </w:rPr>
            </w:pPr>
            <w:r w:rsidRPr="00C26E58">
              <w:rPr>
                <w:bCs/>
                <w:sz w:val="26"/>
                <w:szCs w:val="26"/>
              </w:rPr>
              <w:t>Public Utilities Commission</w:t>
            </w:r>
          </w:p>
          <w:p w:rsidRPr="00C26E58" w:rsidR="005918EE" w:rsidP="003E710C" w:rsidRDefault="005918EE" w14:paraId="31843A40" w14:textId="77777777">
            <w:pPr>
              <w:rPr>
                <w:bCs/>
                <w:sz w:val="26"/>
                <w:szCs w:val="26"/>
              </w:rPr>
            </w:pPr>
          </w:p>
        </w:tc>
      </w:tr>
      <w:tr w:rsidRPr="00C26E58" w:rsidR="005918EE" w:rsidTr="4277C904" w14:paraId="7FBD1778" w14:textId="77777777">
        <w:tc>
          <w:tcPr>
            <w:tcW w:w="4425" w:type="dxa"/>
          </w:tcPr>
          <w:p w:rsidRPr="00C26E58" w:rsidR="005918EE" w:rsidP="003E710C" w:rsidRDefault="005918EE" w14:paraId="07FF2061" w14:textId="77777777">
            <w:pPr>
              <w:rPr>
                <w:bCs/>
                <w:sz w:val="26"/>
                <w:szCs w:val="26"/>
              </w:rPr>
            </w:pPr>
          </w:p>
        </w:tc>
        <w:tc>
          <w:tcPr>
            <w:tcW w:w="5133" w:type="dxa"/>
          </w:tcPr>
          <w:p w:rsidRPr="00C26E58" w:rsidR="005918EE" w:rsidP="003E710C" w:rsidRDefault="005918EE" w14:paraId="6189D4FF" w14:textId="77777777">
            <w:pPr>
              <w:jc w:val="right"/>
              <w:rPr>
                <w:bCs/>
                <w:sz w:val="26"/>
                <w:szCs w:val="26"/>
              </w:rPr>
            </w:pPr>
            <w:r w:rsidRPr="00C26E58">
              <w:rPr>
                <w:bCs/>
                <w:sz w:val="26"/>
                <w:szCs w:val="26"/>
              </w:rPr>
              <w:t>San Francisco</w:t>
            </w:r>
          </w:p>
        </w:tc>
      </w:tr>
      <w:tr w:rsidRPr="00C26E58" w:rsidR="005918EE" w:rsidTr="4277C904" w14:paraId="295E39D6" w14:textId="77777777">
        <w:tc>
          <w:tcPr>
            <w:tcW w:w="4425" w:type="dxa"/>
          </w:tcPr>
          <w:p w:rsidRPr="00C26E58" w:rsidR="005918EE" w:rsidP="003E710C" w:rsidRDefault="005918EE" w14:paraId="143A58D2" w14:textId="77777777">
            <w:pPr>
              <w:rPr>
                <w:bCs/>
                <w:sz w:val="26"/>
                <w:szCs w:val="26"/>
              </w:rPr>
            </w:pPr>
          </w:p>
        </w:tc>
        <w:tc>
          <w:tcPr>
            <w:tcW w:w="5133" w:type="dxa"/>
          </w:tcPr>
          <w:p w:rsidRPr="00C26E58" w:rsidR="005918EE" w:rsidP="003E710C" w:rsidRDefault="005918EE" w14:paraId="1D6E3E71" w14:textId="77777777">
            <w:pPr>
              <w:rPr>
                <w:bCs/>
                <w:sz w:val="26"/>
                <w:szCs w:val="26"/>
              </w:rPr>
            </w:pPr>
          </w:p>
        </w:tc>
      </w:tr>
      <w:tr w:rsidRPr="00BE698C" w:rsidR="005918EE" w:rsidTr="4277C904" w14:paraId="69CEDD13" w14:textId="77777777">
        <w:tc>
          <w:tcPr>
            <w:tcW w:w="4425" w:type="dxa"/>
          </w:tcPr>
          <w:p w:rsidRPr="00C26E58" w:rsidR="005918EE" w:rsidP="003E710C" w:rsidRDefault="005918EE" w14:paraId="1EDD96D8" w14:textId="77777777">
            <w:pPr>
              <w:rPr>
                <w:bCs/>
                <w:sz w:val="26"/>
                <w:szCs w:val="26"/>
                <w:lang w:val="es-ES"/>
              </w:rPr>
            </w:pPr>
            <w:r w:rsidRPr="00C26E58">
              <w:rPr>
                <w:bCs/>
                <w:sz w:val="26"/>
                <w:szCs w:val="26"/>
                <w:lang w:val="es-ES"/>
              </w:rPr>
              <w:t>M E M O R A N D U M</w:t>
            </w:r>
          </w:p>
        </w:tc>
        <w:tc>
          <w:tcPr>
            <w:tcW w:w="5133" w:type="dxa"/>
          </w:tcPr>
          <w:p w:rsidRPr="00C26E58" w:rsidR="005918EE" w:rsidP="003E710C" w:rsidRDefault="005918EE" w14:paraId="35F0969D" w14:textId="77777777">
            <w:pPr>
              <w:jc w:val="center"/>
              <w:rPr>
                <w:bCs/>
                <w:sz w:val="26"/>
                <w:szCs w:val="26"/>
                <w:u w:val="single"/>
                <w:lang w:val="es-ES"/>
              </w:rPr>
            </w:pPr>
          </w:p>
        </w:tc>
      </w:tr>
      <w:tr w:rsidRPr="00BE698C" w:rsidR="005918EE" w:rsidTr="4277C904" w14:paraId="68CF111B" w14:textId="77777777">
        <w:tc>
          <w:tcPr>
            <w:tcW w:w="4425" w:type="dxa"/>
          </w:tcPr>
          <w:p w:rsidRPr="00C26E58" w:rsidR="005918EE" w:rsidP="003E710C" w:rsidRDefault="005918EE" w14:paraId="40040C27" w14:textId="77777777">
            <w:pPr>
              <w:rPr>
                <w:bCs/>
                <w:sz w:val="26"/>
                <w:szCs w:val="26"/>
                <w:lang w:val="es-ES"/>
              </w:rPr>
            </w:pPr>
          </w:p>
        </w:tc>
        <w:tc>
          <w:tcPr>
            <w:tcW w:w="5133" w:type="dxa"/>
          </w:tcPr>
          <w:p w:rsidRPr="00C26E58" w:rsidR="005918EE" w:rsidP="003E710C" w:rsidRDefault="005918EE" w14:paraId="7652FD5F" w14:textId="77777777">
            <w:pPr>
              <w:jc w:val="right"/>
              <w:rPr>
                <w:bCs/>
                <w:sz w:val="26"/>
                <w:szCs w:val="26"/>
                <w:lang w:val="es-ES"/>
              </w:rPr>
            </w:pPr>
          </w:p>
        </w:tc>
      </w:tr>
    </w:tbl>
    <w:p w:rsidRPr="00C26E58" w:rsidR="005918EE" w:rsidP="005918EE" w:rsidRDefault="005918EE" w14:paraId="6AD032B7" w14:textId="77777777">
      <w:pPr>
        <w:tabs>
          <w:tab w:val="left" w:pos="900"/>
          <w:tab w:val="left" w:pos="1440"/>
        </w:tabs>
        <w:rPr>
          <w:bCs/>
          <w:sz w:val="26"/>
          <w:szCs w:val="26"/>
          <w:lang w:val="es-ES"/>
        </w:rPr>
      </w:pPr>
    </w:p>
    <w:p w:rsidRPr="00C26E58" w:rsidR="005918EE" w:rsidP="4277C904" w:rsidRDefault="005918EE" w14:paraId="568AC890" w14:textId="1FD99BDD">
      <w:pPr>
        <w:tabs>
          <w:tab w:val="left" w:pos="900"/>
          <w:tab w:val="left" w:pos="1440"/>
        </w:tabs>
        <w:rPr>
          <w:bCs/>
          <w:sz w:val="26"/>
          <w:szCs w:val="26"/>
        </w:rPr>
      </w:pPr>
      <w:r w:rsidRPr="00C26E58">
        <w:rPr>
          <w:bCs/>
          <w:sz w:val="26"/>
          <w:szCs w:val="26"/>
        </w:rPr>
        <w:t>Date:</w:t>
      </w:r>
      <w:r w:rsidRPr="00C26E58">
        <w:rPr>
          <w:bCs/>
        </w:rPr>
        <w:tab/>
      </w:r>
      <w:r w:rsidRPr="00C26E58" w:rsidR="00760BB6">
        <w:rPr>
          <w:bCs/>
          <w:sz w:val="26"/>
          <w:szCs w:val="26"/>
        </w:rPr>
        <w:fldChar w:fldCharType="begin"/>
      </w:r>
      <w:r w:rsidRPr="00C26E58" w:rsidR="00760BB6">
        <w:rPr>
          <w:bCs/>
          <w:sz w:val="26"/>
          <w:szCs w:val="26"/>
        </w:rPr>
        <w:instrText xml:space="preserve"> DATE \@ "MMMM d, yyyy" </w:instrText>
      </w:r>
      <w:r w:rsidRPr="00C26E58" w:rsidR="00760BB6">
        <w:rPr>
          <w:bCs/>
          <w:sz w:val="26"/>
          <w:szCs w:val="26"/>
        </w:rPr>
        <w:fldChar w:fldCharType="separate"/>
      </w:r>
      <w:r w:rsidR="007D24EB">
        <w:rPr>
          <w:bCs/>
          <w:noProof/>
          <w:sz w:val="26"/>
          <w:szCs w:val="26"/>
        </w:rPr>
        <w:t>October 15, 2025</w:t>
      </w:r>
      <w:r w:rsidRPr="00C26E58" w:rsidR="00760BB6">
        <w:rPr>
          <w:bCs/>
          <w:sz w:val="26"/>
          <w:szCs w:val="26"/>
        </w:rPr>
        <w:fldChar w:fldCharType="end"/>
      </w:r>
    </w:p>
    <w:p w:rsidRPr="00C26E58" w:rsidR="005918EE" w:rsidP="005918EE" w:rsidRDefault="005918EE" w14:paraId="253D1F5F" w14:textId="77777777">
      <w:pPr>
        <w:tabs>
          <w:tab w:val="left" w:pos="900"/>
          <w:tab w:val="left" w:pos="1440"/>
        </w:tabs>
        <w:rPr>
          <w:bCs/>
          <w:sz w:val="26"/>
          <w:szCs w:val="26"/>
        </w:rPr>
      </w:pPr>
    </w:p>
    <w:p w:rsidRPr="00C26E58" w:rsidR="007F342E" w:rsidP="007F342E" w:rsidRDefault="005918EE" w14:paraId="72A0D390" w14:textId="77777777">
      <w:pPr>
        <w:tabs>
          <w:tab w:val="left" w:pos="900"/>
          <w:tab w:val="left" w:pos="1440"/>
        </w:tabs>
        <w:rPr>
          <w:bCs/>
          <w:sz w:val="26"/>
          <w:szCs w:val="26"/>
        </w:rPr>
      </w:pPr>
      <w:r w:rsidRPr="00C26E58">
        <w:rPr>
          <w:bCs/>
          <w:sz w:val="26"/>
          <w:szCs w:val="26"/>
        </w:rPr>
        <w:t>To:</w:t>
      </w:r>
      <w:r w:rsidRPr="00C26E58">
        <w:rPr>
          <w:bCs/>
        </w:rPr>
        <w:tab/>
      </w:r>
      <w:r w:rsidRPr="00C26E58" w:rsidR="007F342E">
        <w:rPr>
          <w:bCs/>
          <w:sz w:val="26"/>
          <w:szCs w:val="26"/>
        </w:rPr>
        <w:t>President Alice Reynolds</w:t>
      </w:r>
    </w:p>
    <w:p w:rsidRPr="00C26E58" w:rsidR="007F342E" w:rsidP="007F342E" w:rsidRDefault="007F342E" w14:paraId="1EE138E5" w14:textId="27D01194">
      <w:pPr>
        <w:tabs>
          <w:tab w:val="left" w:pos="900"/>
          <w:tab w:val="left" w:pos="1440"/>
        </w:tabs>
        <w:rPr>
          <w:bCs/>
          <w:sz w:val="26"/>
          <w:szCs w:val="26"/>
        </w:rPr>
      </w:pPr>
      <w:r w:rsidRPr="00C26E58">
        <w:rPr>
          <w:bCs/>
          <w:sz w:val="26"/>
          <w:szCs w:val="26"/>
        </w:rPr>
        <w:tab/>
        <w:t>Commissioner Darcie Houck</w:t>
      </w:r>
    </w:p>
    <w:p w:rsidRPr="00C26E58" w:rsidR="007F342E" w:rsidP="007F342E" w:rsidRDefault="007F342E" w14:paraId="41506D27" w14:textId="743F34AD">
      <w:pPr>
        <w:tabs>
          <w:tab w:val="left" w:pos="900"/>
          <w:tab w:val="left" w:pos="1440"/>
        </w:tabs>
        <w:rPr>
          <w:bCs/>
          <w:sz w:val="26"/>
          <w:szCs w:val="26"/>
        </w:rPr>
      </w:pPr>
      <w:r w:rsidRPr="00C26E58">
        <w:rPr>
          <w:bCs/>
          <w:sz w:val="26"/>
          <w:szCs w:val="26"/>
        </w:rPr>
        <w:tab/>
        <w:t>Commissioner John Reynolds</w:t>
      </w:r>
    </w:p>
    <w:p w:rsidRPr="00C26E58" w:rsidR="007F342E" w:rsidP="007F342E" w:rsidRDefault="007F342E" w14:paraId="45784157" w14:textId="23AE4BD5">
      <w:pPr>
        <w:tabs>
          <w:tab w:val="left" w:pos="900"/>
          <w:tab w:val="left" w:pos="1440"/>
        </w:tabs>
        <w:rPr>
          <w:bCs/>
          <w:sz w:val="26"/>
          <w:szCs w:val="26"/>
        </w:rPr>
      </w:pPr>
      <w:r w:rsidRPr="00C26E58">
        <w:rPr>
          <w:bCs/>
          <w:sz w:val="26"/>
          <w:szCs w:val="26"/>
        </w:rPr>
        <w:tab/>
        <w:t>Commissioner Karen Douglas</w:t>
      </w:r>
    </w:p>
    <w:p w:rsidRPr="00C26E58" w:rsidR="007F342E" w:rsidP="007F342E" w:rsidRDefault="007F342E" w14:paraId="03D71E81" w14:textId="709FE798">
      <w:pPr>
        <w:tabs>
          <w:tab w:val="left" w:pos="900"/>
          <w:tab w:val="left" w:pos="1440"/>
        </w:tabs>
        <w:rPr>
          <w:bCs/>
          <w:sz w:val="26"/>
          <w:szCs w:val="26"/>
        </w:rPr>
      </w:pPr>
      <w:r w:rsidRPr="00C26E58">
        <w:rPr>
          <w:bCs/>
          <w:sz w:val="26"/>
          <w:szCs w:val="26"/>
        </w:rPr>
        <w:tab/>
        <w:t>Commissioner Matt Baker</w:t>
      </w:r>
    </w:p>
    <w:p w:rsidRPr="00C26E58" w:rsidR="007F342E" w:rsidP="007F342E" w:rsidRDefault="007F342E" w14:paraId="316F8E15" w14:textId="686D3E8B">
      <w:pPr>
        <w:tabs>
          <w:tab w:val="left" w:pos="900"/>
          <w:tab w:val="left" w:pos="1440"/>
        </w:tabs>
        <w:rPr>
          <w:bCs/>
          <w:sz w:val="26"/>
          <w:szCs w:val="26"/>
        </w:rPr>
      </w:pPr>
      <w:r w:rsidRPr="00C26E58">
        <w:rPr>
          <w:bCs/>
          <w:sz w:val="26"/>
        </w:rPr>
        <w:tab/>
      </w:r>
      <w:r w:rsidRPr="00C26E58">
        <w:rPr>
          <w:bCs/>
          <w:sz w:val="26"/>
          <w:szCs w:val="26"/>
        </w:rPr>
        <w:t xml:space="preserve">(Meeting of </w:t>
      </w:r>
      <w:r w:rsidRPr="00C26E58" w:rsidR="00ED45B3">
        <w:rPr>
          <w:bCs/>
          <w:sz w:val="26"/>
          <w:szCs w:val="26"/>
        </w:rPr>
        <w:t>October 30, 2025</w:t>
      </w:r>
      <w:r w:rsidRPr="00C26E58">
        <w:rPr>
          <w:bCs/>
          <w:sz w:val="26"/>
          <w:szCs w:val="26"/>
        </w:rPr>
        <w:t>)</w:t>
      </w:r>
    </w:p>
    <w:p w:rsidRPr="00C26E58" w:rsidR="007F342E" w:rsidP="007F342E" w:rsidRDefault="007F342E" w14:paraId="1FAA8F8D" w14:textId="77777777">
      <w:pPr>
        <w:tabs>
          <w:tab w:val="left" w:pos="900"/>
          <w:tab w:val="left" w:pos="1440"/>
        </w:tabs>
        <w:rPr>
          <w:bCs/>
          <w:sz w:val="26"/>
          <w:szCs w:val="26"/>
        </w:rPr>
      </w:pPr>
    </w:p>
    <w:p w:rsidRPr="00C26E58" w:rsidR="00263D83" w:rsidP="00D937EC" w:rsidRDefault="005918EE" w14:paraId="4306F195" w14:textId="03C6B39F">
      <w:pPr>
        <w:tabs>
          <w:tab w:val="left" w:pos="900"/>
          <w:tab w:val="left" w:pos="1440"/>
        </w:tabs>
        <w:rPr>
          <w:bCs/>
        </w:rPr>
      </w:pPr>
      <w:r w:rsidRPr="00C26E58">
        <w:rPr>
          <w:bCs/>
          <w:sz w:val="26"/>
          <w:szCs w:val="26"/>
        </w:rPr>
        <w:t>From:</w:t>
      </w:r>
      <w:r w:rsidRPr="00C26E58">
        <w:rPr>
          <w:bCs/>
        </w:rPr>
        <w:tab/>
      </w:r>
      <w:r w:rsidRPr="00C26E58" w:rsidR="00760BB6">
        <w:rPr>
          <w:bCs/>
          <w:sz w:val="26"/>
          <w:szCs w:val="26"/>
        </w:rPr>
        <w:t>Ian Culver</w:t>
      </w:r>
      <w:r w:rsidRPr="00C26E58" w:rsidR="00263D83">
        <w:rPr>
          <w:bCs/>
          <w:sz w:val="26"/>
          <w:szCs w:val="26"/>
        </w:rPr>
        <w:t>, Legal Division</w:t>
      </w:r>
    </w:p>
    <w:p w:rsidRPr="00C26E58" w:rsidR="00014D2D" w:rsidP="00D937EC" w:rsidRDefault="00D937EC" w14:paraId="4289D8F5" w14:textId="478019F8">
      <w:pPr>
        <w:tabs>
          <w:tab w:val="left" w:pos="900"/>
          <w:tab w:val="left" w:pos="1440"/>
        </w:tabs>
        <w:rPr>
          <w:bCs/>
          <w:sz w:val="26"/>
          <w:szCs w:val="26"/>
        </w:rPr>
      </w:pPr>
      <w:r w:rsidRPr="00C26E58">
        <w:rPr>
          <w:bCs/>
          <w:sz w:val="26"/>
          <w:szCs w:val="26"/>
        </w:rPr>
        <w:tab/>
      </w:r>
      <w:r w:rsidRPr="00C26E58" w:rsidR="00014D2D">
        <w:rPr>
          <w:bCs/>
          <w:sz w:val="26"/>
          <w:szCs w:val="26"/>
        </w:rPr>
        <w:t>Cole Przybyla, Communications Division</w:t>
      </w:r>
    </w:p>
    <w:p w:rsidRPr="00C26E58" w:rsidR="00D937EC" w:rsidP="4277C904" w:rsidRDefault="00D937EC" w14:paraId="464F1510" w14:textId="77777777">
      <w:pPr>
        <w:tabs>
          <w:tab w:val="left" w:pos="1440"/>
        </w:tabs>
        <w:ind w:left="1440" w:hanging="1440"/>
        <w:rPr>
          <w:bCs/>
          <w:sz w:val="26"/>
          <w:szCs w:val="26"/>
        </w:rPr>
      </w:pPr>
    </w:p>
    <w:p w:rsidRPr="00C26E58" w:rsidR="00A300BC" w:rsidP="4277C904" w:rsidRDefault="005918EE" w14:paraId="48357A40" w14:textId="1F35B701">
      <w:pPr>
        <w:tabs>
          <w:tab w:val="left" w:pos="1440"/>
        </w:tabs>
        <w:ind w:left="1440" w:hanging="1440"/>
        <w:rPr>
          <w:bCs/>
          <w:i/>
          <w:iCs/>
          <w:sz w:val="26"/>
          <w:szCs w:val="26"/>
        </w:rPr>
      </w:pPr>
      <w:r w:rsidRPr="00C26E58">
        <w:rPr>
          <w:bCs/>
          <w:sz w:val="26"/>
          <w:szCs w:val="26"/>
        </w:rPr>
        <w:t>Subject</w:t>
      </w:r>
      <w:r w:rsidRPr="00C26E58" w:rsidR="00ED45B3">
        <w:rPr>
          <w:bCs/>
          <w:sz w:val="26"/>
          <w:szCs w:val="26"/>
        </w:rPr>
        <w:t xml:space="preserve">: </w:t>
      </w:r>
      <w:r w:rsidRPr="00C26E58" w:rsidR="00ED45B3">
        <w:rPr>
          <w:bCs/>
          <w:sz w:val="26"/>
          <w:szCs w:val="26"/>
        </w:rPr>
        <w:tab/>
        <w:t>Filing</w:t>
      </w:r>
      <w:r w:rsidRPr="00C26E58" w:rsidR="0051350F">
        <w:rPr>
          <w:bCs/>
          <w:sz w:val="26"/>
          <w:szCs w:val="26"/>
        </w:rPr>
        <w:t xml:space="preserve"> Comments on Federal Communications Commission </w:t>
      </w:r>
      <w:r w:rsidRPr="00C26E58" w:rsidR="0051350F">
        <w:rPr>
          <w:bCs/>
          <w:i/>
          <w:iCs/>
          <w:sz w:val="26"/>
          <w:szCs w:val="26"/>
        </w:rPr>
        <w:t>Notice of Inquiry</w:t>
      </w:r>
      <w:r w:rsidRPr="00C26E58" w:rsidR="0051350F">
        <w:rPr>
          <w:bCs/>
          <w:sz w:val="26"/>
          <w:szCs w:val="26"/>
        </w:rPr>
        <w:t xml:space="preserve"> in WC Docket No. 25-253, In the Matter of Build America: Eliminating Barriers to Wireline Deployments</w:t>
      </w:r>
    </w:p>
    <w:p w:rsidRPr="00C26E58" w:rsidR="005918EE" w:rsidP="005918EE" w:rsidRDefault="005918EE" w14:paraId="469FCD0E" w14:textId="77777777">
      <w:pPr>
        <w:tabs>
          <w:tab w:val="left" w:pos="1800"/>
          <w:tab w:val="left" w:pos="2160"/>
        </w:tabs>
        <w:rPr>
          <w:bCs/>
          <w:sz w:val="26"/>
          <w:szCs w:val="26"/>
        </w:rPr>
      </w:pPr>
    </w:p>
    <w:p w:rsidRPr="00C26E58" w:rsidR="005918EE" w:rsidP="005918EE" w:rsidRDefault="005918EE" w14:paraId="7B8A69D3" w14:textId="77777777">
      <w:pPr>
        <w:pStyle w:val="BodyText"/>
        <w:spacing w:after="0"/>
        <w:rPr>
          <w:bCs/>
          <w:szCs w:val="26"/>
          <w:u w:val="single"/>
        </w:rPr>
      </w:pPr>
    </w:p>
    <w:p w:rsidR="00DA69A0" w:rsidP="00E40D90" w:rsidRDefault="005918EE" w14:paraId="2BA6B296" w14:textId="1D5378AC">
      <w:pPr>
        <w:rPr>
          <w:b/>
          <w:sz w:val="26"/>
          <w:szCs w:val="26"/>
        </w:rPr>
      </w:pPr>
      <w:r w:rsidRPr="00615D58">
        <w:rPr>
          <w:b/>
          <w:sz w:val="26"/>
          <w:szCs w:val="26"/>
          <w:u w:val="single"/>
        </w:rPr>
        <w:t>RECOMMENDATION</w:t>
      </w:r>
      <w:r>
        <w:rPr>
          <w:b/>
          <w:sz w:val="26"/>
          <w:szCs w:val="26"/>
        </w:rPr>
        <w:t>:</w:t>
      </w:r>
    </w:p>
    <w:p w:rsidR="00DA69A0" w:rsidP="00E40D90" w:rsidRDefault="00DA69A0" w14:paraId="5A1D5B46" w14:textId="77777777">
      <w:pPr>
        <w:rPr>
          <w:b/>
          <w:sz w:val="26"/>
          <w:szCs w:val="26"/>
        </w:rPr>
      </w:pPr>
    </w:p>
    <w:p w:rsidR="009D256A" w:rsidP="009D256A" w:rsidRDefault="0051350F" w14:paraId="2A708371" w14:textId="32174E95">
      <w:pPr>
        <w:rPr>
          <w:bCs/>
          <w:sz w:val="26"/>
          <w:szCs w:val="26"/>
        </w:rPr>
      </w:pPr>
      <w:r>
        <w:rPr>
          <w:bCs/>
          <w:sz w:val="26"/>
          <w:szCs w:val="26"/>
        </w:rPr>
        <w:t xml:space="preserve">CPUC </w:t>
      </w:r>
      <w:r w:rsidR="00FE47B8">
        <w:rPr>
          <w:bCs/>
          <w:sz w:val="26"/>
          <w:szCs w:val="26"/>
        </w:rPr>
        <w:t xml:space="preserve">Staff </w:t>
      </w:r>
      <w:r w:rsidR="00AC3143">
        <w:rPr>
          <w:bCs/>
          <w:sz w:val="26"/>
          <w:szCs w:val="26"/>
        </w:rPr>
        <w:t>requests authority to</w:t>
      </w:r>
      <w:r w:rsidR="00FE47B8">
        <w:rPr>
          <w:bCs/>
          <w:sz w:val="26"/>
          <w:szCs w:val="26"/>
        </w:rPr>
        <w:t xml:space="preserve"> </w:t>
      </w:r>
      <w:r>
        <w:rPr>
          <w:bCs/>
          <w:sz w:val="26"/>
          <w:szCs w:val="26"/>
        </w:rPr>
        <w:t xml:space="preserve">file opening and/or reply comments on the Federal Communications Commission’s (FCC) </w:t>
      </w:r>
      <w:r w:rsidRPr="0051350F">
        <w:rPr>
          <w:bCs/>
          <w:i/>
          <w:iCs/>
          <w:sz w:val="26"/>
          <w:szCs w:val="26"/>
        </w:rPr>
        <w:t>Notice of Inquiry</w:t>
      </w:r>
      <w:r>
        <w:rPr>
          <w:bCs/>
          <w:sz w:val="26"/>
          <w:szCs w:val="26"/>
        </w:rPr>
        <w:t xml:space="preserve">, adopted on September 30, 2025, in </w:t>
      </w:r>
      <w:r w:rsidR="00A432FF">
        <w:rPr>
          <w:bCs/>
          <w:sz w:val="26"/>
          <w:szCs w:val="26"/>
        </w:rPr>
        <w:t>WC Docket No. 25-253, In the Matter of Build America: Eliminating Barriers to Wireline Deployments</w:t>
      </w:r>
      <w:r w:rsidR="00550B71">
        <w:rPr>
          <w:bCs/>
          <w:sz w:val="26"/>
          <w:szCs w:val="26"/>
        </w:rPr>
        <w:t xml:space="preserve"> to </w:t>
      </w:r>
      <w:r w:rsidR="00AC3143">
        <w:rPr>
          <w:bCs/>
          <w:sz w:val="26"/>
          <w:szCs w:val="26"/>
        </w:rPr>
        <w:t xml:space="preserve">safeguard </w:t>
      </w:r>
      <w:r w:rsidR="00550B71">
        <w:rPr>
          <w:bCs/>
          <w:sz w:val="26"/>
          <w:szCs w:val="26"/>
        </w:rPr>
        <w:t>the continued ability of states and localities to impose reasonable public interest regulations</w:t>
      </w:r>
      <w:r w:rsidR="00AC3143">
        <w:rPr>
          <w:bCs/>
          <w:sz w:val="26"/>
          <w:szCs w:val="26"/>
        </w:rPr>
        <w:t xml:space="preserve"> on telecommunications providers, as set forth more fully herein</w:t>
      </w:r>
      <w:r>
        <w:rPr>
          <w:bCs/>
          <w:sz w:val="26"/>
          <w:szCs w:val="26"/>
        </w:rPr>
        <w:t xml:space="preserve">. The FCC seeks comment on </w:t>
      </w:r>
      <w:r w:rsidRPr="009D256A" w:rsidR="009D256A">
        <w:rPr>
          <w:bCs/>
          <w:sz w:val="26"/>
          <w:szCs w:val="26"/>
        </w:rPr>
        <w:t>(1) the delays that providers</w:t>
      </w:r>
      <w:r w:rsidR="009D256A">
        <w:rPr>
          <w:bCs/>
          <w:sz w:val="26"/>
          <w:szCs w:val="26"/>
        </w:rPr>
        <w:t xml:space="preserve"> </w:t>
      </w:r>
      <w:r w:rsidRPr="009D256A" w:rsidR="009D256A">
        <w:rPr>
          <w:bCs/>
          <w:sz w:val="26"/>
          <w:szCs w:val="26"/>
        </w:rPr>
        <w:t>encounter when seeking authorizations to access and use public rights</w:t>
      </w:r>
      <w:r w:rsidR="009D256A">
        <w:rPr>
          <w:bCs/>
          <w:sz w:val="26"/>
          <w:szCs w:val="26"/>
        </w:rPr>
        <w:t>-</w:t>
      </w:r>
      <w:r w:rsidRPr="009D256A" w:rsidR="009D256A">
        <w:rPr>
          <w:bCs/>
          <w:sz w:val="26"/>
          <w:szCs w:val="26"/>
        </w:rPr>
        <w:t>of-way to provide wireline telecommunications services; (2) the fees imposed on providers when seeking</w:t>
      </w:r>
      <w:r w:rsidR="009D256A">
        <w:rPr>
          <w:bCs/>
          <w:sz w:val="26"/>
          <w:szCs w:val="26"/>
        </w:rPr>
        <w:t xml:space="preserve"> </w:t>
      </w:r>
      <w:r w:rsidRPr="009D256A" w:rsidR="009D256A">
        <w:rPr>
          <w:bCs/>
          <w:sz w:val="26"/>
          <w:szCs w:val="26"/>
        </w:rPr>
        <w:t>such authorizations; (3) the in-kind compensation requirements imposed on providers as a condition of accessing and using public rights-of-way; and (4) whether these fees,</w:t>
      </w:r>
      <w:r w:rsidR="009D256A">
        <w:rPr>
          <w:bCs/>
          <w:sz w:val="26"/>
          <w:szCs w:val="26"/>
        </w:rPr>
        <w:t xml:space="preserve"> </w:t>
      </w:r>
      <w:r w:rsidRPr="009D256A" w:rsidR="009D256A">
        <w:rPr>
          <w:bCs/>
          <w:sz w:val="26"/>
          <w:szCs w:val="26"/>
        </w:rPr>
        <w:t>delays, and conditions prohibit or have the effect of prohibiting the provision of wireline</w:t>
      </w:r>
      <w:r w:rsidR="009D256A">
        <w:rPr>
          <w:bCs/>
          <w:sz w:val="26"/>
          <w:szCs w:val="26"/>
        </w:rPr>
        <w:t xml:space="preserve"> </w:t>
      </w:r>
      <w:r w:rsidRPr="009D256A" w:rsidR="009D256A">
        <w:rPr>
          <w:bCs/>
          <w:sz w:val="26"/>
          <w:szCs w:val="26"/>
        </w:rPr>
        <w:t xml:space="preserve">telecommunications services in violation of section 253. </w:t>
      </w:r>
      <w:r w:rsidR="009D256A">
        <w:rPr>
          <w:bCs/>
          <w:sz w:val="26"/>
          <w:szCs w:val="26"/>
        </w:rPr>
        <w:t xml:space="preserve">The FCC also seeks </w:t>
      </w:r>
      <w:r w:rsidRPr="009D256A" w:rsidR="006B48C7">
        <w:rPr>
          <w:bCs/>
          <w:sz w:val="26"/>
          <w:szCs w:val="26"/>
        </w:rPr>
        <w:t>comments</w:t>
      </w:r>
      <w:r w:rsidRPr="009D256A" w:rsidR="009D256A">
        <w:rPr>
          <w:bCs/>
          <w:sz w:val="26"/>
          <w:szCs w:val="26"/>
        </w:rPr>
        <w:t xml:space="preserve"> on other types</w:t>
      </w:r>
      <w:r w:rsidR="009D256A">
        <w:rPr>
          <w:bCs/>
          <w:sz w:val="26"/>
          <w:szCs w:val="26"/>
        </w:rPr>
        <w:t xml:space="preserve"> </w:t>
      </w:r>
      <w:r w:rsidRPr="009D256A" w:rsidR="009D256A">
        <w:rPr>
          <w:bCs/>
          <w:sz w:val="26"/>
          <w:szCs w:val="26"/>
        </w:rPr>
        <w:t>of requirements that have a prohibitive effect on wireline telecommunications</w:t>
      </w:r>
      <w:r w:rsidR="009D256A">
        <w:rPr>
          <w:bCs/>
          <w:sz w:val="26"/>
          <w:szCs w:val="26"/>
        </w:rPr>
        <w:t xml:space="preserve"> </w:t>
      </w:r>
      <w:r w:rsidRPr="009D256A" w:rsidR="009D256A">
        <w:rPr>
          <w:bCs/>
          <w:sz w:val="26"/>
          <w:szCs w:val="26"/>
        </w:rPr>
        <w:t>deployments and services within the meaning of section 253</w:t>
      </w:r>
      <w:r w:rsidR="009D256A">
        <w:rPr>
          <w:bCs/>
          <w:sz w:val="26"/>
          <w:szCs w:val="26"/>
        </w:rPr>
        <w:t>.</w:t>
      </w:r>
    </w:p>
    <w:p w:rsidR="00C26E58" w:rsidP="009D256A" w:rsidRDefault="00C26E58" w14:paraId="5BC73C69" w14:textId="77777777">
      <w:pPr>
        <w:rPr>
          <w:bCs/>
          <w:sz w:val="26"/>
          <w:szCs w:val="26"/>
        </w:rPr>
      </w:pPr>
    </w:p>
    <w:p w:rsidR="00C26E58" w:rsidRDefault="00C26E58" w14:paraId="7F332560" w14:textId="2518B7E7">
      <w:pPr>
        <w:rPr>
          <w:bCs/>
          <w:sz w:val="26"/>
          <w:szCs w:val="26"/>
        </w:rPr>
      </w:pPr>
      <w:r>
        <w:rPr>
          <w:bCs/>
          <w:sz w:val="26"/>
          <w:szCs w:val="26"/>
        </w:rPr>
        <w:br w:type="page"/>
      </w:r>
    </w:p>
    <w:p w:rsidR="00DA69A0" w:rsidP="007F0760" w:rsidRDefault="00872890" w14:paraId="3F0450B8" w14:textId="053A0160">
      <w:pPr>
        <w:rPr>
          <w:sz w:val="26"/>
          <w:szCs w:val="26"/>
        </w:rPr>
      </w:pPr>
      <w:r w:rsidRPr="4277C904">
        <w:rPr>
          <w:b/>
          <w:bCs/>
          <w:sz w:val="26"/>
          <w:szCs w:val="26"/>
          <w:u w:val="single"/>
        </w:rPr>
        <w:lastRenderedPageBreak/>
        <w:t>BACKGROUND</w:t>
      </w:r>
      <w:r w:rsidRPr="4277C904" w:rsidR="00A12456">
        <w:rPr>
          <w:b/>
          <w:bCs/>
          <w:sz w:val="26"/>
          <w:szCs w:val="26"/>
        </w:rPr>
        <w:t>:</w:t>
      </w:r>
    </w:p>
    <w:p w:rsidR="00DA69A0" w:rsidP="007F0760" w:rsidRDefault="00DA69A0" w14:paraId="4EE73E8F" w14:textId="77777777">
      <w:pPr>
        <w:rPr>
          <w:sz w:val="26"/>
          <w:szCs w:val="26"/>
        </w:rPr>
      </w:pPr>
    </w:p>
    <w:p w:rsidR="00303E53" w:rsidP="007F0760" w:rsidRDefault="00303E53" w14:paraId="42C0E103" w14:textId="135622B9">
      <w:pPr>
        <w:rPr>
          <w:sz w:val="26"/>
          <w:szCs w:val="26"/>
        </w:rPr>
      </w:pPr>
      <w:r w:rsidRPr="002935B6">
        <w:rPr>
          <w:sz w:val="26"/>
          <w:szCs w:val="26"/>
        </w:rPr>
        <w:t xml:space="preserve">On September 30, 2025, </w:t>
      </w:r>
      <w:r w:rsidRPr="002935B6" w:rsidR="002935B6">
        <w:rPr>
          <w:sz w:val="26"/>
          <w:szCs w:val="26"/>
        </w:rPr>
        <w:t xml:space="preserve">the FCC adopted its </w:t>
      </w:r>
      <w:r w:rsidRPr="002935B6" w:rsidR="002935B6">
        <w:rPr>
          <w:i/>
          <w:iCs/>
          <w:sz w:val="26"/>
          <w:szCs w:val="26"/>
        </w:rPr>
        <w:t xml:space="preserve">Notice of </w:t>
      </w:r>
      <w:r w:rsidRPr="002935B6" w:rsidR="006B48C7">
        <w:rPr>
          <w:i/>
          <w:iCs/>
          <w:sz w:val="26"/>
          <w:szCs w:val="26"/>
        </w:rPr>
        <w:t>Inquiry</w:t>
      </w:r>
      <w:r w:rsidRPr="002935B6" w:rsidR="002935B6">
        <w:rPr>
          <w:sz w:val="26"/>
          <w:szCs w:val="26"/>
        </w:rPr>
        <w:t xml:space="preserve"> in WC Docket </w:t>
      </w:r>
      <w:r w:rsidR="00C26E58">
        <w:rPr>
          <w:sz w:val="26"/>
          <w:szCs w:val="26"/>
        </w:rPr>
        <w:br/>
      </w:r>
      <w:r w:rsidRPr="002935B6" w:rsidR="002935B6">
        <w:rPr>
          <w:sz w:val="26"/>
          <w:szCs w:val="26"/>
        </w:rPr>
        <w:t>No. 25-253, In the Matter of Build America: Eliminating Barriers to Wireline Deployments</w:t>
      </w:r>
      <w:r w:rsidR="000C13A9">
        <w:rPr>
          <w:sz w:val="26"/>
          <w:szCs w:val="26"/>
        </w:rPr>
        <w:t xml:space="preserve"> (</w:t>
      </w:r>
      <w:r w:rsidRPr="000C13A9" w:rsidR="000C13A9">
        <w:rPr>
          <w:i/>
          <w:iCs/>
          <w:sz w:val="26"/>
          <w:szCs w:val="26"/>
        </w:rPr>
        <w:t>NOI</w:t>
      </w:r>
      <w:r w:rsidR="000C13A9">
        <w:rPr>
          <w:sz w:val="26"/>
          <w:szCs w:val="26"/>
        </w:rPr>
        <w:t>)</w:t>
      </w:r>
      <w:r w:rsidR="002935B6">
        <w:rPr>
          <w:sz w:val="26"/>
          <w:szCs w:val="26"/>
        </w:rPr>
        <w:t>.</w:t>
      </w:r>
      <w:r w:rsidR="00C26E58">
        <w:rPr>
          <w:sz w:val="26"/>
          <w:szCs w:val="26"/>
        </w:rPr>
        <w:t xml:space="preserve"> </w:t>
      </w:r>
      <w:r w:rsidR="002935B6">
        <w:rPr>
          <w:sz w:val="26"/>
          <w:szCs w:val="26"/>
        </w:rPr>
        <w:t xml:space="preserve"> </w:t>
      </w:r>
      <w:r w:rsidR="00C26E58">
        <w:rPr>
          <w:sz w:val="26"/>
          <w:szCs w:val="26"/>
        </w:rPr>
        <w:t>NOI</w:t>
      </w:r>
      <w:r w:rsidR="000C13A9">
        <w:rPr>
          <w:sz w:val="26"/>
          <w:szCs w:val="26"/>
        </w:rPr>
        <w:t xml:space="preserve"> </w:t>
      </w:r>
      <w:r w:rsidR="002935B6">
        <w:rPr>
          <w:sz w:val="26"/>
          <w:szCs w:val="26"/>
        </w:rPr>
        <w:t xml:space="preserve">calls for comments by November 17, 2025, with reply comments due by December 17, 2025. </w:t>
      </w:r>
    </w:p>
    <w:p w:rsidR="00584E0A" w:rsidP="007F0760" w:rsidRDefault="00584E0A" w14:paraId="73AC0B8B" w14:textId="77777777">
      <w:pPr>
        <w:rPr>
          <w:sz w:val="26"/>
          <w:szCs w:val="26"/>
        </w:rPr>
      </w:pPr>
    </w:p>
    <w:p w:rsidRPr="002935B6" w:rsidR="00584E0A" w:rsidP="000C13A9" w:rsidRDefault="002B11B4" w14:paraId="0403EF79" w14:textId="7522F353">
      <w:pPr>
        <w:rPr>
          <w:sz w:val="26"/>
          <w:szCs w:val="26"/>
        </w:rPr>
      </w:pPr>
      <w:r>
        <w:rPr>
          <w:sz w:val="26"/>
          <w:szCs w:val="26"/>
        </w:rPr>
        <w:t xml:space="preserve">The FCC sees the </w:t>
      </w:r>
      <w:r w:rsidRPr="000C13A9" w:rsidR="000C13A9">
        <w:rPr>
          <w:i/>
          <w:iCs/>
          <w:sz w:val="26"/>
          <w:szCs w:val="26"/>
        </w:rPr>
        <w:t>NOI</w:t>
      </w:r>
      <w:r w:rsidR="000C13A9">
        <w:rPr>
          <w:sz w:val="26"/>
          <w:szCs w:val="26"/>
        </w:rPr>
        <w:t xml:space="preserve"> </w:t>
      </w:r>
      <w:r>
        <w:rPr>
          <w:sz w:val="26"/>
          <w:szCs w:val="26"/>
        </w:rPr>
        <w:t>a</w:t>
      </w:r>
      <w:r w:rsidR="000C13A9">
        <w:rPr>
          <w:sz w:val="26"/>
          <w:szCs w:val="26"/>
        </w:rPr>
        <w:t xml:space="preserve">s a next step following its 2018 </w:t>
      </w:r>
      <w:r w:rsidRPr="000C13A9" w:rsidR="000C13A9">
        <w:rPr>
          <w:i/>
          <w:iCs/>
          <w:sz w:val="26"/>
          <w:szCs w:val="26"/>
        </w:rPr>
        <w:t>Moratoria Order</w:t>
      </w:r>
      <w:r w:rsidR="000C13A9">
        <w:rPr>
          <w:sz w:val="26"/>
          <w:szCs w:val="26"/>
        </w:rPr>
        <w:t>,</w:t>
      </w:r>
      <w:r w:rsidR="00151132">
        <w:rPr>
          <w:rStyle w:val="FootnoteReference"/>
          <w:szCs w:val="26"/>
        </w:rPr>
        <w:footnoteReference w:id="2"/>
      </w:r>
      <w:r w:rsidR="000C13A9">
        <w:rPr>
          <w:sz w:val="26"/>
          <w:szCs w:val="26"/>
        </w:rPr>
        <w:t xml:space="preserve"> which declared that legal requirements that expressly or effectively </w:t>
      </w:r>
      <w:r w:rsidRPr="000C13A9" w:rsidR="000C13A9">
        <w:rPr>
          <w:sz w:val="26"/>
          <w:szCs w:val="26"/>
        </w:rPr>
        <w:t>prevent or suspend the acceptance, processing, or</w:t>
      </w:r>
      <w:r w:rsidR="000C13A9">
        <w:rPr>
          <w:sz w:val="26"/>
          <w:szCs w:val="26"/>
        </w:rPr>
        <w:t xml:space="preserve"> </w:t>
      </w:r>
      <w:r w:rsidRPr="000C13A9" w:rsidR="000C13A9">
        <w:rPr>
          <w:sz w:val="26"/>
          <w:szCs w:val="26"/>
        </w:rPr>
        <w:t>approval of applications or permits necessary for deploying telecommunications services and/or facilities</w:t>
      </w:r>
      <w:r w:rsidR="000C13A9">
        <w:rPr>
          <w:sz w:val="26"/>
          <w:szCs w:val="26"/>
        </w:rPr>
        <w:t xml:space="preserve"> </w:t>
      </w:r>
      <w:r w:rsidRPr="000C13A9" w:rsidR="000C13A9">
        <w:rPr>
          <w:sz w:val="26"/>
          <w:szCs w:val="26"/>
        </w:rPr>
        <w:t>are unlawful under section 253</w:t>
      </w:r>
      <w:r w:rsidR="000C13A9">
        <w:rPr>
          <w:sz w:val="26"/>
          <w:szCs w:val="26"/>
        </w:rPr>
        <w:t xml:space="preserve">, as well as its 2018 </w:t>
      </w:r>
      <w:r w:rsidRPr="002B11B4">
        <w:rPr>
          <w:i/>
          <w:iCs/>
          <w:sz w:val="26"/>
          <w:szCs w:val="26"/>
        </w:rPr>
        <w:t>Small Cell Order</w:t>
      </w:r>
      <w:r>
        <w:rPr>
          <w:sz w:val="26"/>
          <w:szCs w:val="26"/>
        </w:rPr>
        <w:t>.</w:t>
      </w:r>
      <w:r w:rsidR="00151132">
        <w:rPr>
          <w:rStyle w:val="FootnoteReference"/>
          <w:szCs w:val="26"/>
        </w:rPr>
        <w:footnoteReference w:id="3"/>
      </w:r>
      <w:r w:rsidR="008C0776">
        <w:rPr>
          <w:sz w:val="26"/>
          <w:szCs w:val="26"/>
        </w:rPr>
        <w:t xml:space="preserve">  The CPUC previously commented and replied to comments in the proceedings that led to 2018’s </w:t>
      </w:r>
      <w:r w:rsidRPr="00601B2A" w:rsidR="008C0776">
        <w:rPr>
          <w:i/>
          <w:iCs/>
          <w:sz w:val="26"/>
          <w:szCs w:val="26"/>
        </w:rPr>
        <w:t>Moratoria Order</w:t>
      </w:r>
      <w:r w:rsidR="008C0776">
        <w:rPr>
          <w:sz w:val="26"/>
          <w:szCs w:val="26"/>
        </w:rPr>
        <w:t xml:space="preserve"> and </w:t>
      </w:r>
      <w:r w:rsidRPr="00EE7209" w:rsidR="008C0776">
        <w:rPr>
          <w:i/>
          <w:iCs/>
          <w:sz w:val="26"/>
          <w:szCs w:val="26"/>
        </w:rPr>
        <w:t>Small Cell Order</w:t>
      </w:r>
      <w:r w:rsidR="008C0776">
        <w:rPr>
          <w:i/>
          <w:iCs/>
          <w:sz w:val="26"/>
          <w:szCs w:val="26"/>
        </w:rPr>
        <w:t xml:space="preserve"> </w:t>
      </w:r>
      <w:r w:rsidR="008C0776">
        <w:rPr>
          <w:sz w:val="26"/>
          <w:szCs w:val="26"/>
        </w:rPr>
        <w:t>on June 15, 2017, and July 17, 2017.</w:t>
      </w:r>
    </w:p>
    <w:p w:rsidR="00303E53" w:rsidP="007F0760" w:rsidRDefault="00303E53" w14:paraId="7C0805EC" w14:textId="77777777">
      <w:pPr>
        <w:rPr>
          <w:sz w:val="26"/>
          <w:szCs w:val="26"/>
        </w:rPr>
      </w:pPr>
    </w:p>
    <w:p w:rsidR="002B11B4" w:rsidP="002B11B4" w:rsidRDefault="002B11B4" w14:paraId="002357AE" w14:textId="0882E5B1">
      <w:pPr>
        <w:rPr>
          <w:sz w:val="26"/>
          <w:szCs w:val="26"/>
        </w:rPr>
      </w:pPr>
      <w:r>
        <w:rPr>
          <w:sz w:val="26"/>
          <w:szCs w:val="26"/>
        </w:rPr>
        <w:t xml:space="preserve">The FCC poses many detailed questions and seeks analysis on the following broad topics: authorization delays, excessive fees, conditioning approvals on in-kind compensation, other types or categories of </w:t>
      </w:r>
      <w:r w:rsidRPr="002B11B4">
        <w:rPr>
          <w:sz w:val="26"/>
          <w:szCs w:val="26"/>
        </w:rPr>
        <w:t>state or local requirements</w:t>
      </w:r>
      <w:r>
        <w:rPr>
          <w:sz w:val="26"/>
          <w:szCs w:val="26"/>
        </w:rPr>
        <w:t xml:space="preserve"> </w:t>
      </w:r>
      <w:r w:rsidRPr="002B11B4">
        <w:rPr>
          <w:sz w:val="26"/>
          <w:szCs w:val="26"/>
        </w:rPr>
        <w:t>that commenters believe prohibit or have the effect of prohibiting the provision of wireline</w:t>
      </w:r>
      <w:r>
        <w:rPr>
          <w:sz w:val="26"/>
          <w:szCs w:val="26"/>
        </w:rPr>
        <w:t xml:space="preserve"> </w:t>
      </w:r>
      <w:r w:rsidRPr="002B11B4">
        <w:rPr>
          <w:sz w:val="26"/>
          <w:szCs w:val="26"/>
        </w:rPr>
        <w:t>telecommunications service</w:t>
      </w:r>
      <w:r>
        <w:rPr>
          <w:sz w:val="26"/>
          <w:szCs w:val="26"/>
        </w:rPr>
        <w:t xml:space="preserve">, and whether commingled facilities are subject to special requirements. </w:t>
      </w:r>
      <w:r w:rsidR="00FE47B8">
        <w:rPr>
          <w:sz w:val="26"/>
          <w:szCs w:val="26"/>
        </w:rPr>
        <w:t>In total, t</w:t>
      </w:r>
      <w:r w:rsidR="003D6F58">
        <w:rPr>
          <w:sz w:val="26"/>
          <w:szCs w:val="26"/>
        </w:rPr>
        <w:t xml:space="preserve">he </w:t>
      </w:r>
      <w:r w:rsidRPr="003D6F58" w:rsidR="003D6F58">
        <w:rPr>
          <w:i/>
          <w:iCs/>
          <w:sz w:val="26"/>
          <w:szCs w:val="26"/>
        </w:rPr>
        <w:t>NOI</w:t>
      </w:r>
      <w:r w:rsidR="003D6F58">
        <w:rPr>
          <w:sz w:val="26"/>
          <w:szCs w:val="26"/>
        </w:rPr>
        <w:t xml:space="preserve"> asks more than 200 questions.</w:t>
      </w:r>
    </w:p>
    <w:p w:rsidR="002B11B4" w:rsidP="002B11B4" w:rsidRDefault="002B11B4" w14:paraId="43535645" w14:textId="77777777">
      <w:pPr>
        <w:rPr>
          <w:sz w:val="26"/>
          <w:szCs w:val="26"/>
        </w:rPr>
      </w:pPr>
    </w:p>
    <w:p w:rsidRPr="00EE7209" w:rsidR="003D6F58" w:rsidP="002B11B4" w:rsidRDefault="006B48C7" w14:paraId="4473BE8D" w14:textId="73878933">
      <w:pPr>
        <w:rPr>
          <w:sz w:val="26"/>
          <w:szCs w:val="26"/>
        </w:rPr>
      </w:pPr>
      <w:r>
        <w:rPr>
          <w:sz w:val="26"/>
          <w:szCs w:val="26"/>
        </w:rPr>
        <w:t>For</w:t>
      </w:r>
      <w:r w:rsidR="003D6F58">
        <w:rPr>
          <w:sz w:val="26"/>
          <w:szCs w:val="26"/>
        </w:rPr>
        <w:t xml:space="preserve"> </w:t>
      </w:r>
      <w:r w:rsidR="00FE47B8">
        <w:rPr>
          <w:sz w:val="26"/>
          <w:szCs w:val="26"/>
        </w:rPr>
        <w:t xml:space="preserve">its </w:t>
      </w:r>
      <w:r w:rsidR="003D6F58">
        <w:rPr>
          <w:sz w:val="26"/>
          <w:szCs w:val="26"/>
        </w:rPr>
        <w:t xml:space="preserve">opening </w:t>
      </w:r>
      <w:r w:rsidRPr="00EE7209" w:rsidR="003D6F58">
        <w:rPr>
          <w:sz w:val="26"/>
          <w:szCs w:val="26"/>
        </w:rPr>
        <w:t xml:space="preserve">comments, </w:t>
      </w:r>
      <w:r w:rsidR="00FE47B8">
        <w:rPr>
          <w:sz w:val="26"/>
          <w:szCs w:val="26"/>
        </w:rPr>
        <w:t xml:space="preserve">CPUC Staff </w:t>
      </w:r>
      <w:r w:rsidR="00A432FF">
        <w:rPr>
          <w:sz w:val="26"/>
          <w:szCs w:val="26"/>
        </w:rPr>
        <w:t xml:space="preserve">recommend </w:t>
      </w:r>
      <w:r w:rsidRPr="00EE7209" w:rsidR="003D6F58">
        <w:rPr>
          <w:sz w:val="26"/>
          <w:szCs w:val="26"/>
        </w:rPr>
        <w:t xml:space="preserve">the CPUC </w:t>
      </w:r>
      <w:r w:rsidR="008C0776">
        <w:rPr>
          <w:sz w:val="26"/>
          <w:szCs w:val="26"/>
        </w:rPr>
        <w:t>address</w:t>
      </w:r>
      <w:r w:rsidRPr="00EE7209" w:rsidR="003D6F58">
        <w:rPr>
          <w:sz w:val="26"/>
          <w:szCs w:val="26"/>
        </w:rPr>
        <w:t xml:space="preserve"> the FCC’s statements regarding its purported legal authority. </w:t>
      </w:r>
    </w:p>
    <w:p w:rsidRPr="00EE7209" w:rsidR="00EE7209" w:rsidP="002B11B4" w:rsidRDefault="00EE7209" w14:paraId="792AB464" w14:textId="77777777">
      <w:pPr>
        <w:rPr>
          <w:sz w:val="26"/>
          <w:szCs w:val="26"/>
        </w:rPr>
      </w:pPr>
    </w:p>
    <w:p w:rsidRPr="00EE7209" w:rsidR="00EE7209" w:rsidP="00C26E58" w:rsidRDefault="00EE7209" w14:paraId="12A041D4" w14:textId="299823EB">
      <w:pPr>
        <w:pStyle w:val="ListParagraph"/>
        <w:numPr>
          <w:ilvl w:val="0"/>
          <w:numId w:val="23"/>
        </w:numPr>
        <w:spacing w:after="120"/>
        <w:ind w:left="1800" w:right="1354"/>
        <w:rPr>
          <w:rFonts w:ascii="Times New Roman" w:hAnsi="Times New Roman" w:cs="Times New Roman"/>
          <w:sz w:val="26"/>
          <w:szCs w:val="26"/>
        </w:rPr>
      </w:pPr>
      <w:r w:rsidRPr="00EE7209">
        <w:rPr>
          <w:rFonts w:ascii="Times New Roman" w:hAnsi="Times New Roman" w:cs="Times New Roman"/>
          <w:sz w:val="26"/>
          <w:szCs w:val="26"/>
        </w:rPr>
        <w:t xml:space="preserve">In Paragraph 56, the </w:t>
      </w:r>
      <w:r w:rsidRPr="00AC3143">
        <w:rPr>
          <w:rFonts w:ascii="Times New Roman" w:hAnsi="Times New Roman" w:cs="Times New Roman"/>
          <w:i/>
          <w:iCs/>
          <w:sz w:val="26"/>
          <w:szCs w:val="26"/>
        </w:rPr>
        <w:t>NOI</w:t>
      </w:r>
      <w:r w:rsidRPr="00EE7209">
        <w:rPr>
          <w:rFonts w:ascii="Times New Roman" w:hAnsi="Times New Roman" w:cs="Times New Roman"/>
          <w:sz w:val="26"/>
          <w:szCs w:val="26"/>
        </w:rPr>
        <w:t xml:space="preserve"> tentatively conclude</w:t>
      </w:r>
      <w:r w:rsidR="00A432FF">
        <w:rPr>
          <w:rFonts w:ascii="Times New Roman" w:hAnsi="Times New Roman" w:cs="Times New Roman"/>
          <w:sz w:val="26"/>
          <w:szCs w:val="26"/>
        </w:rPr>
        <w:t>s</w:t>
      </w:r>
      <w:r w:rsidRPr="00EE7209">
        <w:rPr>
          <w:rFonts w:ascii="Times New Roman" w:hAnsi="Times New Roman" w:cs="Times New Roman"/>
          <w:sz w:val="26"/>
          <w:szCs w:val="26"/>
        </w:rPr>
        <w:t xml:space="preserve"> that the </w:t>
      </w:r>
      <w:r w:rsidR="00A432FF">
        <w:rPr>
          <w:rFonts w:ascii="Times New Roman" w:hAnsi="Times New Roman" w:cs="Times New Roman"/>
          <w:sz w:val="26"/>
          <w:szCs w:val="26"/>
        </w:rPr>
        <w:t>FCC</w:t>
      </w:r>
      <w:r w:rsidRPr="00EE7209" w:rsidR="00A432FF">
        <w:rPr>
          <w:rFonts w:ascii="Times New Roman" w:hAnsi="Times New Roman" w:cs="Times New Roman"/>
          <w:sz w:val="26"/>
          <w:szCs w:val="26"/>
        </w:rPr>
        <w:t xml:space="preserve"> </w:t>
      </w:r>
      <w:r w:rsidRPr="00EE7209">
        <w:rPr>
          <w:rFonts w:ascii="Times New Roman" w:hAnsi="Times New Roman" w:cs="Times New Roman"/>
          <w:sz w:val="26"/>
          <w:szCs w:val="26"/>
        </w:rPr>
        <w:t>retains the authority to offer generally applicable interpretations under section 253 and seek comment on that view.</w:t>
      </w:r>
    </w:p>
    <w:p w:rsidR="00EE7209" w:rsidP="00C26E58" w:rsidRDefault="00EE7209" w14:paraId="348AAD21" w14:textId="44ACAAE1">
      <w:pPr>
        <w:pStyle w:val="ListParagraph"/>
        <w:numPr>
          <w:ilvl w:val="0"/>
          <w:numId w:val="23"/>
        </w:numPr>
        <w:spacing w:after="120"/>
        <w:ind w:left="1800" w:right="1354"/>
        <w:rPr>
          <w:rFonts w:ascii="Times New Roman" w:hAnsi="Times New Roman" w:cs="Times New Roman"/>
          <w:sz w:val="26"/>
          <w:szCs w:val="26"/>
        </w:rPr>
      </w:pPr>
      <w:r w:rsidRPr="00EE7209">
        <w:rPr>
          <w:rFonts w:ascii="Times New Roman" w:hAnsi="Times New Roman" w:cs="Times New Roman"/>
          <w:sz w:val="26"/>
          <w:szCs w:val="26"/>
        </w:rPr>
        <w:t xml:space="preserve">In Paragraph 57, the </w:t>
      </w:r>
      <w:r w:rsidRPr="00AC3143">
        <w:rPr>
          <w:rFonts w:ascii="Times New Roman" w:hAnsi="Times New Roman" w:cs="Times New Roman"/>
          <w:i/>
          <w:iCs/>
          <w:sz w:val="26"/>
          <w:szCs w:val="26"/>
        </w:rPr>
        <w:t>NOI</w:t>
      </w:r>
      <w:r w:rsidRPr="00EE7209">
        <w:rPr>
          <w:rFonts w:ascii="Times New Roman" w:hAnsi="Times New Roman" w:cs="Times New Roman"/>
          <w:sz w:val="26"/>
          <w:szCs w:val="26"/>
        </w:rPr>
        <w:t xml:space="preserve"> seek</w:t>
      </w:r>
      <w:r w:rsidR="008C0776">
        <w:rPr>
          <w:rFonts w:ascii="Times New Roman" w:hAnsi="Times New Roman" w:cs="Times New Roman"/>
          <w:sz w:val="26"/>
          <w:szCs w:val="26"/>
        </w:rPr>
        <w:t>s</w:t>
      </w:r>
      <w:r w:rsidRPr="00EE7209">
        <w:rPr>
          <w:rFonts w:ascii="Times New Roman" w:hAnsi="Times New Roman" w:cs="Times New Roman"/>
          <w:sz w:val="26"/>
          <w:szCs w:val="26"/>
        </w:rPr>
        <w:t xml:space="preserve"> comment on the view</w:t>
      </w:r>
      <w:r w:rsidR="00A432FF">
        <w:rPr>
          <w:rFonts w:ascii="Times New Roman" w:hAnsi="Times New Roman" w:cs="Times New Roman"/>
          <w:sz w:val="26"/>
          <w:szCs w:val="26"/>
        </w:rPr>
        <w:t xml:space="preserve"> </w:t>
      </w:r>
      <w:r w:rsidRPr="00EE7209">
        <w:rPr>
          <w:rFonts w:ascii="Times New Roman" w:hAnsi="Times New Roman" w:cs="Times New Roman"/>
          <w:sz w:val="26"/>
          <w:szCs w:val="26"/>
        </w:rPr>
        <w:t>that the FCC has the authority to adopt rules that codify standards for when state and local requirements create delays and impose fees that effectively prohibit the provision of wireline telecommunications services, including shot clocks, including the extent to which any rules adopted by the Commission would apply to intrastate telecommunications services.</w:t>
      </w:r>
    </w:p>
    <w:p w:rsidR="00EE7209" w:rsidP="00C26E58" w:rsidRDefault="00EE7209" w14:paraId="29F3FFC4" w14:textId="47F51B4F">
      <w:pPr>
        <w:pStyle w:val="ListParagraph"/>
        <w:numPr>
          <w:ilvl w:val="0"/>
          <w:numId w:val="23"/>
        </w:numPr>
        <w:spacing w:after="120"/>
        <w:ind w:left="1800" w:right="1354"/>
        <w:rPr>
          <w:rFonts w:ascii="Times New Roman" w:hAnsi="Times New Roman" w:cs="Times New Roman"/>
          <w:sz w:val="26"/>
          <w:szCs w:val="26"/>
        </w:rPr>
      </w:pPr>
      <w:r w:rsidRPr="00EE7209">
        <w:rPr>
          <w:rFonts w:ascii="Times New Roman" w:hAnsi="Times New Roman" w:cs="Times New Roman"/>
          <w:sz w:val="26"/>
          <w:szCs w:val="26"/>
        </w:rPr>
        <w:lastRenderedPageBreak/>
        <w:t xml:space="preserve">In Paragraph 58, the </w:t>
      </w:r>
      <w:r w:rsidRPr="00AC3143">
        <w:rPr>
          <w:rFonts w:ascii="Times New Roman" w:hAnsi="Times New Roman" w:cs="Times New Roman"/>
          <w:i/>
          <w:iCs/>
          <w:sz w:val="26"/>
          <w:szCs w:val="26"/>
        </w:rPr>
        <w:t>NOI</w:t>
      </w:r>
      <w:r w:rsidRPr="00EE7209">
        <w:rPr>
          <w:rFonts w:ascii="Times New Roman" w:hAnsi="Times New Roman" w:cs="Times New Roman"/>
          <w:sz w:val="26"/>
          <w:szCs w:val="26"/>
        </w:rPr>
        <w:t xml:space="preserve"> seeks comment on delegating authority to the Wireline Competition Bureau to resolve petitions seeking preemption under section 253(d).</w:t>
      </w:r>
    </w:p>
    <w:p w:rsidRPr="00BE7148" w:rsidR="008C0776" w:rsidP="00BE7148" w:rsidRDefault="008C0776" w14:paraId="31B29384" w14:textId="4C53E0B2">
      <w:pPr>
        <w:rPr>
          <w:sz w:val="26"/>
          <w:szCs w:val="26"/>
        </w:rPr>
      </w:pPr>
      <w:r>
        <w:rPr>
          <w:sz w:val="26"/>
          <w:szCs w:val="26"/>
        </w:rPr>
        <w:t xml:space="preserve">Further, to the extent that commenters single out California state or local requirements or fees in their opening comments, </w:t>
      </w:r>
      <w:r w:rsidR="00A432FF">
        <w:rPr>
          <w:sz w:val="26"/>
          <w:szCs w:val="26"/>
        </w:rPr>
        <w:t xml:space="preserve">CPUC </w:t>
      </w:r>
      <w:r w:rsidR="00AC3143">
        <w:rPr>
          <w:sz w:val="26"/>
          <w:szCs w:val="26"/>
        </w:rPr>
        <w:t>S</w:t>
      </w:r>
      <w:r w:rsidR="00A432FF">
        <w:rPr>
          <w:sz w:val="26"/>
          <w:szCs w:val="26"/>
        </w:rPr>
        <w:t>taff recommend the</w:t>
      </w:r>
      <w:r>
        <w:rPr>
          <w:sz w:val="26"/>
          <w:szCs w:val="26"/>
        </w:rPr>
        <w:t xml:space="preserve"> Commission reply to such comments </w:t>
      </w:r>
      <w:r w:rsidR="00A432FF">
        <w:rPr>
          <w:sz w:val="26"/>
          <w:szCs w:val="26"/>
        </w:rPr>
        <w:t>as necessary to</w:t>
      </w:r>
      <w:r>
        <w:rPr>
          <w:sz w:val="26"/>
          <w:szCs w:val="26"/>
        </w:rPr>
        <w:t xml:space="preserve"> </w:t>
      </w:r>
      <w:r w:rsidR="00A432FF">
        <w:rPr>
          <w:sz w:val="26"/>
          <w:szCs w:val="26"/>
        </w:rPr>
        <w:t xml:space="preserve">address inaccuracies or unfair characterizations of </w:t>
      </w:r>
      <w:r>
        <w:rPr>
          <w:sz w:val="26"/>
          <w:szCs w:val="26"/>
        </w:rPr>
        <w:t>California’s laws.</w:t>
      </w:r>
    </w:p>
    <w:p w:rsidR="002B11B4" w:rsidP="007F0760" w:rsidRDefault="002B11B4" w14:paraId="55CA4538" w14:textId="77777777">
      <w:pPr>
        <w:rPr>
          <w:sz w:val="26"/>
          <w:szCs w:val="26"/>
        </w:rPr>
      </w:pPr>
    </w:p>
    <w:p w:rsidR="001F3325" w:rsidP="00F34CF0" w:rsidRDefault="005918EE" w14:paraId="53B27569" w14:textId="285CA531">
      <w:pPr>
        <w:rPr>
          <w:sz w:val="26"/>
          <w:szCs w:val="26"/>
        </w:rPr>
      </w:pPr>
      <w:r w:rsidRPr="004C5B0B">
        <w:rPr>
          <w:b/>
          <w:sz w:val="26"/>
          <w:szCs w:val="26"/>
          <w:u w:val="single"/>
        </w:rPr>
        <w:t>DISCUSSION</w:t>
      </w:r>
      <w:r w:rsidRPr="004C5B0B">
        <w:rPr>
          <w:b/>
          <w:sz w:val="26"/>
          <w:szCs w:val="26"/>
        </w:rPr>
        <w:t>:</w:t>
      </w:r>
    </w:p>
    <w:p w:rsidR="00D140A8" w:rsidP="00F34CF0" w:rsidRDefault="00D140A8" w14:paraId="573BB6B7" w14:textId="77777777">
      <w:pPr>
        <w:rPr>
          <w:sz w:val="26"/>
          <w:szCs w:val="26"/>
        </w:rPr>
      </w:pPr>
    </w:p>
    <w:p w:rsidR="00FE47B8" w:rsidP="000D383D" w:rsidRDefault="00FE47B8" w14:paraId="22F143F3" w14:textId="19BE908E">
      <w:pPr>
        <w:rPr>
          <w:sz w:val="26"/>
          <w:szCs w:val="26"/>
        </w:rPr>
      </w:pPr>
      <w:r>
        <w:rPr>
          <w:sz w:val="26"/>
          <w:szCs w:val="26"/>
        </w:rPr>
        <w:t>CPUC Staff recommends t</w:t>
      </w:r>
      <w:r w:rsidR="009D190C">
        <w:rPr>
          <w:sz w:val="26"/>
          <w:szCs w:val="26"/>
        </w:rPr>
        <w:t xml:space="preserve">he CPUC </w:t>
      </w:r>
      <w:r w:rsidR="0090503B">
        <w:rPr>
          <w:sz w:val="26"/>
          <w:szCs w:val="26"/>
        </w:rPr>
        <w:t>file opening comments and, if appropriate, reply comments in response to th</w:t>
      </w:r>
      <w:r w:rsidR="00A432FF">
        <w:rPr>
          <w:sz w:val="26"/>
          <w:szCs w:val="26"/>
        </w:rPr>
        <w:t>e</w:t>
      </w:r>
      <w:r w:rsidR="0090503B">
        <w:rPr>
          <w:sz w:val="26"/>
          <w:szCs w:val="26"/>
        </w:rPr>
        <w:t xml:space="preserve"> </w:t>
      </w:r>
      <w:r w:rsidRPr="0090503B" w:rsidR="0090503B">
        <w:rPr>
          <w:i/>
          <w:iCs/>
          <w:sz w:val="26"/>
          <w:szCs w:val="26"/>
        </w:rPr>
        <w:t>NOI</w:t>
      </w:r>
      <w:r w:rsidR="0090503B">
        <w:rPr>
          <w:sz w:val="26"/>
          <w:szCs w:val="26"/>
        </w:rPr>
        <w:t xml:space="preserve"> to </w:t>
      </w:r>
      <w:r w:rsidR="00EB3B42">
        <w:rPr>
          <w:sz w:val="26"/>
          <w:szCs w:val="26"/>
        </w:rPr>
        <w:t>ensure the FCC’s adherence to 47 U.S.C. §</w:t>
      </w:r>
      <w:r>
        <w:rPr>
          <w:sz w:val="26"/>
          <w:szCs w:val="26"/>
        </w:rPr>
        <w:t> </w:t>
      </w:r>
      <w:r w:rsidR="00EB3B42">
        <w:rPr>
          <w:sz w:val="26"/>
          <w:szCs w:val="26"/>
        </w:rPr>
        <w:t>253</w:t>
      </w:r>
      <w:r w:rsidR="00A432FF">
        <w:rPr>
          <w:sz w:val="26"/>
          <w:szCs w:val="26"/>
        </w:rPr>
        <w:t xml:space="preserve"> and</w:t>
      </w:r>
      <w:r w:rsidR="009508AE">
        <w:rPr>
          <w:sz w:val="26"/>
          <w:szCs w:val="26"/>
        </w:rPr>
        <w:t xml:space="preserve"> </w:t>
      </w:r>
      <w:r w:rsidR="00A432FF">
        <w:rPr>
          <w:sz w:val="26"/>
          <w:szCs w:val="26"/>
        </w:rPr>
        <w:t xml:space="preserve">to </w:t>
      </w:r>
      <w:r w:rsidR="009508AE">
        <w:rPr>
          <w:sz w:val="26"/>
          <w:szCs w:val="26"/>
        </w:rPr>
        <w:t xml:space="preserve">protect the rights of California and its localities under </w:t>
      </w:r>
      <w:r w:rsidR="00EB3B42">
        <w:rPr>
          <w:sz w:val="26"/>
          <w:szCs w:val="26"/>
        </w:rPr>
        <w:t>section</w:t>
      </w:r>
      <w:r w:rsidR="009508AE">
        <w:rPr>
          <w:sz w:val="26"/>
          <w:szCs w:val="26"/>
        </w:rPr>
        <w:t xml:space="preserve"> § 253(b) and </w:t>
      </w:r>
      <w:r w:rsidR="00C26E58">
        <w:rPr>
          <w:sz w:val="26"/>
          <w:szCs w:val="26"/>
        </w:rPr>
        <w:br/>
      </w:r>
      <w:r w:rsidR="009508AE">
        <w:rPr>
          <w:sz w:val="26"/>
          <w:szCs w:val="26"/>
        </w:rPr>
        <w:t>(c) to “</w:t>
      </w:r>
      <w:r w:rsidRPr="009508AE" w:rsidR="009508AE">
        <w:rPr>
          <w:sz w:val="26"/>
          <w:szCs w:val="26"/>
        </w:rPr>
        <w:t>preserve and advance universal service, protect the public safety and welfare, ensure the continued quality of telecommunications services, and safeguard the rights of consumers</w:t>
      </w:r>
      <w:r w:rsidR="009508AE">
        <w:rPr>
          <w:sz w:val="26"/>
          <w:szCs w:val="26"/>
        </w:rPr>
        <w:t>” and “</w:t>
      </w:r>
      <w:r w:rsidRPr="009508AE" w:rsidR="009508AE">
        <w:rPr>
          <w:sz w:val="26"/>
          <w:szCs w:val="26"/>
        </w:rPr>
        <w:t>manage the public rights-of-way or to require fair and reasonable compensation from telecommunications providers, on a competitively neutral and nondiscriminatory basis, for use of public rights-of-way</w:t>
      </w:r>
      <w:r>
        <w:rPr>
          <w:sz w:val="26"/>
          <w:szCs w:val="26"/>
        </w:rPr>
        <w:t>.</w:t>
      </w:r>
      <w:r w:rsidR="009508AE">
        <w:rPr>
          <w:sz w:val="26"/>
          <w:szCs w:val="26"/>
        </w:rPr>
        <w:t xml:space="preserve">” </w:t>
      </w:r>
    </w:p>
    <w:p w:rsidR="002C773B" w:rsidP="000D383D" w:rsidRDefault="002C773B" w14:paraId="2117C42E" w14:textId="77777777">
      <w:pPr>
        <w:rPr>
          <w:sz w:val="26"/>
          <w:szCs w:val="26"/>
        </w:rPr>
      </w:pPr>
    </w:p>
    <w:p w:rsidR="002C773B" w:rsidP="00C84E5B" w:rsidRDefault="00A432FF" w14:paraId="2140EF85" w14:textId="7B47A44F">
      <w:pPr>
        <w:rPr>
          <w:sz w:val="26"/>
          <w:szCs w:val="26"/>
        </w:rPr>
      </w:pPr>
      <w:r>
        <w:rPr>
          <w:sz w:val="26"/>
          <w:szCs w:val="26"/>
        </w:rPr>
        <w:t xml:space="preserve">The </w:t>
      </w:r>
      <w:r w:rsidR="002C773B">
        <w:rPr>
          <w:sz w:val="26"/>
          <w:szCs w:val="26"/>
        </w:rPr>
        <w:t xml:space="preserve">CPUC’s previous comments </w:t>
      </w:r>
      <w:r w:rsidR="00AC3143">
        <w:rPr>
          <w:sz w:val="26"/>
          <w:szCs w:val="26"/>
        </w:rPr>
        <w:t xml:space="preserve">in June and July 2017 </w:t>
      </w:r>
      <w:r w:rsidR="00256062">
        <w:rPr>
          <w:sz w:val="26"/>
          <w:szCs w:val="26"/>
        </w:rPr>
        <w:t>included</w:t>
      </w:r>
      <w:r w:rsidR="002C773B">
        <w:rPr>
          <w:sz w:val="26"/>
          <w:szCs w:val="26"/>
        </w:rPr>
        <w:t xml:space="preserve"> that § 253(d) only authorizes the FCC to preempt state and local rules through case-by-case adjudication and not categorical rulemaking. </w:t>
      </w:r>
      <w:r w:rsidR="00256062">
        <w:rPr>
          <w:sz w:val="26"/>
          <w:szCs w:val="26"/>
        </w:rPr>
        <w:t>The FCC i</w:t>
      </w:r>
      <w:r w:rsidR="002C773B">
        <w:rPr>
          <w:sz w:val="26"/>
          <w:szCs w:val="26"/>
        </w:rPr>
        <w:t xml:space="preserve">n the </w:t>
      </w:r>
      <w:r w:rsidRPr="002C773B" w:rsidR="002C773B">
        <w:rPr>
          <w:i/>
          <w:iCs/>
          <w:sz w:val="26"/>
          <w:szCs w:val="26"/>
        </w:rPr>
        <w:t>NOI</w:t>
      </w:r>
      <w:r w:rsidR="002C773B">
        <w:rPr>
          <w:sz w:val="26"/>
          <w:szCs w:val="26"/>
        </w:rPr>
        <w:t xml:space="preserve">, however, </w:t>
      </w:r>
      <w:r w:rsidR="00C84E5B">
        <w:rPr>
          <w:sz w:val="26"/>
          <w:szCs w:val="26"/>
        </w:rPr>
        <w:t>states that it continues to believe that the subsection does not limits its ability t</w:t>
      </w:r>
      <w:r w:rsidRPr="00C84E5B" w:rsidR="00C84E5B">
        <w:rPr>
          <w:sz w:val="26"/>
          <w:szCs w:val="26"/>
        </w:rPr>
        <w:t xml:space="preserve">o define and provide an authoritative interpretation as to what constitutes a violation of </w:t>
      </w:r>
      <w:r w:rsidR="00C84E5B">
        <w:rPr>
          <w:sz w:val="26"/>
          <w:szCs w:val="26"/>
        </w:rPr>
        <w:t>sub</w:t>
      </w:r>
      <w:r w:rsidRPr="00C84E5B" w:rsidR="00C84E5B">
        <w:rPr>
          <w:sz w:val="26"/>
          <w:szCs w:val="26"/>
        </w:rPr>
        <w:t>section (a)</w:t>
      </w:r>
      <w:r w:rsidR="00C84E5B">
        <w:rPr>
          <w:sz w:val="26"/>
          <w:szCs w:val="26"/>
        </w:rPr>
        <w:t xml:space="preserve"> </w:t>
      </w:r>
      <w:r w:rsidRPr="00C84E5B" w:rsidR="00C84E5B">
        <w:rPr>
          <w:sz w:val="26"/>
          <w:szCs w:val="26"/>
        </w:rPr>
        <w:t xml:space="preserve">and what qualifies for the </w:t>
      </w:r>
      <w:r w:rsidR="00C84E5B">
        <w:rPr>
          <w:sz w:val="26"/>
          <w:szCs w:val="26"/>
        </w:rPr>
        <w:t>sub</w:t>
      </w:r>
      <w:r w:rsidRPr="00C84E5B" w:rsidR="00C84E5B">
        <w:rPr>
          <w:sz w:val="26"/>
          <w:szCs w:val="26"/>
        </w:rPr>
        <w:t>section (b) or (c) exceptions</w:t>
      </w:r>
      <w:r w:rsidR="00C84E5B">
        <w:rPr>
          <w:sz w:val="26"/>
          <w:szCs w:val="26"/>
        </w:rPr>
        <w:t xml:space="preserve"> under other sections of the Telecommunications Act of 1996 and that nothing in section 253 itself prevents it </w:t>
      </w:r>
      <w:r w:rsidRPr="00C84E5B" w:rsidR="00C84E5B">
        <w:rPr>
          <w:sz w:val="26"/>
          <w:szCs w:val="26"/>
        </w:rPr>
        <w:t>from declaring that a category of state or local laws is inconsistent</w:t>
      </w:r>
      <w:r w:rsidR="00C84E5B">
        <w:rPr>
          <w:sz w:val="26"/>
          <w:szCs w:val="26"/>
        </w:rPr>
        <w:t xml:space="preserve"> wit</w:t>
      </w:r>
      <w:r w:rsidRPr="00C84E5B" w:rsidR="00C84E5B">
        <w:rPr>
          <w:sz w:val="26"/>
          <w:szCs w:val="26"/>
        </w:rPr>
        <w:t xml:space="preserve">h </w:t>
      </w:r>
      <w:r w:rsidR="00C84E5B">
        <w:rPr>
          <w:sz w:val="26"/>
          <w:szCs w:val="26"/>
        </w:rPr>
        <w:t>sub</w:t>
      </w:r>
      <w:r w:rsidRPr="00C84E5B" w:rsidR="00C84E5B">
        <w:rPr>
          <w:sz w:val="26"/>
          <w:szCs w:val="26"/>
        </w:rPr>
        <w:t>section (a)</w:t>
      </w:r>
      <w:r w:rsidR="00C84E5B">
        <w:rPr>
          <w:sz w:val="26"/>
          <w:szCs w:val="26"/>
        </w:rPr>
        <w:t xml:space="preserve">. The FCC </w:t>
      </w:r>
      <w:r w:rsidR="00F3734A">
        <w:rPr>
          <w:sz w:val="26"/>
          <w:szCs w:val="26"/>
        </w:rPr>
        <w:t xml:space="preserve">is encouraged by the fact that the </w:t>
      </w:r>
      <w:r w:rsidRPr="00601B2A" w:rsidR="00F3734A">
        <w:rPr>
          <w:i/>
          <w:iCs/>
          <w:sz w:val="26"/>
          <w:szCs w:val="26"/>
        </w:rPr>
        <w:t>Moratoria Order</w:t>
      </w:r>
      <w:r w:rsidR="00F3734A">
        <w:rPr>
          <w:sz w:val="26"/>
          <w:szCs w:val="26"/>
        </w:rPr>
        <w:t xml:space="preserve"> and </w:t>
      </w:r>
      <w:r w:rsidRPr="00EE7209" w:rsidR="00F3734A">
        <w:rPr>
          <w:i/>
          <w:iCs/>
          <w:sz w:val="26"/>
          <w:szCs w:val="26"/>
        </w:rPr>
        <w:t>Small Cell Order</w:t>
      </w:r>
      <w:r w:rsidR="00F3734A">
        <w:rPr>
          <w:i/>
          <w:iCs/>
          <w:sz w:val="26"/>
          <w:szCs w:val="26"/>
        </w:rPr>
        <w:t xml:space="preserve"> </w:t>
      </w:r>
      <w:r w:rsidR="00F3734A">
        <w:rPr>
          <w:sz w:val="26"/>
          <w:szCs w:val="26"/>
        </w:rPr>
        <w:t xml:space="preserve">were affirmed </w:t>
      </w:r>
      <w:r w:rsidR="00256062">
        <w:rPr>
          <w:sz w:val="26"/>
          <w:szCs w:val="26"/>
        </w:rPr>
        <w:t>by</w:t>
      </w:r>
      <w:r w:rsidR="00F3734A">
        <w:rPr>
          <w:sz w:val="26"/>
          <w:szCs w:val="26"/>
        </w:rPr>
        <w:t xml:space="preserve"> the </w:t>
      </w:r>
      <w:r w:rsidR="00256062">
        <w:rPr>
          <w:sz w:val="26"/>
          <w:szCs w:val="26"/>
        </w:rPr>
        <w:t xml:space="preserve">United States Court of Appeals for the </w:t>
      </w:r>
      <w:r w:rsidR="00F3734A">
        <w:rPr>
          <w:sz w:val="26"/>
          <w:szCs w:val="26"/>
        </w:rPr>
        <w:t>Ninth Circuit.</w:t>
      </w:r>
      <w:r w:rsidR="00F3734A">
        <w:rPr>
          <w:rStyle w:val="FootnoteReference"/>
          <w:szCs w:val="26"/>
        </w:rPr>
        <w:footnoteReference w:id="4"/>
      </w:r>
      <w:r w:rsidR="00F3734A">
        <w:rPr>
          <w:sz w:val="26"/>
          <w:szCs w:val="26"/>
        </w:rPr>
        <w:t xml:space="preserve"> </w:t>
      </w:r>
      <w:r w:rsidR="00C84E5B">
        <w:rPr>
          <w:sz w:val="26"/>
          <w:szCs w:val="26"/>
        </w:rPr>
        <w:t xml:space="preserve">CPUC Staff believe that the present situation is distinguishable. </w:t>
      </w:r>
    </w:p>
    <w:p w:rsidR="00FE47B8" w:rsidP="000D383D" w:rsidRDefault="00FE47B8" w14:paraId="51731EF0" w14:textId="77777777">
      <w:pPr>
        <w:rPr>
          <w:sz w:val="26"/>
          <w:szCs w:val="26"/>
        </w:rPr>
      </w:pPr>
    </w:p>
    <w:p w:rsidR="00DA69A0" w:rsidP="000D383D" w:rsidRDefault="00FE47B8" w14:paraId="4D2A7A07" w14:textId="63BE2FFF">
      <w:pPr>
        <w:rPr>
          <w:sz w:val="26"/>
          <w:szCs w:val="26"/>
        </w:rPr>
      </w:pPr>
      <w:r>
        <w:rPr>
          <w:sz w:val="26"/>
          <w:szCs w:val="26"/>
        </w:rPr>
        <w:t xml:space="preserve">CPUC Staff also recommend the CPUC </w:t>
      </w:r>
      <w:r w:rsidR="009508AE">
        <w:rPr>
          <w:sz w:val="26"/>
          <w:szCs w:val="26"/>
        </w:rPr>
        <w:t xml:space="preserve">respond to comments that inaccurately depict or mischaracterize legitimate state or local requirements. </w:t>
      </w:r>
    </w:p>
    <w:p w:rsidR="009508AE" w:rsidP="000D383D" w:rsidRDefault="009508AE" w14:paraId="57501727" w14:textId="77777777">
      <w:pPr>
        <w:rPr>
          <w:sz w:val="26"/>
          <w:szCs w:val="26"/>
        </w:rPr>
      </w:pPr>
    </w:p>
    <w:p w:rsidR="009508AE" w:rsidP="000E41E2" w:rsidRDefault="00AC3143" w14:paraId="121D7500" w14:textId="4A8B06E9">
      <w:pPr>
        <w:rPr>
          <w:sz w:val="26"/>
          <w:szCs w:val="26"/>
        </w:rPr>
      </w:pPr>
      <w:r>
        <w:rPr>
          <w:sz w:val="26"/>
          <w:szCs w:val="26"/>
        </w:rPr>
        <w:t>In its opening comments, t</w:t>
      </w:r>
      <w:r w:rsidR="009508AE">
        <w:rPr>
          <w:sz w:val="26"/>
          <w:szCs w:val="26"/>
        </w:rPr>
        <w:t xml:space="preserve">he CPUC should highlight its own efforts to facilitate wireline deployment by describing various of its programs such as the </w:t>
      </w:r>
      <w:r w:rsidR="000E41E2">
        <w:rPr>
          <w:sz w:val="26"/>
          <w:szCs w:val="26"/>
        </w:rPr>
        <w:t xml:space="preserve">California Advanced Services Fund Broadband Infrastructure Grant Account, </w:t>
      </w:r>
      <w:r w:rsidR="009508AE">
        <w:rPr>
          <w:sz w:val="26"/>
          <w:szCs w:val="26"/>
        </w:rPr>
        <w:t>Federal Funding Account</w:t>
      </w:r>
      <w:r w:rsidR="000E41E2">
        <w:rPr>
          <w:sz w:val="26"/>
          <w:szCs w:val="26"/>
        </w:rPr>
        <w:t>,</w:t>
      </w:r>
      <w:r w:rsidR="009508AE">
        <w:rPr>
          <w:sz w:val="26"/>
          <w:szCs w:val="26"/>
        </w:rPr>
        <w:t xml:space="preserve"> and Broadband Equity, Access, and Deployment </w:t>
      </w:r>
      <w:r w:rsidR="000E41E2">
        <w:rPr>
          <w:sz w:val="26"/>
          <w:szCs w:val="26"/>
        </w:rPr>
        <w:t xml:space="preserve">program. Indeed, the </w:t>
      </w:r>
      <w:r w:rsidRPr="000E41E2" w:rsidR="000E41E2">
        <w:rPr>
          <w:i/>
          <w:iCs/>
          <w:sz w:val="26"/>
          <w:szCs w:val="26"/>
        </w:rPr>
        <w:t>NOI</w:t>
      </w:r>
      <w:r w:rsidR="000E41E2">
        <w:rPr>
          <w:sz w:val="26"/>
          <w:szCs w:val="26"/>
        </w:rPr>
        <w:t xml:space="preserve"> asks at paragraph 21 “are there large-scale projects spurred </w:t>
      </w:r>
      <w:r w:rsidRPr="000E41E2" w:rsidR="000E41E2">
        <w:rPr>
          <w:sz w:val="26"/>
          <w:szCs w:val="26"/>
        </w:rPr>
        <w:t>by funding made available through the</w:t>
      </w:r>
      <w:r w:rsidR="000E41E2">
        <w:rPr>
          <w:sz w:val="26"/>
          <w:szCs w:val="26"/>
        </w:rPr>
        <w:t xml:space="preserve"> </w:t>
      </w:r>
      <w:r w:rsidRPr="000E41E2" w:rsidR="000E41E2">
        <w:rPr>
          <w:sz w:val="26"/>
          <w:szCs w:val="26"/>
        </w:rPr>
        <w:t xml:space="preserve">Commission’s universal service programs, the Infrastructure Investment and Jobs Act, </w:t>
      </w:r>
      <w:r w:rsidRPr="000E41E2" w:rsidR="000E41E2">
        <w:rPr>
          <w:sz w:val="26"/>
          <w:szCs w:val="26"/>
        </w:rPr>
        <w:lastRenderedPageBreak/>
        <w:t>and/or other</w:t>
      </w:r>
      <w:r>
        <w:rPr>
          <w:sz w:val="26"/>
          <w:szCs w:val="26"/>
        </w:rPr>
        <w:t xml:space="preserve"> </w:t>
      </w:r>
      <w:r w:rsidRPr="000E41E2" w:rsidR="000E41E2">
        <w:rPr>
          <w:sz w:val="26"/>
          <w:szCs w:val="26"/>
        </w:rPr>
        <w:t>federal and state programs that could be significantly impaired by delays caused by the requirements of</w:t>
      </w:r>
      <w:r w:rsidR="000E41E2">
        <w:rPr>
          <w:sz w:val="26"/>
          <w:szCs w:val="26"/>
        </w:rPr>
        <w:t xml:space="preserve"> </w:t>
      </w:r>
      <w:r w:rsidRPr="000E41E2" w:rsidR="000E41E2">
        <w:rPr>
          <w:sz w:val="26"/>
          <w:szCs w:val="26"/>
        </w:rPr>
        <w:t>localities covered by the projects</w:t>
      </w:r>
      <w:r w:rsidR="000E41E2">
        <w:rPr>
          <w:sz w:val="26"/>
          <w:szCs w:val="26"/>
        </w:rPr>
        <w:t>?”</w:t>
      </w:r>
      <w:r w:rsidR="006C07BF">
        <w:rPr>
          <w:sz w:val="26"/>
          <w:szCs w:val="26"/>
        </w:rPr>
        <w:t xml:space="preserve"> The CPUC should also note that</w:t>
      </w:r>
      <w:r w:rsidR="004E5244">
        <w:rPr>
          <w:sz w:val="26"/>
          <w:szCs w:val="26"/>
        </w:rPr>
        <w:t xml:space="preserve">, through General Orders like 95 and 128, the Commission has standardized rules about overhead and underground lines, such standardization benefiting providers that might otherwise be subject to different or contradictory </w:t>
      </w:r>
      <w:r w:rsidR="00E11BD4">
        <w:rPr>
          <w:sz w:val="26"/>
          <w:szCs w:val="26"/>
        </w:rPr>
        <w:t xml:space="preserve">local governmental rules. </w:t>
      </w:r>
    </w:p>
    <w:p w:rsidR="000E41E2" w:rsidP="000E41E2" w:rsidRDefault="000E41E2" w14:paraId="07045867" w14:textId="77777777">
      <w:pPr>
        <w:rPr>
          <w:sz w:val="26"/>
          <w:szCs w:val="26"/>
        </w:rPr>
      </w:pPr>
    </w:p>
    <w:p w:rsidR="000E41E2" w:rsidP="000E41E2" w:rsidRDefault="000E41E2" w14:paraId="005BDA4D" w14:textId="7AA847E8">
      <w:pPr>
        <w:rPr>
          <w:sz w:val="26"/>
          <w:szCs w:val="26"/>
        </w:rPr>
      </w:pPr>
      <w:r>
        <w:rPr>
          <w:sz w:val="26"/>
          <w:szCs w:val="26"/>
        </w:rPr>
        <w:t xml:space="preserve">Depending on the outcome of </w:t>
      </w:r>
      <w:r w:rsidR="00256062">
        <w:rPr>
          <w:sz w:val="26"/>
          <w:szCs w:val="26"/>
        </w:rPr>
        <w:t>its investigation</w:t>
      </w:r>
      <w:r>
        <w:rPr>
          <w:sz w:val="26"/>
          <w:szCs w:val="26"/>
        </w:rPr>
        <w:t xml:space="preserve">, the FCC may </w:t>
      </w:r>
      <w:r w:rsidR="006C07BF">
        <w:rPr>
          <w:sz w:val="26"/>
          <w:szCs w:val="26"/>
        </w:rPr>
        <w:t xml:space="preserve">take steps toward preempting state and local laws that are important to Californians and within the </w:t>
      </w:r>
      <w:r w:rsidR="00256062">
        <w:rPr>
          <w:sz w:val="26"/>
          <w:szCs w:val="26"/>
        </w:rPr>
        <w:t xml:space="preserve">exceptions </w:t>
      </w:r>
      <w:r w:rsidR="006C07BF">
        <w:rPr>
          <w:sz w:val="26"/>
          <w:szCs w:val="26"/>
        </w:rPr>
        <w:t xml:space="preserve">of Section 253(b) and (c) of the Telecommunications Act of 1996. </w:t>
      </w:r>
    </w:p>
    <w:p w:rsidR="006B48C7" w:rsidP="000E41E2" w:rsidRDefault="006B48C7" w14:paraId="7218EF15" w14:textId="77777777">
      <w:pPr>
        <w:rPr>
          <w:sz w:val="26"/>
          <w:szCs w:val="26"/>
        </w:rPr>
      </w:pPr>
    </w:p>
    <w:p w:rsidR="006B48C7" w:rsidP="000E41E2" w:rsidRDefault="006B48C7" w14:paraId="2597493B" w14:textId="1B7255C5">
      <w:pPr>
        <w:rPr>
          <w:sz w:val="26"/>
          <w:szCs w:val="26"/>
        </w:rPr>
      </w:pPr>
      <w:r>
        <w:rPr>
          <w:sz w:val="26"/>
          <w:szCs w:val="26"/>
        </w:rPr>
        <w:t xml:space="preserve">While the </w:t>
      </w:r>
      <w:r w:rsidRPr="00FE47B8">
        <w:rPr>
          <w:i/>
          <w:iCs/>
          <w:sz w:val="26"/>
          <w:szCs w:val="26"/>
        </w:rPr>
        <w:t>NOI</w:t>
      </w:r>
      <w:r>
        <w:rPr>
          <w:sz w:val="26"/>
          <w:szCs w:val="26"/>
        </w:rPr>
        <w:t xml:space="preserve"> does not call out any specific state or local regulations, it is </w:t>
      </w:r>
      <w:r w:rsidR="00EB3B42">
        <w:rPr>
          <w:sz w:val="26"/>
          <w:szCs w:val="26"/>
        </w:rPr>
        <w:t>possible</w:t>
      </w:r>
      <w:r>
        <w:rPr>
          <w:sz w:val="26"/>
          <w:szCs w:val="26"/>
        </w:rPr>
        <w:t xml:space="preserve"> that commenters may bring up the CPUC’s wireline resiliency requirements</w:t>
      </w:r>
      <w:r w:rsidR="00001A21">
        <w:rPr>
          <w:sz w:val="26"/>
          <w:szCs w:val="26"/>
        </w:rPr>
        <w:t xml:space="preserve">. CPUC </w:t>
      </w:r>
      <w:r w:rsidR="00AC3143">
        <w:rPr>
          <w:sz w:val="26"/>
          <w:szCs w:val="26"/>
        </w:rPr>
        <w:t>S</w:t>
      </w:r>
      <w:r w:rsidR="00001A21">
        <w:rPr>
          <w:sz w:val="26"/>
          <w:szCs w:val="26"/>
        </w:rPr>
        <w:t xml:space="preserve">taff recommend defending those requirements, </w:t>
      </w:r>
      <w:proofErr w:type="gramStart"/>
      <w:r w:rsidR="00001A21">
        <w:rPr>
          <w:sz w:val="26"/>
          <w:szCs w:val="26"/>
        </w:rPr>
        <w:t>if</w:t>
      </w:r>
      <w:proofErr w:type="gramEnd"/>
      <w:r w:rsidR="00001A21">
        <w:rPr>
          <w:sz w:val="26"/>
          <w:szCs w:val="26"/>
        </w:rPr>
        <w:t xml:space="preserve"> raised,</w:t>
      </w:r>
      <w:r>
        <w:rPr>
          <w:sz w:val="26"/>
          <w:szCs w:val="26"/>
        </w:rPr>
        <w:t xml:space="preserve"> as the threat of wildfire has only </w:t>
      </w:r>
      <w:r w:rsidR="00256062">
        <w:rPr>
          <w:sz w:val="26"/>
          <w:szCs w:val="26"/>
        </w:rPr>
        <w:t xml:space="preserve">increased </w:t>
      </w:r>
      <w:r>
        <w:rPr>
          <w:sz w:val="26"/>
          <w:szCs w:val="26"/>
        </w:rPr>
        <w:t>over the years since D.21-02-029.</w:t>
      </w:r>
    </w:p>
    <w:p w:rsidR="00B16941" w:rsidP="000E41E2" w:rsidRDefault="00B16941" w14:paraId="487AB96C" w14:textId="77777777">
      <w:pPr>
        <w:rPr>
          <w:sz w:val="26"/>
          <w:szCs w:val="26"/>
        </w:rPr>
      </w:pPr>
    </w:p>
    <w:p w:rsidRPr="00B70860" w:rsidR="005134BA" w:rsidP="005918EE" w:rsidRDefault="00FB59BE" w14:paraId="731195D4" w14:textId="06BE276C">
      <w:pPr>
        <w:rPr>
          <w:sz w:val="26"/>
          <w:szCs w:val="26"/>
        </w:rPr>
      </w:pPr>
      <w:r>
        <w:rPr>
          <w:b/>
          <w:bCs/>
          <w:sz w:val="26"/>
          <w:szCs w:val="26"/>
          <w:u w:val="single"/>
        </w:rPr>
        <w:t>CONCLUSION</w:t>
      </w:r>
      <w:r w:rsidR="00D93C49">
        <w:rPr>
          <w:sz w:val="26"/>
          <w:szCs w:val="26"/>
        </w:rPr>
        <w:t>:</w:t>
      </w:r>
    </w:p>
    <w:p w:rsidR="00FB59BE" w:rsidP="005918EE" w:rsidRDefault="00FB59BE" w14:paraId="53F7BB45" w14:textId="77777777">
      <w:pPr>
        <w:rPr>
          <w:sz w:val="26"/>
          <w:szCs w:val="26"/>
          <w:u w:val="single"/>
        </w:rPr>
      </w:pPr>
    </w:p>
    <w:p w:rsidR="00DA69A0" w:rsidP="005918EE" w:rsidRDefault="00616B31" w14:paraId="656CECDD" w14:textId="1955D2D7">
      <w:pPr>
        <w:rPr>
          <w:sz w:val="26"/>
          <w:szCs w:val="26"/>
        </w:rPr>
      </w:pPr>
      <w:r>
        <w:rPr>
          <w:sz w:val="26"/>
          <w:szCs w:val="26"/>
        </w:rPr>
        <w:t xml:space="preserve">The CPUC should </w:t>
      </w:r>
      <w:r w:rsidR="00AC3143">
        <w:rPr>
          <w:sz w:val="26"/>
          <w:szCs w:val="26"/>
        </w:rPr>
        <w:t xml:space="preserve">authorize CPUC Staff to </w:t>
      </w:r>
      <w:r>
        <w:rPr>
          <w:sz w:val="26"/>
          <w:szCs w:val="26"/>
        </w:rPr>
        <w:t>file opening and/or reply comments o</w:t>
      </w:r>
      <w:r w:rsidR="00876343">
        <w:rPr>
          <w:sz w:val="26"/>
          <w:szCs w:val="26"/>
        </w:rPr>
        <w:t>n</w:t>
      </w:r>
      <w:r>
        <w:rPr>
          <w:sz w:val="26"/>
          <w:szCs w:val="26"/>
        </w:rPr>
        <w:t xml:space="preserve"> the </w:t>
      </w:r>
      <w:r w:rsidRPr="00FE47B8">
        <w:rPr>
          <w:i/>
          <w:iCs/>
          <w:sz w:val="26"/>
          <w:szCs w:val="26"/>
        </w:rPr>
        <w:t>NOI</w:t>
      </w:r>
      <w:r>
        <w:rPr>
          <w:sz w:val="26"/>
          <w:szCs w:val="26"/>
        </w:rPr>
        <w:t xml:space="preserve"> with particular attention to the FCC’s claims regarding its legal authority in Paragraphs 56-58 and protection of CPUC </w:t>
      </w:r>
      <w:r w:rsidR="00EB3B42">
        <w:rPr>
          <w:sz w:val="26"/>
          <w:szCs w:val="26"/>
        </w:rPr>
        <w:t>programs and policies</w:t>
      </w:r>
      <w:r w:rsidR="00876343">
        <w:rPr>
          <w:sz w:val="26"/>
          <w:szCs w:val="26"/>
        </w:rPr>
        <w:t>, to include responding to others’ opening comments that inaccurately depict or mischaracterize legitimate state or local requirements.</w:t>
      </w:r>
    </w:p>
    <w:p w:rsidR="002B2230" w:rsidP="005918EE" w:rsidRDefault="002B2230" w14:paraId="3B2A08C8" w14:textId="77777777">
      <w:pPr>
        <w:rPr>
          <w:sz w:val="26"/>
          <w:szCs w:val="26"/>
        </w:rPr>
      </w:pPr>
    </w:p>
    <w:p w:rsidRPr="00504946" w:rsidR="00504946" w:rsidP="00504946" w:rsidRDefault="00504946" w14:paraId="569656DB" w14:textId="77777777">
      <w:pPr>
        <w:outlineLvl w:val="0"/>
        <w:rPr>
          <w:rFonts w:eastAsia="Arial Unicode MS"/>
          <w:color w:val="000000"/>
          <w:sz w:val="26"/>
          <w:szCs w:val="26"/>
          <w:u w:color="000000"/>
        </w:rPr>
      </w:pPr>
      <w:r w:rsidRPr="00D937EC">
        <w:rPr>
          <w:rFonts w:eastAsia="Arial Unicode MS"/>
          <w:b/>
          <w:color w:val="000000"/>
          <w:sz w:val="26"/>
          <w:szCs w:val="26"/>
          <w:u w:val="single"/>
        </w:rPr>
        <w:t>Assigned Staff</w:t>
      </w:r>
      <w:r w:rsidRPr="00504946">
        <w:rPr>
          <w:rFonts w:eastAsia="Arial Unicode MS"/>
          <w:color w:val="000000"/>
          <w:sz w:val="26"/>
          <w:szCs w:val="26"/>
          <w:u w:color="000000"/>
        </w:rPr>
        <w:t xml:space="preserve">: </w:t>
      </w:r>
    </w:p>
    <w:p w:rsidR="00C26E58" w:rsidP="00504946" w:rsidRDefault="00C26E58" w14:paraId="5BC8D1C1" w14:textId="77777777">
      <w:pPr>
        <w:outlineLvl w:val="0"/>
        <w:rPr>
          <w:rFonts w:eastAsia="Arial Unicode MS"/>
          <w:color w:val="000000"/>
          <w:sz w:val="26"/>
          <w:szCs w:val="26"/>
          <w:u w:color="000000"/>
        </w:rPr>
      </w:pPr>
    </w:p>
    <w:p w:rsidR="00C26E58" w:rsidP="00504946" w:rsidRDefault="00504946" w14:paraId="71582C7F" w14:textId="138B688C">
      <w:pPr>
        <w:outlineLvl w:val="0"/>
        <w:rPr>
          <w:rFonts w:eastAsia="Arial Unicode MS"/>
          <w:color w:val="000000"/>
          <w:sz w:val="26"/>
          <w:szCs w:val="26"/>
          <w:u w:color="000000"/>
        </w:rPr>
      </w:pPr>
      <w:r w:rsidRPr="00504946">
        <w:rPr>
          <w:rFonts w:eastAsia="Arial Unicode MS"/>
          <w:color w:val="000000"/>
          <w:sz w:val="26"/>
          <w:szCs w:val="26"/>
          <w:u w:color="000000"/>
        </w:rPr>
        <w:t xml:space="preserve">Legal Division: </w:t>
      </w:r>
      <w:r w:rsidR="00E11BD4">
        <w:rPr>
          <w:rFonts w:eastAsia="Arial Unicode MS"/>
          <w:color w:val="000000"/>
          <w:sz w:val="26"/>
          <w:szCs w:val="26"/>
          <w:u w:color="000000"/>
        </w:rPr>
        <w:t xml:space="preserve">Ian Culver </w:t>
      </w:r>
      <w:r w:rsidR="00C04B07">
        <w:rPr>
          <w:rFonts w:eastAsia="Arial Unicode MS"/>
          <w:color w:val="000000"/>
          <w:sz w:val="26"/>
          <w:szCs w:val="26"/>
          <w:u w:color="000000"/>
        </w:rPr>
        <w:t>(</w:t>
      </w:r>
      <w:hyperlink w:history="1" r:id="rId11">
        <w:r w:rsidRPr="00985FF4" w:rsidR="00616B31">
          <w:rPr>
            <w:rStyle w:val="Hyperlink"/>
            <w:rFonts w:eastAsia="Arial Unicode MS"/>
            <w:sz w:val="26"/>
            <w:szCs w:val="26"/>
          </w:rPr>
          <w:t>ian.culver@cpuc.ca.gov</w:t>
        </w:r>
      </w:hyperlink>
      <w:r w:rsidR="00C04B07">
        <w:rPr>
          <w:rFonts w:eastAsia="Arial Unicode MS"/>
          <w:color w:val="000000"/>
          <w:sz w:val="26"/>
          <w:szCs w:val="26"/>
          <w:u w:color="000000"/>
        </w:rPr>
        <w:t>)</w:t>
      </w:r>
    </w:p>
    <w:p w:rsidRPr="00504946" w:rsidR="00504946" w:rsidP="00504946" w:rsidRDefault="00504946" w14:paraId="67FE244F" w14:textId="663685C5">
      <w:pPr>
        <w:outlineLvl w:val="0"/>
        <w:rPr>
          <w:rFonts w:eastAsia="Arial Unicode MS"/>
          <w:color w:val="000000"/>
          <w:sz w:val="26"/>
          <w:szCs w:val="26"/>
          <w:u w:color="000000"/>
        </w:rPr>
      </w:pPr>
      <w:r w:rsidRPr="00504946">
        <w:rPr>
          <w:rFonts w:eastAsia="Arial Unicode MS"/>
          <w:color w:val="000000"/>
          <w:sz w:val="26"/>
          <w:szCs w:val="26"/>
          <w:u w:color="000000"/>
        </w:rPr>
        <w:t xml:space="preserve">Communications Division: </w:t>
      </w:r>
      <w:r w:rsidR="002B2230">
        <w:rPr>
          <w:rFonts w:eastAsia="Arial Unicode MS"/>
          <w:color w:val="000000"/>
          <w:sz w:val="26"/>
          <w:szCs w:val="26"/>
          <w:u w:color="000000"/>
        </w:rPr>
        <w:t>Cole Przybyla</w:t>
      </w:r>
      <w:r w:rsidRPr="00504946">
        <w:rPr>
          <w:rFonts w:eastAsia="Arial Unicode MS"/>
          <w:color w:val="000000"/>
          <w:sz w:val="26"/>
          <w:szCs w:val="26"/>
          <w:u w:color="000000"/>
        </w:rPr>
        <w:t xml:space="preserve"> (</w:t>
      </w:r>
      <w:hyperlink w:history="1" r:id="rId12">
        <w:r w:rsidRPr="0062751D" w:rsidR="002B2230">
          <w:rPr>
            <w:rStyle w:val="Hyperlink"/>
            <w:rFonts w:eastAsia="Arial Unicode MS"/>
            <w:sz w:val="26"/>
            <w:szCs w:val="26"/>
          </w:rPr>
          <w:t>cole.przybyla@cpuc.ca.gov</w:t>
        </w:r>
      </w:hyperlink>
      <w:r w:rsidRPr="00504946">
        <w:rPr>
          <w:rFonts w:eastAsia="Arial Unicode MS"/>
          <w:color w:val="000000"/>
          <w:sz w:val="26"/>
          <w:szCs w:val="26"/>
          <w:u w:color="000000"/>
        </w:rPr>
        <w:t>)</w:t>
      </w:r>
    </w:p>
    <w:sectPr w:rsidRPr="00504946" w:rsidR="00504946" w:rsidSect="00BE698C">
      <w:footerReference w:type="default" r:id="rId13"/>
      <w:headerReference w:type="first" r:id="rId14"/>
      <w:footerReference w:type="first" r:id="rId15"/>
      <w:pgSz w:w="12240" w:h="15840" w:code="1"/>
      <w:pgMar w:top="1440" w:right="1440" w:bottom="1440" w:left="1440" w:header="720" w:footer="720" w:gutter="0"/>
      <w:pgNumType w:start="1"/>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2F05" w14:textId="77777777" w:rsidR="00BF1F77" w:rsidRDefault="00BF1F77">
      <w:r>
        <w:separator/>
      </w:r>
    </w:p>
  </w:endnote>
  <w:endnote w:type="continuationSeparator" w:id="0">
    <w:p w14:paraId="0A4777CA" w14:textId="77777777" w:rsidR="00BF1F77" w:rsidRDefault="00BF1F77">
      <w:r>
        <w:continuationSeparator/>
      </w:r>
    </w:p>
  </w:endnote>
  <w:endnote w:type="continuationNotice" w:id="1">
    <w:p w14:paraId="7B968DCD" w14:textId="77777777" w:rsidR="00BF1F77" w:rsidRDefault="00BF1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C14C" w14:textId="33BE139B" w:rsidR="00BE698C" w:rsidRDefault="00BE698C" w:rsidP="00BE698C">
    <w:pPr>
      <w:pStyle w:val="Footer"/>
      <w:tabs>
        <w:tab w:val="clear" w:pos="8640"/>
      </w:tabs>
    </w:pPr>
    <w:r w:rsidRPr="00BE698C">
      <w:t>583949228</w:t>
    </w:r>
    <w:r>
      <w:tab/>
    </w:r>
    <w:r w:rsidRPr="00BE698C">
      <w:rPr>
        <w:sz w:val="24"/>
        <w:szCs w:val="24"/>
      </w:rPr>
      <w:fldChar w:fldCharType="begin"/>
    </w:r>
    <w:r w:rsidRPr="00BE698C">
      <w:rPr>
        <w:sz w:val="24"/>
        <w:szCs w:val="24"/>
      </w:rPr>
      <w:instrText xml:space="preserve"> PAGE   \* MERGEFORMAT </w:instrText>
    </w:r>
    <w:r w:rsidRPr="00BE698C">
      <w:rPr>
        <w:sz w:val="24"/>
        <w:szCs w:val="24"/>
      </w:rPr>
      <w:fldChar w:fldCharType="separate"/>
    </w:r>
    <w:r w:rsidRPr="00BE698C">
      <w:rPr>
        <w:noProof/>
        <w:sz w:val="24"/>
        <w:szCs w:val="24"/>
      </w:rPr>
      <w:t>1</w:t>
    </w:r>
    <w:r w:rsidRPr="00BE698C">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60E0" w14:textId="18F96C57" w:rsidR="003E55A8" w:rsidRDefault="00BE698C" w:rsidP="00BE698C">
    <w:pPr>
      <w:pStyle w:val="Footer"/>
      <w:tabs>
        <w:tab w:val="clear" w:pos="8640"/>
      </w:tabs>
    </w:pPr>
    <w:r w:rsidRPr="00BE698C">
      <w:t>583949228</w:t>
    </w:r>
    <w:r>
      <w:tab/>
    </w:r>
    <w:r w:rsidRPr="00BE698C">
      <w:rPr>
        <w:sz w:val="24"/>
        <w:szCs w:val="24"/>
      </w:rPr>
      <w:fldChar w:fldCharType="begin"/>
    </w:r>
    <w:r w:rsidRPr="00BE698C">
      <w:rPr>
        <w:sz w:val="24"/>
        <w:szCs w:val="24"/>
      </w:rPr>
      <w:instrText xml:space="preserve"> PAGE   \* MERGEFORMAT </w:instrText>
    </w:r>
    <w:r w:rsidRPr="00BE698C">
      <w:rPr>
        <w:sz w:val="24"/>
        <w:szCs w:val="24"/>
      </w:rPr>
      <w:fldChar w:fldCharType="separate"/>
    </w:r>
    <w:r w:rsidRPr="00BE698C">
      <w:rPr>
        <w:noProof/>
        <w:sz w:val="24"/>
        <w:szCs w:val="24"/>
      </w:rPr>
      <w:t>1</w:t>
    </w:r>
    <w:r w:rsidRPr="00BE698C">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A8F3" w14:textId="77777777" w:rsidR="00BF1F77" w:rsidRPr="00C26E58" w:rsidRDefault="00BF1F77" w:rsidP="00C26E58">
      <w:pPr>
        <w:spacing w:after="60"/>
        <w:rPr>
          <w:sz w:val="26"/>
          <w:szCs w:val="26"/>
        </w:rPr>
      </w:pPr>
      <w:r w:rsidRPr="00C26E58">
        <w:rPr>
          <w:sz w:val="26"/>
          <w:szCs w:val="26"/>
        </w:rPr>
        <w:separator/>
      </w:r>
    </w:p>
  </w:footnote>
  <w:footnote w:type="continuationSeparator" w:id="0">
    <w:p w14:paraId="4F5BEFAC" w14:textId="77777777" w:rsidR="00BF1F77" w:rsidRDefault="00BF1F77">
      <w:r>
        <w:continuationSeparator/>
      </w:r>
    </w:p>
  </w:footnote>
  <w:footnote w:type="continuationNotice" w:id="1">
    <w:p w14:paraId="36C4A352" w14:textId="77777777" w:rsidR="00BF1F77" w:rsidRDefault="00BF1F77"/>
  </w:footnote>
  <w:footnote w:id="2">
    <w:p w14:paraId="7BEC4A2B" w14:textId="5181B39A" w:rsidR="00151132" w:rsidRPr="00351F10" w:rsidRDefault="00151132" w:rsidP="00C26E58">
      <w:pPr>
        <w:pStyle w:val="FootnoteText"/>
        <w:spacing w:after="120" w:line="240" w:lineRule="exact"/>
        <w:rPr>
          <w:sz w:val="24"/>
          <w:szCs w:val="24"/>
        </w:rPr>
      </w:pPr>
      <w:r w:rsidRPr="00351F10">
        <w:rPr>
          <w:rStyle w:val="FootnoteReference"/>
          <w:sz w:val="24"/>
          <w:szCs w:val="24"/>
        </w:rPr>
        <w:footnoteRef/>
      </w:r>
      <w:r w:rsidRPr="00351F10">
        <w:rPr>
          <w:sz w:val="24"/>
          <w:szCs w:val="24"/>
        </w:rPr>
        <w:t xml:space="preserve"> </w:t>
      </w:r>
      <w:r w:rsidR="00B226CB" w:rsidRPr="00351F10">
        <w:rPr>
          <w:i/>
          <w:iCs/>
          <w:sz w:val="24"/>
          <w:szCs w:val="24"/>
        </w:rPr>
        <w:t xml:space="preserve">In the Matter of Accelerating Wireline Broadband Deployment by Removing Barriers </w:t>
      </w:r>
      <w:r w:rsidR="00C26E58" w:rsidRPr="00351F10">
        <w:rPr>
          <w:i/>
          <w:iCs/>
          <w:sz w:val="24"/>
          <w:szCs w:val="24"/>
        </w:rPr>
        <w:br/>
      </w:r>
      <w:r w:rsidR="00B226CB" w:rsidRPr="00351F10">
        <w:rPr>
          <w:i/>
          <w:iCs/>
          <w:sz w:val="24"/>
          <w:szCs w:val="24"/>
        </w:rPr>
        <w:t>to Infrastructure Inv.</w:t>
      </w:r>
      <w:r w:rsidR="00B226CB" w:rsidRPr="00351F10">
        <w:rPr>
          <w:sz w:val="24"/>
          <w:szCs w:val="24"/>
        </w:rPr>
        <w:t xml:space="preserve">, 33 F.C.C. </w:t>
      </w:r>
      <w:proofErr w:type="spellStart"/>
      <w:r w:rsidR="00B226CB" w:rsidRPr="00351F10">
        <w:rPr>
          <w:sz w:val="24"/>
          <w:szCs w:val="24"/>
        </w:rPr>
        <w:t>Rcd</w:t>
      </w:r>
      <w:proofErr w:type="spellEnd"/>
      <w:r w:rsidR="00B226CB" w:rsidRPr="00351F10">
        <w:rPr>
          <w:sz w:val="24"/>
          <w:szCs w:val="24"/>
        </w:rPr>
        <w:t>. 7705 (2018).</w:t>
      </w:r>
    </w:p>
  </w:footnote>
  <w:footnote w:id="3">
    <w:p w14:paraId="2E48542E" w14:textId="77D3F72E" w:rsidR="00151132" w:rsidRPr="00351F10" w:rsidRDefault="00151132" w:rsidP="00C26E58">
      <w:pPr>
        <w:pStyle w:val="FootnoteText"/>
        <w:spacing w:after="120" w:line="240" w:lineRule="exact"/>
        <w:rPr>
          <w:sz w:val="24"/>
          <w:szCs w:val="24"/>
        </w:rPr>
      </w:pPr>
      <w:r w:rsidRPr="00351F10">
        <w:rPr>
          <w:rStyle w:val="FootnoteReference"/>
          <w:sz w:val="24"/>
          <w:szCs w:val="24"/>
        </w:rPr>
        <w:footnoteRef/>
      </w:r>
      <w:r w:rsidRPr="00351F10">
        <w:rPr>
          <w:sz w:val="24"/>
          <w:szCs w:val="24"/>
        </w:rPr>
        <w:t xml:space="preserve"> </w:t>
      </w:r>
      <w:r w:rsidR="00B226CB" w:rsidRPr="00351F10">
        <w:rPr>
          <w:i/>
          <w:iCs/>
          <w:sz w:val="24"/>
          <w:szCs w:val="24"/>
        </w:rPr>
        <w:t>In the Matter of Accelerating Wireless Broadband Deployment by Removing Barriers</w:t>
      </w:r>
      <w:r w:rsidR="00C26E58" w:rsidRPr="00351F10">
        <w:rPr>
          <w:i/>
          <w:iCs/>
          <w:sz w:val="24"/>
          <w:szCs w:val="24"/>
        </w:rPr>
        <w:br/>
      </w:r>
      <w:r w:rsidR="00B226CB" w:rsidRPr="00351F10">
        <w:rPr>
          <w:i/>
          <w:iCs/>
          <w:sz w:val="24"/>
          <w:szCs w:val="24"/>
        </w:rPr>
        <w:t xml:space="preserve"> to Infrastructure Inv.</w:t>
      </w:r>
      <w:r w:rsidR="00B226CB" w:rsidRPr="00351F10">
        <w:rPr>
          <w:sz w:val="24"/>
          <w:szCs w:val="24"/>
        </w:rPr>
        <w:t xml:space="preserve">, 33 F.C.C. </w:t>
      </w:r>
      <w:proofErr w:type="spellStart"/>
      <w:r w:rsidR="00B226CB" w:rsidRPr="00351F10">
        <w:rPr>
          <w:sz w:val="24"/>
          <w:szCs w:val="24"/>
        </w:rPr>
        <w:t>Rcd</w:t>
      </w:r>
      <w:proofErr w:type="spellEnd"/>
      <w:r w:rsidR="00B226CB" w:rsidRPr="00351F10">
        <w:rPr>
          <w:sz w:val="24"/>
          <w:szCs w:val="24"/>
        </w:rPr>
        <w:t>. 9088 (2018).</w:t>
      </w:r>
    </w:p>
  </w:footnote>
  <w:footnote w:id="4">
    <w:p w14:paraId="214033DF" w14:textId="6C6BCD33" w:rsidR="00F3734A" w:rsidRPr="00351F10" w:rsidRDefault="00F3734A" w:rsidP="00C26E58">
      <w:pPr>
        <w:pStyle w:val="FootnoteText"/>
        <w:spacing w:after="120" w:line="240" w:lineRule="exact"/>
        <w:rPr>
          <w:sz w:val="24"/>
          <w:szCs w:val="24"/>
        </w:rPr>
      </w:pPr>
      <w:r w:rsidRPr="00351F10">
        <w:rPr>
          <w:rStyle w:val="FootnoteReference"/>
          <w:sz w:val="24"/>
          <w:szCs w:val="24"/>
        </w:rPr>
        <w:footnoteRef/>
      </w:r>
      <w:r w:rsidRPr="00351F10">
        <w:rPr>
          <w:sz w:val="24"/>
          <w:szCs w:val="24"/>
        </w:rPr>
        <w:t xml:space="preserve"> </w:t>
      </w:r>
      <w:r w:rsidRPr="00351F10">
        <w:rPr>
          <w:i/>
          <w:iCs/>
          <w:sz w:val="24"/>
          <w:szCs w:val="24"/>
        </w:rPr>
        <w:t>City of Portland v. United States</w:t>
      </w:r>
      <w:r w:rsidRPr="00351F10">
        <w:rPr>
          <w:sz w:val="24"/>
          <w:szCs w:val="24"/>
        </w:rPr>
        <w:t>, 969 F.3d 1020 (9th Cir.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C75B" w14:textId="337D21D0" w:rsidR="005775E4" w:rsidRPr="00C26E58" w:rsidRDefault="005775E4" w:rsidP="00C26E58">
    <w:pPr>
      <w:pStyle w:val="Header"/>
      <w:tabs>
        <w:tab w:val="clear" w:pos="8640"/>
      </w:tabs>
      <w:jc w:val="right"/>
      <w:rPr>
        <w:sz w:val="26"/>
        <w:szCs w:val="26"/>
      </w:rPr>
    </w:pPr>
    <w:r w:rsidRPr="00C26E58">
      <w:rPr>
        <w:sz w:val="26"/>
        <w:szCs w:val="26"/>
      </w:rPr>
      <w:t xml:space="preserve">Item ___ (Agenda ID# </w:t>
    </w:r>
    <w:r w:rsidR="00970A4A" w:rsidRPr="00C26E58">
      <w:rPr>
        <w:sz w:val="26"/>
        <w:szCs w:val="26"/>
      </w:rPr>
      <w:t>23793</w:t>
    </w:r>
    <w:r w:rsidRPr="00C26E58">
      <w:rPr>
        <w:sz w:val="26"/>
        <w:szCs w:val="26"/>
      </w:rPr>
      <w:t>)</w:t>
    </w:r>
  </w:p>
  <w:p w14:paraId="14E456EB" w14:textId="16E72999" w:rsidR="003C065D" w:rsidRPr="003C065D" w:rsidRDefault="003C065D" w:rsidP="003C0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6656FE7"/>
    <w:multiLevelType w:val="hybridMultilevel"/>
    <w:tmpl w:val="9692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32065"/>
    <w:multiLevelType w:val="hybridMultilevel"/>
    <w:tmpl w:val="1AA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D020A"/>
    <w:multiLevelType w:val="hybridMultilevel"/>
    <w:tmpl w:val="DB78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200E2"/>
    <w:multiLevelType w:val="hybridMultilevel"/>
    <w:tmpl w:val="E6EC8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E650B"/>
    <w:multiLevelType w:val="hybridMultilevel"/>
    <w:tmpl w:val="7D20DBF0"/>
    <w:lvl w:ilvl="0" w:tplc="581481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F60E9A"/>
    <w:multiLevelType w:val="hybridMultilevel"/>
    <w:tmpl w:val="9E02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145FA"/>
    <w:multiLevelType w:val="hybridMultilevel"/>
    <w:tmpl w:val="14EAB3F6"/>
    <w:lvl w:ilvl="0" w:tplc="4D6A4CB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20C44"/>
    <w:multiLevelType w:val="hybridMultilevel"/>
    <w:tmpl w:val="25E8B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018BC"/>
    <w:multiLevelType w:val="hybridMultilevel"/>
    <w:tmpl w:val="2854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84C25"/>
    <w:multiLevelType w:val="hybridMultilevel"/>
    <w:tmpl w:val="EAF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42188"/>
    <w:multiLevelType w:val="hybridMultilevel"/>
    <w:tmpl w:val="4E2C7C82"/>
    <w:lvl w:ilvl="0" w:tplc="C28E4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7910B9"/>
    <w:multiLevelType w:val="hybridMultilevel"/>
    <w:tmpl w:val="7AD4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5266B"/>
    <w:multiLevelType w:val="hybridMultilevel"/>
    <w:tmpl w:val="149C0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202F6"/>
    <w:multiLevelType w:val="hybridMultilevel"/>
    <w:tmpl w:val="A712CC6E"/>
    <w:lvl w:ilvl="0" w:tplc="35847AD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6F5524"/>
    <w:multiLevelType w:val="hybridMultilevel"/>
    <w:tmpl w:val="25BACC72"/>
    <w:lvl w:ilvl="0" w:tplc="AD5AF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43AC7"/>
    <w:multiLevelType w:val="hybridMultilevel"/>
    <w:tmpl w:val="52A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8D6221"/>
    <w:multiLevelType w:val="hybridMultilevel"/>
    <w:tmpl w:val="ED848280"/>
    <w:lvl w:ilvl="0" w:tplc="F6EA219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09671B"/>
    <w:multiLevelType w:val="hybridMultilevel"/>
    <w:tmpl w:val="174E87B8"/>
    <w:lvl w:ilvl="0" w:tplc="23D873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9263C"/>
    <w:multiLevelType w:val="hybridMultilevel"/>
    <w:tmpl w:val="EEB8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1E0284"/>
    <w:multiLevelType w:val="hybridMultilevel"/>
    <w:tmpl w:val="CF94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65F46"/>
    <w:multiLevelType w:val="hybridMultilevel"/>
    <w:tmpl w:val="025A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61ED2"/>
    <w:multiLevelType w:val="hybridMultilevel"/>
    <w:tmpl w:val="710A1230"/>
    <w:lvl w:ilvl="0" w:tplc="FA68FC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675909">
    <w:abstractNumId w:val="0"/>
  </w:num>
  <w:num w:numId="2" w16cid:durableId="1260941186">
    <w:abstractNumId w:val="5"/>
  </w:num>
  <w:num w:numId="3" w16cid:durableId="337275506">
    <w:abstractNumId w:val="11"/>
  </w:num>
  <w:num w:numId="4" w16cid:durableId="1454398717">
    <w:abstractNumId w:val="18"/>
  </w:num>
  <w:num w:numId="5" w16cid:durableId="689530869">
    <w:abstractNumId w:val="14"/>
  </w:num>
  <w:num w:numId="6" w16cid:durableId="1585723442">
    <w:abstractNumId w:val="17"/>
  </w:num>
  <w:num w:numId="7" w16cid:durableId="227349872">
    <w:abstractNumId w:val="22"/>
  </w:num>
  <w:num w:numId="8" w16cid:durableId="511143340">
    <w:abstractNumId w:val="1"/>
  </w:num>
  <w:num w:numId="9" w16cid:durableId="1053966559">
    <w:abstractNumId w:val="16"/>
  </w:num>
  <w:num w:numId="10" w16cid:durableId="1873761385">
    <w:abstractNumId w:val="21"/>
  </w:num>
  <w:num w:numId="11" w16cid:durableId="182323374">
    <w:abstractNumId w:val="7"/>
  </w:num>
  <w:num w:numId="12" w16cid:durableId="1018236947">
    <w:abstractNumId w:val="20"/>
  </w:num>
  <w:num w:numId="13" w16cid:durableId="1274361758">
    <w:abstractNumId w:val="19"/>
  </w:num>
  <w:num w:numId="14" w16cid:durableId="1494182053">
    <w:abstractNumId w:val="9"/>
  </w:num>
  <w:num w:numId="15" w16cid:durableId="1024212692">
    <w:abstractNumId w:val="2"/>
  </w:num>
  <w:num w:numId="16" w16cid:durableId="51972913">
    <w:abstractNumId w:val="13"/>
  </w:num>
  <w:num w:numId="17" w16cid:durableId="1255241978">
    <w:abstractNumId w:val="15"/>
  </w:num>
  <w:num w:numId="18" w16cid:durableId="2128886155">
    <w:abstractNumId w:val="12"/>
  </w:num>
  <w:num w:numId="19" w16cid:durableId="1636787131">
    <w:abstractNumId w:val="10"/>
  </w:num>
  <w:num w:numId="20" w16cid:durableId="2113623165">
    <w:abstractNumId w:val="8"/>
  </w:num>
  <w:num w:numId="21" w16cid:durableId="80298349">
    <w:abstractNumId w:val="6"/>
  </w:num>
  <w:num w:numId="22" w16cid:durableId="909274563">
    <w:abstractNumId w:val="4"/>
  </w:num>
  <w:num w:numId="23" w16cid:durableId="1854680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37"/>
    <w:rsid w:val="00001A21"/>
    <w:rsid w:val="00005564"/>
    <w:rsid w:val="00005841"/>
    <w:rsid w:val="000058EE"/>
    <w:rsid w:val="00005FA9"/>
    <w:rsid w:val="00006EA6"/>
    <w:rsid w:val="00007AE4"/>
    <w:rsid w:val="000113D3"/>
    <w:rsid w:val="00014D2D"/>
    <w:rsid w:val="00015F09"/>
    <w:rsid w:val="000217C9"/>
    <w:rsid w:val="00021C02"/>
    <w:rsid w:val="0002257C"/>
    <w:rsid w:val="00024979"/>
    <w:rsid w:val="00025CF0"/>
    <w:rsid w:val="0002744A"/>
    <w:rsid w:val="00031F49"/>
    <w:rsid w:val="000322C9"/>
    <w:rsid w:val="00032AFC"/>
    <w:rsid w:val="000353A6"/>
    <w:rsid w:val="000355A1"/>
    <w:rsid w:val="0004509A"/>
    <w:rsid w:val="000457C1"/>
    <w:rsid w:val="00047F0A"/>
    <w:rsid w:val="000550C1"/>
    <w:rsid w:val="00056900"/>
    <w:rsid w:val="0006022F"/>
    <w:rsid w:val="0006056E"/>
    <w:rsid w:val="000631E5"/>
    <w:rsid w:val="00063749"/>
    <w:rsid w:val="00066E78"/>
    <w:rsid w:val="00071E4A"/>
    <w:rsid w:val="00072CF9"/>
    <w:rsid w:val="0007470F"/>
    <w:rsid w:val="00080CAB"/>
    <w:rsid w:val="00081760"/>
    <w:rsid w:val="000834DC"/>
    <w:rsid w:val="00084C87"/>
    <w:rsid w:val="0008719D"/>
    <w:rsid w:val="000873EE"/>
    <w:rsid w:val="00094359"/>
    <w:rsid w:val="00094377"/>
    <w:rsid w:val="00094DF3"/>
    <w:rsid w:val="000A1DB0"/>
    <w:rsid w:val="000A1E72"/>
    <w:rsid w:val="000A3634"/>
    <w:rsid w:val="000A57CB"/>
    <w:rsid w:val="000A63F7"/>
    <w:rsid w:val="000A6459"/>
    <w:rsid w:val="000A6C88"/>
    <w:rsid w:val="000A7586"/>
    <w:rsid w:val="000B013C"/>
    <w:rsid w:val="000B26D6"/>
    <w:rsid w:val="000B7FCC"/>
    <w:rsid w:val="000C13A9"/>
    <w:rsid w:val="000C6050"/>
    <w:rsid w:val="000C6372"/>
    <w:rsid w:val="000C6E1E"/>
    <w:rsid w:val="000D07B3"/>
    <w:rsid w:val="000D1212"/>
    <w:rsid w:val="000D2379"/>
    <w:rsid w:val="000D383D"/>
    <w:rsid w:val="000D54C1"/>
    <w:rsid w:val="000D67D2"/>
    <w:rsid w:val="000E120F"/>
    <w:rsid w:val="000E23DD"/>
    <w:rsid w:val="000E41E2"/>
    <w:rsid w:val="000E47A3"/>
    <w:rsid w:val="000E61AC"/>
    <w:rsid w:val="000F4692"/>
    <w:rsid w:val="000F4B37"/>
    <w:rsid w:val="000F5921"/>
    <w:rsid w:val="0010038D"/>
    <w:rsid w:val="00101D06"/>
    <w:rsid w:val="00101FCC"/>
    <w:rsid w:val="0010237A"/>
    <w:rsid w:val="001023A1"/>
    <w:rsid w:val="00104AE1"/>
    <w:rsid w:val="0010545D"/>
    <w:rsid w:val="00111664"/>
    <w:rsid w:val="00112538"/>
    <w:rsid w:val="001171FA"/>
    <w:rsid w:val="00122F4E"/>
    <w:rsid w:val="001236B8"/>
    <w:rsid w:val="001303AD"/>
    <w:rsid w:val="001406E7"/>
    <w:rsid w:val="00141773"/>
    <w:rsid w:val="0014397C"/>
    <w:rsid w:val="00151132"/>
    <w:rsid w:val="001538B5"/>
    <w:rsid w:val="00153E57"/>
    <w:rsid w:val="0015508E"/>
    <w:rsid w:val="001553C1"/>
    <w:rsid w:val="0015787F"/>
    <w:rsid w:val="001628E5"/>
    <w:rsid w:val="00164E9F"/>
    <w:rsid w:val="0016592D"/>
    <w:rsid w:val="00165AD2"/>
    <w:rsid w:val="0016627F"/>
    <w:rsid w:val="001707A3"/>
    <w:rsid w:val="001718CE"/>
    <w:rsid w:val="00171B4A"/>
    <w:rsid w:val="00171D72"/>
    <w:rsid w:val="001759BD"/>
    <w:rsid w:val="00175D92"/>
    <w:rsid w:val="00176522"/>
    <w:rsid w:val="00184A76"/>
    <w:rsid w:val="0019232B"/>
    <w:rsid w:val="00195147"/>
    <w:rsid w:val="0019625D"/>
    <w:rsid w:val="001A7312"/>
    <w:rsid w:val="001A7C57"/>
    <w:rsid w:val="001B0A38"/>
    <w:rsid w:val="001B114A"/>
    <w:rsid w:val="001B35C6"/>
    <w:rsid w:val="001B4415"/>
    <w:rsid w:val="001B4BBC"/>
    <w:rsid w:val="001B556A"/>
    <w:rsid w:val="001C0CDE"/>
    <w:rsid w:val="001C1F36"/>
    <w:rsid w:val="001C62DC"/>
    <w:rsid w:val="001C653F"/>
    <w:rsid w:val="001C7FCC"/>
    <w:rsid w:val="001D2412"/>
    <w:rsid w:val="001D78DA"/>
    <w:rsid w:val="001E09E9"/>
    <w:rsid w:val="001E26E5"/>
    <w:rsid w:val="001E3C2B"/>
    <w:rsid w:val="001E4CEF"/>
    <w:rsid w:val="001F1BDA"/>
    <w:rsid w:val="001F3325"/>
    <w:rsid w:val="001F4CCA"/>
    <w:rsid w:val="001F54BF"/>
    <w:rsid w:val="001F77C9"/>
    <w:rsid w:val="0020265F"/>
    <w:rsid w:val="00203EB9"/>
    <w:rsid w:val="00205172"/>
    <w:rsid w:val="00205B32"/>
    <w:rsid w:val="00206BE2"/>
    <w:rsid w:val="00206F24"/>
    <w:rsid w:val="00210906"/>
    <w:rsid w:val="00210DA9"/>
    <w:rsid w:val="00210F61"/>
    <w:rsid w:val="002116EB"/>
    <w:rsid w:val="0021244A"/>
    <w:rsid w:val="002177C5"/>
    <w:rsid w:val="002204A5"/>
    <w:rsid w:val="00225B7A"/>
    <w:rsid w:val="00226CC6"/>
    <w:rsid w:val="00235CBA"/>
    <w:rsid w:val="00235CBC"/>
    <w:rsid w:val="0024217D"/>
    <w:rsid w:val="00242747"/>
    <w:rsid w:val="0025014B"/>
    <w:rsid w:val="00254089"/>
    <w:rsid w:val="002543DB"/>
    <w:rsid w:val="00256062"/>
    <w:rsid w:val="00257A29"/>
    <w:rsid w:val="00257FA7"/>
    <w:rsid w:val="00260AC3"/>
    <w:rsid w:val="00261AA5"/>
    <w:rsid w:val="00262DEB"/>
    <w:rsid w:val="002630FB"/>
    <w:rsid w:val="00263D83"/>
    <w:rsid w:val="00265BAD"/>
    <w:rsid w:val="002673F6"/>
    <w:rsid w:val="0026783D"/>
    <w:rsid w:val="002679EA"/>
    <w:rsid w:val="00267A16"/>
    <w:rsid w:val="00273C5C"/>
    <w:rsid w:val="0027550F"/>
    <w:rsid w:val="002766A3"/>
    <w:rsid w:val="00284EEB"/>
    <w:rsid w:val="0028506E"/>
    <w:rsid w:val="00287FE3"/>
    <w:rsid w:val="00290D7A"/>
    <w:rsid w:val="00290E90"/>
    <w:rsid w:val="002928F2"/>
    <w:rsid w:val="002935B6"/>
    <w:rsid w:val="0029495D"/>
    <w:rsid w:val="00295486"/>
    <w:rsid w:val="00295AC3"/>
    <w:rsid w:val="00297D4A"/>
    <w:rsid w:val="002A10C9"/>
    <w:rsid w:val="002A15D3"/>
    <w:rsid w:val="002A2FFA"/>
    <w:rsid w:val="002A3799"/>
    <w:rsid w:val="002B11B4"/>
    <w:rsid w:val="002B1E60"/>
    <w:rsid w:val="002B2230"/>
    <w:rsid w:val="002B2627"/>
    <w:rsid w:val="002B3BD1"/>
    <w:rsid w:val="002B530D"/>
    <w:rsid w:val="002B5FB5"/>
    <w:rsid w:val="002B6095"/>
    <w:rsid w:val="002C2894"/>
    <w:rsid w:val="002C5D4F"/>
    <w:rsid w:val="002C65BB"/>
    <w:rsid w:val="002C749E"/>
    <w:rsid w:val="002C773B"/>
    <w:rsid w:val="002D689C"/>
    <w:rsid w:val="002E1817"/>
    <w:rsid w:val="002E1E47"/>
    <w:rsid w:val="002E62CB"/>
    <w:rsid w:val="002F0D29"/>
    <w:rsid w:val="002F6412"/>
    <w:rsid w:val="002F6605"/>
    <w:rsid w:val="00300B4C"/>
    <w:rsid w:val="00302265"/>
    <w:rsid w:val="00303D86"/>
    <w:rsid w:val="00303E53"/>
    <w:rsid w:val="0030529F"/>
    <w:rsid w:val="003059CE"/>
    <w:rsid w:val="00305D2E"/>
    <w:rsid w:val="00306CEE"/>
    <w:rsid w:val="00310DB7"/>
    <w:rsid w:val="0031208C"/>
    <w:rsid w:val="00323277"/>
    <w:rsid w:val="0033190E"/>
    <w:rsid w:val="0033255A"/>
    <w:rsid w:val="00340CBB"/>
    <w:rsid w:val="00343359"/>
    <w:rsid w:val="00345678"/>
    <w:rsid w:val="00350D2A"/>
    <w:rsid w:val="003511B5"/>
    <w:rsid w:val="00351636"/>
    <w:rsid w:val="00351F10"/>
    <w:rsid w:val="00353AEA"/>
    <w:rsid w:val="00354201"/>
    <w:rsid w:val="00354B0A"/>
    <w:rsid w:val="00355219"/>
    <w:rsid w:val="00357E41"/>
    <w:rsid w:val="003604C3"/>
    <w:rsid w:val="00364BF9"/>
    <w:rsid w:val="003650F7"/>
    <w:rsid w:val="003664C6"/>
    <w:rsid w:val="00366758"/>
    <w:rsid w:val="00370752"/>
    <w:rsid w:val="00370E1A"/>
    <w:rsid w:val="00373196"/>
    <w:rsid w:val="003737A0"/>
    <w:rsid w:val="0038009C"/>
    <w:rsid w:val="003818DA"/>
    <w:rsid w:val="00392831"/>
    <w:rsid w:val="0039421C"/>
    <w:rsid w:val="00394A24"/>
    <w:rsid w:val="0039553E"/>
    <w:rsid w:val="003968FF"/>
    <w:rsid w:val="003A23D6"/>
    <w:rsid w:val="003A3B4F"/>
    <w:rsid w:val="003B083E"/>
    <w:rsid w:val="003B4367"/>
    <w:rsid w:val="003B5487"/>
    <w:rsid w:val="003B57EA"/>
    <w:rsid w:val="003B5D68"/>
    <w:rsid w:val="003C065D"/>
    <w:rsid w:val="003C0FA7"/>
    <w:rsid w:val="003C402F"/>
    <w:rsid w:val="003C7F3F"/>
    <w:rsid w:val="003D6F58"/>
    <w:rsid w:val="003E074E"/>
    <w:rsid w:val="003E1221"/>
    <w:rsid w:val="003E1981"/>
    <w:rsid w:val="003E5543"/>
    <w:rsid w:val="003E55A8"/>
    <w:rsid w:val="003E710C"/>
    <w:rsid w:val="003F1CA5"/>
    <w:rsid w:val="003F2E1C"/>
    <w:rsid w:val="003F3A5D"/>
    <w:rsid w:val="003F464B"/>
    <w:rsid w:val="003F58C4"/>
    <w:rsid w:val="003F72DC"/>
    <w:rsid w:val="00400B1C"/>
    <w:rsid w:val="00405457"/>
    <w:rsid w:val="004074B1"/>
    <w:rsid w:val="00407D9F"/>
    <w:rsid w:val="00413420"/>
    <w:rsid w:val="0041406D"/>
    <w:rsid w:val="00414657"/>
    <w:rsid w:val="004155BD"/>
    <w:rsid w:val="00423C2B"/>
    <w:rsid w:val="00431305"/>
    <w:rsid w:val="004329CE"/>
    <w:rsid w:val="004336C8"/>
    <w:rsid w:val="00434A2C"/>
    <w:rsid w:val="00435231"/>
    <w:rsid w:val="004354E4"/>
    <w:rsid w:val="004354EC"/>
    <w:rsid w:val="004360CE"/>
    <w:rsid w:val="004372A3"/>
    <w:rsid w:val="00440BD8"/>
    <w:rsid w:val="004421B6"/>
    <w:rsid w:val="004426E0"/>
    <w:rsid w:val="00442BAE"/>
    <w:rsid w:val="004441B7"/>
    <w:rsid w:val="00455455"/>
    <w:rsid w:val="004603B4"/>
    <w:rsid w:val="0046048E"/>
    <w:rsid w:val="00460B92"/>
    <w:rsid w:val="0046135B"/>
    <w:rsid w:val="00463F45"/>
    <w:rsid w:val="0046441B"/>
    <w:rsid w:val="0046505B"/>
    <w:rsid w:val="00465D1F"/>
    <w:rsid w:val="00470A46"/>
    <w:rsid w:val="004734FE"/>
    <w:rsid w:val="004737BB"/>
    <w:rsid w:val="004740CA"/>
    <w:rsid w:val="004760AB"/>
    <w:rsid w:val="00477A38"/>
    <w:rsid w:val="00480C23"/>
    <w:rsid w:val="004857A6"/>
    <w:rsid w:val="00485D54"/>
    <w:rsid w:val="004869B9"/>
    <w:rsid w:val="0049617E"/>
    <w:rsid w:val="00497522"/>
    <w:rsid w:val="004A130B"/>
    <w:rsid w:val="004A22C9"/>
    <w:rsid w:val="004A4EC1"/>
    <w:rsid w:val="004B0AFE"/>
    <w:rsid w:val="004B75A9"/>
    <w:rsid w:val="004C180B"/>
    <w:rsid w:val="004C4167"/>
    <w:rsid w:val="004C5B0B"/>
    <w:rsid w:val="004E21FE"/>
    <w:rsid w:val="004E3E0C"/>
    <w:rsid w:val="004E43D3"/>
    <w:rsid w:val="004E44E6"/>
    <w:rsid w:val="004E5244"/>
    <w:rsid w:val="004E53E0"/>
    <w:rsid w:val="004E5A6F"/>
    <w:rsid w:val="004F5374"/>
    <w:rsid w:val="00502546"/>
    <w:rsid w:val="0050307C"/>
    <w:rsid w:val="005031BE"/>
    <w:rsid w:val="00504718"/>
    <w:rsid w:val="00504946"/>
    <w:rsid w:val="005134BA"/>
    <w:rsid w:val="0051350F"/>
    <w:rsid w:val="00517288"/>
    <w:rsid w:val="005173D6"/>
    <w:rsid w:val="00522CE0"/>
    <w:rsid w:val="005234F1"/>
    <w:rsid w:val="00523667"/>
    <w:rsid w:val="00525C8B"/>
    <w:rsid w:val="00527605"/>
    <w:rsid w:val="00532EDF"/>
    <w:rsid w:val="00537802"/>
    <w:rsid w:val="00546482"/>
    <w:rsid w:val="00550325"/>
    <w:rsid w:val="00550B71"/>
    <w:rsid w:val="0055135C"/>
    <w:rsid w:val="0055641D"/>
    <w:rsid w:val="005631ED"/>
    <w:rsid w:val="005650B7"/>
    <w:rsid w:val="00567FDD"/>
    <w:rsid w:val="00571835"/>
    <w:rsid w:val="005760FA"/>
    <w:rsid w:val="005775E4"/>
    <w:rsid w:val="005835E8"/>
    <w:rsid w:val="00584E0A"/>
    <w:rsid w:val="00586862"/>
    <w:rsid w:val="00586A0A"/>
    <w:rsid w:val="00586C4F"/>
    <w:rsid w:val="00590099"/>
    <w:rsid w:val="005918EE"/>
    <w:rsid w:val="005939F4"/>
    <w:rsid w:val="005A3AF8"/>
    <w:rsid w:val="005B296F"/>
    <w:rsid w:val="005B35AE"/>
    <w:rsid w:val="005B36D3"/>
    <w:rsid w:val="005C38D5"/>
    <w:rsid w:val="005C3A32"/>
    <w:rsid w:val="005C4F3A"/>
    <w:rsid w:val="005C72CA"/>
    <w:rsid w:val="005D2775"/>
    <w:rsid w:val="005D7118"/>
    <w:rsid w:val="005E22D5"/>
    <w:rsid w:val="005E2F1C"/>
    <w:rsid w:val="005E4F71"/>
    <w:rsid w:val="005E561F"/>
    <w:rsid w:val="005E5C6E"/>
    <w:rsid w:val="005F0C8B"/>
    <w:rsid w:val="005F1349"/>
    <w:rsid w:val="005F1DD6"/>
    <w:rsid w:val="005F7170"/>
    <w:rsid w:val="005F79A6"/>
    <w:rsid w:val="00601B2A"/>
    <w:rsid w:val="006025A6"/>
    <w:rsid w:val="0060494B"/>
    <w:rsid w:val="00610010"/>
    <w:rsid w:val="0061123A"/>
    <w:rsid w:val="00615D58"/>
    <w:rsid w:val="00616B31"/>
    <w:rsid w:val="006205C2"/>
    <w:rsid w:val="00620891"/>
    <w:rsid w:val="0062282F"/>
    <w:rsid w:val="00623036"/>
    <w:rsid w:val="006237D2"/>
    <w:rsid w:val="00625E98"/>
    <w:rsid w:val="006341C3"/>
    <w:rsid w:val="0063458C"/>
    <w:rsid w:val="00637C02"/>
    <w:rsid w:val="0064013A"/>
    <w:rsid w:val="00645290"/>
    <w:rsid w:val="00645D6B"/>
    <w:rsid w:val="00646253"/>
    <w:rsid w:val="00651448"/>
    <w:rsid w:val="00651682"/>
    <w:rsid w:val="00652753"/>
    <w:rsid w:val="006528FB"/>
    <w:rsid w:val="00653542"/>
    <w:rsid w:val="00653559"/>
    <w:rsid w:val="00656146"/>
    <w:rsid w:val="00661CF1"/>
    <w:rsid w:val="006702C7"/>
    <w:rsid w:val="006717F9"/>
    <w:rsid w:val="00674CAF"/>
    <w:rsid w:val="006760D1"/>
    <w:rsid w:val="00676D08"/>
    <w:rsid w:val="00680229"/>
    <w:rsid w:val="00680FCA"/>
    <w:rsid w:val="0068109D"/>
    <w:rsid w:val="00681620"/>
    <w:rsid w:val="0068320E"/>
    <w:rsid w:val="00683E17"/>
    <w:rsid w:val="0068527C"/>
    <w:rsid w:val="00685E23"/>
    <w:rsid w:val="00697B55"/>
    <w:rsid w:val="00697CC8"/>
    <w:rsid w:val="006A002B"/>
    <w:rsid w:val="006A107E"/>
    <w:rsid w:val="006A24CD"/>
    <w:rsid w:val="006A74D7"/>
    <w:rsid w:val="006B025B"/>
    <w:rsid w:val="006B48C7"/>
    <w:rsid w:val="006B5483"/>
    <w:rsid w:val="006B60F9"/>
    <w:rsid w:val="006B6324"/>
    <w:rsid w:val="006B6984"/>
    <w:rsid w:val="006B6FE0"/>
    <w:rsid w:val="006C07BF"/>
    <w:rsid w:val="006C19B7"/>
    <w:rsid w:val="006C2233"/>
    <w:rsid w:val="006C24E5"/>
    <w:rsid w:val="006C2C0A"/>
    <w:rsid w:val="006C43E2"/>
    <w:rsid w:val="006C45E4"/>
    <w:rsid w:val="006C4D32"/>
    <w:rsid w:val="006C61AA"/>
    <w:rsid w:val="006D2EBD"/>
    <w:rsid w:val="006D5C57"/>
    <w:rsid w:val="006E1B63"/>
    <w:rsid w:val="006E1E86"/>
    <w:rsid w:val="006E38A6"/>
    <w:rsid w:val="006E455D"/>
    <w:rsid w:val="006E5A35"/>
    <w:rsid w:val="006E5D29"/>
    <w:rsid w:val="006E6D68"/>
    <w:rsid w:val="006E7519"/>
    <w:rsid w:val="006E751E"/>
    <w:rsid w:val="006E775D"/>
    <w:rsid w:val="006F45EB"/>
    <w:rsid w:val="006F46A3"/>
    <w:rsid w:val="006F4794"/>
    <w:rsid w:val="006F58D4"/>
    <w:rsid w:val="006F7F80"/>
    <w:rsid w:val="00700690"/>
    <w:rsid w:val="0070454F"/>
    <w:rsid w:val="00705573"/>
    <w:rsid w:val="00706AFF"/>
    <w:rsid w:val="00707D96"/>
    <w:rsid w:val="00712DB9"/>
    <w:rsid w:val="00717B93"/>
    <w:rsid w:val="00720A95"/>
    <w:rsid w:val="007231C9"/>
    <w:rsid w:val="007242A5"/>
    <w:rsid w:val="00726485"/>
    <w:rsid w:val="00731506"/>
    <w:rsid w:val="00733C42"/>
    <w:rsid w:val="00734213"/>
    <w:rsid w:val="00736A43"/>
    <w:rsid w:val="00740254"/>
    <w:rsid w:val="007407A6"/>
    <w:rsid w:val="007415F1"/>
    <w:rsid w:val="00742859"/>
    <w:rsid w:val="00743201"/>
    <w:rsid w:val="00743733"/>
    <w:rsid w:val="00745428"/>
    <w:rsid w:val="00760BB6"/>
    <w:rsid w:val="0076360D"/>
    <w:rsid w:val="0076370F"/>
    <w:rsid w:val="00763D3B"/>
    <w:rsid w:val="00770946"/>
    <w:rsid w:val="00771CE5"/>
    <w:rsid w:val="00774599"/>
    <w:rsid w:val="00775681"/>
    <w:rsid w:val="007762C1"/>
    <w:rsid w:val="007765A3"/>
    <w:rsid w:val="00787A1B"/>
    <w:rsid w:val="00787D0F"/>
    <w:rsid w:val="007936F7"/>
    <w:rsid w:val="007A0C35"/>
    <w:rsid w:val="007A6BFE"/>
    <w:rsid w:val="007B2CE8"/>
    <w:rsid w:val="007B2E55"/>
    <w:rsid w:val="007B4CF0"/>
    <w:rsid w:val="007C2DC1"/>
    <w:rsid w:val="007C4E77"/>
    <w:rsid w:val="007C56CC"/>
    <w:rsid w:val="007C6A59"/>
    <w:rsid w:val="007C6F35"/>
    <w:rsid w:val="007C7BF8"/>
    <w:rsid w:val="007D01BA"/>
    <w:rsid w:val="007D19D0"/>
    <w:rsid w:val="007D24EB"/>
    <w:rsid w:val="007D2C34"/>
    <w:rsid w:val="007D62DA"/>
    <w:rsid w:val="007D7698"/>
    <w:rsid w:val="007E0629"/>
    <w:rsid w:val="007E431F"/>
    <w:rsid w:val="007E7EB2"/>
    <w:rsid w:val="007F0760"/>
    <w:rsid w:val="007F12BF"/>
    <w:rsid w:val="007F2D95"/>
    <w:rsid w:val="007F342E"/>
    <w:rsid w:val="007F5B0F"/>
    <w:rsid w:val="00801AF2"/>
    <w:rsid w:val="008030B2"/>
    <w:rsid w:val="00803B82"/>
    <w:rsid w:val="00806314"/>
    <w:rsid w:val="00810B25"/>
    <w:rsid w:val="008113EF"/>
    <w:rsid w:val="00813C24"/>
    <w:rsid w:val="00813E20"/>
    <w:rsid w:val="00815529"/>
    <w:rsid w:val="0082018B"/>
    <w:rsid w:val="00821337"/>
    <w:rsid w:val="00821471"/>
    <w:rsid w:val="008264F9"/>
    <w:rsid w:val="00826832"/>
    <w:rsid w:val="00826848"/>
    <w:rsid w:val="008300F9"/>
    <w:rsid w:val="008307B7"/>
    <w:rsid w:val="008326DA"/>
    <w:rsid w:val="0083314D"/>
    <w:rsid w:val="00834876"/>
    <w:rsid w:val="00836343"/>
    <w:rsid w:val="00836EEB"/>
    <w:rsid w:val="008371B5"/>
    <w:rsid w:val="0083741A"/>
    <w:rsid w:val="008466CC"/>
    <w:rsid w:val="0085054F"/>
    <w:rsid w:val="0085427A"/>
    <w:rsid w:val="0086348E"/>
    <w:rsid w:val="00865282"/>
    <w:rsid w:val="008656BD"/>
    <w:rsid w:val="008658A6"/>
    <w:rsid w:val="0086630E"/>
    <w:rsid w:val="00866714"/>
    <w:rsid w:val="00866BCA"/>
    <w:rsid w:val="0087101F"/>
    <w:rsid w:val="00872890"/>
    <w:rsid w:val="00874167"/>
    <w:rsid w:val="00876343"/>
    <w:rsid w:val="0088012B"/>
    <w:rsid w:val="008809F6"/>
    <w:rsid w:val="00885949"/>
    <w:rsid w:val="0088655D"/>
    <w:rsid w:val="00890C46"/>
    <w:rsid w:val="00890C51"/>
    <w:rsid w:val="00892097"/>
    <w:rsid w:val="00897928"/>
    <w:rsid w:val="008A0E2C"/>
    <w:rsid w:val="008A4606"/>
    <w:rsid w:val="008A6611"/>
    <w:rsid w:val="008B5E5F"/>
    <w:rsid w:val="008B6C99"/>
    <w:rsid w:val="008C0776"/>
    <w:rsid w:val="008C167D"/>
    <w:rsid w:val="008C70B3"/>
    <w:rsid w:val="008C7810"/>
    <w:rsid w:val="008D04F7"/>
    <w:rsid w:val="008D2116"/>
    <w:rsid w:val="008D5EFA"/>
    <w:rsid w:val="008E0685"/>
    <w:rsid w:val="008E2512"/>
    <w:rsid w:val="008E373B"/>
    <w:rsid w:val="008E6DE2"/>
    <w:rsid w:val="008E74D5"/>
    <w:rsid w:val="008F4054"/>
    <w:rsid w:val="008F431A"/>
    <w:rsid w:val="008F58CB"/>
    <w:rsid w:val="008F64DC"/>
    <w:rsid w:val="008F66D0"/>
    <w:rsid w:val="008F6858"/>
    <w:rsid w:val="00904C52"/>
    <w:rsid w:val="0090503B"/>
    <w:rsid w:val="00906E9E"/>
    <w:rsid w:val="009079B3"/>
    <w:rsid w:val="00907EB6"/>
    <w:rsid w:val="00911140"/>
    <w:rsid w:val="00911387"/>
    <w:rsid w:val="009118DA"/>
    <w:rsid w:val="0091258B"/>
    <w:rsid w:val="009135E4"/>
    <w:rsid w:val="00916605"/>
    <w:rsid w:val="00927933"/>
    <w:rsid w:val="009326FB"/>
    <w:rsid w:val="00932A7A"/>
    <w:rsid w:val="00934588"/>
    <w:rsid w:val="00934E56"/>
    <w:rsid w:val="00934ED0"/>
    <w:rsid w:val="009357C4"/>
    <w:rsid w:val="009361EF"/>
    <w:rsid w:val="00937945"/>
    <w:rsid w:val="00941896"/>
    <w:rsid w:val="00942EA0"/>
    <w:rsid w:val="009463F8"/>
    <w:rsid w:val="0094666B"/>
    <w:rsid w:val="009508AE"/>
    <w:rsid w:val="0095687E"/>
    <w:rsid w:val="00957A0B"/>
    <w:rsid w:val="0096088F"/>
    <w:rsid w:val="00963AB0"/>
    <w:rsid w:val="00963BFF"/>
    <w:rsid w:val="0096544E"/>
    <w:rsid w:val="00966A73"/>
    <w:rsid w:val="00967B88"/>
    <w:rsid w:val="0097085B"/>
    <w:rsid w:val="00970A4A"/>
    <w:rsid w:val="0097491C"/>
    <w:rsid w:val="0097777F"/>
    <w:rsid w:val="009801C6"/>
    <w:rsid w:val="0098052E"/>
    <w:rsid w:val="00980B3A"/>
    <w:rsid w:val="00981677"/>
    <w:rsid w:val="00981973"/>
    <w:rsid w:val="00982C1D"/>
    <w:rsid w:val="00983D78"/>
    <w:rsid w:val="00984D07"/>
    <w:rsid w:val="00993386"/>
    <w:rsid w:val="009939E4"/>
    <w:rsid w:val="00993E77"/>
    <w:rsid w:val="009957CC"/>
    <w:rsid w:val="00997199"/>
    <w:rsid w:val="009A0AEC"/>
    <w:rsid w:val="009A3781"/>
    <w:rsid w:val="009A4C85"/>
    <w:rsid w:val="009A575D"/>
    <w:rsid w:val="009B106C"/>
    <w:rsid w:val="009B1079"/>
    <w:rsid w:val="009B1C13"/>
    <w:rsid w:val="009B2C0E"/>
    <w:rsid w:val="009B5E7A"/>
    <w:rsid w:val="009B65A5"/>
    <w:rsid w:val="009B787B"/>
    <w:rsid w:val="009C1CD0"/>
    <w:rsid w:val="009C1D8E"/>
    <w:rsid w:val="009C3DAB"/>
    <w:rsid w:val="009C3EB1"/>
    <w:rsid w:val="009C5046"/>
    <w:rsid w:val="009C762D"/>
    <w:rsid w:val="009D190C"/>
    <w:rsid w:val="009D256A"/>
    <w:rsid w:val="009D26C5"/>
    <w:rsid w:val="009D2B3B"/>
    <w:rsid w:val="009D2EC4"/>
    <w:rsid w:val="009D5AAF"/>
    <w:rsid w:val="009E26B2"/>
    <w:rsid w:val="009E39A6"/>
    <w:rsid w:val="009E4A87"/>
    <w:rsid w:val="009E7758"/>
    <w:rsid w:val="009F0809"/>
    <w:rsid w:val="009F1CA0"/>
    <w:rsid w:val="009F2120"/>
    <w:rsid w:val="009F68C6"/>
    <w:rsid w:val="009F6FFF"/>
    <w:rsid w:val="009F79E5"/>
    <w:rsid w:val="00A014E1"/>
    <w:rsid w:val="00A027CA"/>
    <w:rsid w:val="00A044ED"/>
    <w:rsid w:val="00A05506"/>
    <w:rsid w:val="00A055E9"/>
    <w:rsid w:val="00A06076"/>
    <w:rsid w:val="00A07BA0"/>
    <w:rsid w:val="00A12456"/>
    <w:rsid w:val="00A13ACE"/>
    <w:rsid w:val="00A21EFC"/>
    <w:rsid w:val="00A223EE"/>
    <w:rsid w:val="00A242B1"/>
    <w:rsid w:val="00A300BC"/>
    <w:rsid w:val="00A375EC"/>
    <w:rsid w:val="00A405A3"/>
    <w:rsid w:val="00A432FF"/>
    <w:rsid w:val="00A44CAC"/>
    <w:rsid w:val="00A51525"/>
    <w:rsid w:val="00A52D76"/>
    <w:rsid w:val="00A555C4"/>
    <w:rsid w:val="00A5700F"/>
    <w:rsid w:val="00A6058D"/>
    <w:rsid w:val="00A61274"/>
    <w:rsid w:val="00A62F70"/>
    <w:rsid w:val="00A635DC"/>
    <w:rsid w:val="00A638A6"/>
    <w:rsid w:val="00A640DE"/>
    <w:rsid w:val="00A66516"/>
    <w:rsid w:val="00A721F7"/>
    <w:rsid w:val="00A730CF"/>
    <w:rsid w:val="00A74C3B"/>
    <w:rsid w:val="00A80F55"/>
    <w:rsid w:val="00A82BE9"/>
    <w:rsid w:val="00A84574"/>
    <w:rsid w:val="00A858CE"/>
    <w:rsid w:val="00A929FC"/>
    <w:rsid w:val="00A97711"/>
    <w:rsid w:val="00A97CD1"/>
    <w:rsid w:val="00AA2ABA"/>
    <w:rsid w:val="00AA3DC3"/>
    <w:rsid w:val="00AA7BCB"/>
    <w:rsid w:val="00AB0166"/>
    <w:rsid w:val="00AB71E2"/>
    <w:rsid w:val="00AB77B7"/>
    <w:rsid w:val="00AB7D0C"/>
    <w:rsid w:val="00AC0C66"/>
    <w:rsid w:val="00AC102E"/>
    <w:rsid w:val="00AC3143"/>
    <w:rsid w:val="00AC354F"/>
    <w:rsid w:val="00AC503E"/>
    <w:rsid w:val="00AD652A"/>
    <w:rsid w:val="00AD6D4C"/>
    <w:rsid w:val="00AE2FF1"/>
    <w:rsid w:val="00AE39CF"/>
    <w:rsid w:val="00AE4331"/>
    <w:rsid w:val="00AE5706"/>
    <w:rsid w:val="00AE5D5D"/>
    <w:rsid w:val="00AE739A"/>
    <w:rsid w:val="00AF4C42"/>
    <w:rsid w:val="00AF71F1"/>
    <w:rsid w:val="00AF7F37"/>
    <w:rsid w:val="00B018AE"/>
    <w:rsid w:val="00B04426"/>
    <w:rsid w:val="00B05541"/>
    <w:rsid w:val="00B05D67"/>
    <w:rsid w:val="00B06A12"/>
    <w:rsid w:val="00B13361"/>
    <w:rsid w:val="00B15B8A"/>
    <w:rsid w:val="00B16941"/>
    <w:rsid w:val="00B16F36"/>
    <w:rsid w:val="00B2096E"/>
    <w:rsid w:val="00B226CB"/>
    <w:rsid w:val="00B2351F"/>
    <w:rsid w:val="00B24FF7"/>
    <w:rsid w:val="00B25808"/>
    <w:rsid w:val="00B3047F"/>
    <w:rsid w:val="00B33E7A"/>
    <w:rsid w:val="00B34F4F"/>
    <w:rsid w:val="00B35D00"/>
    <w:rsid w:val="00B43AC6"/>
    <w:rsid w:val="00B43D14"/>
    <w:rsid w:val="00B46EC4"/>
    <w:rsid w:val="00B564A9"/>
    <w:rsid w:val="00B603DE"/>
    <w:rsid w:val="00B62791"/>
    <w:rsid w:val="00B64584"/>
    <w:rsid w:val="00B658B6"/>
    <w:rsid w:val="00B70860"/>
    <w:rsid w:val="00B72BC2"/>
    <w:rsid w:val="00B73B25"/>
    <w:rsid w:val="00B73BC7"/>
    <w:rsid w:val="00B7568A"/>
    <w:rsid w:val="00B81A3C"/>
    <w:rsid w:val="00B81C22"/>
    <w:rsid w:val="00B85C03"/>
    <w:rsid w:val="00B936CB"/>
    <w:rsid w:val="00B93889"/>
    <w:rsid w:val="00BA16E7"/>
    <w:rsid w:val="00BA2484"/>
    <w:rsid w:val="00BA412E"/>
    <w:rsid w:val="00BA5524"/>
    <w:rsid w:val="00BA553B"/>
    <w:rsid w:val="00BA5E81"/>
    <w:rsid w:val="00BB45A2"/>
    <w:rsid w:val="00BB65E6"/>
    <w:rsid w:val="00BB7409"/>
    <w:rsid w:val="00BD2773"/>
    <w:rsid w:val="00BD2A9F"/>
    <w:rsid w:val="00BD4AC7"/>
    <w:rsid w:val="00BD6E8F"/>
    <w:rsid w:val="00BD7C97"/>
    <w:rsid w:val="00BE27E8"/>
    <w:rsid w:val="00BE431E"/>
    <w:rsid w:val="00BE521F"/>
    <w:rsid w:val="00BE698C"/>
    <w:rsid w:val="00BE7148"/>
    <w:rsid w:val="00BF1F77"/>
    <w:rsid w:val="00BF35A9"/>
    <w:rsid w:val="00BF40DD"/>
    <w:rsid w:val="00BF423C"/>
    <w:rsid w:val="00BF4536"/>
    <w:rsid w:val="00BF4F5C"/>
    <w:rsid w:val="00C02334"/>
    <w:rsid w:val="00C02DAA"/>
    <w:rsid w:val="00C04B07"/>
    <w:rsid w:val="00C054EA"/>
    <w:rsid w:val="00C066BE"/>
    <w:rsid w:val="00C13329"/>
    <w:rsid w:val="00C1341A"/>
    <w:rsid w:val="00C13B5E"/>
    <w:rsid w:val="00C22909"/>
    <w:rsid w:val="00C23A86"/>
    <w:rsid w:val="00C25EF9"/>
    <w:rsid w:val="00C2688B"/>
    <w:rsid w:val="00C26E58"/>
    <w:rsid w:val="00C30D44"/>
    <w:rsid w:val="00C34182"/>
    <w:rsid w:val="00C366E8"/>
    <w:rsid w:val="00C40A5B"/>
    <w:rsid w:val="00C42975"/>
    <w:rsid w:val="00C448E7"/>
    <w:rsid w:val="00C50D54"/>
    <w:rsid w:val="00C51610"/>
    <w:rsid w:val="00C52CD5"/>
    <w:rsid w:val="00C53E71"/>
    <w:rsid w:val="00C546B9"/>
    <w:rsid w:val="00C57377"/>
    <w:rsid w:val="00C61E06"/>
    <w:rsid w:val="00C6299F"/>
    <w:rsid w:val="00C62A38"/>
    <w:rsid w:val="00C62F36"/>
    <w:rsid w:val="00C642C4"/>
    <w:rsid w:val="00C71458"/>
    <w:rsid w:val="00C71EDE"/>
    <w:rsid w:val="00C7465B"/>
    <w:rsid w:val="00C80D25"/>
    <w:rsid w:val="00C81BB9"/>
    <w:rsid w:val="00C82ED2"/>
    <w:rsid w:val="00C84E5B"/>
    <w:rsid w:val="00C86B19"/>
    <w:rsid w:val="00C877F4"/>
    <w:rsid w:val="00C90C85"/>
    <w:rsid w:val="00C95524"/>
    <w:rsid w:val="00CA0518"/>
    <w:rsid w:val="00CA07F5"/>
    <w:rsid w:val="00CA0A65"/>
    <w:rsid w:val="00CA33CA"/>
    <w:rsid w:val="00CA6436"/>
    <w:rsid w:val="00CB2F41"/>
    <w:rsid w:val="00CB3635"/>
    <w:rsid w:val="00CB3C9A"/>
    <w:rsid w:val="00CB747E"/>
    <w:rsid w:val="00CC0E1D"/>
    <w:rsid w:val="00CC32A1"/>
    <w:rsid w:val="00CC3894"/>
    <w:rsid w:val="00CC5E58"/>
    <w:rsid w:val="00CC66A1"/>
    <w:rsid w:val="00CC66D2"/>
    <w:rsid w:val="00CD2203"/>
    <w:rsid w:val="00CD2474"/>
    <w:rsid w:val="00CD3F60"/>
    <w:rsid w:val="00CD4E55"/>
    <w:rsid w:val="00CD5FBA"/>
    <w:rsid w:val="00CE1AB0"/>
    <w:rsid w:val="00CE2085"/>
    <w:rsid w:val="00CE52C1"/>
    <w:rsid w:val="00CE73F1"/>
    <w:rsid w:val="00CF1A87"/>
    <w:rsid w:val="00CF1BE3"/>
    <w:rsid w:val="00CF26A2"/>
    <w:rsid w:val="00CF322A"/>
    <w:rsid w:val="00CF7C3F"/>
    <w:rsid w:val="00D02261"/>
    <w:rsid w:val="00D02CBD"/>
    <w:rsid w:val="00D05A09"/>
    <w:rsid w:val="00D05AFC"/>
    <w:rsid w:val="00D1236E"/>
    <w:rsid w:val="00D140A8"/>
    <w:rsid w:val="00D23472"/>
    <w:rsid w:val="00D247C7"/>
    <w:rsid w:val="00D24F65"/>
    <w:rsid w:val="00D259BC"/>
    <w:rsid w:val="00D2763E"/>
    <w:rsid w:val="00D31EB5"/>
    <w:rsid w:val="00D31F34"/>
    <w:rsid w:val="00D3295C"/>
    <w:rsid w:val="00D33D2D"/>
    <w:rsid w:val="00D33FF1"/>
    <w:rsid w:val="00D3509A"/>
    <w:rsid w:val="00D353D5"/>
    <w:rsid w:val="00D3585B"/>
    <w:rsid w:val="00D3745D"/>
    <w:rsid w:val="00D42752"/>
    <w:rsid w:val="00D43294"/>
    <w:rsid w:val="00D46F4F"/>
    <w:rsid w:val="00D51444"/>
    <w:rsid w:val="00D5382F"/>
    <w:rsid w:val="00D53885"/>
    <w:rsid w:val="00D53B4A"/>
    <w:rsid w:val="00D56F39"/>
    <w:rsid w:val="00D60295"/>
    <w:rsid w:val="00D614BC"/>
    <w:rsid w:val="00D63A04"/>
    <w:rsid w:val="00D642CF"/>
    <w:rsid w:val="00D7121B"/>
    <w:rsid w:val="00D72DDC"/>
    <w:rsid w:val="00D73733"/>
    <w:rsid w:val="00D76013"/>
    <w:rsid w:val="00D805B4"/>
    <w:rsid w:val="00D806BA"/>
    <w:rsid w:val="00D83E6F"/>
    <w:rsid w:val="00D860CC"/>
    <w:rsid w:val="00D937EC"/>
    <w:rsid w:val="00D93C49"/>
    <w:rsid w:val="00D94204"/>
    <w:rsid w:val="00D946CC"/>
    <w:rsid w:val="00D94772"/>
    <w:rsid w:val="00D9630E"/>
    <w:rsid w:val="00D979E1"/>
    <w:rsid w:val="00DA0694"/>
    <w:rsid w:val="00DA1691"/>
    <w:rsid w:val="00DA2565"/>
    <w:rsid w:val="00DA3C86"/>
    <w:rsid w:val="00DA5170"/>
    <w:rsid w:val="00DA69A0"/>
    <w:rsid w:val="00DB1843"/>
    <w:rsid w:val="00DB2955"/>
    <w:rsid w:val="00DB532C"/>
    <w:rsid w:val="00DB5F5A"/>
    <w:rsid w:val="00DB70DB"/>
    <w:rsid w:val="00DB7CD8"/>
    <w:rsid w:val="00DC3794"/>
    <w:rsid w:val="00DC64E2"/>
    <w:rsid w:val="00DD0A8F"/>
    <w:rsid w:val="00DD10E1"/>
    <w:rsid w:val="00DD4D39"/>
    <w:rsid w:val="00DD5AAF"/>
    <w:rsid w:val="00DE0775"/>
    <w:rsid w:val="00DE4558"/>
    <w:rsid w:val="00DE4C5C"/>
    <w:rsid w:val="00DE6C59"/>
    <w:rsid w:val="00DF2405"/>
    <w:rsid w:val="00DF3ED9"/>
    <w:rsid w:val="00DF4427"/>
    <w:rsid w:val="00DF781B"/>
    <w:rsid w:val="00E00C89"/>
    <w:rsid w:val="00E00ED2"/>
    <w:rsid w:val="00E012C7"/>
    <w:rsid w:val="00E016A3"/>
    <w:rsid w:val="00E03FED"/>
    <w:rsid w:val="00E0546F"/>
    <w:rsid w:val="00E063E1"/>
    <w:rsid w:val="00E11BD4"/>
    <w:rsid w:val="00E129D4"/>
    <w:rsid w:val="00E1641B"/>
    <w:rsid w:val="00E24F8D"/>
    <w:rsid w:val="00E27970"/>
    <w:rsid w:val="00E307FE"/>
    <w:rsid w:val="00E30971"/>
    <w:rsid w:val="00E30F29"/>
    <w:rsid w:val="00E31C1D"/>
    <w:rsid w:val="00E3493B"/>
    <w:rsid w:val="00E354CB"/>
    <w:rsid w:val="00E35C1A"/>
    <w:rsid w:val="00E366CC"/>
    <w:rsid w:val="00E40D90"/>
    <w:rsid w:val="00E41376"/>
    <w:rsid w:val="00E41684"/>
    <w:rsid w:val="00E41A5E"/>
    <w:rsid w:val="00E43DE8"/>
    <w:rsid w:val="00E4467A"/>
    <w:rsid w:val="00E45A63"/>
    <w:rsid w:val="00E45D5F"/>
    <w:rsid w:val="00E466F7"/>
    <w:rsid w:val="00E46F54"/>
    <w:rsid w:val="00E51133"/>
    <w:rsid w:val="00E55ADC"/>
    <w:rsid w:val="00E56FD8"/>
    <w:rsid w:val="00E57A6E"/>
    <w:rsid w:val="00E603D5"/>
    <w:rsid w:val="00E6194E"/>
    <w:rsid w:val="00E63FCB"/>
    <w:rsid w:val="00E6527F"/>
    <w:rsid w:val="00E65641"/>
    <w:rsid w:val="00E6596E"/>
    <w:rsid w:val="00E6720A"/>
    <w:rsid w:val="00E71ED4"/>
    <w:rsid w:val="00E7398F"/>
    <w:rsid w:val="00E74823"/>
    <w:rsid w:val="00E75B64"/>
    <w:rsid w:val="00E75C5B"/>
    <w:rsid w:val="00E8059D"/>
    <w:rsid w:val="00E81774"/>
    <w:rsid w:val="00E8183A"/>
    <w:rsid w:val="00E83A01"/>
    <w:rsid w:val="00E92087"/>
    <w:rsid w:val="00E93125"/>
    <w:rsid w:val="00E951F3"/>
    <w:rsid w:val="00E96455"/>
    <w:rsid w:val="00E97E9C"/>
    <w:rsid w:val="00EA3B1F"/>
    <w:rsid w:val="00EA455A"/>
    <w:rsid w:val="00EA5775"/>
    <w:rsid w:val="00EA5D27"/>
    <w:rsid w:val="00EB23FA"/>
    <w:rsid w:val="00EB3B42"/>
    <w:rsid w:val="00EB759F"/>
    <w:rsid w:val="00EB77E5"/>
    <w:rsid w:val="00EB7EBE"/>
    <w:rsid w:val="00EC199F"/>
    <w:rsid w:val="00EC2DC3"/>
    <w:rsid w:val="00EC327E"/>
    <w:rsid w:val="00EC461C"/>
    <w:rsid w:val="00EC6553"/>
    <w:rsid w:val="00ED45B3"/>
    <w:rsid w:val="00EE1CE1"/>
    <w:rsid w:val="00EE30D5"/>
    <w:rsid w:val="00EE6286"/>
    <w:rsid w:val="00EE7209"/>
    <w:rsid w:val="00EE7CA0"/>
    <w:rsid w:val="00EF25F6"/>
    <w:rsid w:val="00EF2910"/>
    <w:rsid w:val="00EF76BB"/>
    <w:rsid w:val="00F0185E"/>
    <w:rsid w:val="00F05AFE"/>
    <w:rsid w:val="00F20ABF"/>
    <w:rsid w:val="00F21616"/>
    <w:rsid w:val="00F21E68"/>
    <w:rsid w:val="00F24D7F"/>
    <w:rsid w:val="00F25CF9"/>
    <w:rsid w:val="00F27C91"/>
    <w:rsid w:val="00F33F9F"/>
    <w:rsid w:val="00F347BC"/>
    <w:rsid w:val="00F34CF0"/>
    <w:rsid w:val="00F36056"/>
    <w:rsid w:val="00F3734A"/>
    <w:rsid w:val="00F44C6C"/>
    <w:rsid w:val="00F52346"/>
    <w:rsid w:val="00F5293F"/>
    <w:rsid w:val="00F529A0"/>
    <w:rsid w:val="00F5386B"/>
    <w:rsid w:val="00F53B0E"/>
    <w:rsid w:val="00F53D58"/>
    <w:rsid w:val="00F660B1"/>
    <w:rsid w:val="00F671E2"/>
    <w:rsid w:val="00F704BF"/>
    <w:rsid w:val="00F718A9"/>
    <w:rsid w:val="00F73CC1"/>
    <w:rsid w:val="00F74ED7"/>
    <w:rsid w:val="00F84122"/>
    <w:rsid w:val="00F93439"/>
    <w:rsid w:val="00FA3388"/>
    <w:rsid w:val="00FA5E86"/>
    <w:rsid w:val="00FA6E46"/>
    <w:rsid w:val="00FB0570"/>
    <w:rsid w:val="00FB1255"/>
    <w:rsid w:val="00FB13B3"/>
    <w:rsid w:val="00FB4323"/>
    <w:rsid w:val="00FB59BE"/>
    <w:rsid w:val="00FB7D2E"/>
    <w:rsid w:val="00FC694C"/>
    <w:rsid w:val="00FC7A54"/>
    <w:rsid w:val="00FCA434"/>
    <w:rsid w:val="00FD098C"/>
    <w:rsid w:val="00FD1B4A"/>
    <w:rsid w:val="00FD1F03"/>
    <w:rsid w:val="00FD4315"/>
    <w:rsid w:val="00FD4376"/>
    <w:rsid w:val="00FD45FB"/>
    <w:rsid w:val="00FD6F0D"/>
    <w:rsid w:val="00FD7882"/>
    <w:rsid w:val="00FE04E5"/>
    <w:rsid w:val="00FE098D"/>
    <w:rsid w:val="00FE0EEA"/>
    <w:rsid w:val="00FE153C"/>
    <w:rsid w:val="00FE197E"/>
    <w:rsid w:val="00FE1AB2"/>
    <w:rsid w:val="00FE47B8"/>
    <w:rsid w:val="00FE4EB5"/>
    <w:rsid w:val="00FE63C5"/>
    <w:rsid w:val="00FF1160"/>
    <w:rsid w:val="00FF1785"/>
    <w:rsid w:val="00FF2269"/>
    <w:rsid w:val="00FF550A"/>
    <w:rsid w:val="00FF5E5B"/>
    <w:rsid w:val="00FF7CC9"/>
    <w:rsid w:val="07EEDA08"/>
    <w:rsid w:val="0F08418B"/>
    <w:rsid w:val="153B27C0"/>
    <w:rsid w:val="16DA42D5"/>
    <w:rsid w:val="1BE981AA"/>
    <w:rsid w:val="1C4F9562"/>
    <w:rsid w:val="21C57336"/>
    <w:rsid w:val="38535E65"/>
    <w:rsid w:val="3AB17511"/>
    <w:rsid w:val="4277C904"/>
    <w:rsid w:val="4A7348F8"/>
    <w:rsid w:val="4B914DA6"/>
    <w:rsid w:val="669C8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D7358"/>
  <w15:chartTrackingRefBased/>
  <w15:docId w15:val="{1B1A9E7F-8131-44B8-9DC9-638031A44D4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BodyText"/>
    <w:next w:val="Normal"/>
    <w:qFormat/>
    <w:pPr>
      <w:keepNext/>
      <w:numPr>
        <w:numId w:val="1"/>
      </w:numPr>
      <w:spacing w:before="240" w:after="60"/>
      <w:outlineLvl w:val="0"/>
    </w:pPr>
    <w:rPr>
      <w:kern w:val="28"/>
      <w:sz w:val="28"/>
    </w:rPr>
  </w:style>
  <w:style w:type="paragraph" w:styleId="Heading2">
    <w:name w:val="heading 2"/>
    <w:basedOn w:val="Heading1"/>
    <w:next w:val="Normal"/>
    <w:qFormat/>
    <w:pPr>
      <w:numPr>
        <w:ilvl w:val="1"/>
      </w:numPr>
      <w:outlineLvl w:val="1"/>
    </w:pPr>
    <w:rPr>
      <w:sz w:val="24"/>
    </w:rPr>
  </w:style>
  <w:style w:type="paragraph" w:styleId="Heading3">
    <w:name w:val="heading 3"/>
    <w:basedOn w:val="Heading2"/>
    <w:next w:val="Normal"/>
    <w:qFormat/>
    <w:pPr>
      <w:numPr>
        <w:ilvl w:val="2"/>
      </w:numPr>
      <w:outlineLvl w:val="2"/>
    </w:pPr>
  </w:style>
  <w:style w:type="paragraph" w:styleId="Heading4">
    <w:name w:val="heading 4"/>
    <w:basedOn w:val="Heading3"/>
    <w:next w:val="Normal"/>
    <w:qFormat/>
    <w:pPr>
      <w:numPr>
        <w:ilvl w:val="3"/>
      </w:numPr>
      <w:outlineLvl w:val="3"/>
    </w:pPr>
  </w:style>
  <w:style w:type="paragraph" w:styleId="Heading5">
    <w:name w:val="heading 5"/>
    <w:basedOn w:val="Heading4"/>
    <w:next w:val="Normal"/>
    <w:qFormat/>
    <w:pPr>
      <w:numPr>
        <w:ilvl w:val="4"/>
      </w:numPr>
      <w:outlineLvl w:val="4"/>
    </w:pPr>
    <w:rPr>
      <w:sz w:val="22"/>
    </w:r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rPr>
      <w:i/>
    </w:rPr>
  </w:style>
  <w:style w:type="paragraph" w:styleId="Heading9">
    <w:name w:val="heading 9"/>
    <w:basedOn w:val="Heading8"/>
    <w:next w:val="Normal"/>
    <w:qFormat/>
    <w:pPr>
      <w:numPr>
        <w:ilvl w:val="8"/>
      </w:numPr>
      <w:tabs>
        <w:tab w:val="num" w:pos="360"/>
      </w:tabs>
      <w:outlineLvl w:val="8"/>
    </w:pPr>
    <w:rPr>
      <w:b/>
      <w:i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link w:val="BodyTextChar"/>
    <w:pPr>
      <w:spacing w:after="480"/>
    </w:pPr>
    <w:rPr>
      <w:sz w:val="2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otation">
    <w:name w:val="Quotation"/>
    <w:basedOn w:val="BodyText"/>
    <w:next w:val="BodyText"/>
    <w:pPr>
      <w:spacing w:after="120"/>
      <w:ind w:left="1440" w:right="1440"/>
    </w:pPr>
  </w:style>
  <w:style w:type="paragraph" w:styleId="FootnoteText">
    <w:name w:val="footnote text"/>
    <w:aliases w:val="ALTS FOOTNOTE,fn,Footnote text,FOOTNOTE,Footnote Text Char2,Footnote Text Char Char,Footnote Text Char1 Char Char,Footnote Text Char Char Char Char,Footnote Text Char1 Char Char Char Char,Footnote Text Char Char Char Char Char Char1,fn Cha"/>
    <w:basedOn w:val="Normal"/>
    <w:link w:val="FootnoteTextChar"/>
    <w:uiPriority w:val="99"/>
    <w:qFormat/>
    <w:rsid w:val="00006EA6"/>
  </w:style>
  <w:style w:type="character" w:styleId="FootnoteReference">
    <w:name w:val="footnote reference"/>
    <w:aliases w:val="Style 13,Appel note de bas de p,Style 12,(NECG) Footnote Reference,Style 124,o,fr,Style 3,Style 17,FR,Footnote Reference/,Style 6"/>
    <w:uiPriority w:val="99"/>
    <w:rsid w:val="00006EA6"/>
    <w:rPr>
      <w:rFonts w:ascii="Times New Roman" w:hAnsi="Times New Roman"/>
      <w:b/>
      <w:sz w:val="28"/>
      <w:u w:val="single"/>
      <w:vertAlign w:val="superscript"/>
    </w:rPr>
  </w:style>
  <w:style w:type="character" w:customStyle="1" w:styleId="BodyTextChar">
    <w:name w:val="Body Text Char"/>
    <w:link w:val="BodyText"/>
    <w:rsid w:val="00813E20"/>
    <w:rPr>
      <w:sz w:val="26"/>
    </w:rPr>
  </w:style>
  <w:style w:type="paragraph" w:styleId="NoSpacing">
    <w:name w:val="No Spacing"/>
    <w:uiPriority w:val="1"/>
    <w:qFormat/>
    <w:rsid w:val="00357E41"/>
  </w:style>
  <w:style w:type="character" w:customStyle="1" w:styleId="pmterms11">
    <w:name w:val="pmterms11"/>
    <w:rsid w:val="0060494B"/>
    <w:rPr>
      <w:b/>
      <w:bCs/>
      <w:i w:val="0"/>
      <w:iCs w:val="0"/>
      <w:color w:val="000000"/>
    </w:rPr>
  </w:style>
  <w:style w:type="paragraph" w:styleId="BalloonText">
    <w:name w:val="Balloon Text"/>
    <w:basedOn w:val="Normal"/>
    <w:link w:val="BalloonTextChar"/>
    <w:rsid w:val="00712DB9"/>
    <w:rPr>
      <w:rFonts w:ascii="Tahoma" w:hAnsi="Tahoma" w:cs="Tahoma"/>
      <w:sz w:val="16"/>
      <w:szCs w:val="16"/>
    </w:rPr>
  </w:style>
  <w:style w:type="character" w:customStyle="1" w:styleId="BalloonTextChar">
    <w:name w:val="Balloon Text Char"/>
    <w:link w:val="BalloonText"/>
    <w:rsid w:val="00712DB9"/>
    <w:rPr>
      <w:rFonts w:ascii="Tahoma" w:hAnsi="Tahoma" w:cs="Tahoma"/>
      <w:sz w:val="16"/>
      <w:szCs w:val="16"/>
    </w:rPr>
  </w:style>
  <w:style w:type="character" w:customStyle="1" w:styleId="FootnoteTextChar">
    <w:name w:val="Footnote Text Char"/>
    <w:aliases w:val="ALTS FOOTNOTE Char,fn Char,Footnote text Char,FOOTNOTE Char,Footnote Text Char2 Char,Footnote Text Char Char Char,Footnote Text Char1 Char Char Char,Footnote Text Char Char Char Char Char,Footnote Text Char1 Char Char Char Char Char"/>
    <w:link w:val="FootnoteText"/>
    <w:uiPriority w:val="99"/>
    <w:rsid w:val="000A1E72"/>
  </w:style>
  <w:style w:type="paragraph" w:styleId="ListParagraph">
    <w:name w:val="List Paragraph"/>
    <w:basedOn w:val="Normal"/>
    <w:uiPriority w:val="34"/>
    <w:qFormat/>
    <w:rsid w:val="00C40A5B"/>
    <w:pPr>
      <w:ind w:left="720"/>
    </w:pPr>
    <w:rPr>
      <w:rFonts w:ascii="Calibri" w:eastAsia="Calibri" w:hAnsi="Calibri" w:cs="Calibri"/>
      <w:sz w:val="22"/>
      <w:szCs w:val="22"/>
    </w:rPr>
  </w:style>
  <w:style w:type="character" w:styleId="Strong">
    <w:name w:val="Strong"/>
    <w:uiPriority w:val="22"/>
    <w:qFormat/>
    <w:rsid w:val="00C40A5B"/>
    <w:rPr>
      <w:b/>
      <w:bCs/>
    </w:rPr>
  </w:style>
  <w:style w:type="character" w:styleId="CommentReference">
    <w:name w:val="annotation reference"/>
    <w:rsid w:val="007E0629"/>
    <w:rPr>
      <w:sz w:val="16"/>
      <w:szCs w:val="16"/>
    </w:rPr>
  </w:style>
  <w:style w:type="paragraph" w:styleId="CommentText">
    <w:name w:val="annotation text"/>
    <w:basedOn w:val="Normal"/>
    <w:link w:val="CommentTextChar"/>
    <w:rsid w:val="007E0629"/>
  </w:style>
  <w:style w:type="character" w:customStyle="1" w:styleId="CommentTextChar">
    <w:name w:val="Comment Text Char"/>
    <w:basedOn w:val="DefaultParagraphFont"/>
    <w:link w:val="CommentText"/>
    <w:rsid w:val="007E0629"/>
  </w:style>
  <w:style w:type="paragraph" w:styleId="CommentSubject">
    <w:name w:val="annotation subject"/>
    <w:basedOn w:val="CommentText"/>
    <w:next w:val="CommentText"/>
    <w:link w:val="CommentSubjectChar"/>
    <w:rsid w:val="007E0629"/>
    <w:rPr>
      <w:b/>
      <w:bCs/>
    </w:rPr>
  </w:style>
  <w:style w:type="character" w:customStyle="1" w:styleId="CommentSubjectChar">
    <w:name w:val="Comment Subject Char"/>
    <w:link w:val="CommentSubject"/>
    <w:rsid w:val="007E0629"/>
    <w:rPr>
      <w:b/>
      <w:bCs/>
    </w:rPr>
  </w:style>
  <w:style w:type="paragraph" w:styleId="Revision">
    <w:name w:val="Revision"/>
    <w:hidden/>
    <w:uiPriority w:val="99"/>
    <w:semiHidden/>
    <w:rsid w:val="00C71EDE"/>
  </w:style>
  <w:style w:type="paragraph" w:styleId="EndnoteText">
    <w:name w:val="endnote text"/>
    <w:basedOn w:val="Normal"/>
    <w:link w:val="EndnoteTextChar"/>
    <w:rsid w:val="00A51525"/>
  </w:style>
  <w:style w:type="character" w:customStyle="1" w:styleId="EndnoteTextChar">
    <w:name w:val="Endnote Text Char"/>
    <w:basedOn w:val="DefaultParagraphFont"/>
    <w:link w:val="EndnoteText"/>
    <w:rsid w:val="00A51525"/>
  </w:style>
  <w:style w:type="character" w:styleId="EndnoteReference">
    <w:name w:val="endnote reference"/>
    <w:rsid w:val="00A51525"/>
    <w:rPr>
      <w:vertAlign w:val="superscript"/>
    </w:rPr>
  </w:style>
  <w:style w:type="character" w:styleId="Hyperlink">
    <w:name w:val="Hyperlink"/>
    <w:basedOn w:val="DefaultParagraphFont"/>
    <w:rsid w:val="002B2230"/>
    <w:rPr>
      <w:color w:val="0563C1" w:themeColor="hyperlink"/>
      <w:u w:val="single"/>
    </w:rPr>
  </w:style>
  <w:style w:type="character" w:styleId="UnresolvedMention">
    <w:name w:val="Unresolved Mention"/>
    <w:basedOn w:val="DefaultParagraphFont"/>
    <w:uiPriority w:val="99"/>
    <w:semiHidden/>
    <w:unhideWhenUsed/>
    <w:rsid w:val="002B2230"/>
    <w:rPr>
      <w:color w:val="605E5C"/>
      <w:shd w:val="clear" w:color="auto" w:fill="E1DFDD"/>
    </w:rPr>
  </w:style>
  <w:style w:type="character" w:customStyle="1" w:styleId="normaltextrun">
    <w:name w:val="normaltextrun"/>
    <w:basedOn w:val="DefaultParagraphFont"/>
    <w:rsid w:val="00C50D54"/>
  </w:style>
  <w:style w:type="character" w:customStyle="1" w:styleId="HeaderChar">
    <w:name w:val="Header Char"/>
    <w:basedOn w:val="DefaultParagraphFont"/>
    <w:link w:val="Header"/>
    <w:uiPriority w:val="99"/>
    <w:rsid w:val="00D93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394408">
      <w:bodyDiv w:val="1"/>
      <w:marLeft w:val="0"/>
      <w:marRight w:val="0"/>
      <w:marTop w:val="0"/>
      <w:marBottom w:val="0"/>
      <w:divBdr>
        <w:top w:val="none" w:sz="0" w:space="0" w:color="auto"/>
        <w:left w:val="none" w:sz="0" w:space="0" w:color="auto"/>
        <w:bottom w:val="none" w:sz="0" w:space="0" w:color="auto"/>
        <w:right w:val="none" w:sz="0" w:space="0" w:color="auto"/>
      </w:divBdr>
    </w:div>
    <w:div w:id="1241603972">
      <w:bodyDiv w:val="1"/>
      <w:marLeft w:val="0"/>
      <w:marRight w:val="0"/>
      <w:marTop w:val="0"/>
      <w:marBottom w:val="0"/>
      <w:divBdr>
        <w:top w:val="none" w:sz="0" w:space="0" w:color="auto"/>
        <w:left w:val="none" w:sz="0" w:space="0" w:color="auto"/>
        <w:bottom w:val="none" w:sz="0" w:space="0" w:color="auto"/>
        <w:right w:val="none" w:sz="0" w:space="0" w:color="auto"/>
      </w:divBdr>
    </w:div>
    <w:div w:id="1373270245">
      <w:bodyDiv w:val="1"/>
      <w:marLeft w:val="0"/>
      <w:marRight w:val="0"/>
      <w:marTop w:val="0"/>
      <w:marBottom w:val="0"/>
      <w:divBdr>
        <w:top w:val="none" w:sz="0" w:space="0" w:color="auto"/>
        <w:left w:val="none" w:sz="0" w:space="0" w:color="auto"/>
        <w:bottom w:val="none" w:sz="0" w:space="0" w:color="auto"/>
        <w:right w:val="none" w:sz="0" w:space="0" w:color="auto"/>
      </w:divBdr>
    </w:div>
    <w:div w:id="1480726350">
      <w:bodyDiv w:val="1"/>
      <w:marLeft w:val="0"/>
      <w:marRight w:val="0"/>
      <w:marTop w:val="0"/>
      <w:marBottom w:val="0"/>
      <w:divBdr>
        <w:top w:val="none" w:sz="0" w:space="0" w:color="auto"/>
        <w:left w:val="none" w:sz="0" w:space="0" w:color="auto"/>
        <w:bottom w:val="none" w:sz="0" w:space="0" w:color="auto"/>
        <w:right w:val="none" w:sz="0" w:space="0" w:color="auto"/>
      </w:divBdr>
    </w:div>
    <w:div w:id="1730498244">
      <w:bodyDiv w:val="1"/>
      <w:marLeft w:val="0"/>
      <w:marRight w:val="0"/>
      <w:marTop w:val="0"/>
      <w:marBottom w:val="0"/>
      <w:divBdr>
        <w:top w:val="none" w:sz="0" w:space="0" w:color="auto"/>
        <w:left w:val="none" w:sz="0" w:space="0" w:color="auto"/>
        <w:bottom w:val="none" w:sz="0" w:space="0" w:color="auto"/>
        <w:right w:val="none" w:sz="0" w:space="0" w:color="auto"/>
      </w:divBdr>
    </w:div>
    <w:div w:id="1767536427">
      <w:bodyDiv w:val="1"/>
      <w:marLeft w:val="0"/>
      <w:marRight w:val="0"/>
      <w:marTop w:val="0"/>
      <w:marBottom w:val="0"/>
      <w:divBdr>
        <w:top w:val="none" w:sz="0" w:space="0" w:color="auto"/>
        <w:left w:val="none" w:sz="0" w:space="0" w:color="auto"/>
        <w:bottom w:val="none" w:sz="0" w:space="0" w:color="auto"/>
        <w:right w:val="none" w:sz="0" w:space="0" w:color="auto"/>
      </w:divBdr>
      <w:divsChild>
        <w:div w:id="1259558013">
          <w:marLeft w:val="0"/>
          <w:marRight w:val="0"/>
          <w:marTop w:val="0"/>
          <w:marBottom w:val="0"/>
          <w:divBdr>
            <w:top w:val="none" w:sz="0" w:space="0" w:color="3D3D3D"/>
            <w:left w:val="none" w:sz="0" w:space="0" w:color="3D3D3D"/>
            <w:bottom w:val="none" w:sz="0" w:space="0" w:color="3D3D3D"/>
            <w:right w:val="none" w:sz="0" w:space="0" w:color="3D3D3D"/>
          </w:divBdr>
          <w:divsChild>
            <w:div w:id="11362641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07233479">
      <w:bodyDiv w:val="1"/>
      <w:marLeft w:val="0"/>
      <w:marRight w:val="0"/>
      <w:marTop w:val="0"/>
      <w:marBottom w:val="0"/>
      <w:divBdr>
        <w:top w:val="none" w:sz="0" w:space="0" w:color="auto"/>
        <w:left w:val="none" w:sz="0" w:space="0" w:color="auto"/>
        <w:bottom w:val="none" w:sz="0" w:space="0" w:color="auto"/>
        <w:right w:val="none" w:sz="0" w:space="0" w:color="auto"/>
      </w:divBdr>
      <w:divsChild>
        <w:div w:id="693767973">
          <w:marLeft w:val="240"/>
          <w:marRight w:val="0"/>
          <w:marTop w:val="60"/>
          <w:marBottom w:val="60"/>
          <w:divBdr>
            <w:top w:val="none" w:sz="0" w:space="0" w:color="auto"/>
            <w:left w:val="none" w:sz="0" w:space="0" w:color="auto"/>
            <w:bottom w:val="none" w:sz="0" w:space="0" w:color="auto"/>
            <w:right w:val="none" w:sz="0" w:space="0" w:color="auto"/>
          </w:divBdr>
          <w:divsChild>
            <w:div w:id="73474545">
              <w:marLeft w:val="0"/>
              <w:marRight w:val="0"/>
              <w:marTop w:val="0"/>
              <w:marBottom w:val="0"/>
              <w:divBdr>
                <w:top w:val="none" w:sz="0" w:space="0" w:color="auto"/>
                <w:left w:val="none" w:sz="0" w:space="0" w:color="auto"/>
                <w:bottom w:val="none" w:sz="0" w:space="0" w:color="auto"/>
                <w:right w:val="none" w:sz="0" w:space="0" w:color="auto"/>
              </w:divBdr>
            </w:div>
          </w:divsChild>
        </w:div>
        <w:div w:id="805852459">
          <w:marLeft w:val="240"/>
          <w:marRight w:val="0"/>
          <w:marTop w:val="60"/>
          <w:marBottom w:val="60"/>
          <w:divBdr>
            <w:top w:val="none" w:sz="0" w:space="0" w:color="auto"/>
            <w:left w:val="none" w:sz="0" w:space="0" w:color="auto"/>
            <w:bottom w:val="none" w:sz="0" w:space="0" w:color="auto"/>
            <w:right w:val="none" w:sz="0" w:space="0" w:color="auto"/>
          </w:divBdr>
          <w:divsChild>
            <w:div w:id="29646989">
              <w:marLeft w:val="0"/>
              <w:marRight w:val="0"/>
              <w:marTop w:val="0"/>
              <w:marBottom w:val="0"/>
              <w:divBdr>
                <w:top w:val="none" w:sz="0" w:space="0" w:color="auto"/>
                <w:left w:val="none" w:sz="0" w:space="0" w:color="auto"/>
                <w:bottom w:val="none" w:sz="0" w:space="0" w:color="auto"/>
                <w:right w:val="none" w:sz="0" w:space="0" w:color="auto"/>
              </w:divBdr>
            </w:div>
          </w:divsChild>
        </w:div>
        <w:div w:id="924340907">
          <w:marLeft w:val="240"/>
          <w:marRight w:val="0"/>
          <w:marTop w:val="60"/>
          <w:marBottom w:val="60"/>
          <w:divBdr>
            <w:top w:val="none" w:sz="0" w:space="0" w:color="auto"/>
            <w:left w:val="none" w:sz="0" w:space="0" w:color="auto"/>
            <w:bottom w:val="none" w:sz="0" w:space="0" w:color="auto"/>
            <w:right w:val="none" w:sz="0" w:space="0" w:color="auto"/>
          </w:divBdr>
          <w:divsChild>
            <w:div w:id="16127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20820">
      <w:bodyDiv w:val="1"/>
      <w:marLeft w:val="0"/>
      <w:marRight w:val="0"/>
      <w:marTop w:val="0"/>
      <w:marBottom w:val="0"/>
      <w:divBdr>
        <w:top w:val="none" w:sz="0" w:space="0" w:color="auto"/>
        <w:left w:val="none" w:sz="0" w:space="0" w:color="auto"/>
        <w:bottom w:val="none" w:sz="0" w:space="0" w:color="auto"/>
        <w:right w:val="none" w:sz="0" w:space="0" w:color="auto"/>
      </w:divBdr>
    </w:div>
    <w:div w:id="2028869969">
      <w:bodyDiv w:val="1"/>
      <w:marLeft w:val="0"/>
      <w:marRight w:val="0"/>
      <w:marTop w:val="0"/>
      <w:marBottom w:val="0"/>
      <w:divBdr>
        <w:top w:val="none" w:sz="0" w:space="0" w:color="auto"/>
        <w:left w:val="none" w:sz="0" w:space="0" w:color="auto"/>
        <w:bottom w:val="none" w:sz="0" w:space="0" w:color="auto"/>
        <w:right w:val="none" w:sz="0" w:space="0" w:color="auto"/>
      </w:divBdr>
      <w:divsChild>
        <w:div w:id="620918135">
          <w:marLeft w:val="0"/>
          <w:marRight w:val="0"/>
          <w:marTop w:val="0"/>
          <w:marBottom w:val="0"/>
          <w:divBdr>
            <w:top w:val="none" w:sz="0" w:space="0" w:color="3D3D3D"/>
            <w:left w:val="none" w:sz="0" w:space="0" w:color="3D3D3D"/>
            <w:bottom w:val="none" w:sz="0" w:space="0" w:color="3D3D3D"/>
            <w:right w:val="none" w:sz="0" w:space="0" w:color="3D3D3D"/>
          </w:divBdr>
          <w:divsChild>
            <w:div w:id="3691919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6956204">
      <w:bodyDiv w:val="1"/>
      <w:marLeft w:val="0"/>
      <w:marRight w:val="0"/>
      <w:marTop w:val="0"/>
      <w:marBottom w:val="0"/>
      <w:divBdr>
        <w:top w:val="none" w:sz="0" w:space="0" w:color="auto"/>
        <w:left w:val="none" w:sz="0" w:space="0" w:color="auto"/>
        <w:bottom w:val="none" w:sz="0" w:space="0" w:color="auto"/>
        <w:right w:val="none" w:sz="0" w:space="0" w:color="auto"/>
      </w:divBdr>
      <w:divsChild>
        <w:div w:id="128596672">
          <w:marLeft w:val="0"/>
          <w:marRight w:val="0"/>
          <w:marTop w:val="0"/>
          <w:marBottom w:val="0"/>
          <w:divBdr>
            <w:top w:val="none" w:sz="0" w:space="0" w:color="3D3D3D"/>
            <w:left w:val="none" w:sz="0" w:space="0" w:color="3D3D3D"/>
            <w:bottom w:val="none" w:sz="0" w:space="0" w:color="3D3D3D"/>
            <w:right w:val="none" w:sz="0" w:space="0" w:color="3D3D3D"/>
          </w:divBdr>
          <w:divsChild>
            <w:div w:id="20751571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1034839">
      <w:bodyDiv w:val="1"/>
      <w:marLeft w:val="0"/>
      <w:marRight w:val="0"/>
      <w:marTop w:val="0"/>
      <w:marBottom w:val="0"/>
      <w:divBdr>
        <w:top w:val="none" w:sz="0" w:space="0" w:color="auto"/>
        <w:left w:val="none" w:sz="0" w:space="0" w:color="auto"/>
        <w:bottom w:val="none" w:sz="0" w:space="0" w:color="auto"/>
        <w:right w:val="none" w:sz="0" w:space="0" w:color="auto"/>
      </w:divBdr>
      <w:divsChild>
        <w:div w:id="28339791">
          <w:marLeft w:val="0"/>
          <w:marRight w:val="0"/>
          <w:marTop w:val="0"/>
          <w:marBottom w:val="0"/>
          <w:divBdr>
            <w:top w:val="none" w:sz="0" w:space="0" w:color="3D3D3D"/>
            <w:left w:val="none" w:sz="0" w:space="0" w:color="3D3D3D"/>
            <w:bottom w:val="none" w:sz="0" w:space="0" w:color="3D3D3D"/>
            <w:right w:val="none" w:sz="0" w:space="0" w:color="3D3D3D"/>
          </w:divBdr>
          <w:divsChild>
            <w:div w:id="6126376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6295689">
      <w:bodyDiv w:val="1"/>
      <w:marLeft w:val="0"/>
      <w:marRight w:val="0"/>
      <w:marTop w:val="0"/>
      <w:marBottom w:val="0"/>
      <w:divBdr>
        <w:top w:val="none" w:sz="0" w:space="0" w:color="auto"/>
        <w:left w:val="none" w:sz="0" w:space="0" w:color="auto"/>
        <w:bottom w:val="none" w:sz="0" w:space="0" w:color="auto"/>
        <w:right w:val="none" w:sz="0" w:space="0" w:color="auto"/>
      </w:divBdr>
    </w:div>
    <w:div w:id="207913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e.przybyla@cpuc.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n.culver@cpuc.c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BFF018FA8C8468DEF270F4A39FD9E" ma:contentTypeVersion="13" ma:contentTypeDescription="Create a new document." ma:contentTypeScope="" ma:versionID="8a619e0bda4f776e3eee24cc8fcd07dc">
  <xsd:schema xmlns:xsd="http://www.w3.org/2001/XMLSchema" xmlns:xs="http://www.w3.org/2001/XMLSchema" xmlns:p="http://schemas.microsoft.com/office/2006/metadata/properties" xmlns:ns3="43a7631f-c7a6-45a8-83ff-f796eb6a2c2d" xmlns:ns4="c9f433cb-6fef-4dc0-b8a7-8f5df00cb154" targetNamespace="http://schemas.microsoft.com/office/2006/metadata/properties" ma:root="true" ma:fieldsID="d53b912d4cf5abb80d3af2b33bd65424" ns3:_="" ns4:_="">
    <xsd:import namespace="43a7631f-c7a6-45a8-83ff-f796eb6a2c2d"/>
    <xsd:import namespace="c9f433cb-6fef-4dc0-b8a7-8f5df00cb1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7631f-c7a6-45a8-83ff-f796eb6a2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433cb-6fef-4dc0-b8a7-8f5df00cb1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3a7631f-c7a6-45a8-83ff-f796eb6a2c2d" xsi:nil="true"/>
  </documentManagement>
</p:properties>
</file>

<file path=customXml/itemProps1.xml><?xml version="1.0" encoding="utf-8"?>
<ds:datastoreItem xmlns:ds="http://schemas.openxmlformats.org/officeDocument/2006/customXml" ds:itemID="{306312B4-B024-4664-8E75-F7021A7B6287}">
  <ds:schemaRefs>
    <ds:schemaRef ds:uri="http://schemas.openxmlformats.org/officeDocument/2006/bibliography"/>
  </ds:schemaRefs>
</ds:datastoreItem>
</file>

<file path=customXml/itemProps2.xml><?xml version="1.0" encoding="utf-8"?>
<ds:datastoreItem xmlns:ds="http://schemas.openxmlformats.org/officeDocument/2006/customXml" ds:itemID="{E1BA6143-BF00-4669-ACF4-C482C4448263}">
  <ds:schemaRefs>
    <ds:schemaRef ds:uri="http://schemas.microsoft.com/sharepoint/v3/contenttype/forms"/>
  </ds:schemaRefs>
</ds:datastoreItem>
</file>

<file path=customXml/itemProps3.xml><?xml version="1.0" encoding="utf-8"?>
<ds:datastoreItem xmlns:ds="http://schemas.openxmlformats.org/officeDocument/2006/customXml" ds:itemID="{00C855F0-2F2F-483C-88B3-1F92870B5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7631f-c7a6-45a8-83ff-f796eb6a2c2d"/>
    <ds:schemaRef ds:uri="c9f433cb-6fef-4dc0-b8a7-8f5df00c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73CD8-1495-4142-8F41-BF4F1E141B7D}">
  <ds:schemaRefs>
    <ds:schemaRef ds:uri="http://schemas.microsoft.com/office/2006/metadata/properties"/>
    <ds:schemaRef ds:uri="http://schemas.microsoft.com/office/infopath/2007/PartnerControls"/>
    <ds:schemaRef ds:uri="43a7631f-c7a6-45a8-83ff-f796eb6a2c2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1192</ap:Words>
  <ap:Characters>6797</ap:Characters>
  <ap:Application>Microsoft Office Word</ap:Application>
  <ap:DocSecurity>0</ap:DocSecurity>
  <ap:Lines>56</ap:Lines>
  <ap:Paragraphs>15</ap:Paragraphs>
  <ap:ScaleCrop>false</ap:ScaleCrop>
  <ap:HeadingPairs>
    <vt:vector baseType="variant" size="2">
      <vt:variant>
        <vt:lpstr>Title</vt:lpstr>
      </vt:variant>
      <vt:variant>
        <vt:i4>1</vt:i4>
      </vt:variant>
    </vt:vector>
  </ap:HeadingPairs>
  <ap:TitlesOfParts>
    <vt:vector baseType="lpstr" size="1">
      <vt:lpstr>State of California</vt:lpstr>
    </vt:vector>
  </ap:TitlesOfParts>
  <ap:Company/>
  <ap:LinksUpToDate>false</ap:LinksUpToDate>
  <ap:CharactersWithSpaces>7974</ap:CharactersWithSpaces>
  <ap:SharedDoc>false</ap:SharedDoc>
  <ap:HLinks>
    <vt:vector baseType="variant" size="12">
      <vt:variant>
        <vt:i4>6422597</vt:i4>
      </vt:variant>
      <vt:variant>
        <vt:i4>3</vt:i4>
      </vt:variant>
      <vt:variant>
        <vt:i4>0</vt:i4>
      </vt:variant>
      <vt:variant>
        <vt:i4>5</vt:i4>
      </vt:variant>
      <vt:variant>
        <vt:lpwstr>mailto:lina.khoury@cpuc.ca.gov</vt:lpwstr>
      </vt:variant>
      <vt:variant>
        <vt:lpwstr/>
      </vt:variant>
      <vt:variant>
        <vt:i4>1572917</vt:i4>
      </vt:variant>
      <vt:variant>
        <vt:i4>0</vt:i4>
      </vt:variant>
      <vt:variant>
        <vt:i4>0</vt:i4>
      </vt:variant>
      <vt:variant>
        <vt:i4>5</vt:i4>
      </vt:variant>
      <vt:variant>
        <vt:lpwstr>mailto:cole.przybyla@cpuc.ca.gov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2024-12-09T20:54:00Z</cp:lastPrinted>
  <dcterms:created xsi:type="dcterms:W3CDTF">2025-10-15T11:42:16Z</dcterms:created>
  <dcterms:modified xsi:type="dcterms:W3CDTF">2025-10-15T11:42:16Z</dcterms:modified>
</cp:coreProperties>
</file>