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556A" w:rsidR="00DA7B5D" w:rsidP="00CE556A" w:rsidRDefault="00214B36" w14:paraId="40B7A78B" w14:textId="0164EBC0">
      <w:pPr>
        <w:tabs>
          <w:tab w:val="center" w:pos="4680"/>
          <w:tab w:val="right" w:pos="9360"/>
        </w:tabs>
        <w:spacing w:line="240" w:lineRule="auto"/>
        <w:ind w:firstLine="0"/>
        <w:rPr>
          <w:b/>
          <w:sz w:val="24"/>
          <w:szCs w:val="24"/>
        </w:rPr>
      </w:pPr>
      <w:r>
        <w:t>ALJ/JYL</w:t>
      </w:r>
      <w:r w:rsidR="00A24834">
        <w:t>/</w:t>
      </w:r>
      <w:r w:rsidR="002E627B">
        <w:t>cg7</w:t>
      </w:r>
      <w:r w:rsidR="007E0FEE">
        <w:tab/>
      </w:r>
      <w:r w:rsidR="00CE556A">
        <w:tab/>
      </w:r>
      <w:r w:rsidRPr="00CE556A" w:rsidR="00CE556A">
        <w:rPr>
          <w:rFonts w:cs="Arial"/>
          <w:b/>
          <w:sz w:val="24"/>
          <w:szCs w:val="24"/>
        </w:rPr>
        <w:t>Date of Issuance 10/17/2025</w:t>
      </w:r>
    </w:p>
    <w:p w:rsidRPr="00CE556A" w:rsidR="00DA7B5D" w:rsidP="008F0116" w:rsidRDefault="00DA7B5D" w14:paraId="60A35DAE" w14:textId="77777777">
      <w:pPr>
        <w:ind w:firstLine="0"/>
        <w:rPr>
          <w:sz w:val="24"/>
          <w:szCs w:val="24"/>
        </w:rPr>
      </w:pPr>
    </w:p>
    <w:p w:rsidRPr="00EE3060" w:rsidR="00DA7B5D" w:rsidP="0098655A" w:rsidRDefault="00DA7B5D" w14:paraId="764DC269" w14:textId="3E0E07F7">
      <w:pPr>
        <w:ind w:left="1080" w:hanging="1080"/>
      </w:pPr>
      <w:r>
        <w:t xml:space="preserve">Decision </w:t>
      </w:r>
      <w:r w:rsidR="00CE556A">
        <w:t>25-10-021 October 9, 2025</w:t>
      </w:r>
    </w:p>
    <w:p w:rsidR="00DA7B5D" w:rsidP="00462110" w:rsidRDefault="00DA7B5D" w14:paraId="20282D0F" w14:textId="77777777">
      <w:pPr>
        <w:spacing w:line="240" w:lineRule="auto"/>
        <w:ind w:firstLine="0"/>
        <w:rPr>
          <w:u w:val="single"/>
        </w:rPr>
      </w:pPr>
    </w:p>
    <w:p w:rsidR="00DA7B5D" w:rsidP="00BB0243" w:rsidRDefault="00DA7B5D" w14:paraId="4055561E"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4D5832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2916105F" w14:textId="77777777">
        <w:trPr>
          <w:jc w:val="center"/>
        </w:trPr>
        <w:tc>
          <w:tcPr>
            <w:tcW w:w="5040" w:type="dxa"/>
            <w:tcBorders>
              <w:top w:val="nil"/>
              <w:left w:val="nil"/>
              <w:bottom w:val="single" w:color="auto" w:sz="4" w:space="0"/>
              <w:right w:val="single" w:color="auto" w:sz="4" w:space="0"/>
            </w:tcBorders>
          </w:tcPr>
          <w:p w:rsidR="002E627B" w:rsidP="002E627B" w:rsidRDefault="002E627B" w14:paraId="7D43C0EE" w14:textId="77777777">
            <w:pPr>
              <w:spacing w:line="240" w:lineRule="auto"/>
              <w:ind w:firstLine="0"/>
            </w:pPr>
            <w:r w:rsidRPr="002E627B">
              <w:t>Jim Irizarry,</w:t>
            </w:r>
          </w:p>
          <w:p w:rsidR="002E627B" w:rsidP="002E627B" w:rsidRDefault="002E627B" w14:paraId="54BCA506" w14:textId="77777777">
            <w:pPr>
              <w:spacing w:line="240" w:lineRule="auto"/>
              <w:ind w:firstLine="0"/>
            </w:pPr>
          </w:p>
          <w:p w:rsidR="002E627B" w:rsidP="002E627B" w:rsidRDefault="002E627B" w14:paraId="69897878" w14:textId="10DAF6BA">
            <w:pPr>
              <w:spacing w:line="240" w:lineRule="auto"/>
              <w:ind w:firstLine="0"/>
            </w:pPr>
            <w:r>
              <w:tab/>
            </w:r>
            <w:r>
              <w:tab/>
            </w:r>
            <w:r>
              <w:tab/>
            </w:r>
            <w:r>
              <w:tab/>
            </w:r>
            <w:r w:rsidRPr="002E627B">
              <w:t>Complainant</w:t>
            </w:r>
            <w:r>
              <w:t>,</w:t>
            </w:r>
          </w:p>
          <w:p w:rsidR="002E627B" w:rsidP="002E627B" w:rsidRDefault="002E627B" w14:paraId="6FA35CE2" w14:textId="77777777">
            <w:pPr>
              <w:spacing w:line="240" w:lineRule="auto"/>
              <w:ind w:firstLine="0"/>
            </w:pPr>
          </w:p>
          <w:p w:rsidR="002E627B" w:rsidP="002E627B" w:rsidRDefault="002E627B" w14:paraId="53E02475" w14:textId="77777777">
            <w:pPr>
              <w:spacing w:line="240" w:lineRule="auto"/>
              <w:ind w:firstLine="0"/>
              <w:jc w:val="center"/>
            </w:pPr>
            <w:r w:rsidRPr="002E627B">
              <w:t>vs.</w:t>
            </w:r>
          </w:p>
          <w:p w:rsidR="002E627B" w:rsidP="002E627B" w:rsidRDefault="002E627B" w14:paraId="27AD71BF" w14:textId="77777777">
            <w:pPr>
              <w:spacing w:line="240" w:lineRule="auto"/>
              <w:ind w:firstLine="0"/>
            </w:pPr>
          </w:p>
          <w:p w:rsidR="002E627B" w:rsidP="002E627B" w:rsidRDefault="002E627B" w14:paraId="4DAF8CE2" w14:textId="77777777">
            <w:pPr>
              <w:spacing w:line="240" w:lineRule="auto"/>
              <w:ind w:firstLine="0"/>
            </w:pPr>
            <w:r w:rsidRPr="002E627B">
              <w:t>Pacific Gas and Electric Company (U39E),</w:t>
            </w:r>
          </w:p>
          <w:p w:rsidR="002E627B" w:rsidP="002E627B" w:rsidRDefault="002E627B" w14:paraId="76900136" w14:textId="77777777">
            <w:pPr>
              <w:spacing w:line="240" w:lineRule="auto"/>
              <w:ind w:firstLine="0"/>
            </w:pPr>
          </w:p>
          <w:p w:rsidRPr="00DA7B5D" w:rsidR="00DA7B5D" w:rsidP="002E627B" w:rsidRDefault="002E627B" w14:paraId="2E166416" w14:textId="08178B0C">
            <w:pPr>
              <w:tabs>
                <w:tab w:val="left" w:pos="2862"/>
              </w:tabs>
              <w:spacing w:line="240" w:lineRule="auto"/>
              <w:ind w:firstLine="0"/>
              <w:rPr>
                <w:rFonts w:cs="Arial"/>
                <w:szCs w:val="26"/>
              </w:rPr>
            </w:pPr>
            <w:r>
              <w:tab/>
            </w:r>
            <w:r>
              <w:tab/>
            </w:r>
            <w:r w:rsidRPr="002E627B">
              <w:t>Defendant.</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E8594C" w:rsidP="00462110" w:rsidRDefault="00E8594C" w14:paraId="2C0A7ACF" w14:textId="3B3805BA">
            <w:pPr>
              <w:spacing w:after="600" w:line="240" w:lineRule="auto"/>
              <w:ind w:firstLine="0"/>
              <w:jc w:val="center"/>
              <w:rPr>
                <w:rFonts w:cs="Arial"/>
                <w:szCs w:val="26"/>
              </w:rPr>
            </w:pPr>
            <w:r>
              <w:t>Case 23-02-003</w:t>
            </w:r>
          </w:p>
        </w:tc>
      </w:tr>
    </w:tbl>
    <w:p w:rsidR="00DA7B5D" w:rsidP="008F0116" w:rsidRDefault="00DA7B5D" w14:paraId="4E7ED6B1" w14:textId="77777777">
      <w:pPr>
        <w:spacing w:line="240" w:lineRule="auto"/>
        <w:ind w:firstLine="0"/>
        <w:rPr>
          <w:rFonts w:ascii="Arial" w:hAnsi="Arial" w:cs="Arial"/>
          <w:sz w:val="24"/>
          <w:szCs w:val="24"/>
        </w:rPr>
      </w:pPr>
    </w:p>
    <w:p w:rsidR="00DA7B5D" w:rsidP="008F0116" w:rsidRDefault="00DA7B5D" w14:paraId="72FF1765" w14:textId="77777777">
      <w:pPr>
        <w:spacing w:line="240" w:lineRule="auto"/>
        <w:ind w:firstLine="0"/>
        <w:rPr>
          <w:rFonts w:ascii="Arial" w:hAnsi="Arial" w:cs="Arial"/>
          <w:sz w:val="24"/>
          <w:szCs w:val="24"/>
        </w:rPr>
      </w:pPr>
    </w:p>
    <w:p w:rsidR="0098655A" w:rsidP="00E8594C" w:rsidRDefault="00906495" w14:paraId="049BF4B5" w14:textId="2BF08694">
      <w:pPr>
        <w:pStyle w:val="Dummy"/>
        <w:jc w:val="center"/>
      </w:pPr>
      <w:bookmarkStart w:name="_Toc144910008" w:id="0"/>
      <w:r>
        <w:t xml:space="preserve">ORDER EXTENDING STATUTORY </w:t>
      </w:r>
      <w:bookmarkEnd w:id="0"/>
      <w:r w:rsidR="008E450C">
        <w:t>DEADLINE</w:t>
      </w:r>
    </w:p>
    <w:p w:rsidR="005A148C" w:rsidP="005E5E13" w:rsidRDefault="005A148C" w14:paraId="6E0782B1" w14:textId="77777777">
      <w:pPr>
        <w:pStyle w:val="Dummy"/>
        <w:ind w:firstLine="720"/>
      </w:pPr>
      <w:bookmarkStart w:name="_Toc8123714" w:id="1"/>
      <w:bookmarkStart w:name="_Toc144910009" w:id="2"/>
      <w:r>
        <w:t>Summary</w:t>
      </w:r>
      <w:bookmarkEnd w:id="1"/>
      <w:bookmarkEnd w:id="2"/>
    </w:p>
    <w:p w:rsidRPr="00A80752" w:rsidR="00E8594C" w:rsidP="00804BF4" w:rsidRDefault="00E8594C" w14:paraId="2E3D7EB5" w14:textId="0B466F12">
      <w:pPr>
        <w:pStyle w:val="Standard"/>
      </w:pPr>
      <w:r>
        <w:t xml:space="preserve">This decision extends the statutory deadline in this proceeding </w:t>
      </w:r>
      <w:r w:rsidR="000345A3">
        <w:t>until</w:t>
      </w:r>
      <w:r w:rsidR="00B570DE">
        <w:t xml:space="preserve"> April 3, 2026.</w:t>
      </w:r>
    </w:p>
    <w:p w:rsidR="00E8594C" w:rsidP="00804BF4" w:rsidRDefault="00E8594C" w14:paraId="0832BBDA" w14:textId="77777777">
      <w:pPr>
        <w:pStyle w:val="Heading1"/>
      </w:pPr>
      <w:r w:rsidRPr="00804BF4">
        <w:t>Background</w:t>
      </w:r>
      <w:r>
        <w:t xml:space="preserve"> and Justification</w:t>
      </w:r>
    </w:p>
    <w:p w:rsidR="00786228" w:rsidP="005E5E13" w:rsidRDefault="00786228" w14:paraId="196009F3" w14:textId="4BA67A2A">
      <w:pPr>
        <w:pStyle w:val="Standard"/>
      </w:pPr>
      <w:r w:rsidRPr="00786228">
        <w:t>Public Utilities Code (Pub. Util. Code) Section 1701.</w:t>
      </w:r>
      <w:r>
        <w:t>2</w:t>
      </w:r>
      <w:r w:rsidRPr="00786228">
        <w:t>(</w:t>
      </w:r>
      <w:r>
        <w:t>i</w:t>
      </w:r>
      <w:r w:rsidRPr="00786228">
        <w:t>) provides that the Commission shall resolve the issues raised in the scoping memo of a</w:t>
      </w:r>
      <w:r>
        <w:t xml:space="preserve">n adjudicatory </w:t>
      </w:r>
      <w:r w:rsidRPr="00786228">
        <w:t>proceeding, within 1</w:t>
      </w:r>
      <w:r>
        <w:t>2</w:t>
      </w:r>
      <w:r w:rsidRPr="00786228">
        <w:t xml:space="preserve"> months of the date the proceeding is initiated, unless the Commission makes a written determination that the deadline cannot be met and </w:t>
      </w:r>
      <w:proofErr w:type="gramStart"/>
      <w:r w:rsidRPr="00786228">
        <w:t>issues</w:t>
      </w:r>
      <w:proofErr w:type="gramEnd"/>
      <w:r w:rsidRPr="00786228">
        <w:t xml:space="preserve"> an order extending the deadline. </w:t>
      </w:r>
      <w:r w:rsidRPr="00786228" w:rsidR="008F2FBB">
        <w:t>In this proceeding, th</w:t>
      </w:r>
      <w:r w:rsidR="008F2FBB">
        <w:t xml:space="preserve">at </w:t>
      </w:r>
      <w:r w:rsidRPr="00786228" w:rsidR="008F2FBB">
        <w:t xml:space="preserve">statutory deadline was </w:t>
      </w:r>
      <w:r w:rsidR="008F2FBB">
        <w:t xml:space="preserve">extended to September 30, </w:t>
      </w:r>
      <w:proofErr w:type="gramStart"/>
      <w:r w:rsidR="008F2FBB">
        <w:t>2024</w:t>
      </w:r>
      <w:proofErr w:type="gramEnd"/>
      <w:r w:rsidR="008F2FBB">
        <w:t xml:space="preserve"> by </w:t>
      </w:r>
      <w:r w:rsidRPr="00786228" w:rsidR="008F2FBB">
        <w:t xml:space="preserve">Decision (D.) </w:t>
      </w:r>
      <w:r w:rsidR="008F2FBB">
        <w:t>23-11-101</w:t>
      </w:r>
      <w:r w:rsidR="00993629">
        <w:t>;</w:t>
      </w:r>
      <w:r w:rsidR="008F2FBB">
        <w:t xml:space="preserve"> D.24-09-042 extended the statutory deadline for this proceeding until June 30, </w:t>
      </w:r>
      <w:proofErr w:type="gramStart"/>
      <w:r w:rsidR="008F2FBB">
        <w:t>2025</w:t>
      </w:r>
      <w:proofErr w:type="gramEnd"/>
      <w:r w:rsidR="008F2FBB">
        <w:t xml:space="preserve"> and </w:t>
      </w:r>
      <w:r w:rsidRPr="00754770" w:rsidR="008F2FBB">
        <w:t>D.25-06-022</w:t>
      </w:r>
      <w:r w:rsidR="008F2FBB">
        <w:t xml:space="preserve"> extended the statutory deadline </w:t>
      </w:r>
      <w:r w:rsidR="008F2FBB">
        <w:lastRenderedPageBreak/>
        <w:t>for this proceeding until October 31, 2025, which is the current statutory deadline</w:t>
      </w:r>
      <w:r w:rsidRPr="00786228" w:rsidR="008F2FBB">
        <w:t>.</w:t>
      </w:r>
    </w:p>
    <w:p w:rsidRPr="00EA774F" w:rsidR="00E8594C" w:rsidP="00D100DF" w:rsidRDefault="00E8594C" w14:paraId="1D5D425C" w14:textId="51E4CA01">
      <w:pPr>
        <w:pStyle w:val="Standard"/>
      </w:pPr>
      <w:r w:rsidRPr="00E8594C">
        <w:t>On February 10, 2023, Complainant Jim Irizarry (Complainant) filed Complaint</w:t>
      </w:r>
      <w:r w:rsidR="000737A2">
        <w:t xml:space="preserve">, </w:t>
      </w:r>
      <w:r w:rsidRPr="000737A2" w:rsidR="000737A2">
        <w:t xml:space="preserve">Case </w:t>
      </w:r>
      <w:r w:rsidR="00CA4CF6">
        <w:t>(C.)</w:t>
      </w:r>
      <w:r w:rsidR="00786228">
        <w:t xml:space="preserve"> </w:t>
      </w:r>
      <w:r w:rsidRPr="000737A2" w:rsidR="000737A2">
        <w:t>23-02-003</w:t>
      </w:r>
      <w:r w:rsidR="000737A2">
        <w:t xml:space="preserve">, </w:t>
      </w:r>
      <w:r w:rsidRPr="00E8594C">
        <w:t xml:space="preserve">against Defendant Pacific Gas and Electric Company (Defendant) (collectively, the Parties). Complainant </w:t>
      </w:r>
      <w:r w:rsidR="003C4A56">
        <w:t>sought</w:t>
      </w:r>
      <w:r w:rsidRPr="00E8594C">
        <w:t xml:space="preserve"> relocation of Defendant’s power lines from current tree connections to one or more power poles located on Defendant’s public utility easement. Complainant also </w:t>
      </w:r>
      <w:r w:rsidR="00B33518">
        <w:t>sought</w:t>
      </w:r>
      <w:r w:rsidRPr="00E8594C">
        <w:t xml:space="preserve"> removal of one or </w:t>
      </w:r>
      <w:r w:rsidRPr="00EA774F">
        <w:t xml:space="preserve">more power poles located on or adjacent to Complainant’s property with Defendant bearing all costs.  </w:t>
      </w:r>
    </w:p>
    <w:p w:rsidRPr="00E8594C" w:rsidR="00E8594C" w:rsidP="00804BF4" w:rsidRDefault="00E8594C" w14:paraId="0A3A0F6F" w14:textId="5A65C537">
      <w:pPr>
        <w:pStyle w:val="Standard"/>
      </w:pPr>
      <w:r w:rsidRPr="00E8594C">
        <w:t>The assigned Administrative Law Judge (ALJ) issued a ruling setting a June 23, 2023 prehearing conference (PHC) to address the issues of law and fact, determine the need for hearing, set the schedule for resolving the matter, and address other matters as necessary. That ALJ ruling also required the parties to file a Joint PHC Statement, including the parties requested proceeding schedule.</w:t>
      </w:r>
    </w:p>
    <w:p w:rsidRPr="00E8594C" w:rsidR="00E8594C" w:rsidP="00804BF4" w:rsidRDefault="00E8594C" w14:paraId="706ED157" w14:textId="52858265">
      <w:pPr>
        <w:pStyle w:val="Standard"/>
      </w:pPr>
      <w:proofErr w:type="gramStart"/>
      <w:r w:rsidRPr="00E8594C">
        <w:t>At</w:t>
      </w:r>
      <w:proofErr w:type="gramEnd"/>
      <w:r w:rsidRPr="00E8594C">
        <w:t xml:space="preserve"> </w:t>
      </w:r>
      <w:proofErr w:type="gramStart"/>
      <w:r w:rsidRPr="00E8594C">
        <w:t>the June</w:t>
      </w:r>
      <w:proofErr w:type="gramEnd"/>
      <w:r w:rsidRPr="00E8594C">
        <w:t xml:space="preserve"> 23, </w:t>
      </w:r>
      <w:proofErr w:type="gramStart"/>
      <w:r w:rsidRPr="00E8594C">
        <w:t>2023</w:t>
      </w:r>
      <w:proofErr w:type="gramEnd"/>
      <w:r w:rsidRPr="00E8594C">
        <w:t xml:space="preserve"> </w:t>
      </w:r>
      <w:r w:rsidR="00520E0E">
        <w:t>PHC</w:t>
      </w:r>
      <w:r w:rsidRPr="00E8594C">
        <w:t xml:space="preserve">, Complainant was self-represented while Defendant appeared through counsel. After considering the Complaint, Answer, Joint PHC Statement, and discussion at the </w:t>
      </w:r>
      <w:r w:rsidR="00520E0E">
        <w:t>PHC</w:t>
      </w:r>
      <w:r w:rsidRPr="00E8594C">
        <w:t>, Commissioner John Reynolds determined the issues and initial schedule of the proceeding as set forth in an August 17, 2023 Scoping Memo and Ruling</w:t>
      </w:r>
      <w:r w:rsidR="005905A9">
        <w:t xml:space="preserve"> (Scoping Memo)</w:t>
      </w:r>
      <w:r w:rsidRPr="00E8594C">
        <w:t xml:space="preserve">. </w:t>
      </w:r>
    </w:p>
    <w:p w:rsidR="001B753F" w:rsidP="00331AA8" w:rsidRDefault="00D769BF" w14:paraId="60D3EF00" w14:textId="402769A5">
      <w:pPr>
        <w:pStyle w:val="Standard"/>
        <w:rPr>
          <w:rFonts w:eastAsia="Calibri"/>
        </w:rPr>
      </w:pPr>
      <w:r w:rsidRPr="00EA5D4D">
        <w:rPr>
          <w:rFonts w:eastAsia="Calibri"/>
        </w:rPr>
        <w:t>Th</w:t>
      </w:r>
      <w:r>
        <w:rPr>
          <w:rFonts w:eastAsia="Calibri"/>
        </w:rPr>
        <w:t>roughout this proceeding, th</w:t>
      </w:r>
      <w:r w:rsidRPr="00EA5D4D" w:rsidR="00EA5D4D">
        <w:rPr>
          <w:rFonts w:eastAsia="Calibri"/>
        </w:rPr>
        <w:t xml:space="preserve">e parties have engaged in settlement discussions to resolve the issues identified in </w:t>
      </w:r>
      <w:proofErr w:type="gramStart"/>
      <w:r w:rsidRPr="00EA5D4D" w:rsidR="00EA5D4D">
        <w:rPr>
          <w:rFonts w:eastAsia="Calibri"/>
        </w:rPr>
        <w:t>the August</w:t>
      </w:r>
      <w:proofErr w:type="gramEnd"/>
      <w:r w:rsidRPr="00EA5D4D" w:rsidR="00EA5D4D">
        <w:rPr>
          <w:rFonts w:eastAsia="Calibri"/>
        </w:rPr>
        <w:t xml:space="preserve"> 17, </w:t>
      </w:r>
      <w:proofErr w:type="gramStart"/>
      <w:r w:rsidRPr="00EA5D4D" w:rsidR="00EA5D4D">
        <w:rPr>
          <w:rFonts w:eastAsia="Calibri"/>
        </w:rPr>
        <w:t>2023</w:t>
      </w:r>
      <w:proofErr w:type="gramEnd"/>
      <w:r w:rsidRPr="00EA5D4D" w:rsidR="00EA5D4D">
        <w:rPr>
          <w:rFonts w:eastAsia="Calibri"/>
        </w:rPr>
        <w:t xml:space="preserve"> Scoping Memo and Ruling. </w:t>
      </w:r>
      <w:r w:rsidR="001B753F">
        <w:t xml:space="preserve">The proceeding schedule was extended multiple times to enable the parties to continue their ongoing settlement talks. </w:t>
      </w:r>
      <w:r w:rsidR="00A95F10">
        <w:rPr>
          <w:rFonts w:eastAsia="Calibri"/>
        </w:rPr>
        <w:t>T</w:t>
      </w:r>
      <w:r w:rsidRPr="00EA5D4D" w:rsidR="00EA5D4D">
        <w:rPr>
          <w:rFonts w:eastAsia="Calibri"/>
        </w:rPr>
        <w:t>hey have filed monthly joint status reports regarding their progress</w:t>
      </w:r>
      <w:r w:rsidR="00A95F10">
        <w:rPr>
          <w:rFonts w:eastAsia="Calibri"/>
        </w:rPr>
        <w:t xml:space="preserve"> toward </w:t>
      </w:r>
      <w:r w:rsidR="00CB0A02">
        <w:rPr>
          <w:rFonts w:eastAsia="Calibri"/>
        </w:rPr>
        <w:t xml:space="preserve">a complete </w:t>
      </w:r>
      <w:r w:rsidR="00A95F10">
        <w:rPr>
          <w:rFonts w:eastAsia="Calibri"/>
        </w:rPr>
        <w:t>settlement</w:t>
      </w:r>
      <w:r w:rsidRPr="00EA5D4D" w:rsidR="00EA5D4D">
        <w:rPr>
          <w:rFonts w:eastAsia="Calibri"/>
        </w:rPr>
        <w:t xml:space="preserve">.  </w:t>
      </w:r>
    </w:p>
    <w:p w:rsidRPr="005905A9" w:rsidR="00A114EF" w:rsidP="00A114EF" w:rsidRDefault="00A114EF" w14:paraId="0B4F0E68" w14:textId="77777777">
      <w:pPr>
        <w:pStyle w:val="Standard"/>
      </w:pPr>
      <w:r>
        <w:lastRenderedPageBreak/>
        <w:t xml:space="preserve">On March 14, 2025, Defendant filed a motion to dismiss pursuant to an ALJ ruling establishing a briefing schedule. Complainant opposed the motion to </w:t>
      </w:r>
      <w:proofErr w:type="gramStart"/>
      <w:r>
        <w:t>dismiss</w:t>
      </w:r>
      <w:proofErr w:type="gramEnd"/>
      <w:r>
        <w:t xml:space="preserve"> and Defendant filed a reply on April 11, 2025.</w:t>
      </w:r>
    </w:p>
    <w:p w:rsidRPr="00C82B4B" w:rsidR="00EA5D4D" w:rsidP="00331AA8" w:rsidRDefault="00EA5D4D" w14:paraId="23841FB6" w14:textId="15D7471E">
      <w:pPr>
        <w:pStyle w:val="Standard"/>
        <w:rPr>
          <w:rFonts w:eastAsia="Calibri"/>
        </w:rPr>
      </w:pPr>
      <w:r w:rsidRPr="00EA5D4D">
        <w:rPr>
          <w:rFonts w:eastAsia="Calibri"/>
        </w:rPr>
        <w:t xml:space="preserve">On August 1, 2025, the parties reported they have reached an impasse on the sole remaining issue to be resolved. The parties requested that the assigned </w:t>
      </w:r>
      <w:r w:rsidR="003B6256">
        <w:rPr>
          <w:rFonts w:eastAsia="Calibri"/>
        </w:rPr>
        <w:t>ALJ</w:t>
      </w:r>
      <w:r w:rsidRPr="00EA5D4D">
        <w:rPr>
          <w:rFonts w:eastAsia="Calibri"/>
        </w:rPr>
        <w:t xml:space="preserve"> decide defendant’s motion to dismiss and, if denied, set a new proceeding schedule to adjudicate the remaining </w:t>
      </w:r>
      <w:r w:rsidR="001B753F">
        <w:rPr>
          <w:rFonts w:eastAsia="Calibri"/>
        </w:rPr>
        <w:t xml:space="preserve">disputed </w:t>
      </w:r>
      <w:r w:rsidRPr="00EA5D4D">
        <w:rPr>
          <w:rFonts w:eastAsia="Calibri"/>
        </w:rPr>
        <w:t xml:space="preserve">issue in this proceeding. The Commission and ALJ require </w:t>
      </w:r>
      <w:r w:rsidR="001B753F">
        <w:rPr>
          <w:rFonts w:eastAsia="Calibri"/>
        </w:rPr>
        <w:t xml:space="preserve">until April 3, 2026 </w:t>
      </w:r>
      <w:r w:rsidRPr="00EA5D4D">
        <w:rPr>
          <w:rFonts w:eastAsia="Calibri"/>
        </w:rPr>
        <w:t xml:space="preserve">to decide defendant’s motion to dismiss and, if denied, </w:t>
      </w:r>
      <w:r w:rsidR="001B753F">
        <w:rPr>
          <w:rFonts w:eastAsia="Calibri"/>
        </w:rPr>
        <w:t xml:space="preserve">to </w:t>
      </w:r>
      <w:r w:rsidRPr="00EA5D4D">
        <w:rPr>
          <w:rFonts w:eastAsia="Calibri"/>
        </w:rPr>
        <w:t>adjudicate the unresolved issue</w:t>
      </w:r>
      <w:r w:rsidR="001B753F">
        <w:rPr>
          <w:rFonts w:eastAsia="Calibri"/>
        </w:rPr>
        <w:t>,</w:t>
      </w:r>
      <w:r w:rsidRPr="00EA5D4D">
        <w:rPr>
          <w:rFonts w:eastAsia="Calibri"/>
        </w:rPr>
        <w:t xml:space="preserve"> </w:t>
      </w:r>
      <w:r w:rsidR="001B753F">
        <w:rPr>
          <w:rFonts w:eastAsia="Calibri"/>
        </w:rPr>
        <w:t xml:space="preserve">and complete this </w:t>
      </w:r>
      <w:r w:rsidRPr="00EA5D4D">
        <w:rPr>
          <w:rFonts w:eastAsia="Calibri"/>
        </w:rPr>
        <w:t>proceeding.</w:t>
      </w:r>
    </w:p>
    <w:p w:rsidRPr="00CA180C" w:rsidR="00E8594C" w:rsidP="003A6530" w:rsidRDefault="00E8594C" w14:paraId="2950A121" w14:textId="77777777">
      <w:pPr>
        <w:pStyle w:val="Heading1"/>
      </w:pPr>
      <w:r>
        <w:t xml:space="preserve">Waiver of </w:t>
      </w:r>
      <w:r w:rsidRPr="003A6530">
        <w:t>Comment</w:t>
      </w:r>
      <w:r>
        <w:t xml:space="preserve"> Period</w:t>
      </w:r>
    </w:p>
    <w:p w:rsidRPr="00DD5BB0" w:rsidR="00E8594C" w:rsidP="003A6530" w:rsidRDefault="00E8594C" w14:paraId="15423221" w14:textId="0063BC8D">
      <w:pPr>
        <w:pStyle w:val="Standard"/>
      </w:pPr>
      <w:r w:rsidRPr="00DD5BB0">
        <w:t xml:space="preserve">Under Rule 14.6(c)(4) of the Commission’s Rules of Practice and Procedure, the Commission may waive the otherwise applicable 30-day period for public review and comment on a decision that extends the </w:t>
      </w:r>
      <w:r>
        <w:t>deadline for resolving adjudicatory proceedings</w:t>
      </w:r>
      <w:r w:rsidRPr="00DD5BB0">
        <w:t xml:space="preserve"> set forth in Pub. Util. Code § 1701.2(i). Under the circumstances of this proceeding, it is appropriate to waive the 30-day period for public review and comment.</w:t>
      </w:r>
    </w:p>
    <w:p w:rsidRPr="00CA180C" w:rsidR="00E8594C" w:rsidP="003A6530" w:rsidRDefault="00E8594C" w14:paraId="2789C5E0" w14:textId="77777777">
      <w:pPr>
        <w:pStyle w:val="Heading1"/>
      </w:pPr>
      <w:bookmarkStart w:name="_Hlk34241689" w:id="3"/>
      <w:r w:rsidRPr="003A6530">
        <w:t>Assignment</w:t>
      </w:r>
      <w:r>
        <w:t xml:space="preserve"> of Proceeding</w:t>
      </w:r>
    </w:p>
    <w:p w:rsidRPr="00A80752" w:rsidR="00E8594C" w:rsidP="003A6530" w:rsidRDefault="00E8594C" w14:paraId="6B78EA74" w14:textId="4E014676">
      <w:pPr>
        <w:pStyle w:val="Standard"/>
      </w:pPr>
      <w:r>
        <w:t xml:space="preserve">John Reynolds is the assigned Commissioner and Jeffrey Lee is the assigned Administrative Law Judge and the presiding officer in this </w:t>
      </w:r>
      <w:r w:rsidR="003A6530">
        <w:t>proceeding.</w:t>
      </w:r>
    </w:p>
    <w:bookmarkEnd w:id="3"/>
    <w:p w:rsidRPr="003854D9" w:rsidR="00E8594C" w:rsidP="003A6530" w:rsidRDefault="00E8594C" w14:paraId="18C75A4E" w14:textId="77777777">
      <w:pPr>
        <w:pStyle w:val="Dummy"/>
      </w:pPr>
      <w:r>
        <w:t xml:space="preserve">Findings of Fact </w:t>
      </w:r>
    </w:p>
    <w:p w:rsidR="000569C0" w:rsidP="000569C0" w:rsidRDefault="005C7546" w14:paraId="599CB232" w14:textId="77777777">
      <w:pPr>
        <w:pStyle w:val="FoF"/>
      </w:pPr>
      <w:r>
        <w:t>C.23-02-003 was filed on February 10, 2023.</w:t>
      </w:r>
    </w:p>
    <w:p w:rsidR="000569C0" w:rsidP="000569C0" w:rsidRDefault="000569C0" w14:paraId="6169E611" w14:textId="40175174">
      <w:pPr>
        <w:pStyle w:val="FoF"/>
      </w:pPr>
      <w:r>
        <w:t>D.23</w:t>
      </w:r>
      <w:r>
        <w:noBreakHyphen/>
        <w:t>11</w:t>
      </w:r>
      <w:r>
        <w:noBreakHyphen/>
        <w:t>101 extended the statutory deadline for C.23</w:t>
      </w:r>
      <w:r>
        <w:noBreakHyphen/>
        <w:t>02</w:t>
      </w:r>
      <w:r>
        <w:noBreakHyphen/>
        <w:t>003 until September 30, 2024.</w:t>
      </w:r>
    </w:p>
    <w:p w:rsidR="00E8594C" w:rsidP="003A6530" w:rsidRDefault="005C7546" w14:paraId="32E0270C" w14:textId="0C6ACBF8">
      <w:pPr>
        <w:pStyle w:val="FoF"/>
      </w:pPr>
      <w:r>
        <w:t>D.2</w:t>
      </w:r>
      <w:r w:rsidR="000973AE">
        <w:t>4</w:t>
      </w:r>
      <w:r>
        <w:t>-</w:t>
      </w:r>
      <w:r w:rsidR="000973AE">
        <w:t>09</w:t>
      </w:r>
      <w:r>
        <w:t>-</w:t>
      </w:r>
      <w:r w:rsidR="000973AE">
        <w:t>042</w:t>
      </w:r>
      <w:r>
        <w:t xml:space="preserve"> extended the statutory deadline for C.23-02-003 until</w:t>
      </w:r>
      <w:r w:rsidR="003A6530">
        <w:br/>
      </w:r>
      <w:r w:rsidR="000973AE">
        <w:t>June 30, 2025</w:t>
      </w:r>
      <w:r w:rsidR="00E8594C">
        <w:t>.</w:t>
      </w:r>
    </w:p>
    <w:p w:rsidR="00134DEB" w:rsidP="003A6530" w:rsidRDefault="00754770" w14:paraId="40F0CF05" w14:textId="0C3C0072">
      <w:pPr>
        <w:pStyle w:val="FoF"/>
      </w:pPr>
      <w:r w:rsidRPr="00754770">
        <w:lastRenderedPageBreak/>
        <w:t>D.25-06-022</w:t>
      </w:r>
      <w:r w:rsidR="008F2FBB">
        <w:t xml:space="preserve"> </w:t>
      </w:r>
      <w:r w:rsidR="00134DEB">
        <w:t>extended the statutory deadline for C.23-02-003 until</w:t>
      </w:r>
      <w:r w:rsidR="00134DEB">
        <w:br/>
        <w:t>October 31, 2025.</w:t>
      </w:r>
    </w:p>
    <w:p w:rsidR="00E8594C" w:rsidP="003A6530" w:rsidRDefault="00E8594C" w14:paraId="5C46C07D" w14:textId="032CFE78">
      <w:pPr>
        <w:pStyle w:val="FoF"/>
      </w:pPr>
      <w:r>
        <w:t xml:space="preserve">C.23-02-003 cannot be completed by </w:t>
      </w:r>
      <w:r w:rsidR="00134DEB">
        <w:t>October 31</w:t>
      </w:r>
      <w:r w:rsidR="000973AE">
        <w:t>, 2025</w:t>
      </w:r>
      <w:r>
        <w:t>.</w:t>
      </w:r>
    </w:p>
    <w:p w:rsidRPr="003829E4" w:rsidR="00E8594C" w:rsidP="003A6530" w:rsidRDefault="00E8594C" w14:paraId="2153600B" w14:textId="1F6C01FD">
      <w:pPr>
        <w:pStyle w:val="FoF"/>
      </w:pPr>
      <w:r>
        <w:t xml:space="preserve">An extension of the statutory deadline </w:t>
      </w:r>
      <w:r w:rsidR="006777F4">
        <w:t>until</w:t>
      </w:r>
      <w:r>
        <w:t xml:space="preserve"> </w:t>
      </w:r>
      <w:r w:rsidR="00342F66">
        <w:t>April 3, 2026</w:t>
      </w:r>
      <w:r w:rsidR="00A71564">
        <w:t>,</w:t>
      </w:r>
      <w:r>
        <w:t xml:space="preserve"> is necessary to allow adequate time to complete this proceeding</w:t>
      </w:r>
      <w:r w:rsidRPr="00A80752">
        <w:t>.</w:t>
      </w:r>
      <w:bookmarkStart w:name="_Hlk10631608" w:id="4"/>
    </w:p>
    <w:p w:rsidR="00E8594C" w:rsidP="003A6530" w:rsidRDefault="00E8594C" w14:paraId="1698374D" w14:textId="77777777">
      <w:pPr>
        <w:pStyle w:val="Dummy"/>
      </w:pPr>
      <w:r>
        <w:t>Conclusion of Law</w:t>
      </w:r>
    </w:p>
    <w:bookmarkEnd w:id="4"/>
    <w:p w:rsidRPr="00DD5BB0" w:rsidR="00E8594C" w:rsidP="003A6530" w:rsidRDefault="00E8594C" w14:paraId="688E4C61" w14:textId="3FB89075">
      <w:pPr>
        <w:pStyle w:val="Standard"/>
      </w:pPr>
      <w:r w:rsidRPr="00DD5BB0">
        <w:t xml:space="preserve">Pursuant to the authority granted to the Commission under Pub. Util. Code § 1701.2(i), the statutory deadline should be extended </w:t>
      </w:r>
      <w:r w:rsidR="000345A3">
        <w:t>until</w:t>
      </w:r>
      <w:r w:rsidRPr="00DD5BB0">
        <w:t xml:space="preserve"> </w:t>
      </w:r>
      <w:r w:rsidR="00E416F4">
        <w:br/>
      </w:r>
      <w:r w:rsidR="00342F66">
        <w:t>April 3, 2026</w:t>
      </w:r>
      <w:r w:rsidR="00A71564">
        <w:t>.</w:t>
      </w:r>
    </w:p>
    <w:p w:rsidRPr="00DD5BB0" w:rsidR="00E8594C" w:rsidP="00E416F4" w:rsidRDefault="00E8594C" w14:paraId="3615030D" w14:textId="165780A9">
      <w:r w:rsidRPr="00DD5BB0">
        <w:rPr>
          <w:b/>
        </w:rPr>
        <w:t>IT IS ORDERED</w:t>
      </w:r>
      <w:r w:rsidRPr="00DD5BB0">
        <w:t xml:space="preserve"> that the statutory deadline for completion of this proceeding is extended </w:t>
      </w:r>
      <w:r w:rsidR="000345A3">
        <w:t>until</w:t>
      </w:r>
      <w:r w:rsidRPr="00DD5BB0">
        <w:t xml:space="preserve"> </w:t>
      </w:r>
      <w:r w:rsidR="00342F66">
        <w:t>April 3, 2026</w:t>
      </w:r>
      <w:r w:rsidR="00A71564">
        <w:t>.</w:t>
      </w:r>
    </w:p>
    <w:p w:rsidRPr="00DD5BB0" w:rsidR="00E8594C" w:rsidP="00E416F4" w:rsidRDefault="00E8594C" w14:paraId="5F22CD15" w14:textId="77777777">
      <w:pPr>
        <w:pStyle w:val="Standard"/>
      </w:pPr>
      <w:r w:rsidRPr="00DD5BB0">
        <w:t>This order is effective today.</w:t>
      </w:r>
    </w:p>
    <w:p w:rsidR="00E8594C" w:rsidP="00E416F4" w:rsidRDefault="00E8594C" w14:paraId="552283C8" w14:textId="08F0800F">
      <w:pPr>
        <w:pStyle w:val="Standard"/>
      </w:pPr>
      <w:r w:rsidRPr="00DD5BB0">
        <w:t xml:space="preserve">Dated </w:t>
      </w:r>
      <w:r w:rsidR="005E5E13">
        <w:t xml:space="preserve">October </w:t>
      </w:r>
      <w:r w:rsidR="008E5B94">
        <w:t xml:space="preserve">9, </w:t>
      </w:r>
      <w:r w:rsidR="005E5E13">
        <w:t>2025</w:t>
      </w:r>
      <w:r w:rsidR="003D2BAB">
        <w:t>,</w:t>
      </w:r>
      <w:r w:rsidRPr="00DD5BB0" w:rsidR="003D2BAB">
        <w:t xml:space="preserve"> at</w:t>
      </w:r>
      <w:r w:rsidR="005E5E13">
        <w:t xml:space="preserve"> Bellflower</w:t>
      </w:r>
      <w:r w:rsidRPr="00DD5BB0">
        <w:t>, California.</w:t>
      </w:r>
    </w:p>
    <w:p w:rsidR="00B70134" w:rsidP="00E416F4" w:rsidRDefault="00B70134" w14:paraId="264392A3" w14:textId="77777777">
      <w:pPr>
        <w:pStyle w:val="Standard"/>
      </w:pPr>
    </w:p>
    <w:p w:rsidR="00B37CD5" w:rsidP="00B37CD5" w:rsidRDefault="00B37CD5" w14:paraId="171849CB" w14:textId="77777777">
      <w:pPr>
        <w:autoSpaceDE w:val="0"/>
        <w:autoSpaceDN w:val="0"/>
        <w:adjustRightInd w:val="0"/>
        <w:spacing w:line="240" w:lineRule="auto"/>
        <w:ind w:left="4320"/>
        <w:jc w:val="both"/>
        <w:rPr>
          <w:rFonts w:cs="Times New Roman"/>
          <w:szCs w:val="20"/>
        </w:rPr>
      </w:pPr>
    </w:p>
    <w:p w:rsidRPr="00143BC5" w:rsidR="00B37CD5" w:rsidP="008E5B94" w:rsidRDefault="00B37CD5" w14:paraId="19D3BD40" w14:textId="77777777">
      <w:pPr>
        <w:autoSpaceDE w:val="0"/>
        <w:autoSpaceDN w:val="0"/>
        <w:adjustRightInd w:val="0"/>
        <w:spacing w:line="240" w:lineRule="auto"/>
        <w:ind w:left="5760"/>
        <w:jc w:val="both"/>
        <w:rPr>
          <w:rFonts w:cs="Times New Roman"/>
          <w:szCs w:val="20"/>
        </w:rPr>
      </w:pPr>
      <w:r w:rsidRPr="00143BC5">
        <w:rPr>
          <w:rFonts w:cs="Times New Roman"/>
          <w:szCs w:val="20"/>
        </w:rPr>
        <w:t>ALICE REYNOLDS</w:t>
      </w:r>
    </w:p>
    <w:p w:rsidRPr="00143BC5" w:rsidR="00B37CD5" w:rsidP="008E5B94" w:rsidRDefault="00B37CD5" w14:paraId="6B10052F" w14:textId="77777777">
      <w:pPr>
        <w:autoSpaceDE w:val="0"/>
        <w:autoSpaceDN w:val="0"/>
        <w:adjustRightInd w:val="0"/>
        <w:spacing w:line="240" w:lineRule="auto"/>
        <w:ind w:left="1440"/>
        <w:jc w:val="both"/>
        <w:rPr>
          <w:rFonts w:cs="Times New Roman"/>
          <w:szCs w:val="20"/>
        </w:rPr>
      </w:pP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t xml:space="preserve">                       President</w:t>
      </w:r>
    </w:p>
    <w:p w:rsidRPr="00143BC5" w:rsidR="00B37CD5" w:rsidP="008E5B94" w:rsidRDefault="00B37CD5" w14:paraId="60A3BA1C" w14:textId="77777777">
      <w:pPr>
        <w:autoSpaceDE w:val="0"/>
        <w:autoSpaceDN w:val="0"/>
        <w:adjustRightInd w:val="0"/>
        <w:spacing w:line="240" w:lineRule="auto"/>
        <w:ind w:left="5040"/>
        <w:jc w:val="both"/>
        <w:rPr>
          <w:rFonts w:cs="Times New Roman"/>
          <w:szCs w:val="20"/>
        </w:rPr>
      </w:pPr>
      <w:r w:rsidRPr="00143BC5">
        <w:rPr>
          <w:rFonts w:cs="Times New Roman"/>
          <w:szCs w:val="20"/>
        </w:rPr>
        <w:t>DARCIE L. HOUCK</w:t>
      </w:r>
    </w:p>
    <w:p w:rsidRPr="00143BC5" w:rsidR="00B37CD5" w:rsidP="008E5B94" w:rsidRDefault="00B37CD5" w14:paraId="04279C84" w14:textId="77777777">
      <w:pPr>
        <w:autoSpaceDE w:val="0"/>
        <w:autoSpaceDN w:val="0"/>
        <w:adjustRightInd w:val="0"/>
        <w:spacing w:line="240" w:lineRule="auto"/>
        <w:ind w:left="5040"/>
        <w:jc w:val="both"/>
        <w:rPr>
          <w:rFonts w:cs="Times New Roman"/>
          <w:szCs w:val="20"/>
        </w:rPr>
      </w:pPr>
      <w:r w:rsidRPr="00143BC5">
        <w:rPr>
          <w:rFonts w:cs="Times New Roman"/>
          <w:szCs w:val="20"/>
        </w:rPr>
        <w:t>JOHN REYNOLDS</w:t>
      </w:r>
    </w:p>
    <w:p w:rsidR="00B37CD5" w:rsidP="008E5B94" w:rsidRDefault="00B37CD5" w14:paraId="7EAC2D58" w14:textId="77777777">
      <w:pPr>
        <w:autoSpaceDE w:val="0"/>
        <w:autoSpaceDN w:val="0"/>
        <w:adjustRightInd w:val="0"/>
        <w:spacing w:line="240" w:lineRule="auto"/>
        <w:ind w:left="5040"/>
        <w:jc w:val="both"/>
        <w:rPr>
          <w:rFonts w:eastAsia="Times New Roman" w:cs="Calibri"/>
          <w:color w:val="000000"/>
          <w:szCs w:val="26"/>
        </w:rPr>
      </w:pPr>
      <w:r w:rsidRPr="00143BC5">
        <w:rPr>
          <w:rFonts w:eastAsia="Times New Roman" w:cs="Calibri"/>
          <w:color w:val="000000"/>
          <w:szCs w:val="26"/>
        </w:rPr>
        <w:t>KAREN DOUGLAS</w:t>
      </w:r>
    </w:p>
    <w:p w:rsidRPr="00143BC5" w:rsidR="00B37CD5" w:rsidP="008E5B94" w:rsidRDefault="00B37CD5" w14:paraId="2E548E6B" w14:textId="77777777">
      <w:pPr>
        <w:autoSpaceDE w:val="0"/>
        <w:autoSpaceDN w:val="0"/>
        <w:adjustRightInd w:val="0"/>
        <w:spacing w:line="240" w:lineRule="auto"/>
        <w:ind w:left="5040"/>
        <w:jc w:val="both"/>
        <w:rPr>
          <w:rFonts w:cs="Times New Roman"/>
          <w:szCs w:val="20"/>
        </w:rPr>
      </w:pPr>
      <w:r>
        <w:rPr>
          <w:rFonts w:eastAsia="Times New Roman" w:cs="Calibri"/>
          <w:color w:val="000000"/>
          <w:szCs w:val="26"/>
        </w:rPr>
        <w:t>MATTHEW BAKER</w:t>
      </w:r>
    </w:p>
    <w:p w:rsidR="00B37CD5" w:rsidP="008E5B94" w:rsidRDefault="00B37CD5" w14:paraId="7CE865AD" w14:textId="77777777">
      <w:pPr>
        <w:autoSpaceDE w:val="0"/>
        <w:autoSpaceDN w:val="0"/>
        <w:adjustRightInd w:val="0"/>
        <w:spacing w:line="240" w:lineRule="auto"/>
        <w:ind w:left="5760"/>
        <w:jc w:val="both"/>
        <w:rPr>
          <w:rFonts w:cs="Times New Roman"/>
          <w:szCs w:val="20"/>
        </w:rPr>
      </w:pPr>
      <w:r w:rsidRPr="00143BC5">
        <w:rPr>
          <w:rFonts w:cs="Times New Roman"/>
          <w:szCs w:val="20"/>
        </w:rPr>
        <w:t xml:space="preserve">            Commissioners</w:t>
      </w:r>
    </w:p>
    <w:p w:rsidRPr="00DD5BB0" w:rsidR="00462110" w:rsidP="00E416F4" w:rsidRDefault="00462110" w14:paraId="42A7C8CD" w14:textId="77777777">
      <w:pPr>
        <w:pStyle w:val="Standard"/>
      </w:pPr>
    </w:p>
    <w:sectPr w:rsidRPr="00DD5BB0" w:rsidR="00462110" w:rsidSect="00462110">
      <w:headerReference w:type="default" r:id="rId11"/>
      <w:footerReference w:type="default" r:id="rId12"/>
      <w:footerReference w:type="first" r:id="rId13"/>
      <w:type w:val="continuous"/>
      <w:pgSz w:w="12240" w:h="15840"/>
      <w:pgMar w:top="1728"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B22A" w14:textId="77777777" w:rsidR="00EA29AC" w:rsidRDefault="00EA29AC" w:rsidP="0098138E">
      <w:pPr>
        <w:spacing w:line="240" w:lineRule="auto"/>
      </w:pPr>
      <w:r>
        <w:separator/>
      </w:r>
    </w:p>
  </w:endnote>
  <w:endnote w:type="continuationSeparator" w:id="0">
    <w:p w14:paraId="5938A8DA" w14:textId="77777777" w:rsidR="00EA29AC" w:rsidRDefault="00EA29AC" w:rsidP="0098138E">
      <w:pPr>
        <w:spacing w:line="240" w:lineRule="auto"/>
      </w:pPr>
      <w:r>
        <w:continuationSeparator/>
      </w:r>
    </w:p>
  </w:endnote>
  <w:endnote w:type="continuationNotice" w:id="1">
    <w:p w14:paraId="798DF943" w14:textId="77777777" w:rsidR="00EA29AC" w:rsidRDefault="00EA29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BAB6" w14:textId="7902C9C9" w:rsidR="00E8594C" w:rsidRDefault="008E286D" w:rsidP="008E286D">
    <w:pPr>
      <w:ind w:firstLine="0"/>
    </w:pPr>
    <w:r>
      <w:rPr>
        <w:sz w:val="20"/>
        <w:szCs w:val="20"/>
      </w:rPr>
      <w:tab/>
    </w:r>
    <w:r>
      <w:tab/>
    </w:r>
    <w:r>
      <w:tab/>
    </w:r>
    <w:r>
      <w:tab/>
    </w:r>
    <w:r>
      <w:tab/>
    </w:r>
    <w:r>
      <w:tab/>
    </w:r>
    <w:sdt>
      <w:sdtPr>
        <w:id w:val="-847091057"/>
        <w:docPartObj>
          <w:docPartGallery w:val="Page Numbers (Bottom of Page)"/>
          <w:docPartUnique/>
        </w:docPartObj>
      </w:sdtPr>
      <w:sdtEndPr>
        <w:rPr>
          <w:noProof/>
        </w:rPr>
      </w:sdtEndPr>
      <w:sdtContent>
        <w:r w:rsidR="00E8594C">
          <w:fldChar w:fldCharType="begin"/>
        </w:r>
        <w:r w:rsidR="00E8594C">
          <w:instrText xml:space="preserve"> PAGE   \* MERGEFORMAT </w:instrText>
        </w:r>
        <w:r w:rsidR="00E8594C">
          <w:fldChar w:fldCharType="separate"/>
        </w:r>
        <w:r w:rsidR="00E8594C">
          <w:rPr>
            <w:noProof/>
          </w:rPr>
          <w:t>2</w:t>
        </w:r>
        <w:r w:rsidR="00E8594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094823"/>
      <w:docPartObj>
        <w:docPartGallery w:val="Page Numbers (Bottom of Page)"/>
        <w:docPartUnique/>
      </w:docPartObj>
    </w:sdtPr>
    <w:sdtEndPr>
      <w:rPr>
        <w:noProof/>
      </w:rPr>
    </w:sdtEndPr>
    <w:sdtContent>
      <w:p w14:paraId="2516F2A8" w14:textId="1BD3C5B8" w:rsidR="002E627B" w:rsidRDefault="002533D0" w:rsidP="00F10C66">
        <w:pPr>
          <w:pStyle w:val="Footer"/>
          <w:ind w:firstLine="0"/>
        </w:pPr>
        <w:r w:rsidRPr="002533D0">
          <w:rPr>
            <w:sz w:val="16"/>
            <w:szCs w:val="16"/>
          </w:rPr>
          <w:t>584262618</w:t>
        </w:r>
        <w:r w:rsidR="00F10C66">
          <w:tab/>
        </w:r>
        <w:r w:rsidR="002E627B">
          <w:fldChar w:fldCharType="begin"/>
        </w:r>
        <w:r w:rsidR="002E627B">
          <w:instrText xml:space="preserve"> PAGE   \* MERGEFORMAT </w:instrText>
        </w:r>
        <w:r w:rsidR="002E627B">
          <w:fldChar w:fldCharType="separate"/>
        </w:r>
        <w:r w:rsidR="002E627B">
          <w:rPr>
            <w:noProof/>
          </w:rPr>
          <w:t>2</w:t>
        </w:r>
        <w:r w:rsidR="002E627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926B" w14:textId="77777777" w:rsidR="00EA29AC" w:rsidRDefault="00EA29AC" w:rsidP="00DF58E7">
      <w:pPr>
        <w:spacing w:line="240" w:lineRule="auto"/>
        <w:ind w:firstLine="0"/>
      </w:pPr>
      <w:r>
        <w:separator/>
      </w:r>
    </w:p>
  </w:footnote>
  <w:footnote w:type="continuationSeparator" w:id="0">
    <w:p w14:paraId="1ABA2F23" w14:textId="77777777" w:rsidR="00EA29AC" w:rsidRDefault="00EA29AC" w:rsidP="00DF58E7">
      <w:pPr>
        <w:spacing w:line="240" w:lineRule="auto"/>
        <w:ind w:firstLine="0"/>
      </w:pPr>
      <w:r>
        <w:continuationSeparator/>
      </w:r>
    </w:p>
  </w:footnote>
  <w:footnote w:type="continuationNotice" w:id="1">
    <w:p w14:paraId="20356EA2" w14:textId="77777777" w:rsidR="00EA29AC" w:rsidRPr="00DF58E7" w:rsidRDefault="00EA29AC"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E2AA" w14:textId="66D83F49" w:rsidR="00214B36" w:rsidRDefault="00214B36" w:rsidP="00214B36">
    <w:pPr>
      <w:pStyle w:val="Header"/>
      <w:tabs>
        <w:tab w:val="clear" w:pos="4680"/>
      </w:tabs>
      <w:ind w:firstLine="0"/>
      <w:rPr>
        <w:b/>
      </w:rPr>
    </w:pPr>
    <w:r>
      <w:t>C.23-02-003 ALJ/JYL/</w:t>
    </w:r>
    <w:r w:rsidR="00462110">
      <w:t>cg7</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6922149"/>
    <w:multiLevelType w:val="hybridMultilevel"/>
    <w:tmpl w:val="4552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18F4A5AC"/>
    <w:numStyleLink w:val="FoFCoLOP"/>
  </w:abstractNum>
  <w:abstractNum w:abstractNumId="17" w15:restartNumberingAfterBreak="0">
    <w:nsid w:val="7FA24549"/>
    <w:multiLevelType w:val="singleLevel"/>
    <w:tmpl w:val="E46A7320"/>
    <w:lvl w:ilvl="0">
      <w:start w:val="1"/>
      <w:numFmt w:val="decimal"/>
      <w:lvlText w:val="%1."/>
      <w:legacy w:legacy="1" w:legacySpace="144" w:legacyIndent="0"/>
      <w:lvlJc w:val="left"/>
    </w:lvl>
  </w:abstractNum>
  <w:num w:numId="1" w16cid:durableId="1354526949">
    <w:abstractNumId w:val="13"/>
  </w:num>
  <w:num w:numId="2" w16cid:durableId="140774137">
    <w:abstractNumId w:val="1"/>
  </w:num>
  <w:num w:numId="3" w16cid:durableId="1898543446">
    <w:abstractNumId w:val="12"/>
  </w:num>
  <w:num w:numId="4" w16cid:durableId="701521005">
    <w:abstractNumId w:val="2"/>
  </w:num>
  <w:num w:numId="5" w16cid:durableId="2017029027">
    <w:abstractNumId w:val="16"/>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526211645">
    <w:abstractNumId w:val="3"/>
  </w:num>
  <w:num w:numId="19" w16cid:durableId="1263563870">
    <w:abstractNumId w:val="17"/>
  </w:num>
  <w:num w:numId="20" w16cid:durableId="1814758383">
    <w:abstractNumId w:val="11"/>
  </w:num>
  <w:num w:numId="21" w16cid:durableId="1008024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58"/>
    <w:rsid w:val="00000F6A"/>
    <w:rsid w:val="000345A3"/>
    <w:rsid w:val="000569C0"/>
    <w:rsid w:val="00057A92"/>
    <w:rsid w:val="0007115A"/>
    <w:rsid w:val="000737A2"/>
    <w:rsid w:val="000973AE"/>
    <w:rsid w:val="000973C8"/>
    <w:rsid w:val="000A2AA9"/>
    <w:rsid w:val="000A56F2"/>
    <w:rsid w:val="000A6E05"/>
    <w:rsid w:val="000B12FA"/>
    <w:rsid w:val="000C08BF"/>
    <w:rsid w:val="000C3B9A"/>
    <w:rsid w:val="000D24AA"/>
    <w:rsid w:val="000D25A8"/>
    <w:rsid w:val="000D72C4"/>
    <w:rsid w:val="000E193A"/>
    <w:rsid w:val="000E270A"/>
    <w:rsid w:val="000E4C53"/>
    <w:rsid w:val="000F48C6"/>
    <w:rsid w:val="00121089"/>
    <w:rsid w:val="00123DDE"/>
    <w:rsid w:val="001262EC"/>
    <w:rsid w:val="00134DEB"/>
    <w:rsid w:val="0018081D"/>
    <w:rsid w:val="00184A8F"/>
    <w:rsid w:val="00190819"/>
    <w:rsid w:val="001B753F"/>
    <w:rsid w:val="001C363F"/>
    <w:rsid w:val="001D58B9"/>
    <w:rsid w:val="001D5B7F"/>
    <w:rsid w:val="001E0368"/>
    <w:rsid w:val="001E2A62"/>
    <w:rsid w:val="001F2819"/>
    <w:rsid w:val="00200477"/>
    <w:rsid w:val="002043EC"/>
    <w:rsid w:val="00212044"/>
    <w:rsid w:val="002127D5"/>
    <w:rsid w:val="00214B36"/>
    <w:rsid w:val="00217C5C"/>
    <w:rsid w:val="0022199D"/>
    <w:rsid w:val="00242B5A"/>
    <w:rsid w:val="00243DC0"/>
    <w:rsid w:val="002468A9"/>
    <w:rsid w:val="00247477"/>
    <w:rsid w:val="002533D0"/>
    <w:rsid w:val="00270440"/>
    <w:rsid w:val="00275E40"/>
    <w:rsid w:val="00284D8D"/>
    <w:rsid w:val="00287BC5"/>
    <w:rsid w:val="00293DEE"/>
    <w:rsid w:val="00297A92"/>
    <w:rsid w:val="002A0B5D"/>
    <w:rsid w:val="002A706D"/>
    <w:rsid w:val="002B324F"/>
    <w:rsid w:val="002C0273"/>
    <w:rsid w:val="002C7FE9"/>
    <w:rsid w:val="002D0DC5"/>
    <w:rsid w:val="002D4EFD"/>
    <w:rsid w:val="002E627B"/>
    <w:rsid w:val="002E648F"/>
    <w:rsid w:val="0030613C"/>
    <w:rsid w:val="00315A97"/>
    <w:rsid w:val="00316071"/>
    <w:rsid w:val="003205D5"/>
    <w:rsid w:val="00331AA8"/>
    <w:rsid w:val="00342F66"/>
    <w:rsid w:val="00343E5C"/>
    <w:rsid w:val="00344985"/>
    <w:rsid w:val="00344FB8"/>
    <w:rsid w:val="00356858"/>
    <w:rsid w:val="0036017B"/>
    <w:rsid w:val="00362755"/>
    <w:rsid w:val="003672AD"/>
    <w:rsid w:val="00373B93"/>
    <w:rsid w:val="00380CD1"/>
    <w:rsid w:val="00383B38"/>
    <w:rsid w:val="00393BAB"/>
    <w:rsid w:val="003A02CA"/>
    <w:rsid w:val="003A38F0"/>
    <w:rsid w:val="003A6530"/>
    <w:rsid w:val="003B4763"/>
    <w:rsid w:val="003B6256"/>
    <w:rsid w:val="003C4A56"/>
    <w:rsid w:val="003D2BAB"/>
    <w:rsid w:val="003E52DC"/>
    <w:rsid w:val="003F069A"/>
    <w:rsid w:val="003F4329"/>
    <w:rsid w:val="00412534"/>
    <w:rsid w:val="00412C83"/>
    <w:rsid w:val="00426014"/>
    <w:rsid w:val="00426064"/>
    <w:rsid w:val="004401EF"/>
    <w:rsid w:val="0044617E"/>
    <w:rsid w:val="00446738"/>
    <w:rsid w:val="0045448E"/>
    <w:rsid w:val="00460B7D"/>
    <w:rsid w:val="00460DE8"/>
    <w:rsid w:val="00462110"/>
    <w:rsid w:val="00480CB0"/>
    <w:rsid w:val="00483603"/>
    <w:rsid w:val="00483ABB"/>
    <w:rsid w:val="00494F53"/>
    <w:rsid w:val="004A47BE"/>
    <w:rsid w:val="004A5511"/>
    <w:rsid w:val="004B34EA"/>
    <w:rsid w:val="004B5494"/>
    <w:rsid w:val="004B5D01"/>
    <w:rsid w:val="004C2F20"/>
    <w:rsid w:val="004C7A2B"/>
    <w:rsid w:val="004C7D3A"/>
    <w:rsid w:val="004E622D"/>
    <w:rsid w:val="004F2316"/>
    <w:rsid w:val="005018A8"/>
    <w:rsid w:val="00505A39"/>
    <w:rsid w:val="00520195"/>
    <w:rsid w:val="00520E0E"/>
    <w:rsid w:val="005240BF"/>
    <w:rsid w:val="00585390"/>
    <w:rsid w:val="005905A9"/>
    <w:rsid w:val="005939A5"/>
    <w:rsid w:val="005A148C"/>
    <w:rsid w:val="005B2274"/>
    <w:rsid w:val="005C04E4"/>
    <w:rsid w:val="005C58FA"/>
    <w:rsid w:val="005C7546"/>
    <w:rsid w:val="005E3E38"/>
    <w:rsid w:val="005E5E13"/>
    <w:rsid w:val="005F077C"/>
    <w:rsid w:val="0060226D"/>
    <w:rsid w:val="00603238"/>
    <w:rsid w:val="00632207"/>
    <w:rsid w:val="0063491C"/>
    <w:rsid w:val="00641A5C"/>
    <w:rsid w:val="00652487"/>
    <w:rsid w:val="00657E7E"/>
    <w:rsid w:val="00661AFE"/>
    <w:rsid w:val="006777F4"/>
    <w:rsid w:val="00680F19"/>
    <w:rsid w:val="00683B2C"/>
    <w:rsid w:val="006C1F10"/>
    <w:rsid w:val="006C497E"/>
    <w:rsid w:val="006D0227"/>
    <w:rsid w:val="006D5472"/>
    <w:rsid w:val="006E28F7"/>
    <w:rsid w:val="006E3142"/>
    <w:rsid w:val="006E5E28"/>
    <w:rsid w:val="006E6574"/>
    <w:rsid w:val="00714CF2"/>
    <w:rsid w:val="007156B9"/>
    <w:rsid w:val="0071755F"/>
    <w:rsid w:val="00720817"/>
    <w:rsid w:val="00722850"/>
    <w:rsid w:val="007241EE"/>
    <w:rsid w:val="00725D98"/>
    <w:rsid w:val="0073353F"/>
    <w:rsid w:val="00734809"/>
    <w:rsid w:val="00735A91"/>
    <w:rsid w:val="00735AFD"/>
    <w:rsid w:val="00742E45"/>
    <w:rsid w:val="007447AF"/>
    <w:rsid w:val="00750816"/>
    <w:rsid w:val="00751795"/>
    <w:rsid w:val="0075285D"/>
    <w:rsid w:val="00754770"/>
    <w:rsid w:val="007657C1"/>
    <w:rsid w:val="007746C3"/>
    <w:rsid w:val="0077583B"/>
    <w:rsid w:val="0077755F"/>
    <w:rsid w:val="00786228"/>
    <w:rsid w:val="007A406D"/>
    <w:rsid w:val="007A62B0"/>
    <w:rsid w:val="007C16B5"/>
    <w:rsid w:val="007C5A0C"/>
    <w:rsid w:val="007D56F6"/>
    <w:rsid w:val="007E0FEE"/>
    <w:rsid w:val="007E1306"/>
    <w:rsid w:val="007F2017"/>
    <w:rsid w:val="0080390E"/>
    <w:rsid w:val="00804BF4"/>
    <w:rsid w:val="008159CF"/>
    <w:rsid w:val="00816E05"/>
    <w:rsid w:val="00827410"/>
    <w:rsid w:val="0083245F"/>
    <w:rsid w:val="008339BB"/>
    <w:rsid w:val="00850574"/>
    <w:rsid w:val="00862D12"/>
    <w:rsid w:val="0086419A"/>
    <w:rsid w:val="0087023B"/>
    <w:rsid w:val="008738C7"/>
    <w:rsid w:val="00876B9B"/>
    <w:rsid w:val="00883BEA"/>
    <w:rsid w:val="00896889"/>
    <w:rsid w:val="008975CB"/>
    <w:rsid w:val="008A08BF"/>
    <w:rsid w:val="008A179F"/>
    <w:rsid w:val="008A39B0"/>
    <w:rsid w:val="008B0864"/>
    <w:rsid w:val="008B2F0E"/>
    <w:rsid w:val="008C3CB7"/>
    <w:rsid w:val="008C7413"/>
    <w:rsid w:val="008D16B7"/>
    <w:rsid w:val="008E286D"/>
    <w:rsid w:val="008E3AFB"/>
    <w:rsid w:val="008E450C"/>
    <w:rsid w:val="008E5B94"/>
    <w:rsid w:val="008E6AE6"/>
    <w:rsid w:val="008E7DBE"/>
    <w:rsid w:val="008F0116"/>
    <w:rsid w:val="008F01EB"/>
    <w:rsid w:val="008F143D"/>
    <w:rsid w:val="008F2FBB"/>
    <w:rsid w:val="00903F74"/>
    <w:rsid w:val="00906495"/>
    <w:rsid w:val="00932865"/>
    <w:rsid w:val="00945221"/>
    <w:rsid w:val="0098138E"/>
    <w:rsid w:val="0098655A"/>
    <w:rsid w:val="009909CD"/>
    <w:rsid w:val="00993629"/>
    <w:rsid w:val="009A6E36"/>
    <w:rsid w:val="009B7582"/>
    <w:rsid w:val="009C68F8"/>
    <w:rsid w:val="009E6052"/>
    <w:rsid w:val="009E7C7F"/>
    <w:rsid w:val="00A02B7F"/>
    <w:rsid w:val="00A02B93"/>
    <w:rsid w:val="00A063E2"/>
    <w:rsid w:val="00A114EF"/>
    <w:rsid w:val="00A17CE0"/>
    <w:rsid w:val="00A23D48"/>
    <w:rsid w:val="00A24834"/>
    <w:rsid w:val="00A42306"/>
    <w:rsid w:val="00A44E8D"/>
    <w:rsid w:val="00A46EA8"/>
    <w:rsid w:val="00A55ACD"/>
    <w:rsid w:val="00A71564"/>
    <w:rsid w:val="00A85D27"/>
    <w:rsid w:val="00A95F10"/>
    <w:rsid w:val="00AA5031"/>
    <w:rsid w:val="00AB7875"/>
    <w:rsid w:val="00AC0205"/>
    <w:rsid w:val="00AC68EE"/>
    <w:rsid w:val="00AF1708"/>
    <w:rsid w:val="00B01AA5"/>
    <w:rsid w:val="00B01F7E"/>
    <w:rsid w:val="00B05033"/>
    <w:rsid w:val="00B12268"/>
    <w:rsid w:val="00B14034"/>
    <w:rsid w:val="00B15014"/>
    <w:rsid w:val="00B16C2A"/>
    <w:rsid w:val="00B17DF3"/>
    <w:rsid w:val="00B3087D"/>
    <w:rsid w:val="00B33518"/>
    <w:rsid w:val="00B34794"/>
    <w:rsid w:val="00B36830"/>
    <w:rsid w:val="00B37CD5"/>
    <w:rsid w:val="00B46861"/>
    <w:rsid w:val="00B570DE"/>
    <w:rsid w:val="00B60421"/>
    <w:rsid w:val="00B70134"/>
    <w:rsid w:val="00B81EB6"/>
    <w:rsid w:val="00B91B7C"/>
    <w:rsid w:val="00BB0243"/>
    <w:rsid w:val="00BD471C"/>
    <w:rsid w:val="00C10B5F"/>
    <w:rsid w:val="00C11F18"/>
    <w:rsid w:val="00C1385A"/>
    <w:rsid w:val="00C82B4B"/>
    <w:rsid w:val="00C878D5"/>
    <w:rsid w:val="00C9033B"/>
    <w:rsid w:val="00C913A1"/>
    <w:rsid w:val="00CA4CF6"/>
    <w:rsid w:val="00CA52D2"/>
    <w:rsid w:val="00CB0A02"/>
    <w:rsid w:val="00CC42CE"/>
    <w:rsid w:val="00CC6A99"/>
    <w:rsid w:val="00CE556A"/>
    <w:rsid w:val="00CF5BE8"/>
    <w:rsid w:val="00D00AA3"/>
    <w:rsid w:val="00D02514"/>
    <w:rsid w:val="00D0504E"/>
    <w:rsid w:val="00D05C44"/>
    <w:rsid w:val="00D07F73"/>
    <w:rsid w:val="00D100DF"/>
    <w:rsid w:val="00D14844"/>
    <w:rsid w:val="00D2041C"/>
    <w:rsid w:val="00D25ADE"/>
    <w:rsid w:val="00D3277A"/>
    <w:rsid w:val="00D41282"/>
    <w:rsid w:val="00D43297"/>
    <w:rsid w:val="00D44DB6"/>
    <w:rsid w:val="00D50119"/>
    <w:rsid w:val="00D70A78"/>
    <w:rsid w:val="00D769BF"/>
    <w:rsid w:val="00D82A43"/>
    <w:rsid w:val="00D9512E"/>
    <w:rsid w:val="00DA7B5D"/>
    <w:rsid w:val="00DC0DF4"/>
    <w:rsid w:val="00DD09DF"/>
    <w:rsid w:val="00DF58E7"/>
    <w:rsid w:val="00E05AA6"/>
    <w:rsid w:val="00E11876"/>
    <w:rsid w:val="00E23CBB"/>
    <w:rsid w:val="00E35893"/>
    <w:rsid w:val="00E37B59"/>
    <w:rsid w:val="00E416F4"/>
    <w:rsid w:val="00E4220C"/>
    <w:rsid w:val="00E46A7F"/>
    <w:rsid w:val="00E47FF5"/>
    <w:rsid w:val="00E53438"/>
    <w:rsid w:val="00E56B8E"/>
    <w:rsid w:val="00E725FC"/>
    <w:rsid w:val="00E8313D"/>
    <w:rsid w:val="00E84A44"/>
    <w:rsid w:val="00E8594C"/>
    <w:rsid w:val="00EA29AC"/>
    <w:rsid w:val="00EA36C6"/>
    <w:rsid w:val="00EA522B"/>
    <w:rsid w:val="00EA5D4D"/>
    <w:rsid w:val="00EA774F"/>
    <w:rsid w:val="00EC30F9"/>
    <w:rsid w:val="00EC3941"/>
    <w:rsid w:val="00ED1EF1"/>
    <w:rsid w:val="00ED5725"/>
    <w:rsid w:val="00ED7031"/>
    <w:rsid w:val="00EE3060"/>
    <w:rsid w:val="00EE4315"/>
    <w:rsid w:val="00EF6925"/>
    <w:rsid w:val="00F0027E"/>
    <w:rsid w:val="00F10C66"/>
    <w:rsid w:val="00F12118"/>
    <w:rsid w:val="00F148BA"/>
    <w:rsid w:val="00F2114A"/>
    <w:rsid w:val="00F26ED3"/>
    <w:rsid w:val="00F62B7A"/>
    <w:rsid w:val="00F6397D"/>
    <w:rsid w:val="00F7293E"/>
    <w:rsid w:val="00F76650"/>
    <w:rsid w:val="00F900B1"/>
    <w:rsid w:val="00F9187B"/>
    <w:rsid w:val="00F92385"/>
    <w:rsid w:val="00FA1B4F"/>
    <w:rsid w:val="00FC1622"/>
    <w:rsid w:val="00FC47F9"/>
    <w:rsid w:val="00FD01C5"/>
    <w:rsid w:val="00FE2351"/>
    <w:rsid w:val="00FE337D"/>
    <w:rsid w:val="00FE5580"/>
    <w:rsid w:val="00FF110C"/>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808A6"/>
  <w15:chartTrackingRefBased/>
  <w15:docId w15:val="{E43AB5D1-EE55-4CB5-89A1-321D8E5C48D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standard0">
    <w:name w:val="standard"/>
    <w:basedOn w:val="Normal"/>
    <w:link w:val="standardChar"/>
    <w:rsid w:val="00E8594C"/>
    <w:rPr>
      <w:rFonts w:ascii="Palatino" w:eastAsia="Times New Roman" w:hAnsi="Palatino" w:cs="Times New Roman"/>
      <w:szCs w:val="20"/>
    </w:rPr>
  </w:style>
  <w:style w:type="paragraph" w:customStyle="1" w:styleId="num1">
    <w:name w:val="num1"/>
    <w:basedOn w:val="Normal"/>
    <w:rsid w:val="00E8594C"/>
    <w:pPr>
      <w:numPr>
        <w:numId w:val="20"/>
      </w:numPr>
      <w:tabs>
        <w:tab w:val="left" w:pos="-720"/>
      </w:tabs>
      <w:suppressAutoHyphens/>
      <w:ind w:firstLine="360"/>
    </w:pPr>
    <w:rPr>
      <w:rFonts w:ascii="Palatino" w:eastAsia="Times New Roman" w:hAnsi="Palatino" w:cs="Times New Roman"/>
      <w:szCs w:val="20"/>
    </w:rPr>
  </w:style>
  <w:style w:type="character" w:customStyle="1" w:styleId="standardChar">
    <w:name w:val="standard Char"/>
    <w:link w:val="standard0"/>
    <w:rsid w:val="00E8594C"/>
    <w:rPr>
      <w:rFonts w:ascii="Palatino" w:eastAsia="Times New Roman" w:hAnsi="Palatino" w:cs="Times New Roman"/>
      <w:sz w:val="26"/>
      <w:szCs w:val="20"/>
    </w:rPr>
  </w:style>
  <w:style w:type="paragraph" w:styleId="Revision">
    <w:name w:val="Revision"/>
    <w:hidden/>
    <w:uiPriority w:val="99"/>
    <w:semiHidden/>
    <w:rsid w:val="000737A2"/>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0018">
      <w:bodyDiv w:val="1"/>
      <w:marLeft w:val="0"/>
      <w:marRight w:val="0"/>
      <w:marTop w:val="0"/>
      <w:marBottom w:val="0"/>
      <w:divBdr>
        <w:top w:val="none" w:sz="0" w:space="0" w:color="auto"/>
        <w:left w:val="none" w:sz="0" w:space="0" w:color="auto"/>
        <w:bottom w:val="none" w:sz="0" w:space="0" w:color="auto"/>
        <w:right w:val="none" w:sz="0" w:space="0" w:color="auto"/>
      </w:divBdr>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199822841">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361130242">
      <w:bodyDiv w:val="1"/>
      <w:marLeft w:val="0"/>
      <w:marRight w:val="0"/>
      <w:marTop w:val="0"/>
      <w:marBottom w:val="0"/>
      <w:divBdr>
        <w:top w:val="none" w:sz="0" w:space="0" w:color="auto"/>
        <w:left w:val="none" w:sz="0" w:space="0" w:color="auto"/>
        <w:bottom w:val="none" w:sz="0" w:space="0" w:color="auto"/>
        <w:right w:val="none" w:sz="0" w:space="0" w:color="auto"/>
      </w:divBdr>
    </w:div>
    <w:div w:id="393160612">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849174531">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24931009">
      <w:bodyDiv w:val="1"/>
      <w:marLeft w:val="0"/>
      <w:marRight w:val="0"/>
      <w:marTop w:val="0"/>
      <w:marBottom w:val="0"/>
      <w:divBdr>
        <w:top w:val="none" w:sz="0" w:space="0" w:color="auto"/>
        <w:left w:val="none" w:sz="0" w:space="0" w:color="auto"/>
        <w:bottom w:val="none" w:sz="0" w:space="0" w:color="auto"/>
        <w:right w:val="none" w:sz="0" w:space="0" w:color="auto"/>
      </w:divBdr>
    </w:div>
    <w:div w:id="1820804442">
      <w:bodyDiv w:val="1"/>
      <w:marLeft w:val="0"/>
      <w:marRight w:val="0"/>
      <w:marTop w:val="0"/>
      <w:marBottom w:val="0"/>
      <w:divBdr>
        <w:top w:val="none" w:sz="0" w:space="0" w:color="auto"/>
        <w:left w:val="none" w:sz="0" w:space="0" w:color="auto"/>
        <w:bottom w:val="none" w:sz="0" w:space="0" w:color="auto"/>
        <w:right w:val="none" w:sz="0" w:space="0" w:color="auto"/>
      </w:divBdr>
    </w:div>
    <w:div w:id="189230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9EE42826-C640-46EA-8DE6-7521634A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745</ap:Words>
  <ap:Characters>4248</ap:Characters>
  <ap:Application>Microsoft Office Word</ap:Application>
  <ap:DocSecurity>0</ap:DocSecurity>
  <ap:Lines>35</ap:Lines>
  <ap:Paragraphs>9</ap:Paragraphs>
  <ap:ScaleCrop>false</ap:ScaleCrop>
  <ap:HeadingPairs>
    <vt:vector baseType="variant" size="2">
      <vt:variant>
        <vt:lpstr>Title</vt:lpstr>
      </vt:variant>
      <vt:variant>
        <vt:i4>1</vt:i4>
      </vt:variant>
    </vt:vector>
  </ap:HeadingPairs>
  <ap:TitlesOfParts>
    <vt:vector baseType="lpstr" size="1">
      <vt:lpstr>C2302003 J. Lee OESD 10-09 Agenda (NON)</vt:lpstr>
    </vt:vector>
  </ap:TitlesOfParts>
  <ap:Company/>
  <ap:LinksUpToDate>false</ap:LinksUpToDate>
  <ap:CharactersWithSpaces>4984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2025-10-17T12:57:42Z</dcterms:created>
  <dcterms:modified xsi:type="dcterms:W3CDTF">2025-10-17T12:57:42Z</dcterms:modified>
</cp:coreProperties>
</file>