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Layout w:type="fixed"/>
        <w:tblLook w:val="0000" w:firstRow="0" w:lastRow="0" w:firstColumn="0" w:lastColumn="0" w:noHBand="0" w:noVBand="0"/>
      </w:tblPr>
      <w:tblGrid>
        <w:gridCol w:w="4425"/>
        <w:gridCol w:w="5133"/>
      </w:tblGrid>
      <w:tr w:rsidRPr="00615D58" w:rsidR="005918EE" w:rsidTr="4277C904" w14:paraId="38BB642F" w14:textId="77777777">
        <w:trPr>
          <w:trHeight w:val="280" w:hRule="exact"/>
        </w:trPr>
        <w:tc>
          <w:tcPr>
            <w:tcW w:w="4425" w:type="dxa"/>
          </w:tcPr>
          <w:p w:rsidRPr="00615D58" w:rsidR="005918EE" w:rsidP="003E710C" w:rsidRDefault="005918EE" w14:paraId="27D4B0A7" w14:textId="77777777">
            <w:pPr>
              <w:rPr>
                <w:sz w:val="26"/>
                <w:szCs w:val="26"/>
              </w:rPr>
            </w:pPr>
            <w:r w:rsidRPr="00615D58">
              <w:rPr>
                <w:b/>
                <w:sz w:val="26"/>
                <w:szCs w:val="26"/>
              </w:rPr>
              <w:t>State of California</w:t>
            </w:r>
          </w:p>
        </w:tc>
        <w:tc>
          <w:tcPr>
            <w:tcW w:w="5133" w:type="dxa"/>
          </w:tcPr>
          <w:p w:rsidRPr="00615D58" w:rsidR="005918EE" w:rsidP="003E710C" w:rsidRDefault="005918EE" w14:paraId="2589C62C" w14:textId="77777777">
            <w:pPr>
              <w:jc w:val="right"/>
              <w:rPr>
                <w:b/>
                <w:sz w:val="26"/>
                <w:szCs w:val="26"/>
              </w:rPr>
            </w:pPr>
            <w:r w:rsidRPr="00615D58">
              <w:rPr>
                <w:b/>
                <w:sz w:val="26"/>
                <w:szCs w:val="26"/>
              </w:rPr>
              <w:t>Public Utilities Commission</w:t>
            </w:r>
          </w:p>
          <w:p w:rsidRPr="00615D58" w:rsidR="005918EE" w:rsidP="003E710C" w:rsidRDefault="005918EE" w14:paraId="31843A40" w14:textId="77777777">
            <w:pPr>
              <w:rPr>
                <w:sz w:val="26"/>
                <w:szCs w:val="26"/>
              </w:rPr>
            </w:pPr>
          </w:p>
        </w:tc>
      </w:tr>
      <w:tr w:rsidRPr="00615D58" w:rsidR="005918EE" w:rsidTr="4277C904" w14:paraId="7FBD1778" w14:textId="77777777">
        <w:tc>
          <w:tcPr>
            <w:tcW w:w="4425" w:type="dxa"/>
          </w:tcPr>
          <w:p w:rsidRPr="00615D58" w:rsidR="005918EE" w:rsidP="003E710C" w:rsidRDefault="005918EE" w14:paraId="07FF2061" w14:textId="77777777">
            <w:pPr>
              <w:rPr>
                <w:sz w:val="26"/>
                <w:szCs w:val="26"/>
              </w:rPr>
            </w:pPr>
          </w:p>
        </w:tc>
        <w:tc>
          <w:tcPr>
            <w:tcW w:w="5133" w:type="dxa"/>
          </w:tcPr>
          <w:p w:rsidRPr="00615D58" w:rsidR="005918EE" w:rsidP="003E710C" w:rsidRDefault="005918EE" w14:paraId="6189D4FF" w14:textId="77777777">
            <w:pPr>
              <w:jc w:val="right"/>
              <w:rPr>
                <w:sz w:val="26"/>
                <w:szCs w:val="26"/>
              </w:rPr>
            </w:pPr>
            <w:r w:rsidRPr="00615D58">
              <w:rPr>
                <w:b/>
                <w:sz w:val="26"/>
                <w:szCs w:val="26"/>
              </w:rPr>
              <w:t>San Francisco</w:t>
            </w:r>
          </w:p>
        </w:tc>
      </w:tr>
      <w:tr w:rsidRPr="00615D58" w:rsidR="005918EE" w:rsidTr="4277C904" w14:paraId="295E39D6" w14:textId="77777777">
        <w:tc>
          <w:tcPr>
            <w:tcW w:w="4425" w:type="dxa"/>
          </w:tcPr>
          <w:p w:rsidRPr="00615D58" w:rsidR="005918EE" w:rsidP="003E710C" w:rsidRDefault="005918EE" w14:paraId="143A58D2" w14:textId="77777777">
            <w:pPr>
              <w:rPr>
                <w:sz w:val="26"/>
                <w:szCs w:val="26"/>
              </w:rPr>
            </w:pPr>
          </w:p>
        </w:tc>
        <w:tc>
          <w:tcPr>
            <w:tcW w:w="5133" w:type="dxa"/>
          </w:tcPr>
          <w:p w:rsidRPr="00615D58" w:rsidR="005918EE" w:rsidP="003E710C" w:rsidRDefault="005918EE" w14:paraId="1D6E3E71" w14:textId="77777777">
            <w:pPr>
              <w:rPr>
                <w:sz w:val="26"/>
                <w:szCs w:val="26"/>
              </w:rPr>
            </w:pPr>
          </w:p>
        </w:tc>
      </w:tr>
      <w:tr w:rsidRPr="008A3727" w:rsidR="005918EE" w:rsidTr="4277C904" w14:paraId="69CEDD13" w14:textId="77777777">
        <w:tc>
          <w:tcPr>
            <w:tcW w:w="4425" w:type="dxa"/>
          </w:tcPr>
          <w:p w:rsidRPr="00D937EC" w:rsidR="005918EE" w:rsidP="003E710C" w:rsidRDefault="005918EE" w14:paraId="1EDD96D8" w14:textId="77777777">
            <w:pPr>
              <w:rPr>
                <w:sz w:val="26"/>
                <w:szCs w:val="26"/>
                <w:lang w:val="es-ES"/>
              </w:rPr>
            </w:pPr>
            <w:r w:rsidRPr="00D937EC">
              <w:rPr>
                <w:b/>
                <w:sz w:val="26"/>
                <w:szCs w:val="26"/>
                <w:lang w:val="es-ES"/>
              </w:rPr>
              <w:t>M E M O R A N D U M</w:t>
            </w:r>
          </w:p>
        </w:tc>
        <w:tc>
          <w:tcPr>
            <w:tcW w:w="5133" w:type="dxa"/>
          </w:tcPr>
          <w:p w:rsidRPr="00D937EC" w:rsidR="005918EE" w:rsidP="003E710C" w:rsidRDefault="005918EE" w14:paraId="35F0969D" w14:textId="77777777">
            <w:pPr>
              <w:jc w:val="center"/>
              <w:rPr>
                <w:sz w:val="26"/>
                <w:szCs w:val="26"/>
                <w:u w:val="single"/>
                <w:lang w:val="es-ES"/>
              </w:rPr>
            </w:pPr>
          </w:p>
        </w:tc>
      </w:tr>
      <w:tr w:rsidRPr="008A3727" w:rsidR="005918EE" w:rsidTr="4277C904" w14:paraId="68CF111B" w14:textId="77777777">
        <w:tc>
          <w:tcPr>
            <w:tcW w:w="4425" w:type="dxa"/>
          </w:tcPr>
          <w:p w:rsidRPr="00D937EC" w:rsidR="005918EE" w:rsidP="003E710C" w:rsidRDefault="005918EE" w14:paraId="40040C27" w14:textId="77777777">
            <w:pPr>
              <w:rPr>
                <w:sz w:val="26"/>
                <w:szCs w:val="26"/>
                <w:lang w:val="es-ES"/>
              </w:rPr>
            </w:pPr>
          </w:p>
        </w:tc>
        <w:tc>
          <w:tcPr>
            <w:tcW w:w="5133" w:type="dxa"/>
          </w:tcPr>
          <w:p w:rsidRPr="00D937EC" w:rsidR="005918EE" w:rsidP="003E710C" w:rsidRDefault="005918EE" w14:paraId="7652FD5F" w14:textId="77777777">
            <w:pPr>
              <w:jc w:val="right"/>
              <w:rPr>
                <w:sz w:val="26"/>
                <w:szCs w:val="26"/>
                <w:lang w:val="es-ES"/>
              </w:rPr>
            </w:pPr>
          </w:p>
        </w:tc>
      </w:tr>
    </w:tbl>
    <w:p w:rsidRPr="00D937EC" w:rsidR="005918EE" w:rsidP="005918EE" w:rsidRDefault="005918EE" w14:paraId="6AD032B7" w14:textId="77777777">
      <w:pPr>
        <w:tabs>
          <w:tab w:val="left" w:pos="900"/>
          <w:tab w:val="left" w:pos="1440"/>
        </w:tabs>
        <w:rPr>
          <w:b/>
          <w:sz w:val="26"/>
          <w:szCs w:val="26"/>
          <w:lang w:val="es-ES"/>
        </w:rPr>
      </w:pPr>
    </w:p>
    <w:p w:rsidRPr="008A3727" w:rsidR="005918EE" w:rsidP="4277C904" w:rsidRDefault="005918EE" w14:paraId="568AC890" w14:textId="03221C56">
      <w:pPr>
        <w:tabs>
          <w:tab w:val="left" w:pos="900"/>
          <w:tab w:val="left" w:pos="1440"/>
        </w:tabs>
        <w:rPr>
          <w:b/>
          <w:bCs/>
          <w:sz w:val="26"/>
          <w:szCs w:val="26"/>
        </w:rPr>
      </w:pPr>
      <w:r w:rsidRPr="4277C904">
        <w:rPr>
          <w:b/>
          <w:bCs/>
          <w:sz w:val="26"/>
          <w:szCs w:val="26"/>
        </w:rPr>
        <w:t>Date:</w:t>
      </w:r>
      <w:r>
        <w:tab/>
      </w:r>
      <w:r w:rsidR="000B285F">
        <w:tab/>
      </w:r>
      <w:r w:rsidRPr="008A3727" w:rsidR="008A3727">
        <w:rPr>
          <w:b/>
          <w:bCs/>
          <w:sz w:val="26"/>
          <w:szCs w:val="26"/>
        </w:rPr>
        <w:t>October 20, 2025</w:t>
      </w:r>
    </w:p>
    <w:p w:rsidRPr="00615D58" w:rsidR="005918EE" w:rsidP="005918EE" w:rsidRDefault="005918EE" w14:paraId="253D1F5F" w14:textId="77777777">
      <w:pPr>
        <w:tabs>
          <w:tab w:val="left" w:pos="900"/>
          <w:tab w:val="left" w:pos="1440"/>
        </w:tabs>
        <w:rPr>
          <w:b/>
          <w:sz w:val="26"/>
          <w:szCs w:val="26"/>
        </w:rPr>
      </w:pPr>
    </w:p>
    <w:p w:rsidRPr="00D413B4" w:rsidR="007F342E" w:rsidP="007F342E" w:rsidRDefault="005918EE" w14:paraId="72A0D390" w14:textId="6E8656D9">
      <w:pPr>
        <w:tabs>
          <w:tab w:val="left" w:pos="900"/>
          <w:tab w:val="left" w:pos="1440"/>
        </w:tabs>
        <w:rPr>
          <w:b/>
          <w:sz w:val="26"/>
          <w:szCs w:val="26"/>
        </w:rPr>
      </w:pPr>
      <w:r w:rsidRPr="4277C904">
        <w:rPr>
          <w:b/>
          <w:bCs/>
          <w:sz w:val="26"/>
          <w:szCs w:val="26"/>
        </w:rPr>
        <w:t>To:</w:t>
      </w:r>
      <w:r>
        <w:tab/>
      </w:r>
      <w:r w:rsidR="001E4738">
        <w:tab/>
      </w:r>
      <w:r w:rsidRPr="00D413B4" w:rsidR="007F342E">
        <w:rPr>
          <w:b/>
          <w:sz w:val="26"/>
          <w:szCs w:val="26"/>
        </w:rPr>
        <w:t>President Alice Reynolds</w:t>
      </w:r>
    </w:p>
    <w:p w:rsidRPr="00D413B4" w:rsidR="007F342E" w:rsidP="001E4738" w:rsidRDefault="007F342E" w14:paraId="1EE138E5" w14:textId="27D01194">
      <w:pPr>
        <w:tabs>
          <w:tab w:val="left" w:pos="900"/>
          <w:tab w:val="left" w:pos="1440"/>
        </w:tabs>
        <w:ind w:left="900"/>
        <w:rPr>
          <w:b/>
          <w:sz w:val="26"/>
          <w:szCs w:val="26"/>
        </w:rPr>
      </w:pPr>
      <w:r w:rsidRPr="00D413B4">
        <w:rPr>
          <w:b/>
          <w:sz w:val="26"/>
          <w:szCs w:val="26"/>
        </w:rPr>
        <w:tab/>
        <w:t>Commissioner Darcie Houck</w:t>
      </w:r>
    </w:p>
    <w:p w:rsidRPr="00D413B4" w:rsidR="007F342E" w:rsidP="001E4738" w:rsidRDefault="007F342E" w14:paraId="41506D27" w14:textId="743F34AD">
      <w:pPr>
        <w:tabs>
          <w:tab w:val="left" w:pos="900"/>
          <w:tab w:val="left" w:pos="1440"/>
        </w:tabs>
        <w:ind w:left="900"/>
        <w:rPr>
          <w:b/>
          <w:sz w:val="26"/>
          <w:szCs w:val="26"/>
        </w:rPr>
      </w:pPr>
      <w:r w:rsidRPr="00D413B4">
        <w:rPr>
          <w:b/>
          <w:sz w:val="26"/>
          <w:szCs w:val="26"/>
        </w:rPr>
        <w:tab/>
        <w:t>Commissioner John Reynolds</w:t>
      </w:r>
    </w:p>
    <w:p w:rsidRPr="00D413B4" w:rsidR="007F342E" w:rsidP="001E4738" w:rsidRDefault="007F342E" w14:paraId="45784157" w14:textId="23AE4BD5">
      <w:pPr>
        <w:tabs>
          <w:tab w:val="left" w:pos="900"/>
          <w:tab w:val="left" w:pos="1440"/>
        </w:tabs>
        <w:ind w:left="900"/>
        <w:rPr>
          <w:b/>
          <w:sz w:val="26"/>
          <w:szCs w:val="26"/>
        </w:rPr>
      </w:pPr>
      <w:r w:rsidRPr="00D413B4">
        <w:rPr>
          <w:b/>
          <w:sz w:val="26"/>
          <w:szCs w:val="26"/>
        </w:rPr>
        <w:tab/>
        <w:t>Commissioner Karen Douglas</w:t>
      </w:r>
    </w:p>
    <w:p w:rsidRPr="00D413B4" w:rsidR="007F342E" w:rsidP="001E4738" w:rsidRDefault="007F342E" w14:paraId="03D71E81" w14:textId="709FE798">
      <w:pPr>
        <w:tabs>
          <w:tab w:val="left" w:pos="900"/>
          <w:tab w:val="left" w:pos="1440"/>
        </w:tabs>
        <w:ind w:left="900"/>
        <w:rPr>
          <w:b/>
          <w:sz w:val="26"/>
          <w:szCs w:val="26"/>
        </w:rPr>
      </w:pPr>
      <w:r w:rsidRPr="00D413B4">
        <w:rPr>
          <w:b/>
          <w:sz w:val="26"/>
          <w:szCs w:val="26"/>
        </w:rPr>
        <w:tab/>
        <w:t>Commissioner Matt Baker</w:t>
      </w:r>
    </w:p>
    <w:p w:rsidRPr="00D413B4" w:rsidR="007F342E" w:rsidP="001E4738" w:rsidRDefault="007F342E" w14:paraId="316F8E15" w14:textId="52AE283A">
      <w:pPr>
        <w:tabs>
          <w:tab w:val="left" w:pos="900"/>
          <w:tab w:val="left" w:pos="1440"/>
        </w:tabs>
        <w:ind w:left="900"/>
        <w:rPr>
          <w:b/>
          <w:bCs/>
          <w:sz w:val="26"/>
          <w:szCs w:val="26"/>
        </w:rPr>
      </w:pPr>
      <w:r>
        <w:rPr>
          <w:b/>
          <w:sz w:val="26"/>
        </w:rPr>
        <w:tab/>
      </w:r>
      <w:r w:rsidRPr="00D413B4">
        <w:rPr>
          <w:b/>
          <w:bCs/>
          <w:sz w:val="26"/>
          <w:szCs w:val="26"/>
        </w:rPr>
        <w:t>(</w:t>
      </w:r>
      <w:r w:rsidR="00ED45B3">
        <w:rPr>
          <w:b/>
          <w:bCs/>
          <w:sz w:val="26"/>
          <w:szCs w:val="26"/>
        </w:rPr>
        <w:t>October 30, 2025</w:t>
      </w:r>
      <w:r w:rsidR="005E56F2">
        <w:rPr>
          <w:b/>
          <w:bCs/>
          <w:sz w:val="26"/>
          <w:szCs w:val="26"/>
        </w:rPr>
        <w:t xml:space="preserve"> Meeting</w:t>
      </w:r>
      <w:r w:rsidRPr="00D413B4">
        <w:rPr>
          <w:b/>
          <w:bCs/>
          <w:sz w:val="26"/>
          <w:szCs w:val="26"/>
        </w:rPr>
        <w:t>)</w:t>
      </w:r>
    </w:p>
    <w:p w:rsidRPr="00D413B4" w:rsidR="007F342E" w:rsidP="007F342E" w:rsidRDefault="007F342E" w14:paraId="1FAA8F8D" w14:textId="77777777">
      <w:pPr>
        <w:tabs>
          <w:tab w:val="left" w:pos="900"/>
          <w:tab w:val="left" w:pos="1440"/>
        </w:tabs>
        <w:rPr>
          <w:b/>
          <w:sz w:val="26"/>
          <w:szCs w:val="26"/>
        </w:rPr>
      </w:pPr>
    </w:p>
    <w:p w:rsidRPr="00B70860" w:rsidR="00263D83" w:rsidP="000B285F" w:rsidRDefault="005918EE" w14:paraId="4306F195" w14:textId="53628750">
      <w:pPr>
        <w:tabs>
          <w:tab w:val="left" w:pos="900"/>
          <w:tab w:val="left" w:pos="1440"/>
        </w:tabs>
      </w:pPr>
      <w:r w:rsidRPr="4277C904">
        <w:rPr>
          <w:b/>
          <w:bCs/>
          <w:sz w:val="26"/>
          <w:szCs w:val="26"/>
        </w:rPr>
        <w:t>From:</w:t>
      </w:r>
      <w:r>
        <w:tab/>
      </w:r>
      <w:r w:rsidR="001E4738">
        <w:t xml:space="preserve"> </w:t>
      </w:r>
      <w:r w:rsidR="001E4738">
        <w:tab/>
      </w:r>
      <w:r w:rsidR="00FB64A1">
        <w:rPr>
          <w:b/>
          <w:bCs/>
          <w:sz w:val="26"/>
          <w:szCs w:val="26"/>
        </w:rPr>
        <w:t>Hien Vo Winter</w:t>
      </w:r>
      <w:r w:rsidRPr="00F81829" w:rsidR="00263D83">
        <w:rPr>
          <w:b/>
          <w:bCs/>
          <w:sz w:val="26"/>
          <w:szCs w:val="26"/>
        </w:rPr>
        <w:t>, Legal Division</w:t>
      </w:r>
    </w:p>
    <w:p w:rsidRPr="00615D58" w:rsidR="00014D2D" w:rsidP="00D937EC" w:rsidRDefault="00D937EC" w14:paraId="4289D8F5" w14:textId="05EDF17E">
      <w:pPr>
        <w:tabs>
          <w:tab w:val="left" w:pos="900"/>
          <w:tab w:val="left" w:pos="1440"/>
        </w:tabs>
        <w:rPr>
          <w:b/>
          <w:sz w:val="26"/>
          <w:szCs w:val="26"/>
        </w:rPr>
      </w:pPr>
      <w:r>
        <w:rPr>
          <w:b/>
          <w:sz w:val="26"/>
          <w:szCs w:val="26"/>
        </w:rPr>
        <w:tab/>
      </w:r>
      <w:r w:rsidR="001E4738">
        <w:rPr>
          <w:b/>
          <w:sz w:val="26"/>
          <w:szCs w:val="26"/>
        </w:rPr>
        <w:tab/>
      </w:r>
      <w:r w:rsidR="00014D2D">
        <w:rPr>
          <w:b/>
          <w:sz w:val="26"/>
          <w:szCs w:val="26"/>
        </w:rPr>
        <w:t>Cole Przybyla, Communications Division</w:t>
      </w:r>
    </w:p>
    <w:p w:rsidR="00D937EC" w:rsidP="4277C904" w:rsidRDefault="00D937EC" w14:paraId="464F1510" w14:textId="77777777">
      <w:pPr>
        <w:tabs>
          <w:tab w:val="left" w:pos="1440"/>
        </w:tabs>
        <w:ind w:left="1440" w:hanging="1440"/>
        <w:rPr>
          <w:b/>
          <w:bCs/>
          <w:sz w:val="26"/>
          <w:szCs w:val="26"/>
        </w:rPr>
      </w:pPr>
    </w:p>
    <w:p w:rsidRPr="00A375EC" w:rsidR="00A300BC" w:rsidP="00FB64A1" w:rsidRDefault="005918EE" w14:paraId="48357A40" w14:textId="04360018">
      <w:pPr>
        <w:tabs>
          <w:tab w:val="left" w:pos="1440"/>
          <w:tab w:val="left" w:pos="1530"/>
        </w:tabs>
        <w:ind w:left="1440" w:hanging="1440"/>
        <w:rPr>
          <w:b/>
          <w:bCs/>
          <w:i/>
          <w:iCs/>
          <w:sz w:val="26"/>
          <w:szCs w:val="26"/>
        </w:rPr>
      </w:pPr>
      <w:r w:rsidRPr="4277C904">
        <w:rPr>
          <w:b/>
          <w:bCs/>
          <w:sz w:val="26"/>
          <w:szCs w:val="26"/>
        </w:rPr>
        <w:t>Subject</w:t>
      </w:r>
      <w:r w:rsidRPr="4277C904" w:rsidR="00ED45B3">
        <w:rPr>
          <w:b/>
          <w:bCs/>
          <w:sz w:val="26"/>
          <w:szCs w:val="26"/>
        </w:rPr>
        <w:t xml:space="preserve">: </w:t>
      </w:r>
      <w:r w:rsidR="00ED45B3">
        <w:rPr>
          <w:b/>
          <w:bCs/>
          <w:sz w:val="26"/>
          <w:szCs w:val="26"/>
        </w:rPr>
        <w:tab/>
        <w:t>Fi</w:t>
      </w:r>
      <w:r w:rsidR="00F27D4E">
        <w:rPr>
          <w:b/>
          <w:bCs/>
          <w:sz w:val="26"/>
          <w:szCs w:val="26"/>
        </w:rPr>
        <w:t>l</w:t>
      </w:r>
      <w:r w:rsidR="00ED45B3">
        <w:rPr>
          <w:b/>
          <w:bCs/>
          <w:sz w:val="26"/>
          <w:szCs w:val="26"/>
        </w:rPr>
        <w:t>ing</w:t>
      </w:r>
      <w:r w:rsidR="0051350F">
        <w:rPr>
          <w:b/>
          <w:bCs/>
          <w:sz w:val="26"/>
          <w:szCs w:val="26"/>
        </w:rPr>
        <w:t xml:space="preserve"> Comments on</w:t>
      </w:r>
      <w:r w:rsidR="00EA1F37">
        <w:rPr>
          <w:b/>
          <w:bCs/>
          <w:sz w:val="26"/>
          <w:szCs w:val="26"/>
        </w:rPr>
        <w:t xml:space="preserve"> Federal Communications Commission</w:t>
      </w:r>
      <w:r w:rsidR="0051350F">
        <w:rPr>
          <w:b/>
          <w:bCs/>
          <w:sz w:val="26"/>
          <w:szCs w:val="26"/>
        </w:rPr>
        <w:t xml:space="preserve"> </w:t>
      </w:r>
      <w:r w:rsidRPr="00207B9F" w:rsidR="0051350F">
        <w:rPr>
          <w:b/>
          <w:bCs/>
          <w:sz w:val="26"/>
          <w:szCs w:val="26"/>
        </w:rPr>
        <w:t xml:space="preserve">Notice of </w:t>
      </w:r>
      <w:r w:rsidRPr="00207B9F" w:rsidR="00DC6FEA">
        <w:rPr>
          <w:b/>
          <w:bCs/>
          <w:sz w:val="26"/>
          <w:szCs w:val="26"/>
        </w:rPr>
        <w:t>Proposed Rulemaking</w:t>
      </w:r>
      <w:r w:rsidRPr="00EA1F37" w:rsidR="00EA1F37">
        <w:rPr>
          <w:b/>
          <w:bCs/>
          <w:sz w:val="26"/>
          <w:szCs w:val="26"/>
        </w:rPr>
        <w:t>, In the Matter of Build America: Eliminating Barriers to Wireless Deployments</w:t>
      </w:r>
      <w:r w:rsidR="00EA1F37">
        <w:rPr>
          <w:b/>
          <w:bCs/>
          <w:sz w:val="26"/>
          <w:szCs w:val="26"/>
        </w:rPr>
        <w:t xml:space="preserve"> </w:t>
      </w:r>
      <w:r w:rsidR="00A132F3">
        <w:rPr>
          <w:b/>
          <w:bCs/>
          <w:sz w:val="26"/>
          <w:szCs w:val="26"/>
        </w:rPr>
        <w:t>(</w:t>
      </w:r>
      <w:r w:rsidR="0051350F">
        <w:rPr>
          <w:b/>
          <w:bCs/>
          <w:sz w:val="26"/>
          <w:szCs w:val="26"/>
        </w:rPr>
        <w:t>W</w:t>
      </w:r>
      <w:r w:rsidR="00DC6FEA">
        <w:rPr>
          <w:b/>
          <w:bCs/>
          <w:sz w:val="26"/>
          <w:szCs w:val="26"/>
        </w:rPr>
        <w:t>T</w:t>
      </w:r>
      <w:r w:rsidR="0051350F">
        <w:rPr>
          <w:b/>
          <w:bCs/>
          <w:sz w:val="26"/>
          <w:szCs w:val="26"/>
        </w:rPr>
        <w:t xml:space="preserve"> Docket No. 25-2</w:t>
      </w:r>
      <w:r w:rsidR="00DC6FEA">
        <w:rPr>
          <w:b/>
          <w:bCs/>
          <w:sz w:val="26"/>
          <w:szCs w:val="26"/>
        </w:rPr>
        <w:t>76</w:t>
      </w:r>
      <w:r w:rsidR="00A132F3">
        <w:rPr>
          <w:b/>
          <w:bCs/>
          <w:sz w:val="26"/>
          <w:szCs w:val="26"/>
        </w:rPr>
        <w:t>)</w:t>
      </w:r>
      <w:r w:rsidR="0051350F">
        <w:rPr>
          <w:b/>
          <w:bCs/>
          <w:sz w:val="26"/>
          <w:szCs w:val="26"/>
        </w:rPr>
        <w:t xml:space="preserve"> </w:t>
      </w:r>
    </w:p>
    <w:p w:rsidR="005918EE" w:rsidP="005918EE" w:rsidRDefault="005918EE" w14:paraId="7B8A69D3" w14:textId="77777777">
      <w:pPr>
        <w:pStyle w:val="BodyText"/>
        <w:spacing w:after="0"/>
        <w:rPr>
          <w:b/>
          <w:szCs w:val="26"/>
          <w:u w:val="single"/>
        </w:rPr>
      </w:pPr>
    </w:p>
    <w:p w:rsidRPr="00615D58" w:rsidR="004965B5" w:rsidP="005918EE" w:rsidRDefault="004965B5" w14:paraId="34527DDB" w14:textId="77777777">
      <w:pPr>
        <w:pStyle w:val="BodyText"/>
        <w:spacing w:after="0"/>
        <w:rPr>
          <w:b/>
          <w:szCs w:val="26"/>
          <w:u w:val="single"/>
        </w:rPr>
      </w:pPr>
    </w:p>
    <w:p w:rsidR="00DA69A0" w:rsidP="00E40D90" w:rsidRDefault="005918EE" w14:paraId="2BA6B296" w14:textId="1D5378AC">
      <w:pPr>
        <w:rPr>
          <w:b/>
          <w:sz w:val="26"/>
          <w:szCs w:val="26"/>
        </w:rPr>
      </w:pPr>
      <w:r w:rsidRPr="00615D58">
        <w:rPr>
          <w:b/>
          <w:sz w:val="26"/>
          <w:szCs w:val="26"/>
          <w:u w:val="single"/>
        </w:rPr>
        <w:t>RECOMMENDATION</w:t>
      </w:r>
      <w:r>
        <w:rPr>
          <w:b/>
          <w:sz w:val="26"/>
          <w:szCs w:val="26"/>
        </w:rPr>
        <w:t>:</w:t>
      </w:r>
    </w:p>
    <w:p w:rsidR="00DA69A0" w:rsidP="00E40D90" w:rsidRDefault="00DA69A0" w14:paraId="5A1D5B46" w14:textId="77777777">
      <w:pPr>
        <w:rPr>
          <w:b/>
          <w:sz w:val="26"/>
          <w:szCs w:val="26"/>
        </w:rPr>
      </w:pPr>
    </w:p>
    <w:p w:rsidR="002E320C" w:rsidP="00E40D90" w:rsidRDefault="0051350F" w14:paraId="79DCD2B4" w14:textId="1E025F1A">
      <w:pPr>
        <w:rPr>
          <w:bCs/>
          <w:sz w:val="26"/>
          <w:szCs w:val="26"/>
        </w:rPr>
      </w:pPr>
      <w:r>
        <w:rPr>
          <w:bCs/>
          <w:sz w:val="26"/>
          <w:szCs w:val="26"/>
        </w:rPr>
        <w:t xml:space="preserve">CPUC </w:t>
      </w:r>
      <w:r w:rsidR="00FE47B8">
        <w:rPr>
          <w:bCs/>
          <w:sz w:val="26"/>
          <w:szCs w:val="26"/>
        </w:rPr>
        <w:t xml:space="preserve">Staff </w:t>
      </w:r>
      <w:r w:rsidR="00584909">
        <w:rPr>
          <w:bCs/>
          <w:sz w:val="26"/>
          <w:szCs w:val="26"/>
        </w:rPr>
        <w:t>requests authority to file</w:t>
      </w:r>
      <w:r>
        <w:rPr>
          <w:bCs/>
          <w:sz w:val="26"/>
          <w:szCs w:val="26"/>
        </w:rPr>
        <w:t xml:space="preserve"> comments on the Federal Communications Commission’s (FCC)</w:t>
      </w:r>
      <w:r w:rsidR="00AB3481">
        <w:rPr>
          <w:bCs/>
          <w:sz w:val="26"/>
          <w:szCs w:val="26"/>
        </w:rPr>
        <w:t xml:space="preserve"> </w:t>
      </w:r>
      <w:r w:rsidRPr="00973421">
        <w:rPr>
          <w:bCs/>
          <w:i/>
          <w:iCs/>
          <w:sz w:val="26"/>
          <w:szCs w:val="26"/>
        </w:rPr>
        <w:t xml:space="preserve">Notice of </w:t>
      </w:r>
      <w:r w:rsidRPr="00973421" w:rsidR="00AB3481">
        <w:rPr>
          <w:bCs/>
          <w:i/>
          <w:iCs/>
          <w:sz w:val="26"/>
          <w:szCs w:val="26"/>
        </w:rPr>
        <w:t>Proposed Rulemaking</w:t>
      </w:r>
      <w:r w:rsidRPr="00973421" w:rsidR="00CD0950">
        <w:rPr>
          <w:bCs/>
          <w:i/>
          <w:iCs/>
          <w:sz w:val="26"/>
          <w:szCs w:val="26"/>
        </w:rPr>
        <w:t xml:space="preserve">, In </w:t>
      </w:r>
      <w:r w:rsidRPr="00207B9F" w:rsidR="00CD0950">
        <w:rPr>
          <w:bCs/>
          <w:i/>
          <w:iCs/>
          <w:sz w:val="26"/>
          <w:szCs w:val="26"/>
        </w:rPr>
        <w:t>re Build America: Eliminating Barriers to Wireless Deployment</w:t>
      </w:r>
      <w:r w:rsidR="00053F67">
        <w:rPr>
          <w:bCs/>
          <w:sz w:val="26"/>
          <w:szCs w:val="26"/>
        </w:rPr>
        <w:t xml:space="preserve"> </w:t>
      </w:r>
      <w:r w:rsidR="00C36FA5">
        <w:rPr>
          <w:bCs/>
          <w:sz w:val="26"/>
          <w:szCs w:val="26"/>
        </w:rPr>
        <w:t>(“</w:t>
      </w:r>
      <w:r w:rsidRPr="004854AE" w:rsidR="00C36FA5">
        <w:rPr>
          <w:i/>
          <w:iCs/>
          <w:sz w:val="26"/>
          <w:szCs w:val="26"/>
        </w:rPr>
        <w:t>NPRM</w:t>
      </w:r>
      <w:r w:rsidRPr="00504C22" w:rsidR="00C36FA5">
        <w:rPr>
          <w:bCs/>
          <w:sz w:val="26"/>
          <w:szCs w:val="26"/>
        </w:rPr>
        <w:t>”)</w:t>
      </w:r>
      <w:r w:rsidRPr="00504C22" w:rsidR="00053F67">
        <w:rPr>
          <w:bCs/>
          <w:sz w:val="26"/>
          <w:szCs w:val="26"/>
        </w:rPr>
        <w:t>(</w:t>
      </w:r>
      <w:r w:rsidR="00CD0950">
        <w:rPr>
          <w:bCs/>
          <w:sz w:val="26"/>
          <w:szCs w:val="26"/>
        </w:rPr>
        <w:t>WT Docket No. 25-276</w:t>
      </w:r>
      <w:r w:rsidR="00053F67">
        <w:rPr>
          <w:bCs/>
          <w:sz w:val="26"/>
          <w:szCs w:val="26"/>
        </w:rPr>
        <w:t>)</w:t>
      </w:r>
      <w:r w:rsidR="00CD0950">
        <w:rPr>
          <w:bCs/>
          <w:sz w:val="26"/>
          <w:szCs w:val="26"/>
        </w:rPr>
        <w:t>,</w:t>
      </w:r>
      <w:r w:rsidR="00303F4F">
        <w:rPr>
          <w:bCs/>
          <w:sz w:val="26"/>
          <w:szCs w:val="26"/>
        </w:rPr>
        <w:t xml:space="preserve"> adopted September 30, 2025</w:t>
      </w:r>
      <w:r w:rsidR="00BD1BB7">
        <w:rPr>
          <w:bCs/>
          <w:sz w:val="26"/>
          <w:szCs w:val="26"/>
        </w:rPr>
        <w:t>,</w:t>
      </w:r>
      <w:r w:rsidR="00303F4F">
        <w:rPr>
          <w:bCs/>
          <w:sz w:val="26"/>
          <w:szCs w:val="26"/>
        </w:rPr>
        <w:t xml:space="preserve"> and to</w:t>
      </w:r>
      <w:r w:rsidR="004E08EE">
        <w:rPr>
          <w:bCs/>
          <w:sz w:val="26"/>
          <w:szCs w:val="26"/>
        </w:rPr>
        <w:t xml:space="preserve"> be</w:t>
      </w:r>
      <w:r w:rsidR="00AB3481">
        <w:rPr>
          <w:bCs/>
          <w:sz w:val="26"/>
          <w:szCs w:val="26"/>
        </w:rPr>
        <w:t xml:space="preserve"> published in the </w:t>
      </w:r>
      <w:r>
        <w:rPr>
          <w:bCs/>
          <w:sz w:val="26"/>
          <w:szCs w:val="26"/>
        </w:rPr>
        <w:t>Federal Register</w:t>
      </w:r>
      <w:r w:rsidR="00AB3481">
        <w:rPr>
          <w:bCs/>
          <w:sz w:val="26"/>
          <w:szCs w:val="26"/>
        </w:rPr>
        <w:t>.</w:t>
      </w:r>
      <w:r w:rsidR="00C75700">
        <w:rPr>
          <w:bCs/>
          <w:sz w:val="26"/>
          <w:szCs w:val="26"/>
        </w:rPr>
        <w:t xml:space="preserve">  </w:t>
      </w:r>
      <w:r w:rsidR="00CF2763">
        <w:rPr>
          <w:bCs/>
          <w:sz w:val="26"/>
          <w:szCs w:val="26"/>
        </w:rPr>
        <w:t xml:space="preserve">The FCC’s goal in this </w:t>
      </w:r>
      <w:r w:rsidRPr="00473A0A" w:rsidR="00CF2763">
        <w:rPr>
          <w:bCs/>
          <w:i/>
          <w:iCs/>
          <w:sz w:val="26"/>
          <w:szCs w:val="26"/>
        </w:rPr>
        <w:t>NPRM</w:t>
      </w:r>
      <w:r w:rsidR="00CF2763">
        <w:rPr>
          <w:bCs/>
          <w:sz w:val="26"/>
          <w:szCs w:val="26"/>
        </w:rPr>
        <w:t xml:space="preserve"> is to </w:t>
      </w:r>
      <w:r w:rsidR="00C36FA5">
        <w:rPr>
          <w:bCs/>
          <w:sz w:val="26"/>
          <w:szCs w:val="26"/>
        </w:rPr>
        <w:t xml:space="preserve">“ensure that all state and local permitting </w:t>
      </w:r>
      <w:r w:rsidR="00BE2961">
        <w:rPr>
          <w:bCs/>
          <w:sz w:val="26"/>
          <w:szCs w:val="26"/>
        </w:rPr>
        <w:t xml:space="preserve">regulations that address the deployment </w:t>
      </w:r>
      <w:r w:rsidR="00DE4C62">
        <w:rPr>
          <w:bCs/>
          <w:sz w:val="26"/>
          <w:szCs w:val="26"/>
        </w:rPr>
        <w:t>of wireless infrastructure are consistent with the requirements of section 6409 of the Spectrum Act</w:t>
      </w:r>
      <w:r w:rsidR="004B78F3">
        <w:rPr>
          <w:bCs/>
          <w:sz w:val="26"/>
          <w:szCs w:val="26"/>
        </w:rPr>
        <w:t xml:space="preserve"> and sections 253 and 332(c)(7)</w:t>
      </w:r>
      <w:r w:rsidR="004A4857">
        <w:rPr>
          <w:bCs/>
          <w:sz w:val="26"/>
          <w:szCs w:val="26"/>
        </w:rPr>
        <w:t xml:space="preserve"> of the Communications Act, and do not prohibit or effectively prohibit the provision of </w:t>
      </w:r>
      <w:r w:rsidR="002C58D6">
        <w:rPr>
          <w:bCs/>
          <w:sz w:val="26"/>
          <w:szCs w:val="26"/>
        </w:rPr>
        <w:t xml:space="preserve">[wireless] </w:t>
      </w:r>
      <w:r w:rsidR="004A4857">
        <w:rPr>
          <w:bCs/>
          <w:sz w:val="26"/>
          <w:szCs w:val="26"/>
        </w:rPr>
        <w:t>service.</w:t>
      </w:r>
      <w:r w:rsidR="002269A1">
        <w:rPr>
          <w:bCs/>
          <w:sz w:val="26"/>
          <w:szCs w:val="26"/>
        </w:rPr>
        <w:t>”</w:t>
      </w:r>
      <w:r w:rsidR="002269A1">
        <w:rPr>
          <w:rStyle w:val="FootnoteReference"/>
          <w:bCs/>
          <w:szCs w:val="26"/>
        </w:rPr>
        <w:footnoteReference w:id="2"/>
      </w:r>
      <w:r w:rsidR="00C953D2">
        <w:rPr>
          <w:bCs/>
          <w:sz w:val="26"/>
          <w:szCs w:val="26"/>
        </w:rPr>
        <w:t xml:space="preserve">  </w:t>
      </w:r>
      <w:r w:rsidR="00C05C51">
        <w:rPr>
          <w:bCs/>
          <w:sz w:val="26"/>
          <w:szCs w:val="26"/>
        </w:rPr>
        <w:t>The FCC proposes reforms</w:t>
      </w:r>
      <w:r w:rsidR="00214789">
        <w:rPr>
          <w:bCs/>
          <w:sz w:val="26"/>
          <w:szCs w:val="26"/>
        </w:rPr>
        <w:t xml:space="preserve"> and seeks comment</w:t>
      </w:r>
      <w:r w:rsidR="00835107">
        <w:rPr>
          <w:bCs/>
          <w:sz w:val="26"/>
          <w:szCs w:val="26"/>
        </w:rPr>
        <w:t xml:space="preserve"> on</w:t>
      </w:r>
      <w:r w:rsidR="00214789">
        <w:rPr>
          <w:bCs/>
          <w:sz w:val="26"/>
          <w:szCs w:val="26"/>
        </w:rPr>
        <w:t xml:space="preserve"> </w:t>
      </w:r>
      <w:r w:rsidR="006F2D53">
        <w:rPr>
          <w:bCs/>
          <w:sz w:val="26"/>
          <w:szCs w:val="26"/>
        </w:rPr>
        <w:t>state and local regulations</w:t>
      </w:r>
      <w:r w:rsidR="00214789">
        <w:rPr>
          <w:bCs/>
          <w:sz w:val="26"/>
          <w:szCs w:val="26"/>
        </w:rPr>
        <w:t xml:space="preserve"> </w:t>
      </w:r>
      <w:r w:rsidR="00147C8F">
        <w:rPr>
          <w:bCs/>
          <w:sz w:val="26"/>
          <w:szCs w:val="26"/>
        </w:rPr>
        <w:t>affecting</w:t>
      </w:r>
      <w:r w:rsidR="00214789">
        <w:rPr>
          <w:bCs/>
          <w:sz w:val="26"/>
          <w:szCs w:val="26"/>
        </w:rPr>
        <w:t xml:space="preserve"> </w:t>
      </w:r>
      <w:r w:rsidR="00491C5A">
        <w:rPr>
          <w:bCs/>
          <w:sz w:val="26"/>
          <w:szCs w:val="26"/>
        </w:rPr>
        <w:t>towers and wireless infrastructure</w:t>
      </w:r>
      <w:r w:rsidR="00835107">
        <w:rPr>
          <w:bCs/>
          <w:sz w:val="26"/>
          <w:szCs w:val="26"/>
        </w:rPr>
        <w:t xml:space="preserve"> and whether preemption and a “rocket docket” for permitting disputes</w:t>
      </w:r>
      <w:r w:rsidR="009C32F0">
        <w:rPr>
          <w:bCs/>
          <w:sz w:val="26"/>
          <w:szCs w:val="26"/>
        </w:rPr>
        <w:t xml:space="preserve"> should be used to </w:t>
      </w:r>
      <w:r w:rsidR="006A3F5E">
        <w:rPr>
          <w:bCs/>
          <w:sz w:val="26"/>
          <w:szCs w:val="26"/>
        </w:rPr>
        <w:t xml:space="preserve">advance the FCC’s </w:t>
      </w:r>
      <w:r w:rsidR="00F219E5">
        <w:rPr>
          <w:bCs/>
          <w:sz w:val="26"/>
          <w:szCs w:val="26"/>
        </w:rPr>
        <w:t>“</w:t>
      </w:r>
      <w:r w:rsidR="006A3F5E">
        <w:rPr>
          <w:bCs/>
          <w:sz w:val="26"/>
          <w:szCs w:val="26"/>
        </w:rPr>
        <w:t>Build America Agenda.</w:t>
      </w:r>
      <w:r w:rsidR="00F219E5">
        <w:rPr>
          <w:bCs/>
          <w:sz w:val="26"/>
          <w:szCs w:val="26"/>
        </w:rPr>
        <w:t>”</w:t>
      </w:r>
    </w:p>
    <w:p w:rsidR="00B91B47" w:rsidP="00E40D90" w:rsidRDefault="006A3F5E" w14:paraId="3238887A" w14:textId="533F652D">
      <w:pPr>
        <w:rPr>
          <w:bCs/>
          <w:sz w:val="26"/>
          <w:szCs w:val="26"/>
        </w:rPr>
      </w:pPr>
      <w:r>
        <w:rPr>
          <w:bCs/>
          <w:sz w:val="26"/>
          <w:szCs w:val="26"/>
        </w:rPr>
        <w:t xml:space="preserve"> </w:t>
      </w:r>
      <w:r w:rsidR="00835107">
        <w:rPr>
          <w:bCs/>
          <w:sz w:val="26"/>
          <w:szCs w:val="26"/>
        </w:rPr>
        <w:t xml:space="preserve">    </w:t>
      </w:r>
      <w:r w:rsidR="00E81F14">
        <w:rPr>
          <w:bCs/>
          <w:sz w:val="26"/>
          <w:szCs w:val="26"/>
        </w:rPr>
        <w:t xml:space="preserve"> </w:t>
      </w:r>
    </w:p>
    <w:p w:rsidRPr="002E320C" w:rsidR="00FB11B0" w:rsidP="007F0760" w:rsidRDefault="0012317D" w14:paraId="16900C94" w14:textId="04985ED9">
      <w:pPr>
        <w:rPr>
          <w:sz w:val="26"/>
          <w:szCs w:val="26"/>
        </w:rPr>
      </w:pPr>
      <w:r>
        <w:rPr>
          <w:sz w:val="26"/>
          <w:szCs w:val="26"/>
        </w:rPr>
        <w:t>Comments and reply comments would address</w:t>
      </w:r>
      <w:r w:rsidR="00DB4024">
        <w:rPr>
          <w:sz w:val="26"/>
          <w:szCs w:val="26"/>
        </w:rPr>
        <w:t xml:space="preserve"> </w:t>
      </w:r>
      <w:r w:rsidR="00BD7CF3">
        <w:rPr>
          <w:sz w:val="26"/>
          <w:szCs w:val="26"/>
        </w:rPr>
        <w:t xml:space="preserve">the need for </w:t>
      </w:r>
      <w:r w:rsidR="005B7F50">
        <w:rPr>
          <w:sz w:val="26"/>
          <w:szCs w:val="26"/>
        </w:rPr>
        <w:t xml:space="preserve">states and localities to maintain their </w:t>
      </w:r>
      <w:r w:rsidR="00DB4024">
        <w:rPr>
          <w:sz w:val="26"/>
          <w:szCs w:val="26"/>
        </w:rPr>
        <w:t xml:space="preserve">authority over wireless infrastructure </w:t>
      </w:r>
      <w:r w:rsidR="005B7F50">
        <w:rPr>
          <w:sz w:val="26"/>
          <w:szCs w:val="26"/>
        </w:rPr>
        <w:t>oversight under federal law to s</w:t>
      </w:r>
      <w:r w:rsidR="00DB4024">
        <w:rPr>
          <w:sz w:val="26"/>
          <w:szCs w:val="26"/>
        </w:rPr>
        <w:t>afeguard public safety and welfare, reliability and resiliency of wireless telecommunications services, consumer protection, and the public rights-of-way.</w:t>
      </w:r>
      <w:r w:rsidR="001C67AF">
        <w:rPr>
          <w:sz w:val="26"/>
          <w:szCs w:val="26"/>
        </w:rPr>
        <w:t xml:space="preserve">  </w:t>
      </w:r>
      <w:r w:rsidR="007C5C54">
        <w:rPr>
          <w:sz w:val="26"/>
          <w:szCs w:val="26"/>
        </w:rPr>
        <w:lastRenderedPageBreak/>
        <w:t xml:space="preserve">Comments </w:t>
      </w:r>
      <w:r w:rsidR="00CD10BD">
        <w:rPr>
          <w:sz w:val="26"/>
          <w:szCs w:val="26"/>
        </w:rPr>
        <w:t xml:space="preserve">would also </w:t>
      </w:r>
      <w:r w:rsidR="00295DC3">
        <w:rPr>
          <w:sz w:val="26"/>
          <w:szCs w:val="26"/>
        </w:rPr>
        <w:t xml:space="preserve">address </w:t>
      </w:r>
      <w:r w:rsidR="005634EE">
        <w:rPr>
          <w:sz w:val="26"/>
          <w:szCs w:val="26"/>
        </w:rPr>
        <w:t>the need for</w:t>
      </w:r>
      <w:r w:rsidR="00CD10BD">
        <w:rPr>
          <w:sz w:val="26"/>
          <w:szCs w:val="26"/>
        </w:rPr>
        <w:t xml:space="preserve"> </w:t>
      </w:r>
      <w:r w:rsidR="00DB4024">
        <w:rPr>
          <w:sz w:val="26"/>
          <w:szCs w:val="26"/>
        </w:rPr>
        <w:t>transparent FCC processes that allow states</w:t>
      </w:r>
      <w:r w:rsidR="003A19ED">
        <w:rPr>
          <w:sz w:val="26"/>
          <w:szCs w:val="26"/>
        </w:rPr>
        <w:t xml:space="preserve"> and local governments</w:t>
      </w:r>
      <w:r w:rsidR="00DB4024">
        <w:rPr>
          <w:sz w:val="26"/>
          <w:szCs w:val="26"/>
        </w:rPr>
        <w:t xml:space="preserve"> and telecommunications providers a fair and reasonable opportunity to be heard in wireless permit disputes.       </w:t>
      </w:r>
    </w:p>
    <w:p w:rsidR="00C35EE7" w:rsidP="007F0760" w:rsidRDefault="00C35EE7" w14:paraId="7937D016" w14:textId="0B158AE3">
      <w:pPr>
        <w:rPr>
          <w:b/>
          <w:bCs/>
          <w:sz w:val="26"/>
          <w:szCs w:val="26"/>
          <w:u w:val="single"/>
        </w:rPr>
      </w:pPr>
    </w:p>
    <w:p w:rsidR="00DA69A0" w:rsidP="007F0760" w:rsidRDefault="00872890" w14:paraId="3F0450B8" w14:textId="30C87DD4">
      <w:pPr>
        <w:rPr>
          <w:sz w:val="26"/>
          <w:szCs w:val="26"/>
        </w:rPr>
      </w:pPr>
      <w:r w:rsidRPr="4277C904">
        <w:rPr>
          <w:b/>
          <w:bCs/>
          <w:sz w:val="26"/>
          <w:szCs w:val="26"/>
          <w:u w:val="single"/>
        </w:rPr>
        <w:t>BACKGROUND</w:t>
      </w:r>
      <w:r w:rsidRPr="4277C904" w:rsidR="00A12456">
        <w:rPr>
          <w:b/>
          <w:bCs/>
          <w:sz w:val="26"/>
          <w:szCs w:val="26"/>
        </w:rPr>
        <w:t>:</w:t>
      </w:r>
    </w:p>
    <w:p w:rsidR="00DA69A0" w:rsidP="007F0760" w:rsidRDefault="00DA69A0" w14:paraId="4EE73E8F" w14:textId="77777777">
      <w:pPr>
        <w:rPr>
          <w:sz w:val="26"/>
          <w:szCs w:val="26"/>
        </w:rPr>
      </w:pPr>
    </w:p>
    <w:p w:rsidR="00303E53" w:rsidP="007F0760" w:rsidRDefault="00303E53" w14:paraId="42C0E103" w14:textId="48C02E17">
      <w:pPr>
        <w:rPr>
          <w:sz w:val="26"/>
          <w:szCs w:val="26"/>
        </w:rPr>
      </w:pPr>
      <w:r w:rsidRPr="002935B6">
        <w:rPr>
          <w:sz w:val="26"/>
          <w:szCs w:val="26"/>
        </w:rPr>
        <w:t xml:space="preserve">On September 30, 2025, </w:t>
      </w:r>
      <w:r w:rsidRPr="002935B6" w:rsidR="002935B6">
        <w:rPr>
          <w:sz w:val="26"/>
          <w:szCs w:val="26"/>
        </w:rPr>
        <w:t xml:space="preserve">the FCC adopted </w:t>
      </w:r>
      <w:r w:rsidR="003162E4">
        <w:rPr>
          <w:sz w:val="26"/>
          <w:szCs w:val="26"/>
        </w:rPr>
        <w:t>a</w:t>
      </w:r>
      <w:r w:rsidR="002846E6">
        <w:rPr>
          <w:sz w:val="26"/>
          <w:szCs w:val="26"/>
        </w:rPr>
        <w:t xml:space="preserve">n </w:t>
      </w:r>
      <w:r w:rsidRPr="00AE2053" w:rsidR="003162E4">
        <w:rPr>
          <w:i/>
          <w:iCs/>
          <w:sz w:val="26"/>
          <w:szCs w:val="26"/>
        </w:rPr>
        <w:t>NPRM</w:t>
      </w:r>
      <w:r w:rsidR="003162E4">
        <w:rPr>
          <w:sz w:val="26"/>
          <w:szCs w:val="26"/>
        </w:rPr>
        <w:t xml:space="preserve"> </w:t>
      </w:r>
      <w:r w:rsidRPr="002935B6" w:rsidR="002935B6">
        <w:rPr>
          <w:sz w:val="26"/>
          <w:szCs w:val="26"/>
        </w:rPr>
        <w:t>in W</w:t>
      </w:r>
      <w:r w:rsidR="0072690B">
        <w:rPr>
          <w:sz w:val="26"/>
          <w:szCs w:val="26"/>
        </w:rPr>
        <w:t>T</w:t>
      </w:r>
      <w:r w:rsidRPr="002935B6" w:rsidR="002935B6">
        <w:rPr>
          <w:sz w:val="26"/>
          <w:szCs w:val="26"/>
        </w:rPr>
        <w:t xml:space="preserve"> Docket No. 25-2</w:t>
      </w:r>
      <w:r w:rsidR="0072690B">
        <w:rPr>
          <w:sz w:val="26"/>
          <w:szCs w:val="26"/>
        </w:rPr>
        <w:t>76</w:t>
      </w:r>
      <w:r w:rsidRPr="002935B6" w:rsidR="002935B6">
        <w:rPr>
          <w:sz w:val="26"/>
          <w:szCs w:val="26"/>
        </w:rPr>
        <w:t xml:space="preserve">, </w:t>
      </w:r>
      <w:r w:rsidRPr="00AE2053" w:rsidR="002935B6">
        <w:rPr>
          <w:i/>
          <w:sz w:val="26"/>
          <w:szCs w:val="26"/>
        </w:rPr>
        <w:t>In the Matter of Build America: Eliminating Barriers to Wirel</w:t>
      </w:r>
      <w:r w:rsidRPr="00AE2053" w:rsidR="00973421">
        <w:rPr>
          <w:i/>
          <w:sz w:val="26"/>
          <w:szCs w:val="26"/>
        </w:rPr>
        <w:t>ess</w:t>
      </w:r>
      <w:r w:rsidRPr="00AE2053" w:rsidR="002935B6">
        <w:rPr>
          <w:i/>
          <w:sz w:val="26"/>
          <w:szCs w:val="26"/>
        </w:rPr>
        <w:t xml:space="preserve"> Deployments</w:t>
      </w:r>
      <w:r w:rsidR="002935B6">
        <w:rPr>
          <w:sz w:val="26"/>
          <w:szCs w:val="26"/>
        </w:rPr>
        <w:t xml:space="preserve">. </w:t>
      </w:r>
      <w:r w:rsidR="006B7EC9">
        <w:rPr>
          <w:sz w:val="26"/>
          <w:szCs w:val="26"/>
        </w:rPr>
        <w:t xml:space="preserve"> C</w:t>
      </w:r>
      <w:r w:rsidR="002935B6">
        <w:rPr>
          <w:sz w:val="26"/>
          <w:szCs w:val="26"/>
        </w:rPr>
        <w:t>omments</w:t>
      </w:r>
      <w:r w:rsidR="006B7EC9">
        <w:rPr>
          <w:sz w:val="26"/>
          <w:szCs w:val="26"/>
        </w:rPr>
        <w:t xml:space="preserve"> and Reply Comments are due 30 and 60 days, respectively, after </w:t>
      </w:r>
      <w:r w:rsidR="00FA7FEC">
        <w:rPr>
          <w:sz w:val="26"/>
          <w:szCs w:val="26"/>
        </w:rPr>
        <w:t xml:space="preserve">publication in the </w:t>
      </w:r>
      <w:r w:rsidR="00847B09">
        <w:rPr>
          <w:sz w:val="26"/>
          <w:szCs w:val="26"/>
        </w:rPr>
        <w:t>Federal Register</w:t>
      </w:r>
      <w:r w:rsidR="002935B6">
        <w:rPr>
          <w:sz w:val="26"/>
          <w:szCs w:val="26"/>
        </w:rPr>
        <w:t xml:space="preserve">. </w:t>
      </w:r>
      <w:r w:rsidR="0009218A">
        <w:rPr>
          <w:sz w:val="26"/>
          <w:szCs w:val="26"/>
        </w:rPr>
        <w:t xml:space="preserve"> D</w:t>
      </w:r>
      <w:r w:rsidR="00F053C9">
        <w:rPr>
          <w:sz w:val="26"/>
          <w:szCs w:val="26"/>
        </w:rPr>
        <w:t>ue</w:t>
      </w:r>
      <w:r w:rsidR="002846E6">
        <w:rPr>
          <w:sz w:val="26"/>
          <w:szCs w:val="26"/>
        </w:rPr>
        <w:t xml:space="preserve"> to the </w:t>
      </w:r>
      <w:r w:rsidR="00F053C9">
        <w:rPr>
          <w:sz w:val="26"/>
          <w:szCs w:val="26"/>
        </w:rPr>
        <w:t>federal government shutdown, it is unclear when this item will publish.</w:t>
      </w:r>
    </w:p>
    <w:p w:rsidR="00584E0A" w:rsidP="007F0760" w:rsidRDefault="00584E0A" w14:paraId="73AC0B8B" w14:textId="77777777">
      <w:pPr>
        <w:rPr>
          <w:sz w:val="26"/>
          <w:szCs w:val="26"/>
        </w:rPr>
      </w:pPr>
    </w:p>
    <w:p w:rsidR="001B3776" w:rsidP="007F0760" w:rsidRDefault="002B37B4" w14:paraId="6AC39CDF" w14:textId="2FF5E3FD">
      <w:pPr>
        <w:rPr>
          <w:bCs/>
          <w:sz w:val="26"/>
          <w:szCs w:val="26"/>
        </w:rPr>
      </w:pPr>
      <w:r>
        <w:rPr>
          <w:bCs/>
          <w:sz w:val="26"/>
          <w:szCs w:val="26"/>
        </w:rPr>
        <w:t>Th</w:t>
      </w:r>
      <w:r w:rsidR="00E20F93">
        <w:rPr>
          <w:bCs/>
          <w:sz w:val="26"/>
          <w:szCs w:val="26"/>
        </w:rPr>
        <w:t xml:space="preserve">is </w:t>
      </w:r>
      <w:r w:rsidRPr="00714684">
        <w:rPr>
          <w:bCs/>
          <w:i/>
          <w:iCs/>
          <w:sz w:val="26"/>
          <w:szCs w:val="26"/>
        </w:rPr>
        <w:t>NPRM</w:t>
      </w:r>
      <w:r>
        <w:rPr>
          <w:bCs/>
          <w:sz w:val="26"/>
          <w:szCs w:val="26"/>
        </w:rPr>
        <w:t xml:space="preserve"> advance</w:t>
      </w:r>
      <w:r w:rsidR="00E20F93">
        <w:rPr>
          <w:bCs/>
          <w:sz w:val="26"/>
          <w:szCs w:val="26"/>
        </w:rPr>
        <w:t>s</w:t>
      </w:r>
      <w:r>
        <w:rPr>
          <w:bCs/>
          <w:sz w:val="26"/>
          <w:szCs w:val="26"/>
        </w:rPr>
        <w:t xml:space="preserve"> the FCC’s </w:t>
      </w:r>
      <w:r w:rsidR="00224B03">
        <w:rPr>
          <w:bCs/>
          <w:sz w:val="26"/>
          <w:szCs w:val="26"/>
        </w:rPr>
        <w:t>“</w:t>
      </w:r>
      <w:r>
        <w:rPr>
          <w:bCs/>
          <w:sz w:val="26"/>
          <w:szCs w:val="26"/>
        </w:rPr>
        <w:t>Build America Agenda</w:t>
      </w:r>
      <w:r w:rsidR="00224B03">
        <w:rPr>
          <w:bCs/>
          <w:sz w:val="26"/>
          <w:szCs w:val="26"/>
        </w:rPr>
        <w:t>”</w:t>
      </w:r>
      <w:r w:rsidR="00D32E07">
        <w:rPr>
          <w:bCs/>
          <w:sz w:val="26"/>
          <w:szCs w:val="26"/>
        </w:rPr>
        <w:t xml:space="preserve"> “by proposing reforms that would free towers and other wireless infrastructure from unlawful regulatory burdens imposed at the state and local level.”</w:t>
      </w:r>
      <w:r w:rsidR="009358F4">
        <w:rPr>
          <w:rStyle w:val="FootnoteReference"/>
          <w:bCs/>
          <w:szCs w:val="26"/>
        </w:rPr>
        <w:footnoteReference w:id="3"/>
      </w:r>
      <w:r w:rsidR="008D4CCD">
        <w:rPr>
          <w:bCs/>
          <w:sz w:val="26"/>
          <w:szCs w:val="26"/>
        </w:rPr>
        <w:t xml:space="preserve">  Specifically, the </w:t>
      </w:r>
      <w:r w:rsidRPr="00714684" w:rsidR="008D4CCD">
        <w:rPr>
          <w:bCs/>
          <w:i/>
          <w:iCs/>
          <w:sz w:val="26"/>
          <w:szCs w:val="26"/>
        </w:rPr>
        <w:t>NPRM</w:t>
      </w:r>
      <w:r w:rsidR="008D4CCD">
        <w:rPr>
          <w:bCs/>
          <w:sz w:val="26"/>
          <w:szCs w:val="26"/>
        </w:rPr>
        <w:t xml:space="preserve"> seeks to </w:t>
      </w:r>
      <w:r w:rsidR="00762F5A">
        <w:rPr>
          <w:bCs/>
          <w:sz w:val="26"/>
          <w:szCs w:val="26"/>
        </w:rPr>
        <w:t>“</w:t>
      </w:r>
      <w:r w:rsidR="008D4CCD">
        <w:rPr>
          <w:bCs/>
          <w:sz w:val="26"/>
          <w:szCs w:val="26"/>
        </w:rPr>
        <w:t xml:space="preserve">clarify and potentially expand upon the </w:t>
      </w:r>
      <w:r w:rsidR="00714684">
        <w:rPr>
          <w:bCs/>
          <w:sz w:val="26"/>
          <w:szCs w:val="26"/>
        </w:rPr>
        <w:t>[FCC’s]</w:t>
      </w:r>
      <w:r w:rsidR="00762F5A">
        <w:rPr>
          <w:bCs/>
          <w:sz w:val="26"/>
          <w:szCs w:val="26"/>
        </w:rPr>
        <w:t xml:space="preserve"> </w:t>
      </w:r>
      <w:r w:rsidR="006C0928">
        <w:rPr>
          <w:bCs/>
          <w:sz w:val="26"/>
          <w:szCs w:val="26"/>
        </w:rPr>
        <w:t>rulings under certain permitting provisions of section 6409(a) of the Spectrum Act of 2012 (Spectrum Act)</w:t>
      </w:r>
      <w:r w:rsidR="00762F5A">
        <w:rPr>
          <w:bCs/>
          <w:sz w:val="26"/>
          <w:szCs w:val="26"/>
        </w:rPr>
        <w:t xml:space="preserve"> th</w:t>
      </w:r>
      <w:r w:rsidR="00DC7E37">
        <w:rPr>
          <w:bCs/>
          <w:sz w:val="26"/>
          <w:szCs w:val="26"/>
        </w:rPr>
        <w:t>at expedite state or local approval of certain modifications of existing tower and wireless base stat</w:t>
      </w:r>
      <w:r w:rsidR="00CC4885">
        <w:rPr>
          <w:bCs/>
          <w:sz w:val="26"/>
          <w:szCs w:val="26"/>
        </w:rPr>
        <w:t>ions.”</w:t>
      </w:r>
      <w:r w:rsidR="00773532">
        <w:rPr>
          <w:rStyle w:val="FootnoteReference"/>
          <w:bCs/>
          <w:szCs w:val="26"/>
        </w:rPr>
        <w:footnoteReference w:id="4"/>
      </w:r>
      <w:r w:rsidR="00954744">
        <w:rPr>
          <w:bCs/>
          <w:sz w:val="26"/>
          <w:szCs w:val="26"/>
        </w:rPr>
        <w:t xml:space="preserve">  </w:t>
      </w:r>
      <w:r w:rsidR="0085132E">
        <w:rPr>
          <w:bCs/>
          <w:sz w:val="26"/>
          <w:szCs w:val="26"/>
        </w:rPr>
        <w:t xml:space="preserve">Permitting matters under this section include </w:t>
      </w:r>
      <w:r w:rsidR="007E0DED">
        <w:rPr>
          <w:bCs/>
          <w:sz w:val="26"/>
          <w:szCs w:val="26"/>
        </w:rPr>
        <w:t xml:space="preserve">clarifying </w:t>
      </w:r>
      <w:r w:rsidR="00EA315F">
        <w:rPr>
          <w:bCs/>
          <w:sz w:val="26"/>
          <w:szCs w:val="26"/>
        </w:rPr>
        <w:t>“</w:t>
      </w:r>
      <w:r w:rsidR="00FD6350">
        <w:rPr>
          <w:bCs/>
          <w:sz w:val="26"/>
          <w:szCs w:val="26"/>
        </w:rPr>
        <w:t>c</w:t>
      </w:r>
      <w:r w:rsidR="00735026">
        <w:rPr>
          <w:bCs/>
          <w:sz w:val="26"/>
          <w:szCs w:val="26"/>
        </w:rPr>
        <w:t>oncealment element</w:t>
      </w:r>
      <w:r w:rsidR="00FD6350">
        <w:rPr>
          <w:bCs/>
          <w:sz w:val="26"/>
          <w:szCs w:val="26"/>
        </w:rPr>
        <w:t>s</w:t>
      </w:r>
      <w:r w:rsidR="00EA315F">
        <w:rPr>
          <w:bCs/>
          <w:sz w:val="26"/>
          <w:szCs w:val="26"/>
        </w:rPr>
        <w:t>”</w:t>
      </w:r>
      <w:r w:rsidR="007E0DED">
        <w:rPr>
          <w:bCs/>
          <w:sz w:val="26"/>
          <w:szCs w:val="26"/>
        </w:rPr>
        <w:t>,</w:t>
      </w:r>
      <w:r w:rsidR="0085132E">
        <w:rPr>
          <w:bCs/>
          <w:sz w:val="26"/>
          <w:szCs w:val="26"/>
        </w:rPr>
        <w:t xml:space="preserve"> </w:t>
      </w:r>
      <w:r w:rsidR="007E0DED">
        <w:rPr>
          <w:bCs/>
          <w:sz w:val="26"/>
          <w:szCs w:val="26"/>
        </w:rPr>
        <w:t xml:space="preserve">changing </w:t>
      </w:r>
      <w:r w:rsidR="00D221DA">
        <w:rPr>
          <w:bCs/>
          <w:sz w:val="26"/>
          <w:szCs w:val="26"/>
        </w:rPr>
        <w:t>c</w:t>
      </w:r>
      <w:r w:rsidR="00FD6350">
        <w:rPr>
          <w:bCs/>
          <w:sz w:val="26"/>
          <w:szCs w:val="26"/>
        </w:rPr>
        <w:t>onditions</w:t>
      </w:r>
      <w:r w:rsidR="00D221DA">
        <w:rPr>
          <w:bCs/>
          <w:sz w:val="26"/>
          <w:szCs w:val="26"/>
        </w:rPr>
        <w:t xml:space="preserve"> associated with siting approval, </w:t>
      </w:r>
      <w:r w:rsidR="0085132E">
        <w:rPr>
          <w:bCs/>
          <w:sz w:val="26"/>
          <w:szCs w:val="26"/>
        </w:rPr>
        <w:t>and</w:t>
      </w:r>
      <w:r w:rsidR="00954744">
        <w:rPr>
          <w:bCs/>
          <w:sz w:val="26"/>
          <w:szCs w:val="26"/>
        </w:rPr>
        <w:t xml:space="preserve"> other possible changes</w:t>
      </w:r>
      <w:r w:rsidR="001C59FA">
        <w:rPr>
          <w:bCs/>
          <w:sz w:val="26"/>
          <w:szCs w:val="26"/>
        </w:rPr>
        <w:t xml:space="preserve"> to</w:t>
      </w:r>
      <w:r w:rsidR="0034537F">
        <w:rPr>
          <w:bCs/>
          <w:sz w:val="26"/>
          <w:szCs w:val="26"/>
        </w:rPr>
        <w:t xml:space="preserve"> </w:t>
      </w:r>
      <w:r w:rsidR="001C59FA">
        <w:rPr>
          <w:bCs/>
          <w:sz w:val="26"/>
          <w:szCs w:val="26"/>
        </w:rPr>
        <w:t>section 1.6100 of the FCC’s rules “to reduce permitting and other barriers to [wireless] infrastructure deployment.”</w:t>
      </w:r>
      <w:r w:rsidR="00C91264">
        <w:rPr>
          <w:rStyle w:val="FootnoteReference"/>
          <w:bCs/>
          <w:szCs w:val="26"/>
        </w:rPr>
        <w:footnoteReference w:id="5"/>
      </w:r>
      <w:r w:rsidR="00954744">
        <w:rPr>
          <w:bCs/>
          <w:sz w:val="26"/>
          <w:szCs w:val="26"/>
        </w:rPr>
        <w:t xml:space="preserve">  The FCC would implement these reforms by codifying them in section 1.6100</w:t>
      </w:r>
      <w:r w:rsidR="002B53A0">
        <w:rPr>
          <w:bCs/>
          <w:sz w:val="26"/>
          <w:szCs w:val="26"/>
        </w:rPr>
        <w:t>.</w:t>
      </w:r>
      <w:r w:rsidR="00954744">
        <w:rPr>
          <w:bCs/>
          <w:sz w:val="26"/>
          <w:szCs w:val="26"/>
        </w:rPr>
        <w:t xml:space="preserve"> </w:t>
      </w:r>
      <w:r w:rsidR="00FD6350">
        <w:rPr>
          <w:bCs/>
          <w:sz w:val="26"/>
          <w:szCs w:val="26"/>
        </w:rPr>
        <w:t xml:space="preserve"> </w:t>
      </w:r>
      <w:r w:rsidR="00735026">
        <w:rPr>
          <w:bCs/>
          <w:sz w:val="26"/>
          <w:szCs w:val="26"/>
        </w:rPr>
        <w:t xml:space="preserve">  </w:t>
      </w:r>
      <w:r w:rsidR="00626A2B">
        <w:rPr>
          <w:bCs/>
          <w:sz w:val="26"/>
          <w:szCs w:val="26"/>
        </w:rPr>
        <w:t xml:space="preserve">  </w:t>
      </w:r>
    </w:p>
    <w:p w:rsidR="001B3776" w:rsidP="007F0760" w:rsidRDefault="001B3776" w14:paraId="7F8CF68C" w14:textId="77777777">
      <w:pPr>
        <w:rPr>
          <w:bCs/>
          <w:sz w:val="26"/>
          <w:szCs w:val="26"/>
        </w:rPr>
      </w:pPr>
    </w:p>
    <w:p w:rsidRPr="006F64FC" w:rsidR="0008611C" w:rsidP="007F0760" w:rsidRDefault="00626A2B" w14:paraId="6FF03F23" w14:textId="6ABA4760">
      <w:pPr>
        <w:rPr>
          <w:bCs/>
          <w:sz w:val="26"/>
          <w:szCs w:val="26"/>
        </w:rPr>
      </w:pPr>
      <w:r>
        <w:rPr>
          <w:bCs/>
          <w:sz w:val="26"/>
          <w:szCs w:val="26"/>
        </w:rPr>
        <w:t xml:space="preserve">Second, the </w:t>
      </w:r>
      <w:r w:rsidRPr="00384D41">
        <w:rPr>
          <w:bCs/>
          <w:i/>
          <w:iCs/>
          <w:sz w:val="26"/>
          <w:szCs w:val="26"/>
        </w:rPr>
        <w:t>NPRM</w:t>
      </w:r>
      <w:r>
        <w:rPr>
          <w:bCs/>
          <w:sz w:val="26"/>
          <w:szCs w:val="26"/>
        </w:rPr>
        <w:t xml:space="preserve"> seeks comment on whether the FCC “should take further steps to ensure that state and local permitting regulations do no</w:t>
      </w:r>
      <w:r w:rsidR="00CF53D3">
        <w:rPr>
          <w:bCs/>
          <w:sz w:val="26"/>
          <w:szCs w:val="26"/>
        </w:rPr>
        <w:t>t</w:t>
      </w:r>
      <w:r>
        <w:rPr>
          <w:bCs/>
          <w:sz w:val="26"/>
          <w:szCs w:val="26"/>
        </w:rPr>
        <w:t xml:space="preserve"> prohibit or have the effect of</w:t>
      </w:r>
      <w:r w:rsidR="00CF53D3">
        <w:rPr>
          <w:bCs/>
          <w:sz w:val="26"/>
          <w:szCs w:val="26"/>
        </w:rPr>
        <w:t xml:space="preserve"> prohibiting</w:t>
      </w:r>
      <w:r w:rsidR="00C73CB7">
        <w:rPr>
          <w:bCs/>
          <w:sz w:val="26"/>
          <w:szCs w:val="26"/>
        </w:rPr>
        <w:t xml:space="preserve"> the deployment of wireless infrastructure facilities pursuant to sections 253 and 332(c)(7)</w:t>
      </w:r>
      <w:r w:rsidR="00991295">
        <w:rPr>
          <w:bCs/>
          <w:sz w:val="26"/>
          <w:szCs w:val="26"/>
        </w:rPr>
        <w:t xml:space="preserve"> of the Communications Act.”</w:t>
      </w:r>
      <w:r w:rsidR="00E2383F">
        <w:rPr>
          <w:rStyle w:val="FootnoteReference"/>
          <w:bCs/>
          <w:szCs w:val="26"/>
        </w:rPr>
        <w:footnoteReference w:id="6"/>
      </w:r>
      <w:r w:rsidR="00512AEA">
        <w:rPr>
          <w:bCs/>
          <w:sz w:val="26"/>
          <w:szCs w:val="26"/>
        </w:rPr>
        <w:t xml:space="preserve">  The </w:t>
      </w:r>
      <w:r w:rsidRPr="00E83F2D" w:rsidR="00512AEA">
        <w:rPr>
          <w:bCs/>
          <w:i/>
          <w:iCs/>
          <w:sz w:val="26"/>
          <w:szCs w:val="26"/>
        </w:rPr>
        <w:t>NPRM</w:t>
      </w:r>
      <w:r w:rsidR="00512AEA">
        <w:rPr>
          <w:bCs/>
          <w:sz w:val="26"/>
          <w:szCs w:val="26"/>
        </w:rPr>
        <w:t xml:space="preserve"> seeks comment on the following </w:t>
      </w:r>
      <w:r w:rsidR="00E26349">
        <w:rPr>
          <w:bCs/>
          <w:sz w:val="26"/>
          <w:szCs w:val="26"/>
        </w:rPr>
        <w:t>state</w:t>
      </w:r>
      <w:r w:rsidR="00C85864">
        <w:rPr>
          <w:bCs/>
          <w:sz w:val="26"/>
          <w:szCs w:val="26"/>
        </w:rPr>
        <w:t>/</w:t>
      </w:r>
      <w:r w:rsidR="00E26349">
        <w:rPr>
          <w:bCs/>
          <w:sz w:val="26"/>
          <w:szCs w:val="26"/>
        </w:rPr>
        <w:t xml:space="preserve">local </w:t>
      </w:r>
      <w:r w:rsidR="00512AEA">
        <w:rPr>
          <w:bCs/>
          <w:sz w:val="26"/>
          <w:szCs w:val="26"/>
        </w:rPr>
        <w:t xml:space="preserve">permitting </w:t>
      </w:r>
      <w:r w:rsidR="00857900">
        <w:rPr>
          <w:bCs/>
          <w:sz w:val="26"/>
          <w:szCs w:val="26"/>
        </w:rPr>
        <w:t>requirements</w:t>
      </w:r>
      <w:r w:rsidR="00512AEA">
        <w:rPr>
          <w:bCs/>
          <w:sz w:val="26"/>
          <w:szCs w:val="26"/>
        </w:rPr>
        <w:t xml:space="preserve"> </w:t>
      </w:r>
      <w:r w:rsidR="00A02D85">
        <w:rPr>
          <w:bCs/>
          <w:sz w:val="26"/>
          <w:szCs w:val="26"/>
        </w:rPr>
        <w:t xml:space="preserve">or issues </w:t>
      </w:r>
      <w:r w:rsidR="00E26349">
        <w:rPr>
          <w:bCs/>
          <w:sz w:val="26"/>
          <w:szCs w:val="26"/>
        </w:rPr>
        <w:t xml:space="preserve">that </w:t>
      </w:r>
      <w:r w:rsidR="004538D0">
        <w:rPr>
          <w:bCs/>
          <w:sz w:val="26"/>
          <w:szCs w:val="26"/>
        </w:rPr>
        <w:t>may</w:t>
      </w:r>
      <w:r w:rsidR="00E26349">
        <w:rPr>
          <w:bCs/>
          <w:sz w:val="26"/>
          <w:szCs w:val="26"/>
        </w:rPr>
        <w:t xml:space="preserve"> be inconsistent with </w:t>
      </w:r>
      <w:r w:rsidR="00512AEA">
        <w:rPr>
          <w:bCs/>
          <w:sz w:val="26"/>
          <w:szCs w:val="26"/>
        </w:rPr>
        <w:t xml:space="preserve">these </w:t>
      </w:r>
      <w:r w:rsidR="00387409">
        <w:rPr>
          <w:bCs/>
          <w:sz w:val="26"/>
          <w:szCs w:val="26"/>
        </w:rPr>
        <w:t>federal provisions</w:t>
      </w:r>
      <w:r w:rsidR="00512AEA">
        <w:rPr>
          <w:bCs/>
          <w:sz w:val="26"/>
          <w:szCs w:val="26"/>
        </w:rPr>
        <w:t>: (1) macro</w:t>
      </w:r>
      <w:r w:rsidR="000B2D87">
        <w:rPr>
          <w:bCs/>
          <w:sz w:val="26"/>
          <w:szCs w:val="26"/>
        </w:rPr>
        <w:t xml:space="preserve"> cell towers and other wireless facilities; (2) </w:t>
      </w:r>
      <w:r w:rsidR="00B1266F">
        <w:rPr>
          <w:bCs/>
          <w:sz w:val="26"/>
          <w:szCs w:val="26"/>
        </w:rPr>
        <w:t>unreasonable delays of permitting approvals</w:t>
      </w:r>
      <w:r w:rsidR="0023483B">
        <w:rPr>
          <w:bCs/>
          <w:sz w:val="26"/>
          <w:szCs w:val="26"/>
        </w:rPr>
        <w:t xml:space="preserve">; (3) </w:t>
      </w:r>
      <w:r w:rsidR="00F90AC5">
        <w:rPr>
          <w:bCs/>
          <w:sz w:val="26"/>
          <w:szCs w:val="26"/>
        </w:rPr>
        <w:t>disproportionate or unreasonable state and local fees; (4)</w:t>
      </w:r>
      <w:r w:rsidR="00D00E3A">
        <w:rPr>
          <w:bCs/>
          <w:sz w:val="26"/>
          <w:szCs w:val="26"/>
        </w:rPr>
        <w:t xml:space="preserve"> aesthetic requirements; </w:t>
      </w:r>
      <w:r w:rsidR="00534A7F">
        <w:rPr>
          <w:bCs/>
          <w:sz w:val="26"/>
          <w:szCs w:val="26"/>
        </w:rPr>
        <w:t>and</w:t>
      </w:r>
      <w:r w:rsidR="00D00E3A">
        <w:rPr>
          <w:bCs/>
          <w:sz w:val="26"/>
          <w:szCs w:val="26"/>
        </w:rPr>
        <w:t xml:space="preserve"> </w:t>
      </w:r>
      <w:r w:rsidR="00DB18BA">
        <w:rPr>
          <w:bCs/>
          <w:sz w:val="26"/>
          <w:szCs w:val="26"/>
        </w:rPr>
        <w:t>(5) regulatory impediments (</w:t>
      </w:r>
      <w:r w:rsidRPr="00B611F0" w:rsidR="00DB18BA">
        <w:rPr>
          <w:bCs/>
          <w:i/>
          <w:iCs/>
          <w:sz w:val="26"/>
          <w:szCs w:val="26"/>
        </w:rPr>
        <w:t>i</w:t>
      </w:r>
      <w:r w:rsidRPr="00B611F0" w:rsidR="00DB18BA">
        <w:rPr>
          <w:bCs/>
          <w:sz w:val="26"/>
          <w:szCs w:val="26"/>
        </w:rPr>
        <w:t>.</w:t>
      </w:r>
      <w:r w:rsidRPr="00B611F0" w:rsidR="00DB18BA">
        <w:rPr>
          <w:bCs/>
          <w:i/>
          <w:iCs/>
          <w:sz w:val="26"/>
          <w:szCs w:val="26"/>
        </w:rPr>
        <w:t>e</w:t>
      </w:r>
      <w:r w:rsidR="00DB18BA">
        <w:rPr>
          <w:bCs/>
          <w:sz w:val="26"/>
          <w:szCs w:val="26"/>
        </w:rPr>
        <w:t xml:space="preserve">., </w:t>
      </w:r>
      <w:r w:rsidR="00225C62">
        <w:rPr>
          <w:bCs/>
          <w:sz w:val="26"/>
          <w:szCs w:val="26"/>
        </w:rPr>
        <w:t xml:space="preserve">unlawful regulation of radiofrequency emissions, </w:t>
      </w:r>
      <w:r w:rsidR="00F17AFA">
        <w:rPr>
          <w:bCs/>
          <w:sz w:val="26"/>
          <w:szCs w:val="26"/>
        </w:rPr>
        <w:t>the negative impact of conditional use permits,</w:t>
      </w:r>
      <w:r w:rsidR="0019622D">
        <w:rPr>
          <w:bCs/>
          <w:sz w:val="26"/>
          <w:szCs w:val="26"/>
        </w:rPr>
        <w:t xml:space="preserve"> and</w:t>
      </w:r>
      <w:r w:rsidR="00F17AFA">
        <w:rPr>
          <w:bCs/>
          <w:sz w:val="26"/>
          <w:szCs w:val="26"/>
        </w:rPr>
        <w:t xml:space="preserve"> de facto moratoria on wireless providers).</w:t>
      </w:r>
      <w:r w:rsidR="00290366">
        <w:rPr>
          <w:rStyle w:val="FootnoteReference"/>
          <w:bCs/>
          <w:szCs w:val="26"/>
        </w:rPr>
        <w:footnoteReference w:id="7"/>
      </w:r>
      <w:r w:rsidR="00F17AFA">
        <w:rPr>
          <w:bCs/>
          <w:sz w:val="26"/>
          <w:szCs w:val="26"/>
        </w:rPr>
        <w:t xml:space="preserve">  The </w:t>
      </w:r>
      <w:r w:rsidRPr="00FF068E" w:rsidR="00F17AFA">
        <w:rPr>
          <w:i/>
          <w:sz w:val="26"/>
          <w:szCs w:val="26"/>
        </w:rPr>
        <w:t>NPRM</w:t>
      </w:r>
      <w:r w:rsidR="00F17AFA">
        <w:rPr>
          <w:bCs/>
          <w:sz w:val="26"/>
          <w:szCs w:val="26"/>
        </w:rPr>
        <w:t xml:space="preserve"> also asks whether the </w:t>
      </w:r>
      <w:r w:rsidR="0079116A">
        <w:rPr>
          <w:bCs/>
          <w:sz w:val="26"/>
          <w:szCs w:val="26"/>
        </w:rPr>
        <w:t>FCC</w:t>
      </w:r>
      <w:r w:rsidR="00F17AFA">
        <w:rPr>
          <w:bCs/>
          <w:sz w:val="26"/>
          <w:szCs w:val="26"/>
        </w:rPr>
        <w:t xml:space="preserve"> </w:t>
      </w:r>
      <w:r w:rsidR="00F17AFA">
        <w:rPr>
          <w:bCs/>
          <w:sz w:val="26"/>
          <w:szCs w:val="26"/>
        </w:rPr>
        <w:lastRenderedPageBreak/>
        <w:t xml:space="preserve">should create an accelerated process or “rocket docket” to resolve </w:t>
      </w:r>
      <w:r w:rsidR="0085131E">
        <w:rPr>
          <w:bCs/>
          <w:sz w:val="26"/>
          <w:szCs w:val="26"/>
        </w:rPr>
        <w:t xml:space="preserve">permitting </w:t>
      </w:r>
      <w:r w:rsidR="00F17AFA">
        <w:rPr>
          <w:bCs/>
          <w:sz w:val="26"/>
          <w:szCs w:val="26"/>
        </w:rPr>
        <w:t>disputes under section 253(d)</w:t>
      </w:r>
      <w:r w:rsidR="00DA0A99">
        <w:rPr>
          <w:bCs/>
          <w:sz w:val="26"/>
          <w:szCs w:val="26"/>
        </w:rPr>
        <w:t>.</w:t>
      </w:r>
      <w:r w:rsidR="00EC125B">
        <w:rPr>
          <w:rStyle w:val="FootnoteReference"/>
          <w:bCs/>
          <w:szCs w:val="26"/>
        </w:rPr>
        <w:footnoteReference w:id="8"/>
      </w:r>
      <w:r w:rsidR="00DA0A99">
        <w:rPr>
          <w:bCs/>
          <w:sz w:val="26"/>
          <w:szCs w:val="26"/>
        </w:rPr>
        <w:t xml:space="preserve">  </w:t>
      </w:r>
      <w:r w:rsidR="00F17AFA">
        <w:rPr>
          <w:bCs/>
          <w:sz w:val="26"/>
          <w:szCs w:val="26"/>
        </w:rPr>
        <w:t xml:space="preserve">  </w:t>
      </w:r>
      <w:r w:rsidR="00C65D08">
        <w:rPr>
          <w:bCs/>
          <w:sz w:val="26"/>
          <w:szCs w:val="26"/>
        </w:rPr>
        <w:t xml:space="preserve"> </w:t>
      </w:r>
    </w:p>
    <w:p w:rsidR="002B11B4" w:rsidP="007F0760" w:rsidRDefault="002B11B4" w14:paraId="55CA4538" w14:textId="77777777">
      <w:pPr>
        <w:rPr>
          <w:sz w:val="26"/>
          <w:szCs w:val="26"/>
        </w:rPr>
      </w:pPr>
    </w:p>
    <w:p w:rsidR="00D61E5D" w:rsidP="007F0760" w:rsidRDefault="00D61E5D" w14:paraId="2A4518E3" w14:textId="52953104">
      <w:pPr>
        <w:rPr>
          <w:sz w:val="26"/>
          <w:szCs w:val="26"/>
        </w:rPr>
      </w:pPr>
      <w:r>
        <w:rPr>
          <w:sz w:val="26"/>
          <w:szCs w:val="26"/>
        </w:rPr>
        <w:t xml:space="preserve">Finally, the FCC </w:t>
      </w:r>
      <w:r w:rsidR="00AE4E20">
        <w:rPr>
          <w:sz w:val="26"/>
          <w:szCs w:val="26"/>
        </w:rPr>
        <w:t>asks</w:t>
      </w:r>
      <w:r w:rsidR="00871E99">
        <w:rPr>
          <w:sz w:val="26"/>
          <w:szCs w:val="26"/>
        </w:rPr>
        <w:t xml:space="preserve"> that commenters </w:t>
      </w:r>
      <w:r w:rsidR="000D697D">
        <w:rPr>
          <w:sz w:val="26"/>
          <w:szCs w:val="26"/>
        </w:rPr>
        <w:t>who</w:t>
      </w:r>
      <w:r w:rsidR="00871E99">
        <w:rPr>
          <w:sz w:val="26"/>
          <w:szCs w:val="26"/>
        </w:rPr>
        <w:t xml:space="preserve"> responded to its</w:t>
      </w:r>
      <w:r>
        <w:rPr>
          <w:sz w:val="26"/>
          <w:szCs w:val="26"/>
        </w:rPr>
        <w:t xml:space="preserve"> companion </w:t>
      </w:r>
      <w:r w:rsidRPr="00A65C6C">
        <w:rPr>
          <w:i/>
          <w:iCs/>
          <w:sz w:val="26"/>
          <w:szCs w:val="26"/>
        </w:rPr>
        <w:t>Notice of Inquiry</w:t>
      </w:r>
      <w:r>
        <w:rPr>
          <w:sz w:val="26"/>
          <w:szCs w:val="26"/>
        </w:rPr>
        <w:t xml:space="preserve"> </w:t>
      </w:r>
      <w:r w:rsidR="00127247">
        <w:rPr>
          <w:sz w:val="26"/>
          <w:szCs w:val="26"/>
        </w:rPr>
        <w:t>concerning the</w:t>
      </w:r>
      <w:r w:rsidR="00EB0D34">
        <w:rPr>
          <w:sz w:val="26"/>
          <w:szCs w:val="26"/>
        </w:rPr>
        <w:t xml:space="preserve"> </w:t>
      </w:r>
      <w:r w:rsidR="00361893">
        <w:rPr>
          <w:sz w:val="26"/>
          <w:szCs w:val="26"/>
        </w:rPr>
        <w:t>FCC</w:t>
      </w:r>
      <w:r w:rsidR="00127247">
        <w:rPr>
          <w:sz w:val="26"/>
          <w:szCs w:val="26"/>
        </w:rPr>
        <w:t>’s</w:t>
      </w:r>
      <w:r w:rsidR="00361893">
        <w:rPr>
          <w:sz w:val="26"/>
          <w:szCs w:val="26"/>
        </w:rPr>
        <w:t xml:space="preserve"> </w:t>
      </w:r>
      <w:r w:rsidR="00EB0D34">
        <w:rPr>
          <w:sz w:val="26"/>
          <w:szCs w:val="26"/>
        </w:rPr>
        <w:t xml:space="preserve">preemption authority pursuant to </w:t>
      </w:r>
      <w:r>
        <w:rPr>
          <w:sz w:val="26"/>
          <w:szCs w:val="26"/>
        </w:rPr>
        <w:t>section 253</w:t>
      </w:r>
      <w:r w:rsidR="00EB0D34">
        <w:rPr>
          <w:sz w:val="26"/>
          <w:szCs w:val="26"/>
        </w:rPr>
        <w:t xml:space="preserve"> </w:t>
      </w:r>
      <w:r w:rsidR="00AE4E20">
        <w:rPr>
          <w:sz w:val="26"/>
          <w:szCs w:val="26"/>
        </w:rPr>
        <w:t>in the context of</w:t>
      </w:r>
      <w:r w:rsidR="00E3365A">
        <w:rPr>
          <w:sz w:val="26"/>
          <w:szCs w:val="26"/>
        </w:rPr>
        <w:t xml:space="preserve"> wireline deployment</w:t>
      </w:r>
      <w:r w:rsidR="00DA497E">
        <w:rPr>
          <w:sz w:val="26"/>
          <w:szCs w:val="26"/>
        </w:rPr>
        <w:t xml:space="preserve"> </w:t>
      </w:r>
      <w:r w:rsidR="00F56CA9">
        <w:rPr>
          <w:sz w:val="26"/>
          <w:szCs w:val="26"/>
        </w:rPr>
        <w:t>to</w:t>
      </w:r>
      <w:r w:rsidR="00871E99">
        <w:rPr>
          <w:sz w:val="26"/>
          <w:szCs w:val="26"/>
        </w:rPr>
        <w:t xml:space="preserve"> also </w:t>
      </w:r>
      <w:r w:rsidR="00347E1C">
        <w:rPr>
          <w:sz w:val="26"/>
          <w:szCs w:val="26"/>
        </w:rPr>
        <w:t xml:space="preserve">comment </w:t>
      </w:r>
      <w:r w:rsidR="00871E99">
        <w:rPr>
          <w:sz w:val="26"/>
          <w:szCs w:val="26"/>
        </w:rPr>
        <w:t xml:space="preserve">here on </w:t>
      </w:r>
      <w:r w:rsidR="00AE4E20">
        <w:rPr>
          <w:sz w:val="26"/>
          <w:szCs w:val="26"/>
        </w:rPr>
        <w:t>whether portions of that record bear</w:t>
      </w:r>
      <w:r w:rsidR="0004523B">
        <w:rPr>
          <w:sz w:val="26"/>
          <w:szCs w:val="26"/>
        </w:rPr>
        <w:t xml:space="preserve"> </w:t>
      </w:r>
      <w:r w:rsidR="00AE4E20">
        <w:rPr>
          <w:sz w:val="26"/>
          <w:szCs w:val="26"/>
        </w:rPr>
        <w:t xml:space="preserve">on factual, policy, </w:t>
      </w:r>
      <w:r w:rsidR="00B568AA">
        <w:rPr>
          <w:sz w:val="26"/>
          <w:szCs w:val="26"/>
        </w:rPr>
        <w:t xml:space="preserve">economic, and legal issues raised in this </w:t>
      </w:r>
      <w:r w:rsidRPr="00670369" w:rsidR="00B568AA">
        <w:rPr>
          <w:i/>
          <w:iCs/>
          <w:sz w:val="26"/>
          <w:szCs w:val="26"/>
        </w:rPr>
        <w:t>NPRM</w:t>
      </w:r>
      <w:r w:rsidR="00E3365A">
        <w:rPr>
          <w:sz w:val="26"/>
          <w:szCs w:val="26"/>
        </w:rPr>
        <w:t>.</w:t>
      </w:r>
      <w:r w:rsidR="00271C95">
        <w:rPr>
          <w:rStyle w:val="FootnoteReference"/>
          <w:szCs w:val="26"/>
        </w:rPr>
        <w:footnoteReference w:id="9"/>
      </w:r>
      <w:r w:rsidR="00E3365A">
        <w:rPr>
          <w:sz w:val="26"/>
          <w:szCs w:val="26"/>
        </w:rPr>
        <w:t xml:space="preserve"> </w:t>
      </w:r>
      <w:r w:rsidR="00EB0D34">
        <w:rPr>
          <w:sz w:val="26"/>
          <w:szCs w:val="26"/>
        </w:rPr>
        <w:t xml:space="preserve"> </w:t>
      </w:r>
      <w:r>
        <w:rPr>
          <w:sz w:val="26"/>
          <w:szCs w:val="26"/>
        </w:rPr>
        <w:t xml:space="preserve"> </w:t>
      </w:r>
    </w:p>
    <w:p w:rsidR="00CF77A0" w:rsidP="007F0760" w:rsidRDefault="00CF77A0" w14:paraId="599CFEA7" w14:textId="77777777">
      <w:pPr>
        <w:rPr>
          <w:sz w:val="26"/>
          <w:szCs w:val="26"/>
        </w:rPr>
      </w:pPr>
    </w:p>
    <w:p w:rsidR="001F3325" w:rsidP="00F34CF0" w:rsidRDefault="005918EE" w14:paraId="53B27569" w14:textId="550D1620">
      <w:pPr>
        <w:rPr>
          <w:sz w:val="26"/>
          <w:szCs w:val="26"/>
        </w:rPr>
      </w:pPr>
      <w:r w:rsidRPr="004C5B0B">
        <w:rPr>
          <w:b/>
          <w:sz w:val="26"/>
          <w:szCs w:val="26"/>
          <w:u w:val="single"/>
        </w:rPr>
        <w:t>DISCUSSION</w:t>
      </w:r>
      <w:r w:rsidRPr="004C5B0B">
        <w:rPr>
          <w:b/>
          <w:sz w:val="26"/>
          <w:szCs w:val="26"/>
        </w:rPr>
        <w:t>:</w:t>
      </w:r>
    </w:p>
    <w:p w:rsidR="00C66EFE" w:rsidP="00F34CF0" w:rsidRDefault="00C66EFE" w14:paraId="3EEC2AEF" w14:textId="77777777">
      <w:pPr>
        <w:rPr>
          <w:sz w:val="26"/>
          <w:szCs w:val="26"/>
        </w:rPr>
      </w:pPr>
    </w:p>
    <w:p w:rsidR="00D32424" w:rsidP="00F34CF0" w:rsidRDefault="00D61E5D" w14:paraId="4554CF86" w14:textId="50F88AB5">
      <w:pPr>
        <w:rPr>
          <w:sz w:val="26"/>
          <w:szCs w:val="26"/>
        </w:rPr>
      </w:pPr>
      <w:r>
        <w:rPr>
          <w:sz w:val="26"/>
          <w:szCs w:val="26"/>
        </w:rPr>
        <w:t xml:space="preserve">CPUC </w:t>
      </w:r>
      <w:r w:rsidR="005A1341">
        <w:rPr>
          <w:sz w:val="26"/>
          <w:szCs w:val="26"/>
        </w:rPr>
        <w:t>S</w:t>
      </w:r>
      <w:r>
        <w:rPr>
          <w:sz w:val="26"/>
          <w:szCs w:val="26"/>
        </w:rPr>
        <w:t>taff recommends the C</w:t>
      </w:r>
      <w:r w:rsidR="00947833">
        <w:rPr>
          <w:sz w:val="26"/>
          <w:szCs w:val="26"/>
        </w:rPr>
        <w:t>PUC</w:t>
      </w:r>
      <w:r>
        <w:rPr>
          <w:sz w:val="26"/>
          <w:szCs w:val="26"/>
        </w:rPr>
        <w:t xml:space="preserve"> file opening comments, and if appropriate, reply comments in response to the</w:t>
      </w:r>
      <w:r w:rsidR="001C39D5">
        <w:rPr>
          <w:sz w:val="26"/>
          <w:szCs w:val="26"/>
        </w:rPr>
        <w:t xml:space="preserve"> </w:t>
      </w:r>
      <w:r w:rsidRPr="00C13F0A" w:rsidR="001C39D5">
        <w:rPr>
          <w:i/>
          <w:iCs/>
          <w:sz w:val="26"/>
          <w:szCs w:val="26"/>
        </w:rPr>
        <w:t>NPRM</w:t>
      </w:r>
      <w:r w:rsidR="001C39D5">
        <w:rPr>
          <w:sz w:val="26"/>
          <w:szCs w:val="26"/>
        </w:rPr>
        <w:t xml:space="preserve"> to ensure the FCC’s adherence to 47 U.S.C. § 253 and to protect the rights of </w:t>
      </w:r>
      <w:r w:rsidR="00091582">
        <w:rPr>
          <w:sz w:val="26"/>
          <w:szCs w:val="26"/>
        </w:rPr>
        <w:t>California and its localities under section 253(b) and (c) to “</w:t>
      </w:r>
      <w:r w:rsidRPr="009A6DD3" w:rsidR="009A6DD3">
        <w:rPr>
          <w:sz w:val="26"/>
          <w:szCs w:val="26"/>
        </w:rPr>
        <w:t>preserve and advance universal service, protect the public safety and welfare, ensure the continued quality of telecommunications services, and safeguard the rights of consumers” and “manage the public rights-of-way or to require fair and reasonable compensation from telecommunications providers, on a competitively neutral and nondiscriminatory basis, for use of public rights-of-way.”</w:t>
      </w:r>
      <w:r w:rsidR="00065F5E">
        <w:rPr>
          <w:sz w:val="26"/>
          <w:szCs w:val="26"/>
        </w:rPr>
        <w:t xml:space="preserve">  </w:t>
      </w:r>
      <w:r w:rsidR="00E746AD">
        <w:rPr>
          <w:sz w:val="26"/>
          <w:szCs w:val="26"/>
        </w:rPr>
        <w:t>Staff similarly recommends filing comment</w:t>
      </w:r>
      <w:r w:rsidR="006F2082">
        <w:rPr>
          <w:sz w:val="26"/>
          <w:szCs w:val="26"/>
        </w:rPr>
        <w:t>s to ensure the FCC</w:t>
      </w:r>
      <w:r w:rsidR="0099334A">
        <w:rPr>
          <w:sz w:val="26"/>
          <w:szCs w:val="26"/>
        </w:rPr>
        <w:t xml:space="preserve">’s </w:t>
      </w:r>
      <w:r w:rsidR="001E6EF6">
        <w:rPr>
          <w:sz w:val="26"/>
          <w:szCs w:val="26"/>
        </w:rPr>
        <w:t xml:space="preserve">adherence to </w:t>
      </w:r>
      <w:r w:rsidR="00286F5E">
        <w:rPr>
          <w:sz w:val="26"/>
          <w:szCs w:val="26"/>
        </w:rPr>
        <w:t xml:space="preserve">47 U.S.C § </w:t>
      </w:r>
      <w:r w:rsidR="00363286">
        <w:rPr>
          <w:sz w:val="26"/>
          <w:szCs w:val="26"/>
        </w:rPr>
        <w:t>332</w:t>
      </w:r>
      <w:r w:rsidR="002B1061">
        <w:rPr>
          <w:sz w:val="26"/>
          <w:szCs w:val="26"/>
        </w:rPr>
        <w:t xml:space="preserve">, which </w:t>
      </w:r>
      <w:r w:rsidR="006F1EF4">
        <w:rPr>
          <w:sz w:val="26"/>
          <w:szCs w:val="26"/>
        </w:rPr>
        <w:t xml:space="preserve">preserves state and </w:t>
      </w:r>
      <w:r w:rsidR="006F1CA4">
        <w:rPr>
          <w:sz w:val="26"/>
          <w:szCs w:val="26"/>
        </w:rPr>
        <w:t xml:space="preserve">local authority over </w:t>
      </w:r>
      <w:r w:rsidR="00C576C6">
        <w:rPr>
          <w:sz w:val="26"/>
          <w:szCs w:val="26"/>
        </w:rPr>
        <w:t xml:space="preserve">wireless </w:t>
      </w:r>
      <w:r w:rsidR="00AE408F">
        <w:rPr>
          <w:sz w:val="26"/>
          <w:szCs w:val="26"/>
        </w:rPr>
        <w:t xml:space="preserve">matters related to </w:t>
      </w:r>
      <w:r w:rsidR="00144CBB">
        <w:rPr>
          <w:sz w:val="26"/>
          <w:szCs w:val="26"/>
        </w:rPr>
        <w:t>consumer protection and</w:t>
      </w:r>
      <w:r w:rsidR="00B56ECD">
        <w:rPr>
          <w:sz w:val="26"/>
          <w:szCs w:val="26"/>
        </w:rPr>
        <w:t xml:space="preserve"> local zoning.</w:t>
      </w:r>
      <w:r w:rsidR="00144CBB">
        <w:rPr>
          <w:sz w:val="26"/>
          <w:szCs w:val="26"/>
        </w:rPr>
        <w:t xml:space="preserve"> </w:t>
      </w:r>
      <w:r w:rsidR="000C5302">
        <w:rPr>
          <w:sz w:val="26"/>
          <w:szCs w:val="26"/>
        </w:rPr>
        <w:t xml:space="preserve"> </w:t>
      </w:r>
      <w:r w:rsidR="00A97A21">
        <w:rPr>
          <w:sz w:val="26"/>
          <w:szCs w:val="26"/>
        </w:rPr>
        <w:t xml:space="preserve"> </w:t>
      </w:r>
      <w:r w:rsidR="006F2082">
        <w:rPr>
          <w:sz w:val="26"/>
          <w:szCs w:val="26"/>
        </w:rPr>
        <w:t xml:space="preserve"> </w:t>
      </w:r>
      <w:r w:rsidR="00452E75">
        <w:rPr>
          <w:sz w:val="26"/>
          <w:szCs w:val="26"/>
        </w:rPr>
        <w:t xml:space="preserve"> </w:t>
      </w:r>
      <w:r w:rsidR="00065F5E">
        <w:rPr>
          <w:sz w:val="26"/>
          <w:szCs w:val="26"/>
        </w:rPr>
        <w:t xml:space="preserve"> </w:t>
      </w:r>
    </w:p>
    <w:p w:rsidR="00FA50D6" w:rsidP="00F34CF0" w:rsidRDefault="00FA50D6" w14:paraId="63B837AB" w14:textId="03C10BC7">
      <w:pPr>
        <w:rPr>
          <w:sz w:val="26"/>
          <w:szCs w:val="26"/>
        </w:rPr>
      </w:pPr>
    </w:p>
    <w:p w:rsidR="00B22724" w:rsidP="00F34CF0" w:rsidRDefault="00E34DB3" w14:paraId="6414DCE6" w14:textId="3F8BC03F">
      <w:pPr>
        <w:rPr>
          <w:sz w:val="26"/>
          <w:szCs w:val="26"/>
        </w:rPr>
      </w:pPr>
      <w:r>
        <w:rPr>
          <w:sz w:val="26"/>
          <w:szCs w:val="26"/>
        </w:rPr>
        <w:t xml:space="preserve">As a general matter, </w:t>
      </w:r>
      <w:r w:rsidR="0067286F">
        <w:rPr>
          <w:sz w:val="26"/>
          <w:szCs w:val="26"/>
        </w:rPr>
        <w:t xml:space="preserve">CPUC Staff recommends the CPUC reiterate its previous positions with regard to the FCC’s preemption authority </w:t>
      </w:r>
      <w:r w:rsidR="00571307">
        <w:rPr>
          <w:sz w:val="26"/>
          <w:szCs w:val="26"/>
        </w:rPr>
        <w:t>under</w:t>
      </w:r>
      <w:r w:rsidR="0067286F">
        <w:rPr>
          <w:sz w:val="26"/>
          <w:szCs w:val="26"/>
        </w:rPr>
        <w:t xml:space="preserve"> section 253, which should be done through case-by-case adjudication, rather than through categori</w:t>
      </w:r>
      <w:r w:rsidR="00A502AB">
        <w:rPr>
          <w:sz w:val="26"/>
          <w:szCs w:val="26"/>
        </w:rPr>
        <w:t>c</w:t>
      </w:r>
      <w:r w:rsidR="0067286F">
        <w:rPr>
          <w:sz w:val="26"/>
          <w:szCs w:val="26"/>
        </w:rPr>
        <w:t>al rulemaking.</w:t>
      </w:r>
      <w:r w:rsidR="00340DBB">
        <w:rPr>
          <w:rStyle w:val="FootnoteReference"/>
          <w:szCs w:val="26"/>
        </w:rPr>
        <w:footnoteReference w:id="10"/>
      </w:r>
      <w:r w:rsidR="007D4A86">
        <w:rPr>
          <w:sz w:val="26"/>
          <w:szCs w:val="26"/>
        </w:rPr>
        <w:t xml:space="preserve"> </w:t>
      </w:r>
      <w:r w:rsidR="00C13F0A">
        <w:rPr>
          <w:sz w:val="26"/>
          <w:szCs w:val="26"/>
        </w:rPr>
        <w:t xml:space="preserve"> </w:t>
      </w:r>
      <w:r w:rsidR="00C33A1A">
        <w:rPr>
          <w:sz w:val="26"/>
          <w:szCs w:val="26"/>
        </w:rPr>
        <w:t xml:space="preserve">Staff recommends </w:t>
      </w:r>
      <w:r w:rsidR="004D2690">
        <w:rPr>
          <w:sz w:val="26"/>
          <w:szCs w:val="26"/>
        </w:rPr>
        <w:t xml:space="preserve">referencing the CPUC comments </w:t>
      </w:r>
      <w:r w:rsidR="00C13F0A">
        <w:rPr>
          <w:sz w:val="26"/>
          <w:szCs w:val="26"/>
        </w:rPr>
        <w:t xml:space="preserve">in </w:t>
      </w:r>
      <w:r w:rsidR="00617D40">
        <w:rPr>
          <w:sz w:val="26"/>
          <w:szCs w:val="26"/>
        </w:rPr>
        <w:t xml:space="preserve">the FCC’s companion </w:t>
      </w:r>
      <w:r w:rsidRPr="00617D40" w:rsidR="00617D40">
        <w:rPr>
          <w:i/>
          <w:iCs/>
          <w:sz w:val="26"/>
          <w:szCs w:val="26"/>
        </w:rPr>
        <w:t>NOI</w:t>
      </w:r>
      <w:r w:rsidR="007D3B20">
        <w:rPr>
          <w:sz w:val="26"/>
          <w:szCs w:val="26"/>
        </w:rPr>
        <w:t xml:space="preserve"> </w:t>
      </w:r>
      <w:r w:rsidR="00C13F0A">
        <w:rPr>
          <w:sz w:val="26"/>
          <w:szCs w:val="26"/>
        </w:rPr>
        <w:t xml:space="preserve">to </w:t>
      </w:r>
      <w:r w:rsidR="00B04A49">
        <w:rPr>
          <w:sz w:val="26"/>
          <w:szCs w:val="26"/>
        </w:rPr>
        <w:t>support</w:t>
      </w:r>
      <w:r w:rsidR="00DD701D">
        <w:rPr>
          <w:sz w:val="26"/>
          <w:szCs w:val="26"/>
        </w:rPr>
        <w:t xml:space="preserve"> </w:t>
      </w:r>
      <w:r w:rsidR="00C13F0A">
        <w:rPr>
          <w:sz w:val="26"/>
          <w:szCs w:val="26"/>
        </w:rPr>
        <w:t xml:space="preserve">the CPUC’s comments in </w:t>
      </w:r>
      <w:r w:rsidR="00DD701D">
        <w:rPr>
          <w:sz w:val="26"/>
          <w:szCs w:val="26"/>
        </w:rPr>
        <w:t>this proceedin</w:t>
      </w:r>
      <w:r w:rsidR="0093404D">
        <w:rPr>
          <w:sz w:val="26"/>
          <w:szCs w:val="26"/>
        </w:rPr>
        <w:t>g</w:t>
      </w:r>
      <w:r w:rsidR="007D3B20">
        <w:rPr>
          <w:sz w:val="26"/>
          <w:szCs w:val="26"/>
        </w:rPr>
        <w:t xml:space="preserve"> to preserv</w:t>
      </w:r>
      <w:r w:rsidR="008677EB">
        <w:rPr>
          <w:sz w:val="26"/>
          <w:szCs w:val="26"/>
        </w:rPr>
        <w:t>e essential</w:t>
      </w:r>
      <w:r w:rsidR="007D3B20">
        <w:rPr>
          <w:sz w:val="26"/>
          <w:szCs w:val="26"/>
        </w:rPr>
        <w:t xml:space="preserve"> state and local authority </w:t>
      </w:r>
      <w:r w:rsidR="008677EB">
        <w:rPr>
          <w:sz w:val="26"/>
          <w:szCs w:val="26"/>
        </w:rPr>
        <w:t xml:space="preserve">over wireless infrastructure oversight.  </w:t>
      </w:r>
      <w:r w:rsidR="003C3400">
        <w:rPr>
          <w:sz w:val="26"/>
          <w:szCs w:val="26"/>
        </w:rPr>
        <w:t>This is e</w:t>
      </w:r>
      <w:r w:rsidR="00AA7612">
        <w:rPr>
          <w:sz w:val="26"/>
          <w:szCs w:val="26"/>
        </w:rPr>
        <w:t xml:space="preserve">specially </w:t>
      </w:r>
      <w:r w:rsidR="003C3400">
        <w:rPr>
          <w:sz w:val="26"/>
          <w:szCs w:val="26"/>
        </w:rPr>
        <w:t xml:space="preserve">critical </w:t>
      </w:r>
      <w:r w:rsidR="00AA7612">
        <w:rPr>
          <w:sz w:val="26"/>
          <w:szCs w:val="26"/>
        </w:rPr>
        <w:t xml:space="preserve">if </w:t>
      </w:r>
      <w:r w:rsidR="003C3400">
        <w:rPr>
          <w:sz w:val="26"/>
          <w:szCs w:val="26"/>
        </w:rPr>
        <w:t xml:space="preserve">deployment is done rapidly but </w:t>
      </w:r>
      <w:r w:rsidR="00D711AA">
        <w:rPr>
          <w:sz w:val="26"/>
          <w:szCs w:val="26"/>
        </w:rPr>
        <w:t>without appropriate review</w:t>
      </w:r>
      <w:r w:rsidR="00AA7612">
        <w:rPr>
          <w:sz w:val="26"/>
          <w:szCs w:val="26"/>
        </w:rPr>
        <w:t>, input, and oversight from states and localities who are on the ground and have situational awareness</w:t>
      </w:r>
      <w:r w:rsidR="00D8530D">
        <w:rPr>
          <w:sz w:val="26"/>
          <w:szCs w:val="26"/>
        </w:rPr>
        <w:t xml:space="preserve"> of</w:t>
      </w:r>
      <w:r w:rsidR="00EA1DF0">
        <w:rPr>
          <w:sz w:val="26"/>
          <w:szCs w:val="26"/>
        </w:rPr>
        <w:t xml:space="preserve"> potential</w:t>
      </w:r>
      <w:r w:rsidR="00D8530D">
        <w:rPr>
          <w:sz w:val="26"/>
          <w:szCs w:val="26"/>
        </w:rPr>
        <w:t xml:space="preserve"> deployment</w:t>
      </w:r>
      <w:r w:rsidR="00EA1DF0">
        <w:rPr>
          <w:sz w:val="26"/>
          <w:szCs w:val="26"/>
        </w:rPr>
        <w:t xml:space="preserve"> issues</w:t>
      </w:r>
      <w:r w:rsidR="00AA7612">
        <w:rPr>
          <w:sz w:val="26"/>
          <w:szCs w:val="26"/>
        </w:rPr>
        <w:t>.</w:t>
      </w:r>
      <w:r w:rsidR="007D3B20">
        <w:rPr>
          <w:sz w:val="26"/>
          <w:szCs w:val="26"/>
        </w:rPr>
        <w:t xml:space="preserve"> </w:t>
      </w:r>
      <w:r w:rsidR="00617D40">
        <w:rPr>
          <w:sz w:val="26"/>
          <w:szCs w:val="26"/>
        </w:rPr>
        <w:t xml:space="preserve">  </w:t>
      </w:r>
    </w:p>
    <w:p w:rsidR="00FA50D6" w:rsidP="00E96823" w:rsidRDefault="00FA50D6" w14:paraId="74C959B8" w14:textId="272CD525">
      <w:pPr>
        <w:rPr>
          <w:sz w:val="26"/>
          <w:szCs w:val="26"/>
        </w:rPr>
      </w:pPr>
    </w:p>
    <w:p w:rsidR="006D3571" w:rsidP="00E96823" w:rsidRDefault="00E96823" w14:paraId="7F6628ED" w14:textId="4AF98D6C">
      <w:pPr>
        <w:rPr>
          <w:sz w:val="26"/>
          <w:szCs w:val="26"/>
        </w:rPr>
      </w:pPr>
      <w:r>
        <w:rPr>
          <w:sz w:val="26"/>
          <w:szCs w:val="26"/>
        </w:rPr>
        <w:t>The CPUC should highlight in opening comments how wireless deployment affects federal, state</w:t>
      </w:r>
      <w:r w:rsidR="003376E4">
        <w:rPr>
          <w:sz w:val="26"/>
          <w:szCs w:val="26"/>
        </w:rPr>
        <w:t>,</w:t>
      </w:r>
      <w:r>
        <w:rPr>
          <w:sz w:val="26"/>
          <w:szCs w:val="26"/>
        </w:rPr>
        <w:t xml:space="preserve"> and local jurisdictions and therefore all jurisdictions share in the responsibility to ensure safe, reliable, and reasonable wireless deployment.</w:t>
      </w:r>
      <w:r w:rsidR="006D3571">
        <w:rPr>
          <w:sz w:val="26"/>
          <w:szCs w:val="26"/>
        </w:rPr>
        <w:t xml:space="preserve">  While </w:t>
      </w:r>
      <w:r w:rsidRPr="006D3571" w:rsidR="006D3571">
        <w:rPr>
          <w:sz w:val="26"/>
          <w:szCs w:val="26"/>
        </w:rPr>
        <w:t xml:space="preserve">the deployment of advanced wireless infrastructure, including 5G and beyond, </w:t>
      </w:r>
      <w:r w:rsidR="006D3571">
        <w:rPr>
          <w:sz w:val="26"/>
          <w:szCs w:val="26"/>
        </w:rPr>
        <w:t xml:space="preserve">increases </w:t>
      </w:r>
      <w:r w:rsidRPr="006D3571" w:rsidR="006D3571">
        <w:rPr>
          <w:sz w:val="26"/>
          <w:szCs w:val="26"/>
        </w:rPr>
        <w:t>connectivity for communities</w:t>
      </w:r>
      <w:r w:rsidR="006D3571">
        <w:rPr>
          <w:sz w:val="26"/>
          <w:szCs w:val="26"/>
        </w:rPr>
        <w:t>, its rapid deployment should</w:t>
      </w:r>
      <w:r w:rsidR="002F20CA">
        <w:rPr>
          <w:sz w:val="26"/>
          <w:szCs w:val="26"/>
        </w:rPr>
        <w:t xml:space="preserve"> be done in a manner that does </w:t>
      </w:r>
      <w:r w:rsidR="002F20CA">
        <w:rPr>
          <w:sz w:val="26"/>
          <w:szCs w:val="26"/>
        </w:rPr>
        <w:lastRenderedPageBreak/>
        <w:t xml:space="preserve">not hinder or impede states and local governments’ abilities to carry out their duties to </w:t>
      </w:r>
      <w:r w:rsidRPr="006D3571" w:rsidR="006D3571">
        <w:rPr>
          <w:sz w:val="26"/>
          <w:szCs w:val="26"/>
        </w:rPr>
        <w:t>protect public safety, ensure reliability, and safeguard communities from adverse impacts</w:t>
      </w:r>
      <w:r w:rsidR="004B0BCF">
        <w:rPr>
          <w:sz w:val="26"/>
          <w:szCs w:val="26"/>
        </w:rPr>
        <w:t xml:space="preserve"> of the FCC’s proposed reforms</w:t>
      </w:r>
      <w:r w:rsidR="00C766F4">
        <w:rPr>
          <w:sz w:val="26"/>
          <w:szCs w:val="26"/>
        </w:rPr>
        <w:t xml:space="preserve"> and expedite</w:t>
      </w:r>
      <w:r w:rsidR="00346CDB">
        <w:rPr>
          <w:sz w:val="26"/>
          <w:szCs w:val="26"/>
        </w:rPr>
        <w:t>d</w:t>
      </w:r>
      <w:r w:rsidR="00C766F4">
        <w:rPr>
          <w:sz w:val="26"/>
          <w:szCs w:val="26"/>
        </w:rPr>
        <w:t xml:space="preserve"> processes for rapid wireless deployment</w:t>
      </w:r>
      <w:r w:rsidRPr="006D3571" w:rsidR="006D3571">
        <w:rPr>
          <w:sz w:val="26"/>
          <w:szCs w:val="26"/>
        </w:rPr>
        <w:t>.</w:t>
      </w:r>
      <w:r w:rsidR="00FA50D6">
        <w:rPr>
          <w:sz w:val="26"/>
          <w:szCs w:val="26"/>
        </w:rPr>
        <w:t xml:space="preserve"> </w:t>
      </w:r>
    </w:p>
    <w:p w:rsidR="006D3571" w:rsidP="00E96823" w:rsidRDefault="006D3571" w14:paraId="791682D7" w14:textId="77777777">
      <w:pPr>
        <w:rPr>
          <w:sz w:val="26"/>
          <w:szCs w:val="26"/>
        </w:rPr>
      </w:pPr>
    </w:p>
    <w:p w:rsidR="00551F4D" w:rsidP="00E96823" w:rsidRDefault="00551F4D" w14:paraId="5A68D368" w14:textId="1B3BE009">
      <w:pPr>
        <w:rPr>
          <w:sz w:val="26"/>
          <w:szCs w:val="26"/>
        </w:rPr>
      </w:pPr>
      <w:r>
        <w:rPr>
          <w:sz w:val="26"/>
          <w:szCs w:val="26"/>
        </w:rPr>
        <w:t>For example, the CPUC should comment on</w:t>
      </w:r>
      <w:r w:rsidR="00EA73F5">
        <w:rPr>
          <w:sz w:val="26"/>
          <w:szCs w:val="26"/>
        </w:rPr>
        <w:t xml:space="preserve"> FCC preempt</w:t>
      </w:r>
      <w:r w:rsidR="002C144D">
        <w:rPr>
          <w:sz w:val="26"/>
          <w:szCs w:val="26"/>
        </w:rPr>
        <w:t>ion of</w:t>
      </w:r>
      <w:r w:rsidR="00EA73F5">
        <w:rPr>
          <w:sz w:val="26"/>
          <w:szCs w:val="26"/>
        </w:rPr>
        <w:t xml:space="preserve"> </w:t>
      </w:r>
      <w:r w:rsidR="00FD2E7F">
        <w:rPr>
          <w:sz w:val="26"/>
          <w:szCs w:val="26"/>
        </w:rPr>
        <w:t xml:space="preserve">state and </w:t>
      </w:r>
      <w:r w:rsidR="00EA73F5">
        <w:rPr>
          <w:sz w:val="26"/>
          <w:szCs w:val="26"/>
        </w:rPr>
        <w:t xml:space="preserve">local </w:t>
      </w:r>
      <w:r w:rsidR="00026C68">
        <w:rPr>
          <w:sz w:val="26"/>
          <w:szCs w:val="26"/>
        </w:rPr>
        <w:t>laws and requirements</w:t>
      </w:r>
      <w:r w:rsidR="00EA73F5">
        <w:rPr>
          <w:sz w:val="26"/>
          <w:szCs w:val="26"/>
        </w:rPr>
        <w:t xml:space="preserve"> and conditional use permit</w:t>
      </w:r>
      <w:r w:rsidR="00B00F31">
        <w:rPr>
          <w:sz w:val="26"/>
          <w:szCs w:val="26"/>
        </w:rPr>
        <w:t xml:space="preserve"> issues</w:t>
      </w:r>
      <w:r w:rsidR="00EA73F5">
        <w:rPr>
          <w:sz w:val="26"/>
          <w:szCs w:val="26"/>
        </w:rPr>
        <w:t xml:space="preserve"> that </w:t>
      </w:r>
      <w:r w:rsidR="00632090">
        <w:rPr>
          <w:sz w:val="26"/>
          <w:szCs w:val="26"/>
        </w:rPr>
        <w:t xml:space="preserve">involve </w:t>
      </w:r>
      <w:r w:rsidR="00C95654">
        <w:rPr>
          <w:sz w:val="26"/>
          <w:szCs w:val="26"/>
        </w:rPr>
        <w:t xml:space="preserve">the </w:t>
      </w:r>
      <w:r w:rsidR="00EA73F5">
        <w:rPr>
          <w:sz w:val="26"/>
          <w:szCs w:val="26"/>
        </w:rPr>
        <w:t xml:space="preserve">safety </w:t>
      </w:r>
      <w:r w:rsidR="00EC6688">
        <w:rPr>
          <w:sz w:val="26"/>
          <w:szCs w:val="26"/>
        </w:rPr>
        <w:t>of</w:t>
      </w:r>
      <w:r w:rsidR="00EA73F5">
        <w:rPr>
          <w:sz w:val="26"/>
          <w:szCs w:val="26"/>
        </w:rPr>
        <w:t xml:space="preserve"> wireless facilities.  (</w:t>
      </w:r>
      <w:r w:rsidRPr="00453083" w:rsidR="00FE5D9C">
        <w:rPr>
          <w:i/>
          <w:iCs/>
          <w:sz w:val="26"/>
          <w:szCs w:val="26"/>
        </w:rPr>
        <w:t>NPRM</w:t>
      </w:r>
      <w:r w:rsidRPr="00FE5D9C" w:rsidR="00FE5D9C">
        <w:rPr>
          <w:sz w:val="26"/>
          <w:szCs w:val="26"/>
        </w:rPr>
        <w:t xml:space="preserve"> at ¶¶ 2</w:t>
      </w:r>
      <w:r w:rsidR="00632FB0">
        <w:rPr>
          <w:sz w:val="26"/>
          <w:szCs w:val="26"/>
        </w:rPr>
        <w:t>3-27</w:t>
      </w:r>
      <w:r w:rsidRPr="00FE5D9C" w:rsidR="00FE5D9C">
        <w:rPr>
          <w:sz w:val="26"/>
          <w:szCs w:val="26"/>
        </w:rPr>
        <w:t>.</w:t>
      </w:r>
      <w:r w:rsidR="00C94319">
        <w:rPr>
          <w:sz w:val="26"/>
          <w:szCs w:val="26"/>
        </w:rPr>
        <w:t>)</w:t>
      </w:r>
      <w:r w:rsidR="00D378A5">
        <w:rPr>
          <w:sz w:val="26"/>
          <w:szCs w:val="26"/>
        </w:rPr>
        <w:t xml:space="preserve">  </w:t>
      </w:r>
      <w:r w:rsidR="003034A5">
        <w:rPr>
          <w:sz w:val="26"/>
          <w:szCs w:val="26"/>
        </w:rPr>
        <w:t>Federal preemption</w:t>
      </w:r>
      <w:r w:rsidR="000D7404">
        <w:rPr>
          <w:sz w:val="26"/>
          <w:szCs w:val="26"/>
        </w:rPr>
        <w:t xml:space="preserve"> that overrides </w:t>
      </w:r>
      <w:r w:rsidR="00BF6439">
        <w:rPr>
          <w:sz w:val="26"/>
          <w:szCs w:val="26"/>
        </w:rPr>
        <w:t xml:space="preserve">California </w:t>
      </w:r>
      <w:r w:rsidR="005D5C2B">
        <w:rPr>
          <w:sz w:val="26"/>
          <w:szCs w:val="26"/>
        </w:rPr>
        <w:t xml:space="preserve">and local laws </w:t>
      </w:r>
      <w:r w:rsidR="00DB141F">
        <w:rPr>
          <w:sz w:val="26"/>
          <w:szCs w:val="26"/>
        </w:rPr>
        <w:t xml:space="preserve">or </w:t>
      </w:r>
      <w:r w:rsidR="005D5C2B">
        <w:rPr>
          <w:sz w:val="26"/>
          <w:szCs w:val="26"/>
        </w:rPr>
        <w:t>requirements that a</w:t>
      </w:r>
      <w:r w:rsidR="00CD62D9">
        <w:rPr>
          <w:sz w:val="26"/>
          <w:szCs w:val="26"/>
        </w:rPr>
        <w:t>ct as</w:t>
      </w:r>
      <w:r w:rsidR="005D5C2B">
        <w:rPr>
          <w:sz w:val="26"/>
          <w:szCs w:val="26"/>
        </w:rPr>
        <w:t xml:space="preserve"> </w:t>
      </w:r>
      <w:r w:rsidR="00BF6439">
        <w:rPr>
          <w:sz w:val="26"/>
          <w:szCs w:val="26"/>
        </w:rPr>
        <w:t>safeguards</w:t>
      </w:r>
      <w:r w:rsidR="005D5C2B">
        <w:rPr>
          <w:sz w:val="26"/>
          <w:szCs w:val="26"/>
        </w:rPr>
        <w:t xml:space="preserve"> to protect public safety</w:t>
      </w:r>
      <w:r w:rsidR="002D73D0">
        <w:rPr>
          <w:sz w:val="26"/>
          <w:szCs w:val="26"/>
        </w:rPr>
        <w:t xml:space="preserve">, </w:t>
      </w:r>
      <w:r w:rsidR="002F2FC8">
        <w:rPr>
          <w:sz w:val="26"/>
          <w:szCs w:val="26"/>
        </w:rPr>
        <w:t xml:space="preserve">network </w:t>
      </w:r>
      <w:r w:rsidR="002D73D0">
        <w:rPr>
          <w:sz w:val="26"/>
          <w:szCs w:val="26"/>
        </w:rPr>
        <w:t>reliability</w:t>
      </w:r>
      <w:r w:rsidR="00D361F9">
        <w:rPr>
          <w:sz w:val="26"/>
          <w:szCs w:val="26"/>
        </w:rPr>
        <w:t xml:space="preserve"> and resiliency</w:t>
      </w:r>
      <w:r w:rsidR="002D73D0">
        <w:rPr>
          <w:sz w:val="26"/>
          <w:szCs w:val="26"/>
        </w:rPr>
        <w:t>, and emergency preparedness</w:t>
      </w:r>
      <w:r w:rsidR="000D7404">
        <w:rPr>
          <w:sz w:val="26"/>
          <w:szCs w:val="26"/>
        </w:rPr>
        <w:t xml:space="preserve"> would undermine California’s ability to protect its residents from disasters such as wildfires, earthquakes,</w:t>
      </w:r>
      <w:r w:rsidR="006F1108">
        <w:rPr>
          <w:sz w:val="26"/>
          <w:szCs w:val="26"/>
        </w:rPr>
        <w:t xml:space="preserve"> flooding</w:t>
      </w:r>
      <w:r w:rsidR="009C4D26">
        <w:rPr>
          <w:sz w:val="26"/>
          <w:szCs w:val="26"/>
        </w:rPr>
        <w:t>,</w:t>
      </w:r>
      <w:r w:rsidR="000D7404">
        <w:rPr>
          <w:sz w:val="26"/>
          <w:szCs w:val="26"/>
        </w:rPr>
        <w:t xml:space="preserve"> and other </w:t>
      </w:r>
      <w:r w:rsidR="00861B88">
        <w:rPr>
          <w:sz w:val="26"/>
          <w:szCs w:val="26"/>
        </w:rPr>
        <w:t>statewide</w:t>
      </w:r>
      <w:r w:rsidR="00807EEC">
        <w:rPr>
          <w:sz w:val="26"/>
          <w:szCs w:val="26"/>
        </w:rPr>
        <w:t>/local</w:t>
      </w:r>
      <w:r w:rsidR="00861B88">
        <w:rPr>
          <w:sz w:val="26"/>
          <w:szCs w:val="26"/>
        </w:rPr>
        <w:t xml:space="preserve"> </w:t>
      </w:r>
      <w:r w:rsidR="000D7404">
        <w:rPr>
          <w:sz w:val="26"/>
          <w:szCs w:val="26"/>
        </w:rPr>
        <w:t>threats.</w:t>
      </w:r>
      <w:r w:rsidR="003034A5">
        <w:rPr>
          <w:sz w:val="26"/>
          <w:szCs w:val="26"/>
        </w:rPr>
        <w:t xml:space="preserve"> </w:t>
      </w:r>
    </w:p>
    <w:p w:rsidR="00E96823" w:rsidP="00E96823" w:rsidRDefault="00E96823" w14:paraId="11F63E65" w14:textId="58F83512">
      <w:pPr>
        <w:rPr>
          <w:sz w:val="26"/>
          <w:szCs w:val="26"/>
        </w:rPr>
      </w:pPr>
    </w:p>
    <w:p w:rsidR="00D378A5" w:rsidP="00E96823" w:rsidRDefault="009E6770" w14:paraId="2A340770" w14:textId="009C9746">
      <w:pPr>
        <w:rPr>
          <w:sz w:val="26"/>
          <w:szCs w:val="26"/>
        </w:rPr>
      </w:pPr>
      <w:r>
        <w:rPr>
          <w:sz w:val="26"/>
          <w:szCs w:val="26"/>
        </w:rPr>
        <w:t xml:space="preserve">The </w:t>
      </w:r>
      <w:r w:rsidRPr="009E6770">
        <w:rPr>
          <w:i/>
          <w:iCs/>
          <w:sz w:val="26"/>
          <w:szCs w:val="26"/>
        </w:rPr>
        <w:t>NPRM</w:t>
      </w:r>
      <w:r>
        <w:rPr>
          <w:sz w:val="26"/>
          <w:szCs w:val="26"/>
        </w:rPr>
        <w:t xml:space="preserve"> also raises the </w:t>
      </w:r>
      <w:r w:rsidR="003A632D">
        <w:rPr>
          <w:sz w:val="26"/>
          <w:szCs w:val="26"/>
        </w:rPr>
        <w:t xml:space="preserve">possibility of preempting </w:t>
      </w:r>
      <w:r w:rsidR="008D598D">
        <w:rPr>
          <w:sz w:val="26"/>
          <w:szCs w:val="26"/>
        </w:rPr>
        <w:t xml:space="preserve">state and </w:t>
      </w:r>
      <w:r w:rsidR="003A632D">
        <w:rPr>
          <w:sz w:val="26"/>
          <w:szCs w:val="26"/>
        </w:rPr>
        <w:t xml:space="preserve">local aesthetic </w:t>
      </w:r>
      <w:r w:rsidR="00FD74D7">
        <w:rPr>
          <w:sz w:val="26"/>
          <w:szCs w:val="26"/>
        </w:rPr>
        <w:t xml:space="preserve">requirements </w:t>
      </w:r>
      <w:r w:rsidR="003A632D">
        <w:rPr>
          <w:sz w:val="26"/>
          <w:szCs w:val="26"/>
        </w:rPr>
        <w:t>and renewal processes for</w:t>
      </w:r>
      <w:r w:rsidR="00F23F90">
        <w:rPr>
          <w:sz w:val="26"/>
          <w:szCs w:val="26"/>
        </w:rPr>
        <w:t xml:space="preserve"> permits</w:t>
      </w:r>
      <w:r w:rsidR="003A632D">
        <w:rPr>
          <w:sz w:val="26"/>
          <w:szCs w:val="26"/>
        </w:rPr>
        <w:t>.</w:t>
      </w:r>
      <w:r w:rsidR="00453083">
        <w:rPr>
          <w:sz w:val="26"/>
          <w:szCs w:val="26"/>
        </w:rPr>
        <w:t xml:space="preserve">  (</w:t>
      </w:r>
      <w:r w:rsidRPr="00453083" w:rsidR="00453083">
        <w:rPr>
          <w:i/>
          <w:iCs/>
          <w:sz w:val="26"/>
          <w:szCs w:val="26"/>
        </w:rPr>
        <w:t>NPRM</w:t>
      </w:r>
      <w:r w:rsidR="00453083">
        <w:rPr>
          <w:sz w:val="26"/>
          <w:szCs w:val="26"/>
        </w:rPr>
        <w:t xml:space="preserve"> </w:t>
      </w:r>
      <w:r w:rsidR="00B76DA9">
        <w:rPr>
          <w:sz w:val="26"/>
          <w:szCs w:val="26"/>
        </w:rPr>
        <w:t>at</w:t>
      </w:r>
      <w:r w:rsidR="00610F71">
        <w:rPr>
          <w:sz w:val="26"/>
          <w:szCs w:val="26"/>
        </w:rPr>
        <w:t xml:space="preserve"> </w:t>
      </w:r>
      <w:r w:rsidRPr="00FE5D9C" w:rsidR="00610F71">
        <w:rPr>
          <w:sz w:val="26"/>
          <w:szCs w:val="26"/>
        </w:rPr>
        <w:t xml:space="preserve">¶¶ </w:t>
      </w:r>
      <w:r w:rsidR="000F2581">
        <w:rPr>
          <w:sz w:val="26"/>
          <w:szCs w:val="26"/>
        </w:rPr>
        <w:t>56-59.)</w:t>
      </w:r>
      <w:r w:rsidR="00AE5199">
        <w:rPr>
          <w:sz w:val="26"/>
          <w:szCs w:val="26"/>
        </w:rPr>
        <w:t xml:space="preserve">  The CPUC should comment </w:t>
      </w:r>
      <w:r w:rsidR="00981A05">
        <w:rPr>
          <w:sz w:val="26"/>
          <w:szCs w:val="26"/>
        </w:rPr>
        <w:t xml:space="preserve">on this issue to </w:t>
      </w:r>
      <w:r w:rsidR="00775416">
        <w:rPr>
          <w:sz w:val="26"/>
          <w:szCs w:val="26"/>
        </w:rPr>
        <w:t xml:space="preserve">the extent </w:t>
      </w:r>
      <w:r w:rsidR="00D50748">
        <w:rPr>
          <w:sz w:val="26"/>
          <w:szCs w:val="26"/>
        </w:rPr>
        <w:t xml:space="preserve">FCC </w:t>
      </w:r>
      <w:r w:rsidR="009F50E6">
        <w:rPr>
          <w:sz w:val="26"/>
          <w:szCs w:val="26"/>
        </w:rPr>
        <w:t>preemption would</w:t>
      </w:r>
      <w:r w:rsidR="00483E26">
        <w:rPr>
          <w:sz w:val="26"/>
          <w:szCs w:val="26"/>
        </w:rPr>
        <w:t xml:space="preserve"> have a direct or</w:t>
      </w:r>
      <w:r w:rsidR="001E7FA6">
        <w:rPr>
          <w:sz w:val="26"/>
          <w:szCs w:val="26"/>
        </w:rPr>
        <w:t xml:space="preserve"> indirect impact on </w:t>
      </w:r>
      <w:r w:rsidR="00AE00AA">
        <w:rPr>
          <w:sz w:val="26"/>
          <w:szCs w:val="26"/>
        </w:rPr>
        <w:t>states’ and localities’</w:t>
      </w:r>
      <w:r w:rsidR="00B333C8">
        <w:rPr>
          <w:sz w:val="26"/>
          <w:szCs w:val="26"/>
        </w:rPr>
        <w:t xml:space="preserve"> abilities to </w:t>
      </w:r>
      <w:r w:rsidR="00C346B7">
        <w:rPr>
          <w:sz w:val="26"/>
          <w:szCs w:val="26"/>
        </w:rPr>
        <w:t xml:space="preserve">duly </w:t>
      </w:r>
      <w:r w:rsidR="00B333C8">
        <w:rPr>
          <w:sz w:val="26"/>
          <w:szCs w:val="26"/>
        </w:rPr>
        <w:t>exercise their reserved authority under</w:t>
      </w:r>
      <w:r w:rsidR="00C346B7">
        <w:rPr>
          <w:sz w:val="26"/>
          <w:szCs w:val="26"/>
        </w:rPr>
        <w:t xml:space="preserve"> </w:t>
      </w:r>
      <w:r w:rsidR="00B333C8">
        <w:rPr>
          <w:bCs/>
          <w:sz w:val="26"/>
          <w:szCs w:val="26"/>
        </w:rPr>
        <w:t>sections 253 and 332(c)(7) of the Communications Act.</w:t>
      </w:r>
      <w:r w:rsidR="00B333C8">
        <w:rPr>
          <w:sz w:val="26"/>
          <w:szCs w:val="26"/>
        </w:rPr>
        <w:t xml:space="preserve"> </w:t>
      </w:r>
      <w:r w:rsidR="005B7089">
        <w:rPr>
          <w:sz w:val="26"/>
          <w:szCs w:val="26"/>
        </w:rPr>
        <w:t xml:space="preserve"> </w:t>
      </w:r>
      <w:r w:rsidR="00D50748">
        <w:rPr>
          <w:sz w:val="26"/>
          <w:szCs w:val="26"/>
        </w:rPr>
        <w:t xml:space="preserve">  </w:t>
      </w:r>
      <w:r w:rsidR="000F2581">
        <w:rPr>
          <w:sz w:val="26"/>
          <w:szCs w:val="26"/>
        </w:rPr>
        <w:t xml:space="preserve"> </w:t>
      </w:r>
      <w:r w:rsidR="00B76DA9">
        <w:rPr>
          <w:sz w:val="26"/>
          <w:szCs w:val="26"/>
        </w:rPr>
        <w:t xml:space="preserve"> </w:t>
      </w:r>
      <w:r w:rsidR="00453083">
        <w:rPr>
          <w:sz w:val="26"/>
          <w:szCs w:val="26"/>
        </w:rPr>
        <w:t xml:space="preserve"> </w:t>
      </w:r>
    </w:p>
    <w:p w:rsidR="00D378A5" w:rsidP="00E96823" w:rsidRDefault="00D378A5" w14:paraId="1E183B2F" w14:textId="77777777">
      <w:pPr>
        <w:rPr>
          <w:sz w:val="26"/>
          <w:szCs w:val="26"/>
        </w:rPr>
      </w:pPr>
    </w:p>
    <w:p w:rsidR="006A4E0C" w:rsidP="00E96823" w:rsidRDefault="00C123A7" w14:paraId="7B59684E" w14:textId="6700F4F8">
      <w:pPr>
        <w:rPr>
          <w:sz w:val="26"/>
          <w:szCs w:val="26"/>
        </w:rPr>
      </w:pPr>
      <w:r>
        <w:rPr>
          <w:sz w:val="26"/>
          <w:szCs w:val="26"/>
        </w:rPr>
        <w:t xml:space="preserve">The </w:t>
      </w:r>
      <w:r w:rsidRPr="00447CAD">
        <w:rPr>
          <w:i/>
          <w:sz w:val="26"/>
          <w:szCs w:val="26"/>
        </w:rPr>
        <w:t>NPRM</w:t>
      </w:r>
      <w:r>
        <w:rPr>
          <w:sz w:val="26"/>
          <w:szCs w:val="26"/>
        </w:rPr>
        <w:t xml:space="preserve"> also proposes to examine whether state and local fees are disproportionate or otherwise unreasonable. </w:t>
      </w:r>
      <w:r w:rsidR="002564C5">
        <w:rPr>
          <w:sz w:val="26"/>
          <w:szCs w:val="26"/>
        </w:rPr>
        <w:t xml:space="preserve"> (</w:t>
      </w:r>
      <w:r w:rsidRPr="00453083" w:rsidR="002564C5">
        <w:rPr>
          <w:i/>
          <w:iCs/>
          <w:sz w:val="26"/>
          <w:szCs w:val="26"/>
        </w:rPr>
        <w:t>NPRM</w:t>
      </w:r>
      <w:r w:rsidR="002564C5">
        <w:rPr>
          <w:sz w:val="26"/>
          <w:szCs w:val="26"/>
        </w:rPr>
        <w:t xml:space="preserve"> at </w:t>
      </w:r>
      <w:r w:rsidRPr="00FE5D9C" w:rsidR="002564C5">
        <w:rPr>
          <w:sz w:val="26"/>
          <w:szCs w:val="26"/>
        </w:rPr>
        <w:t xml:space="preserve">¶¶ </w:t>
      </w:r>
      <w:r w:rsidR="006A4E0C">
        <w:rPr>
          <w:sz w:val="26"/>
          <w:szCs w:val="26"/>
        </w:rPr>
        <w:t>41-55</w:t>
      </w:r>
      <w:r w:rsidR="002564C5">
        <w:rPr>
          <w:sz w:val="26"/>
          <w:szCs w:val="26"/>
        </w:rPr>
        <w:t>.)</w:t>
      </w:r>
      <w:r w:rsidR="006A4E0C">
        <w:rPr>
          <w:sz w:val="26"/>
          <w:szCs w:val="26"/>
        </w:rPr>
        <w:t xml:space="preserve">  CPUC Staff recommends commenting on this issue to</w:t>
      </w:r>
      <w:r w:rsidR="0033772E">
        <w:rPr>
          <w:sz w:val="26"/>
          <w:szCs w:val="26"/>
        </w:rPr>
        <w:t xml:space="preserve"> preserve state and local fee authority consistent with section 253(b) of the Communications Act, which preserves state authority to protect public safety and welfare</w:t>
      </w:r>
      <w:r w:rsidR="00DF7940">
        <w:rPr>
          <w:sz w:val="26"/>
          <w:szCs w:val="26"/>
        </w:rPr>
        <w:t>, ensure the continued quality of telecommunications services, and safeguard the rights of consumers</w:t>
      </w:r>
      <w:r w:rsidR="0033772E">
        <w:rPr>
          <w:sz w:val="26"/>
          <w:szCs w:val="26"/>
        </w:rPr>
        <w:t xml:space="preserve">.  </w:t>
      </w:r>
      <w:r w:rsidR="002564C5">
        <w:rPr>
          <w:sz w:val="26"/>
          <w:szCs w:val="26"/>
        </w:rPr>
        <w:t xml:space="preserve"> </w:t>
      </w:r>
    </w:p>
    <w:p w:rsidR="00C123A7" w:rsidP="00E96823" w:rsidRDefault="002564C5" w14:paraId="0BAB27BC" w14:textId="46530E53">
      <w:pPr>
        <w:rPr>
          <w:sz w:val="26"/>
          <w:szCs w:val="26"/>
        </w:rPr>
      </w:pPr>
      <w:r>
        <w:rPr>
          <w:sz w:val="26"/>
          <w:szCs w:val="26"/>
        </w:rPr>
        <w:t xml:space="preserve">  </w:t>
      </w:r>
    </w:p>
    <w:p w:rsidR="00E96823" w:rsidP="00E96823" w:rsidRDefault="00E96823" w14:paraId="6E6DBB0A" w14:textId="22940AD1">
      <w:pPr>
        <w:rPr>
          <w:sz w:val="26"/>
          <w:szCs w:val="26"/>
        </w:rPr>
      </w:pPr>
      <w:r>
        <w:rPr>
          <w:sz w:val="26"/>
          <w:szCs w:val="26"/>
        </w:rPr>
        <w:t>CPUC Staff also recommends the CPUC respond to comments that inaccurately depict or mischaracterize legitimate state and local requirements.</w:t>
      </w:r>
      <w:r w:rsidR="003376E4">
        <w:rPr>
          <w:sz w:val="26"/>
          <w:szCs w:val="26"/>
        </w:rPr>
        <w:t xml:space="preserve">  </w:t>
      </w:r>
    </w:p>
    <w:p w:rsidR="00E34DB3" w:rsidP="00F34CF0" w:rsidRDefault="00E34DB3" w14:paraId="2AE87A84" w14:textId="02AD738F">
      <w:pPr>
        <w:rPr>
          <w:sz w:val="26"/>
          <w:szCs w:val="26"/>
        </w:rPr>
      </w:pPr>
    </w:p>
    <w:p w:rsidR="00852E88" w:rsidP="00F34CF0" w:rsidRDefault="00F666CE" w14:paraId="201F0716" w14:textId="7F75BE3F">
      <w:pPr>
        <w:rPr>
          <w:sz w:val="26"/>
          <w:szCs w:val="26"/>
        </w:rPr>
      </w:pPr>
      <w:r>
        <w:rPr>
          <w:sz w:val="26"/>
          <w:szCs w:val="26"/>
        </w:rPr>
        <w:t xml:space="preserve">Finally, </w:t>
      </w:r>
      <w:r w:rsidR="00852E88">
        <w:rPr>
          <w:sz w:val="26"/>
          <w:szCs w:val="26"/>
        </w:rPr>
        <w:t xml:space="preserve">CPUC Staff recommends the CPUC urge the FCC to ensure that any accelerated dispute resolution process </w:t>
      </w:r>
      <w:r w:rsidR="00BA6DD4">
        <w:rPr>
          <w:sz w:val="26"/>
          <w:szCs w:val="26"/>
        </w:rPr>
        <w:t>or “rocket</w:t>
      </w:r>
      <w:r w:rsidR="002D7891">
        <w:rPr>
          <w:sz w:val="26"/>
          <w:szCs w:val="26"/>
        </w:rPr>
        <w:t xml:space="preserve"> </w:t>
      </w:r>
      <w:r w:rsidR="00BA6DD4">
        <w:rPr>
          <w:sz w:val="26"/>
          <w:szCs w:val="26"/>
        </w:rPr>
        <w:t xml:space="preserve">docket” </w:t>
      </w:r>
      <w:r w:rsidR="00852E88">
        <w:rPr>
          <w:sz w:val="26"/>
          <w:szCs w:val="26"/>
        </w:rPr>
        <w:t xml:space="preserve">is transparent and offers all parties involved a fair and reasonable opportunity to be heard. </w:t>
      </w:r>
    </w:p>
    <w:p w:rsidR="00B16941" w:rsidP="000E41E2" w:rsidRDefault="00B16941" w14:paraId="487AB96C" w14:textId="77777777">
      <w:pPr>
        <w:rPr>
          <w:sz w:val="26"/>
          <w:szCs w:val="26"/>
        </w:rPr>
      </w:pPr>
    </w:p>
    <w:p w:rsidRPr="00B70860" w:rsidR="005134BA" w:rsidP="005918EE" w:rsidRDefault="00FB59BE" w14:paraId="731195D4" w14:textId="06BE276C">
      <w:pPr>
        <w:rPr>
          <w:sz w:val="26"/>
          <w:szCs w:val="26"/>
        </w:rPr>
      </w:pPr>
      <w:r>
        <w:rPr>
          <w:b/>
          <w:bCs/>
          <w:sz w:val="26"/>
          <w:szCs w:val="26"/>
          <w:u w:val="single"/>
        </w:rPr>
        <w:t>CONCLUSION</w:t>
      </w:r>
      <w:r w:rsidR="00D93C49">
        <w:rPr>
          <w:sz w:val="26"/>
          <w:szCs w:val="26"/>
        </w:rPr>
        <w:t>:</w:t>
      </w:r>
    </w:p>
    <w:p w:rsidR="00FB59BE" w:rsidP="005918EE" w:rsidRDefault="00FB59BE" w14:paraId="53F7BB45" w14:textId="77777777">
      <w:pPr>
        <w:rPr>
          <w:sz w:val="26"/>
          <w:szCs w:val="26"/>
          <w:u w:val="single"/>
        </w:rPr>
      </w:pPr>
    </w:p>
    <w:p w:rsidR="00DA69A0" w:rsidP="005918EE" w:rsidRDefault="00616B31" w14:paraId="656CECDD" w14:textId="7EAD6A96">
      <w:pPr>
        <w:rPr>
          <w:sz w:val="26"/>
          <w:szCs w:val="26"/>
        </w:rPr>
      </w:pPr>
      <w:r>
        <w:rPr>
          <w:sz w:val="26"/>
          <w:szCs w:val="26"/>
        </w:rPr>
        <w:t>The CPUC shoul</w:t>
      </w:r>
      <w:r w:rsidR="00FB11B0">
        <w:rPr>
          <w:sz w:val="26"/>
          <w:szCs w:val="26"/>
        </w:rPr>
        <w:t xml:space="preserve">d authorize </w:t>
      </w:r>
      <w:r w:rsidR="00B42768">
        <w:rPr>
          <w:sz w:val="26"/>
          <w:szCs w:val="26"/>
        </w:rPr>
        <w:t>CPUC S</w:t>
      </w:r>
      <w:r w:rsidR="00FB11B0">
        <w:rPr>
          <w:sz w:val="26"/>
          <w:szCs w:val="26"/>
        </w:rPr>
        <w:t xml:space="preserve">taff to file </w:t>
      </w:r>
      <w:r>
        <w:rPr>
          <w:sz w:val="26"/>
          <w:szCs w:val="26"/>
        </w:rPr>
        <w:t>opening and</w:t>
      </w:r>
      <w:r w:rsidR="00FB11B0">
        <w:rPr>
          <w:sz w:val="26"/>
          <w:szCs w:val="26"/>
        </w:rPr>
        <w:t xml:space="preserve"> </w:t>
      </w:r>
      <w:r>
        <w:rPr>
          <w:sz w:val="26"/>
          <w:szCs w:val="26"/>
        </w:rPr>
        <w:t xml:space="preserve">reply comments to the </w:t>
      </w:r>
      <w:r w:rsidR="00A31B7A">
        <w:rPr>
          <w:i/>
          <w:iCs/>
          <w:sz w:val="26"/>
          <w:szCs w:val="26"/>
        </w:rPr>
        <w:t>NPRM</w:t>
      </w:r>
      <w:r>
        <w:rPr>
          <w:sz w:val="26"/>
          <w:szCs w:val="26"/>
        </w:rPr>
        <w:t xml:space="preserve"> </w:t>
      </w:r>
      <w:r w:rsidR="00C84618">
        <w:rPr>
          <w:sz w:val="26"/>
          <w:szCs w:val="26"/>
        </w:rPr>
        <w:t>t</w:t>
      </w:r>
      <w:r w:rsidR="0006716A">
        <w:rPr>
          <w:sz w:val="26"/>
          <w:szCs w:val="26"/>
        </w:rPr>
        <w:t>o ensure the FCC preserves</w:t>
      </w:r>
      <w:r w:rsidR="00822261">
        <w:rPr>
          <w:sz w:val="26"/>
          <w:szCs w:val="26"/>
        </w:rPr>
        <w:t xml:space="preserve"> </w:t>
      </w:r>
      <w:r w:rsidR="00542783">
        <w:rPr>
          <w:sz w:val="26"/>
          <w:szCs w:val="26"/>
        </w:rPr>
        <w:t xml:space="preserve">essential </w:t>
      </w:r>
      <w:r w:rsidR="00DC6527">
        <w:rPr>
          <w:sz w:val="26"/>
          <w:szCs w:val="26"/>
        </w:rPr>
        <w:t xml:space="preserve">state </w:t>
      </w:r>
      <w:r w:rsidR="00542783">
        <w:rPr>
          <w:sz w:val="26"/>
          <w:szCs w:val="26"/>
        </w:rPr>
        <w:t xml:space="preserve">and local authority </w:t>
      </w:r>
      <w:r w:rsidR="00836BE7">
        <w:rPr>
          <w:sz w:val="26"/>
          <w:szCs w:val="26"/>
        </w:rPr>
        <w:t xml:space="preserve">over </w:t>
      </w:r>
      <w:r w:rsidR="00091007">
        <w:rPr>
          <w:sz w:val="26"/>
          <w:szCs w:val="26"/>
        </w:rPr>
        <w:t>wireless infrastructure</w:t>
      </w:r>
      <w:r w:rsidR="00836BE7">
        <w:rPr>
          <w:sz w:val="26"/>
          <w:szCs w:val="26"/>
        </w:rPr>
        <w:t xml:space="preserve"> requirements </w:t>
      </w:r>
      <w:r w:rsidR="00542783">
        <w:rPr>
          <w:sz w:val="26"/>
          <w:szCs w:val="26"/>
        </w:rPr>
        <w:t>that safeguard</w:t>
      </w:r>
      <w:r w:rsidR="00335855">
        <w:rPr>
          <w:sz w:val="26"/>
          <w:szCs w:val="26"/>
        </w:rPr>
        <w:t xml:space="preserve"> public safety and welfare, reliab</w:t>
      </w:r>
      <w:r w:rsidR="00E56DE6">
        <w:rPr>
          <w:sz w:val="26"/>
          <w:szCs w:val="26"/>
        </w:rPr>
        <w:t>ility and resiliency of wireless t</w:t>
      </w:r>
      <w:r w:rsidR="00335855">
        <w:rPr>
          <w:sz w:val="26"/>
          <w:szCs w:val="26"/>
        </w:rPr>
        <w:t>elecommunications services,</w:t>
      </w:r>
      <w:r w:rsidR="007B280B">
        <w:rPr>
          <w:sz w:val="26"/>
          <w:szCs w:val="26"/>
        </w:rPr>
        <w:t xml:space="preserve"> consumer protection</w:t>
      </w:r>
      <w:r w:rsidR="00EB5E1C">
        <w:rPr>
          <w:sz w:val="26"/>
          <w:szCs w:val="26"/>
        </w:rPr>
        <w:t xml:space="preserve">, </w:t>
      </w:r>
      <w:r w:rsidR="001B05F0">
        <w:rPr>
          <w:sz w:val="26"/>
          <w:szCs w:val="26"/>
        </w:rPr>
        <w:t xml:space="preserve">and </w:t>
      </w:r>
      <w:r w:rsidR="00EB5E1C">
        <w:rPr>
          <w:sz w:val="26"/>
          <w:szCs w:val="26"/>
        </w:rPr>
        <w:t>the public rights-of-way</w:t>
      </w:r>
      <w:r w:rsidR="002E7E44">
        <w:rPr>
          <w:sz w:val="26"/>
          <w:szCs w:val="26"/>
        </w:rPr>
        <w:t>.</w:t>
      </w:r>
      <w:r w:rsidR="00B12718">
        <w:rPr>
          <w:sz w:val="26"/>
          <w:szCs w:val="26"/>
        </w:rPr>
        <w:t xml:space="preserve">  In addition, the CPUC’s comments are necessary to </w:t>
      </w:r>
      <w:r w:rsidR="00A80602">
        <w:rPr>
          <w:sz w:val="26"/>
          <w:szCs w:val="26"/>
        </w:rPr>
        <w:t>advocate for transparent FCC processes that allow states</w:t>
      </w:r>
      <w:r w:rsidR="00D13916">
        <w:rPr>
          <w:sz w:val="26"/>
          <w:szCs w:val="26"/>
        </w:rPr>
        <w:t xml:space="preserve"> and local governments</w:t>
      </w:r>
      <w:r w:rsidR="00A80602">
        <w:rPr>
          <w:sz w:val="26"/>
          <w:szCs w:val="26"/>
        </w:rPr>
        <w:t xml:space="preserve"> and telecommunications providers a fair and reasonable opportunity to be heard</w:t>
      </w:r>
      <w:r w:rsidR="00651214">
        <w:rPr>
          <w:sz w:val="26"/>
          <w:szCs w:val="26"/>
        </w:rPr>
        <w:t xml:space="preserve"> </w:t>
      </w:r>
      <w:r w:rsidR="007001BD">
        <w:rPr>
          <w:sz w:val="26"/>
          <w:szCs w:val="26"/>
        </w:rPr>
        <w:t>in wireless permit disputes.</w:t>
      </w:r>
      <w:r w:rsidR="00A80602">
        <w:rPr>
          <w:sz w:val="26"/>
          <w:szCs w:val="26"/>
        </w:rPr>
        <w:t xml:space="preserve"> </w:t>
      </w:r>
      <w:r w:rsidR="00335855">
        <w:rPr>
          <w:sz w:val="26"/>
          <w:szCs w:val="26"/>
        </w:rPr>
        <w:t xml:space="preserve">  </w:t>
      </w:r>
      <w:r w:rsidR="00C73BA1">
        <w:rPr>
          <w:sz w:val="26"/>
          <w:szCs w:val="26"/>
        </w:rPr>
        <w:t xml:space="preserve"> </w:t>
      </w:r>
      <w:r w:rsidR="00091007">
        <w:rPr>
          <w:sz w:val="26"/>
          <w:szCs w:val="26"/>
        </w:rPr>
        <w:t xml:space="preserve">  </w:t>
      </w:r>
      <w:r w:rsidR="00DC6527">
        <w:rPr>
          <w:sz w:val="26"/>
          <w:szCs w:val="26"/>
        </w:rPr>
        <w:t xml:space="preserve"> </w:t>
      </w:r>
    </w:p>
    <w:p w:rsidR="00151132" w:rsidP="005918EE" w:rsidRDefault="00151132" w14:paraId="5ACA008E" w14:textId="77777777">
      <w:pPr>
        <w:rPr>
          <w:sz w:val="26"/>
          <w:szCs w:val="26"/>
        </w:rPr>
      </w:pPr>
    </w:p>
    <w:p w:rsidRPr="00504946" w:rsidR="00504946" w:rsidP="00504946" w:rsidRDefault="00504946" w14:paraId="569656DB" w14:textId="77777777">
      <w:pPr>
        <w:outlineLvl w:val="0"/>
        <w:rPr>
          <w:rFonts w:eastAsia="Arial Unicode MS"/>
          <w:color w:val="000000"/>
          <w:sz w:val="26"/>
          <w:szCs w:val="26"/>
          <w:u w:color="000000"/>
        </w:rPr>
      </w:pPr>
      <w:r w:rsidRPr="00D937EC">
        <w:rPr>
          <w:rFonts w:eastAsia="Arial Unicode MS"/>
          <w:b/>
          <w:color w:val="000000"/>
          <w:sz w:val="26"/>
          <w:szCs w:val="26"/>
          <w:u w:val="single"/>
        </w:rPr>
        <w:lastRenderedPageBreak/>
        <w:t>Assigned Staff</w:t>
      </w:r>
      <w:r w:rsidRPr="00504946">
        <w:rPr>
          <w:rFonts w:eastAsia="Arial Unicode MS"/>
          <w:color w:val="000000"/>
          <w:sz w:val="26"/>
          <w:szCs w:val="26"/>
          <w:u w:color="000000"/>
        </w:rPr>
        <w:t xml:space="preserve">: </w:t>
      </w:r>
    </w:p>
    <w:p w:rsidRPr="00504946" w:rsidR="00504946" w:rsidP="00504946" w:rsidRDefault="00504946" w14:paraId="67FE244F" w14:textId="15661EE6">
      <w:pPr>
        <w:outlineLvl w:val="0"/>
        <w:rPr>
          <w:rFonts w:eastAsia="Arial Unicode MS"/>
          <w:color w:val="000000"/>
          <w:sz w:val="26"/>
          <w:szCs w:val="26"/>
          <w:u w:color="000000"/>
        </w:rPr>
      </w:pPr>
      <w:r w:rsidRPr="00504946">
        <w:rPr>
          <w:rFonts w:eastAsia="Arial Unicode MS"/>
          <w:color w:val="000000"/>
          <w:sz w:val="26"/>
          <w:szCs w:val="26"/>
          <w:u w:color="000000"/>
        </w:rPr>
        <w:t xml:space="preserve">Legal Division: </w:t>
      </w:r>
      <w:r w:rsidR="00AD7C53">
        <w:rPr>
          <w:rFonts w:eastAsia="Arial Unicode MS"/>
          <w:color w:val="000000"/>
          <w:sz w:val="26"/>
          <w:szCs w:val="26"/>
          <w:u w:color="000000"/>
        </w:rPr>
        <w:t>Hien Vo Winter</w:t>
      </w:r>
      <w:r w:rsidR="00E11BD4">
        <w:rPr>
          <w:rFonts w:eastAsia="Arial Unicode MS"/>
          <w:color w:val="000000"/>
          <w:sz w:val="26"/>
          <w:szCs w:val="26"/>
          <w:u w:color="000000"/>
        </w:rPr>
        <w:t xml:space="preserve"> </w:t>
      </w:r>
      <w:r w:rsidR="00C04B07">
        <w:rPr>
          <w:rFonts w:eastAsia="Arial Unicode MS"/>
          <w:color w:val="000000"/>
          <w:sz w:val="26"/>
          <w:szCs w:val="26"/>
          <w:u w:color="000000"/>
        </w:rPr>
        <w:t>(</w:t>
      </w:r>
      <w:hyperlink w:history="1" r:id="rId11">
        <w:r w:rsidRPr="00AE6F34" w:rsidR="00954744">
          <w:rPr>
            <w:rStyle w:val="Hyperlink"/>
            <w:rFonts w:eastAsia="Arial Unicode MS"/>
            <w:sz w:val="26"/>
            <w:szCs w:val="26"/>
          </w:rPr>
          <w:t>hien.vo@cpuc.ca.gov</w:t>
        </w:r>
      </w:hyperlink>
      <w:r w:rsidR="00C04B07">
        <w:rPr>
          <w:rFonts w:eastAsia="Arial Unicode MS"/>
          <w:color w:val="000000"/>
          <w:sz w:val="26"/>
          <w:szCs w:val="26"/>
          <w:u w:color="000000"/>
        </w:rPr>
        <w:t>)</w:t>
      </w:r>
      <w:r w:rsidR="00E43DE8">
        <w:rPr>
          <w:rFonts w:eastAsia="Arial Unicode MS"/>
          <w:color w:val="000000"/>
          <w:sz w:val="26"/>
          <w:szCs w:val="26"/>
          <w:u w:color="000000"/>
        </w:rPr>
        <w:t xml:space="preserve"> </w:t>
      </w:r>
      <w:r w:rsidR="00D937EC">
        <w:rPr>
          <w:rFonts w:eastAsia="Arial Unicode MS"/>
          <w:color w:val="000000"/>
          <w:sz w:val="26"/>
          <w:szCs w:val="26"/>
          <w:u w:color="000000"/>
        </w:rPr>
        <w:br/>
      </w:r>
      <w:r w:rsidRPr="00504946">
        <w:rPr>
          <w:rFonts w:eastAsia="Arial Unicode MS"/>
          <w:color w:val="000000"/>
          <w:sz w:val="26"/>
          <w:szCs w:val="26"/>
          <w:u w:color="000000"/>
        </w:rPr>
        <w:t xml:space="preserve">Communications Division: </w:t>
      </w:r>
      <w:r w:rsidR="002B2230">
        <w:rPr>
          <w:rFonts w:eastAsia="Arial Unicode MS"/>
          <w:color w:val="000000"/>
          <w:sz w:val="26"/>
          <w:szCs w:val="26"/>
          <w:u w:color="000000"/>
        </w:rPr>
        <w:t>Cole Przybyla</w:t>
      </w:r>
      <w:r w:rsidRPr="00504946">
        <w:rPr>
          <w:rFonts w:eastAsia="Arial Unicode MS"/>
          <w:color w:val="000000"/>
          <w:sz w:val="26"/>
          <w:szCs w:val="26"/>
          <w:u w:color="000000"/>
        </w:rPr>
        <w:t xml:space="preserve"> (</w:t>
      </w:r>
      <w:hyperlink w:history="1" r:id="rId12">
        <w:r w:rsidRPr="0062751D" w:rsidR="002B2230">
          <w:rPr>
            <w:rStyle w:val="Hyperlink"/>
            <w:rFonts w:eastAsia="Arial Unicode MS"/>
            <w:sz w:val="26"/>
            <w:szCs w:val="26"/>
          </w:rPr>
          <w:t>cole.przybyla@cpuc.ca.gov</w:t>
        </w:r>
      </w:hyperlink>
      <w:r w:rsidRPr="00504946">
        <w:rPr>
          <w:rFonts w:eastAsia="Arial Unicode MS"/>
          <w:color w:val="000000"/>
          <w:sz w:val="26"/>
          <w:szCs w:val="26"/>
          <w:u w:color="000000"/>
        </w:rPr>
        <w:t>)</w:t>
      </w:r>
      <w:r w:rsidR="002B2230">
        <w:rPr>
          <w:rFonts w:eastAsia="Arial Unicode MS"/>
          <w:color w:val="000000"/>
          <w:sz w:val="26"/>
          <w:szCs w:val="26"/>
          <w:u w:color="000000"/>
        </w:rPr>
        <w:t xml:space="preserve"> </w:t>
      </w:r>
    </w:p>
    <w:sectPr w:rsidRPr="00504946" w:rsidR="00504946" w:rsidSect="00C366E8">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6401" w14:textId="77777777" w:rsidR="0084376B" w:rsidRDefault="0084376B">
      <w:r>
        <w:separator/>
      </w:r>
    </w:p>
  </w:endnote>
  <w:endnote w:type="continuationSeparator" w:id="0">
    <w:p w14:paraId="04D9789F" w14:textId="77777777" w:rsidR="0084376B" w:rsidRDefault="0084376B">
      <w:r>
        <w:continuationSeparator/>
      </w:r>
    </w:p>
  </w:endnote>
  <w:endnote w:type="continuationNotice" w:id="1">
    <w:p w14:paraId="478E3AE7" w14:textId="77777777" w:rsidR="0084376B" w:rsidRDefault="00843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F41F" w14:textId="77777777" w:rsidR="00C24802" w:rsidRDefault="00C24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3B7F" w14:textId="77777777" w:rsidR="00C24802" w:rsidRDefault="00C24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679F" w14:textId="587D4E91" w:rsidR="00BD4D85" w:rsidRPr="00C24802" w:rsidRDefault="00C24802" w:rsidP="00C24802">
    <w:pPr>
      <w:pStyle w:val="Footer"/>
    </w:pPr>
    <w:r w:rsidRPr="00C24802">
      <w:t>584583212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B496" w14:textId="77777777" w:rsidR="0084376B" w:rsidRDefault="0084376B">
      <w:r>
        <w:separator/>
      </w:r>
    </w:p>
  </w:footnote>
  <w:footnote w:type="continuationSeparator" w:id="0">
    <w:p w14:paraId="48174045" w14:textId="77777777" w:rsidR="0084376B" w:rsidRDefault="0084376B">
      <w:r>
        <w:continuationSeparator/>
      </w:r>
    </w:p>
  </w:footnote>
  <w:footnote w:type="continuationNotice" w:id="1">
    <w:p w14:paraId="6956F947" w14:textId="77777777" w:rsidR="0084376B" w:rsidRDefault="0084376B"/>
  </w:footnote>
  <w:footnote w:id="2">
    <w:p w14:paraId="05C7A401" w14:textId="47406F21" w:rsidR="00624E83" w:rsidRPr="004965B5" w:rsidRDefault="002269A1" w:rsidP="004965B5">
      <w:pPr>
        <w:pStyle w:val="FootnoteText"/>
        <w:spacing w:after="120" w:line="240" w:lineRule="exact"/>
        <w:rPr>
          <w:sz w:val="24"/>
          <w:szCs w:val="24"/>
        </w:rPr>
      </w:pPr>
      <w:r w:rsidRPr="004965B5">
        <w:rPr>
          <w:rStyle w:val="FootnoteReference"/>
          <w:sz w:val="24"/>
          <w:szCs w:val="24"/>
        </w:rPr>
        <w:footnoteRef/>
      </w:r>
      <w:r w:rsidRPr="004965B5">
        <w:rPr>
          <w:sz w:val="24"/>
          <w:szCs w:val="24"/>
        </w:rPr>
        <w:t xml:space="preserve"> NPRM </w:t>
      </w:r>
      <w:r w:rsidR="00C631C6" w:rsidRPr="004965B5">
        <w:rPr>
          <w:sz w:val="24"/>
          <w:szCs w:val="24"/>
        </w:rPr>
        <w:t xml:space="preserve">at </w:t>
      </w:r>
      <w:r w:rsidR="003147F2" w:rsidRPr="004965B5">
        <w:rPr>
          <w:sz w:val="24"/>
          <w:szCs w:val="24"/>
        </w:rPr>
        <w:t>¶ 6</w:t>
      </w:r>
      <w:r w:rsidR="00323A69" w:rsidRPr="004965B5">
        <w:rPr>
          <w:sz w:val="24"/>
          <w:szCs w:val="24"/>
        </w:rPr>
        <w:t>.</w:t>
      </w:r>
    </w:p>
  </w:footnote>
  <w:footnote w:id="3">
    <w:p w14:paraId="68DD6B3D" w14:textId="399625FD" w:rsidR="009358F4" w:rsidRPr="004965B5" w:rsidRDefault="009358F4" w:rsidP="004965B5">
      <w:pPr>
        <w:pStyle w:val="FootnoteText"/>
        <w:spacing w:after="120" w:line="240" w:lineRule="exact"/>
        <w:rPr>
          <w:sz w:val="24"/>
          <w:szCs w:val="24"/>
        </w:rPr>
      </w:pPr>
      <w:r w:rsidRPr="004965B5">
        <w:rPr>
          <w:rStyle w:val="FootnoteReference"/>
          <w:sz w:val="24"/>
          <w:szCs w:val="24"/>
        </w:rPr>
        <w:footnoteRef/>
      </w:r>
      <w:r w:rsidRPr="004965B5">
        <w:rPr>
          <w:sz w:val="24"/>
          <w:szCs w:val="24"/>
        </w:rPr>
        <w:t xml:space="preserve"> NPRM </w:t>
      </w:r>
      <w:r w:rsidR="00A93FC4" w:rsidRPr="004965B5">
        <w:rPr>
          <w:sz w:val="24"/>
          <w:szCs w:val="24"/>
        </w:rPr>
        <w:t xml:space="preserve">at </w:t>
      </w:r>
      <w:r w:rsidRPr="004965B5">
        <w:rPr>
          <w:sz w:val="24"/>
          <w:szCs w:val="24"/>
        </w:rPr>
        <w:t>¶ 1.</w:t>
      </w:r>
    </w:p>
  </w:footnote>
  <w:footnote w:id="4">
    <w:p w14:paraId="0B0E53CF" w14:textId="44A5605E" w:rsidR="00773532" w:rsidRPr="004965B5" w:rsidRDefault="00773532" w:rsidP="004965B5">
      <w:pPr>
        <w:pStyle w:val="FootnoteText"/>
        <w:spacing w:after="120" w:line="240" w:lineRule="exact"/>
        <w:rPr>
          <w:sz w:val="24"/>
          <w:szCs w:val="24"/>
        </w:rPr>
      </w:pPr>
      <w:r w:rsidRPr="004965B5">
        <w:rPr>
          <w:rStyle w:val="FootnoteReference"/>
          <w:sz w:val="24"/>
          <w:szCs w:val="24"/>
        </w:rPr>
        <w:footnoteRef/>
      </w:r>
      <w:r w:rsidRPr="004965B5">
        <w:rPr>
          <w:sz w:val="24"/>
          <w:szCs w:val="24"/>
        </w:rPr>
        <w:t xml:space="preserve"> NPRM at ¶ 4.</w:t>
      </w:r>
    </w:p>
  </w:footnote>
  <w:footnote w:id="5">
    <w:p w14:paraId="42781748" w14:textId="0FCD70FF" w:rsidR="00C91264" w:rsidRPr="004965B5" w:rsidRDefault="00C91264" w:rsidP="004965B5">
      <w:pPr>
        <w:pStyle w:val="FootnoteText"/>
        <w:spacing w:after="120" w:line="240" w:lineRule="exact"/>
        <w:rPr>
          <w:sz w:val="24"/>
          <w:szCs w:val="24"/>
        </w:rPr>
      </w:pPr>
      <w:r w:rsidRPr="004965B5">
        <w:rPr>
          <w:rStyle w:val="FootnoteReference"/>
          <w:sz w:val="24"/>
          <w:szCs w:val="24"/>
        </w:rPr>
        <w:footnoteRef/>
      </w:r>
      <w:r w:rsidRPr="004965B5">
        <w:rPr>
          <w:sz w:val="24"/>
          <w:szCs w:val="24"/>
        </w:rPr>
        <w:t xml:space="preserve"> NPRM at ¶</w:t>
      </w:r>
      <w:r w:rsidR="00290366" w:rsidRPr="004965B5">
        <w:rPr>
          <w:sz w:val="24"/>
          <w:szCs w:val="24"/>
        </w:rPr>
        <w:t xml:space="preserve">¶ </w:t>
      </w:r>
      <w:r w:rsidRPr="004965B5">
        <w:rPr>
          <w:sz w:val="24"/>
          <w:szCs w:val="24"/>
        </w:rPr>
        <w:t>17</w:t>
      </w:r>
      <w:r w:rsidR="00B527EC" w:rsidRPr="004965B5">
        <w:rPr>
          <w:sz w:val="24"/>
          <w:szCs w:val="24"/>
        </w:rPr>
        <w:t>-28</w:t>
      </w:r>
      <w:r w:rsidRPr="004965B5">
        <w:rPr>
          <w:sz w:val="24"/>
          <w:szCs w:val="24"/>
        </w:rPr>
        <w:t>.</w:t>
      </w:r>
    </w:p>
  </w:footnote>
  <w:footnote w:id="6">
    <w:p w14:paraId="4DBACD1C" w14:textId="425029F4" w:rsidR="00E2383F" w:rsidRPr="004965B5" w:rsidRDefault="00E2383F" w:rsidP="004965B5">
      <w:pPr>
        <w:pStyle w:val="FootnoteText"/>
        <w:spacing w:after="120" w:line="240" w:lineRule="exact"/>
        <w:rPr>
          <w:sz w:val="24"/>
          <w:szCs w:val="24"/>
        </w:rPr>
      </w:pPr>
      <w:r w:rsidRPr="004965B5">
        <w:rPr>
          <w:rStyle w:val="FootnoteReference"/>
          <w:sz w:val="24"/>
          <w:szCs w:val="24"/>
        </w:rPr>
        <w:footnoteRef/>
      </w:r>
      <w:r w:rsidRPr="004965B5">
        <w:rPr>
          <w:sz w:val="24"/>
          <w:szCs w:val="24"/>
        </w:rPr>
        <w:t xml:space="preserve"> NPRM at ¶ 5.</w:t>
      </w:r>
    </w:p>
  </w:footnote>
  <w:footnote w:id="7">
    <w:p w14:paraId="7A859ABE" w14:textId="64BF78EB" w:rsidR="00290366" w:rsidRPr="004965B5" w:rsidRDefault="00290366" w:rsidP="004965B5">
      <w:pPr>
        <w:pStyle w:val="FootnoteText"/>
        <w:spacing w:after="120" w:line="240" w:lineRule="exact"/>
        <w:rPr>
          <w:sz w:val="24"/>
          <w:szCs w:val="24"/>
        </w:rPr>
      </w:pPr>
      <w:r w:rsidRPr="004965B5">
        <w:rPr>
          <w:rStyle w:val="FootnoteReference"/>
          <w:sz w:val="24"/>
          <w:szCs w:val="24"/>
        </w:rPr>
        <w:footnoteRef/>
      </w:r>
      <w:r w:rsidRPr="004965B5">
        <w:rPr>
          <w:sz w:val="24"/>
          <w:szCs w:val="24"/>
        </w:rPr>
        <w:t xml:space="preserve"> NPRM at ¶¶ </w:t>
      </w:r>
      <w:r w:rsidR="00BD246D" w:rsidRPr="004965B5">
        <w:rPr>
          <w:sz w:val="24"/>
          <w:szCs w:val="24"/>
        </w:rPr>
        <w:t>29-78</w:t>
      </w:r>
      <w:r w:rsidRPr="004965B5">
        <w:rPr>
          <w:sz w:val="24"/>
          <w:szCs w:val="24"/>
        </w:rPr>
        <w:t>.</w:t>
      </w:r>
    </w:p>
  </w:footnote>
  <w:footnote w:id="8">
    <w:p w14:paraId="5ED22282" w14:textId="27F5A135" w:rsidR="00EC125B" w:rsidRPr="004965B5" w:rsidRDefault="00EC125B" w:rsidP="004965B5">
      <w:pPr>
        <w:pStyle w:val="FootnoteText"/>
        <w:spacing w:after="120" w:line="240" w:lineRule="exact"/>
        <w:rPr>
          <w:sz w:val="24"/>
          <w:szCs w:val="24"/>
        </w:rPr>
      </w:pPr>
      <w:r w:rsidRPr="004965B5">
        <w:rPr>
          <w:rStyle w:val="FootnoteReference"/>
          <w:sz w:val="24"/>
          <w:szCs w:val="24"/>
        </w:rPr>
        <w:footnoteRef/>
      </w:r>
      <w:r w:rsidRPr="004965B5">
        <w:rPr>
          <w:sz w:val="24"/>
          <w:szCs w:val="24"/>
        </w:rPr>
        <w:t xml:space="preserve"> NPRM at ¶ 81.</w:t>
      </w:r>
    </w:p>
  </w:footnote>
  <w:footnote w:id="9">
    <w:p w14:paraId="4AAE4B58" w14:textId="3E825E0E" w:rsidR="00271C95" w:rsidRPr="004965B5" w:rsidRDefault="00271C95" w:rsidP="004965B5">
      <w:pPr>
        <w:pStyle w:val="FootnoteText"/>
        <w:spacing w:after="120" w:line="240" w:lineRule="exact"/>
        <w:rPr>
          <w:sz w:val="24"/>
          <w:szCs w:val="24"/>
        </w:rPr>
      </w:pPr>
      <w:r w:rsidRPr="004965B5">
        <w:rPr>
          <w:rStyle w:val="FootnoteReference"/>
          <w:sz w:val="24"/>
          <w:szCs w:val="24"/>
        </w:rPr>
        <w:footnoteRef/>
      </w:r>
      <w:r w:rsidRPr="004965B5">
        <w:rPr>
          <w:sz w:val="24"/>
          <w:szCs w:val="24"/>
        </w:rPr>
        <w:t xml:space="preserve"> </w:t>
      </w:r>
      <w:r w:rsidRPr="00447CAD">
        <w:rPr>
          <w:i/>
          <w:sz w:val="24"/>
          <w:szCs w:val="24"/>
        </w:rPr>
        <w:t>NPRM</w:t>
      </w:r>
      <w:r w:rsidRPr="004965B5">
        <w:rPr>
          <w:sz w:val="24"/>
          <w:szCs w:val="24"/>
        </w:rPr>
        <w:t xml:space="preserve"> at ¶ </w:t>
      </w:r>
      <w:r w:rsidR="003A2E24" w:rsidRPr="004965B5">
        <w:rPr>
          <w:sz w:val="24"/>
          <w:szCs w:val="24"/>
        </w:rPr>
        <w:t>6</w:t>
      </w:r>
      <w:r w:rsidR="00C63EBE" w:rsidRPr="004965B5">
        <w:rPr>
          <w:sz w:val="24"/>
          <w:szCs w:val="24"/>
        </w:rPr>
        <w:t xml:space="preserve">; </w:t>
      </w:r>
      <w:r w:rsidR="00C63EBE" w:rsidRPr="004965B5">
        <w:rPr>
          <w:i/>
          <w:iCs/>
          <w:sz w:val="24"/>
          <w:szCs w:val="24"/>
        </w:rPr>
        <w:t xml:space="preserve">see </w:t>
      </w:r>
      <w:r w:rsidR="00B578AF" w:rsidRPr="004965B5">
        <w:rPr>
          <w:i/>
          <w:iCs/>
          <w:sz w:val="24"/>
          <w:szCs w:val="24"/>
        </w:rPr>
        <w:t>also</w:t>
      </w:r>
      <w:r w:rsidR="00B578AF" w:rsidRPr="004965B5">
        <w:rPr>
          <w:sz w:val="24"/>
          <w:szCs w:val="24"/>
        </w:rPr>
        <w:t xml:space="preserve"> </w:t>
      </w:r>
      <w:r w:rsidR="00C63EBE" w:rsidRPr="004965B5">
        <w:rPr>
          <w:i/>
          <w:iCs/>
          <w:sz w:val="24"/>
          <w:szCs w:val="24"/>
        </w:rPr>
        <w:t>Notice of Inquiry</w:t>
      </w:r>
      <w:r w:rsidR="00C63EBE" w:rsidRPr="00447CAD">
        <w:rPr>
          <w:i/>
          <w:sz w:val="24"/>
          <w:szCs w:val="24"/>
        </w:rPr>
        <w:t>, In the Matter of Build America: Eliminating Barriers to Wireline Deployment</w:t>
      </w:r>
      <w:r w:rsidR="008568B4" w:rsidRPr="00447CAD">
        <w:rPr>
          <w:i/>
          <w:sz w:val="24"/>
          <w:szCs w:val="24"/>
        </w:rPr>
        <w:t>s</w:t>
      </w:r>
      <w:r w:rsidR="008568B4" w:rsidRPr="004965B5">
        <w:rPr>
          <w:sz w:val="24"/>
          <w:szCs w:val="24"/>
        </w:rPr>
        <w:t xml:space="preserve"> (WC Docket No. 25-253)</w:t>
      </w:r>
      <w:r w:rsidR="00AE4991" w:rsidRPr="004965B5">
        <w:rPr>
          <w:sz w:val="24"/>
          <w:szCs w:val="24"/>
        </w:rPr>
        <w:t>, adopted September 30, 2025.</w:t>
      </w:r>
    </w:p>
  </w:footnote>
  <w:footnote w:id="10">
    <w:p w14:paraId="392A16ED" w14:textId="5F58007D" w:rsidR="00340DBB" w:rsidRPr="004965B5" w:rsidRDefault="00340DBB" w:rsidP="004965B5">
      <w:pPr>
        <w:pStyle w:val="FootnoteText"/>
        <w:spacing w:after="120" w:line="240" w:lineRule="exact"/>
        <w:rPr>
          <w:sz w:val="24"/>
          <w:szCs w:val="24"/>
        </w:rPr>
      </w:pPr>
      <w:r w:rsidRPr="004965B5">
        <w:rPr>
          <w:rStyle w:val="FootnoteReference"/>
          <w:sz w:val="24"/>
          <w:szCs w:val="24"/>
        </w:rPr>
        <w:footnoteRef/>
      </w:r>
      <w:r w:rsidRPr="004965B5">
        <w:rPr>
          <w:sz w:val="24"/>
          <w:szCs w:val="24"/>
        </w:rPr>
        <w:t xml:space="preserve"> </w:t>
      </w:r>
      <w:r w:rsidRPr="00447CAD">
        <w:rPr>
          <w:i/>
          <w:sz w:val="24"/>
          <w:szCs w:val="24"/>
        </w:rPr>
        <w:t>See</w:t>
      </w:r>
      <w:r w:rsidR="000A114D">
        <w:rPr>
          <w:sz w:val="24"/>
          <w:szCs w:val="24"/>
        </w:rPr>
        <w:t>,</w:t>
      </w:r>
      <w:r w:rsidRPr="004965B5">
        <w:rPr>
          <w:sz w:val="24"/>
          <w:szCs w:val="24"/>
        </w:rPr>
        <w:t xml:space="preserve"> </w:t>
      </w:r>
      <w:r w:rsidRPr="00447CAD">
        <w:rPr>
          <w:i/>
          <w:sz w:val="24"/>
          <w:szCs w:val="24"/>
        </w:rPr>
        <w:t>e.g.</w:t>
      </w:r>
      <w:r w:rsidRPr="004965B5">
        <w:rPr>
          <w:sz w:val="24"/>
          <w:szCs w:val="24"/>
        </w:rPr>
        <w:t xml:space="preserve">, </w:t>
      </w:r>
      <w:r w:rsidR="00405369" w:rsidRPr="004965B5">
        <w:rPr>
          <w:sz w:val="24"/>
          <w:szCs w:val="24"/>
        </w:rPr>
        <w:t>CPUC Comments (June 15, 2017) and CPUC Comments (July 17, 2017)</w:t>
      </w:r>
      <w:r w:rsidR="00BD6CCF" w:rsidRPr="004965B5">
        <w:rPr>
          <w:sz w:val="24"/>
          <w:szCs w:val="24"/>
        </w:rPr>
        <w:t xml:space="preserve">, </w:t>
      </w:r>
      <w:r w:rsidR="00BD6CCF" w:rsidRPr="004965B5">
        <w:rPr>
          <w:i/>
          <w:iCs/>
          <w:sz w:val="24"/>
          <w:szCs w:val="24"/>
        </w:rPr>
        <w:t>In the Matter of Accelerating Wireline Broadband Deployment by Removing Barriers to Infrastructure Inv</w:t>
      </w:r>
      <w:r w:rsidR="00BD6CCF" w:rsidRPr="004965B5">
        <w:rPr>
          <w:sz w:val="24"/>
          <w:szCs w:val="24"/>
        </w:rPr>
        <w:t xml:space="preserve">., 33 F.C.C. Rcd. 7705 (2018) and </w:t>
      </w:r>
      <w:r w:rsidR="00EE799C" w:rsidRPr="004965B5">
        <w:rPr>
          <w:i/>
          <w:iCs/>
          <w:sz w:val="24"/>
          <w:szCs w:val="24"/>
        </w:rPr>
        <w:t>In the Matter of Accelerating Wireless Broadband Deployment by Removing Barriers to Infrastructure Inv</w:t>
      </w:r>
      <w:r w:rsidR="00EE799C" w:rsidRPr="004965B5">
        <w:rPr>
          <w:sz w:val="24"/>
          <w:szCs w:val="24"/>
        </w:rPr>
        <w:t>., 33 F.C.C. Rcd. 9088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097D" w14:textId="77777777" w:rsidR="00C24802" w:rsidRDefault="00C24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029867"/>
      <w:docPartObj>
        <w:docPartGallery w:val="Page Numbers (Top of Page)"/>
        <w:docPartUnique/>
      </w:docPartObj>
    </w:sdtPr>
    <w:sdtEndPr>
      <w:rPr>
        <w:noProof/>
      </w:rPr>
    </w:sdtEndPr>
    <w:sdtContent>
      <w:p w14:paraId="29936C7A" w14:textId="53A89DD7" w:rsidR="00AF577B" w:rsidRDefault="00AF577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2A71DC" w14:textId="77777777" w:rsidR="00AF577B" w:rsidRDefault="00AF5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C75B" w14:textId="7C7925A9" w:rsidR="005775E4" w:rsidRPr="00D937EC" w:rsidRDefault="005775E4" w:rsidP="005775E4">
    <w:pPr>
      <w:pStyle w:val="Header"/>
      <w:jc w:val="right"/>
      <w:rPr>
        <w:b/>
        <w:bCs/>
        <w:sz w:val="26"/>
        <w:szCs w:val="26"/>
      </w:rPr>
    </w:pPr>
    <w:r w:rsidRPr="00D937EC">
      <w:rPr>
        <w:b/>
        <w:bCs/>
        <w:sz w:val="26"/>
        <w:szCs w:val="26"/>
      </w:rPr>
      <w:t>Item ___ (Agenda ID#</w:t>
    </w:r>
    <w:r w:rsidR="00156C6C">
      <w:rPr>
        <w:b/>
        <w:bCs/>
        <w:sz w:val="26"/>
        <w:szCs w:val="26"/>
      </w:rPr>
      <w:t xml:space="preserve"> </w:t>
    </w:r>
    <w:r w:rsidR="00156C6C" w:rsidRPr="00156C6C">
      <w:rPr>
        <w:b/>
        <w:bCs/>
        <w:sz w:val="26"/>
        <w:szCs w:val="26"/>
      </w:rPr>
      <w:t>23796</w:t>
    </w:r>
    <w:r w:rsidRPr="00D937EC">
      <w:rPr>
        <w:b/>
        <w:bCs/>
        <w:sz w:val="26"/>
        <w:szCs w:val="26"/>
      </w:rPr>
      <w:t>)</w:t>
    </w:r>
  </w:p>
  <w:p w14:paraId="14E456EB" w14:textId="16E72999" w:rsidR="003C065D" w:rsidRPr="003C065D" w:rsidRDefault="003C065D" w:rsidP="003C0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6656FE7"/>
    <w:multiLevelType w:val="hybridMultilevel"/>
    <w:tmpl w:val="9692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32065"/>
    <w:multiLevelType w:val="hybridMultilevel"/>
    <w:tmpl w:val="1AA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D020A"/>
    <w:multiLevelType w:val="hybridMultilevel"/>
    <w:tmpl w:val="DB78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200E2"/>
    <w:multiLevelType w:val="hybridMultilevel"/>
    <w:tmpl w:val="E6EC8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E650B"/>
    <w:multiLevelType w:val="hybridMultilevel"/>
    <w:tmpl w:val="7D20DBF0"/>
    <w:lvl w:ilvl="0" w:tplc="58148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F60E9A"/>
    <w:multiLevelType w:val="hybridMultilevel"/>
    <w:tmpl w:val="9E0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145FA"/>
    <w:multiLevelType w:val="hybridMultilevel"/>
    <w:tmpl w:val="14EAB3F6"/>
    <w:lvl w:ilvl="0" w:tplc="4D6A4CB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20C44"/>
    <w:multiLevelType w:val="hybridMultilevel"/>
    <w:tmpl w:val="25E8B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018BC"/>
    <w:multiLevelType w:val="hybridMultilevel"/>
    <w:tmpl w:val="2854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84C25"/>
    <w:multiLevelType w:val="hybridMultilevel"/>
    <w:tmpl w:val="EAF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42188"/>
    <w:multiLevelType w:val="hybridMultilevel"/>
    <w:tmpl w:val="4E2C7C82"/>
    <w:lvl w:ilvl="0" w:tplc="C28E4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7910B9"/>
    <w:multiLevelType w:val="hybridMultilevel"/>
    <w:tmpl w:val="7AD4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5266B"/>
    <w:multiLevelType w:val="hybridMultilevel"/>
    <w:tmpl w:val="149C0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202F6"/>
    <w:multiLevelType w:val="hybridMultilevel"/>
    <w:tmpl w:val="A712CC6E"/>
    <w:lvl w:ilvl="0" w:tplc="35847AD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6F5524"/>
    <w:multiLevelType w:val="hybridMultilevel"/>
    <w:tmpl w:val="25BACC72"/>
    <w:lvl w:ilvl="0" w:tplc="AD5AF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43AC7"/>
    <w:multiLevelType w:val="hybridMultilevel"/>
    <w:tmpl w:val="52A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8D6221"/>
    <w:multiLevelType w:val="hybridMultilevel"/>
    <w:tmpl w:val="ED848280"/>
    <w:lvl w:ilvl="0" w:tplc="F6EA219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09671B"/>
    <w:multiLevelType w:val="hybridMultilevel"/>
    <w:tmpl w:val="174E87B8"/>
    <w:lvl w:ilvl="0" w:tplc="23D873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9263C"/>
    <w:multiLevelType w:val="hybridMultilevel"/>
    <w:tmpl w:val="EEB8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E0284"/>
    <w:multiLevelType w:val="hybridMultilevel"/>
    <w:tmpl w:val="CF9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5F46"/>
    <w:multiLevelType w:val="hybridMultilevel"/>
    <w:tmpl w:val="025A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61ED2"/>
    <w:multiLevelType w:val="hybridMultilevel"/>
    <w:tmpl w:val="710A1230"/>
    <w:lvl w:ilvl="0" w:tplc="FA68FC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675909">
    <w:abstractNumId w:val="0"/>
  </w:num>
  <w:num w:numId="2" w16cid:durableId="1260941186">
    <w:abstractNumId w:val="5"/>
  </w:num>
  <w:num w:numId="3" w16cid:durableId="337275506">
    <w:abstractNumId w:val="11"/>
  </w:num>
  <w:num w:numId="4" w16cid:durableId="1454398717">
    <w:abstractNumId w:val="18"/>
  </w:num>
  <w:num w:numId="5" w16cid:durableId="689530869">
    <w:abstractNumId w:val="14"/>
  </w:num>
  <w:num w:numId="6" w16cid:durableId="1585723442">
    <w:abstractNumId w:val="17"/>
  </w:num>
  <w:num w:numId="7" w16cid:durableId="227349872">
    <w:abstractNumId w:val="22"/>
  </w:num>
  <w:num w:numId="8" w16cid:durableId="511143340">
    <w:abstractNumId w:val="1"/>
  </w:num>
  <w:num w:numId="9" w16cid:durableId="1053966559">
    <w:abstractNumId w:val="16"/>
  </w:num>
  <w:num w:numId="10" w16cid:durableId="1873761385">
    <w:abstractNumId w:val="21"/>
  </w:num>
  <w:num w:numId="11" w16cid:durableId="182323374">
    <w:abstractNumId w:val="7"/>
  </w:num>
  <w:num w:numId="12" w16cid:durableId="1018236947">
    <w:abstractNumId w:val="20"/>
  </w:num>
  <w:num w:numId="13" w16cid:durableId="1274361758">
    <w:abstractNumId w:val="19"/>
  </w:num>
  <w:num w:numId="14" w16cid:durableId="1494182053">
    <w:abstractNumId w:val="9"/>
  </w:num>
  <w:num w:numId="15" w16cid:durableId="1024212692">
    <w:abstractNumId w:val="2"/>
  </w:num>
  <w:num w:numId="16" w16cid:durableId="51972913">
    <w:abstractNumId w:val="13"/>
  </w:num>
  <w:num w:numId="17" w16cid:durableId="1255241978">
    <w:abstractNumId w:val="15"/>
  </w:num>
  <w:num w:numId="18" w16cid:durableId="2128886155">
    <w:abstractNumId w:val="12"/>
  </w:num>
  <w:num w:numId="19" w16cid:durableId="1636787131">
    <w:abstractNumId w:val="10"/>
  </w:num>
  <w:num w:numId="20" w16cid:durableId="2113623165">
    <w:abstractNumId w:val="8"/>
  </w:num>
  <w:num w:numId="21" w16cid:durableId="80298349">
    <w:abstractNumId w:val="6"/>
  </w:num>
  <w:num w:numId="22" w16cid:durableId="909274563">
    <w:abstractNumId w:val="4"/>
  </w:num>
  <w:num w:numId="23" w16cid:durableId="1854680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37"/>
    <w:rsid w:val="00001135"/>
    <w:rsid w:val="00002C58"/>
    <w:rsid w:val="00003E5F"/>
    <w:rsid w:val="000041BE"/>
    <w:rsid w:val="00005564"/>
    <w:rsid w:val="00005841"/>
    <w:rsid w:val="000058EE"/>
    <w:rsid w:val="00005FA9"/>
    <w:rsid w:val="00006EA6"/>
    <w:rsid w:val="00007AE4"/>
    <w:rsid w:val="000113D3"/>
    <w:rsid w:val="00014D2D"/>
    <w:rsid w:val="00015F09"/>
    <w:rsid w:val="00020EC8"/>
    <w:rsid w:val="000217C9"/>
    <w:rsid w:val="00021C02"/>
    <w:rsid w:val="00021E14"/>
    <w:rsid w:val="000224DB"/>
    <w:rsid w:val="0002257C"/>
    <w:rsid w:val="00024979"/>
    <w:rsid w:val="00025CF0"/>
    <w:rsid w:val="00026C68"/>
    <w:rsid w:val="0002744A"/>
    <w:rsid w:val="00031259"/>
    <w:rsid w:val="00031D87"/>
    <w:rsid w:val="00031F49"/>
    <w:rsid w:val="000322C9"/>
    <w:rsid w:val="00032AFC"/>
    <w:rsid w:val="000353A6"/>
    <w:rsid w:val="000355A1"/>
    <w:rsid w:val="0004509A"/>
    <w:rsid w:val="0004523B"/>
    <w:rsid w:val="000457C1"/>
    <w:rsid w:val="00047F0A"/>
    <w:rsid w:val="00053F67"/>
    <w:rsid w:val="000550C1"/>
    <w:rsid w:val="00056900"/>
    <w:rsid w:val="00057186"/>
    <w:rsid w:val="0006022F"/>
    <w:rsid w:val="0006056E"/>
    <w:rsid w:val="000631E5"/>
    <w:rsid w:val="00063749"/>
    <w:rsid w:val="00065F5E"/>
    <w:rsid w:val="000663BC"/>
    <w:rsid w:val="00066E78"/>
    <w:rsid w:val="0006716A"/>
    <w:rsid w:val="00071E4A"/>
    <w:rsid w:val="00072CF9"/>
    <w:rsid w:val="0007470F"/>
    <w:rsid w:val="00074884"/>
    <w:rsid w:val="000803A8"/>
    <w:rsid w:val="0008053C"/>
    <w:rsid w:val="00080CAB"/>
    <w:rsid w:val="00081760"/>
    <w:rsid w:val="000834DC"/>
    <w:rsid w:val="0008422E"/>
    <w:rsid w:val="00084C87"/>
    <w:rsid w:val="0008611C"/>
    <w:rsid w:val="0008710B"/>
    <w:rsid w:val="0008719D"/>
    <w:rsid w:val="000873EE"/>
    <w:rsid w:val="00091007"/>
    <w:rsid w:val="00091578"/>
    <w:rsid w:val="00091582"/>
    <w:rsid w:val="0009218A"/>
    <w:rsid w:val="000931C8"/>
    <w:rsid w:val="00094359"/>
    <w:rsid w:val="00094377"/>
    <w:rsid w:val="00094DF3"/>
    <w:rsid w:val="00096070"/>
    <w:rsid w:val="0009625E"/>
    <w:rsid w:val="00097EE2"/>
    <w:rsid w:val="000A0E6F"/>
    <w:rsid w:val="000A114D"/>
    <w:rsid w:val="000A1DB0"/>
    <w:rsid w:val="000A1E72"/>
    <w:rsid w:val="000A3634"/>
    <w:rsid w:val="000A57CB"/>
    <w:rsid w:val="000A63F7"/>
    <w:rsid w:val="000A6459"/>
    <w:rsid w:val="000A6C88"/>
    <w:rsid w:val="000A7586"/>
    <w:rsid w:val="000B013C"/>
    <w:rsid w:val="000B26D6"/>
    <w:rsid w:val="000B285F"/>
    <w:rsid w:val="000B2D87"/>
    <w:rsid w:val="000B3602"/>
    <w:rsid w:val="000B7FCC"/>
    <w:rsid w:val="000C13A9"/>
    <w:rsid w:val="000C22B1"/>
    <w:rsid w:val="000C5302"/>
    <w:rsid w:val="000C6050"/>
    <w:rsid w:val="000C6372"/>
    <w:rsid w:val="000C6E1E"/>
    <w:rsid w:val="000D07B3"/>
    <w:rsid w:val="000D1212"/>
    <w:rsid w:val="000D2379"/>
    <w:rsid w:val="000D383D"/>
    <w:rsid w:val="000D54C1"/>
    <w:rsid w:val="000D5706"/>
    <w:rsid w:val="000D67D2"/>
    <w:rsid w:val="000D697D"/>
    <w:rsid w:val="000D7404"/>
    <w:rsid w:val="000E120F"/>
    <w:rsid w:val="000E1D19"/>
    <w:rsid w:val="000E23DD"/>
    <w:rsid w:val="000E41E2"/>
    <w:rsid w:val="000E47A3"/>
    <w:rsid w:val="000E61AC"/>
    <w:rsid w:val="000F2581"/>
    <w:rsid w:val="000F4692"/>
    <w:rsid w:val="000F4B37"/>
    <w:rsid w:val="000F5921"/>
    <w:rsid w:val="0010038D"/>
    <w:rsid w:val="00101D06"/>
    <w:rsid w:val="00101FCC"/>
    <w:rsid w:val="0010237A"/>
    <w:rsid w:val="001023A1"/>
    <w:rsid w:val="00104AE1"/>
    <w:rsid w:val="00104C52"/>
    <w:rsid w:val="0010545D"/>
    <w:rsid w:val="001106E2"/>
    <w:rsid w:val="00111664"/>
    <w:rsid w:val="00112538"/>
    <w:rsid w:val="0011483E"/>
    <w:rsid w:val="00116E43"/>
    <w:rsid w:val="001171FA"/>
    <w:rsid w:val="001215E8"/>
    <w:rsid w:val="00122F4E"/>
    <w:rsid w:val="0012317D"/>
    <w:rsid w:val="001236B8"/>
    <w:rsid w:val="00123E10"/>
    <w:rsid w:val="00127247"/>
    <w:rsid w:val="001303AD"/>
    <w:rsid w:val="00130C3C"/>
    <w:rsid w:val="0013234A"/>
    <w:rsid w:val="00136D0B"/>
    <w:rsid w:val="001406E7"/>
    <w:rsid w:val="00141773"/>
    <w:rsid w:val="00142DF4"/>
    <w:rsid w:val="0014397C"/>
    <w:rsid w:val="00144CBB"/>
    <w:rsid w:val="00147C8F"/>
    <w:rsid w:val="00151132"/>
    <w:rsid w:val="001515F3"/>
    <w:rsid w:val="001538B5"/>
    <w:rsid w:val="00153E57"/>
    <w:rsid w:val="0015465A"/>
    <w:rsid w:val="0015508E"/>
    <w:rsid w:val="001553C1"/>
    <w:rsid w:val="00156C6C"/>
    <w:rsid w:val="0015787F"/>
    <w:rsid w:val="001628E5"/>
    <w:rsid w:val="00164E9F"/>
    <w:rsid w:val="00165389"/>
    <w:rsid w:val="0016592D"/>
    <w:rsid w:val="00165AD2"/>
    <w:rsid w:val="00165D51"/>
    <w:rsid w:val="001660D3"/>
    <w:rsid w:val="0016627F"/>
    <w:rsid w:val="00166B8B"/>
    <w:rsid w:val="00170327"/>
    <w:rsid w:val="001707A3"/>
    <w:rsid w:val="001718CE"/>
    <w:rsid w:val="00171B4A"/>
    <w:rsid w:val="00171D72"/>
    <w:rsid w:val="001724D1"/>
    <w:rsid w:val="001759BD"/>
    <w:rsid w:val="00175D92"/>
    <w:rsid w:val="00176522"/>
    <w:rsid w:val="0017693E"/>
    <w:rsid w:val="0017726A"/>
    <w:rsid w:val="00181246"/>
    <w:rsid w:val="00184A76"/>
    <w:rsid w:val="0019004E"/>
    <w:rsid w:val="00191A57"/>
    <w:rsid w:val="0019232B"/>
    <w:rsid w:val="00195147"/>
    <w:rsid w:val="0019622D"/>
    <w:rsid w:val="0019625D"/>
    <w:rsid w:val="001A0814"/>
    <w:rsid w:val="001A7312"/>
    <w:rsid w:val="001A7C57"/>
    <w:rsid w:val="001B05F0"/>
    <w:rsid w:val="001B0A38"/>
    <w:rsid w:val="001B114A"/>
    <w:rsid w:val="001B35C6"/>
    <w:rsid w:val="001B3776"/>
    <w:rsid w:val="001B39CE"/>
    <w:rsid w:val="001B4415"/>
    <w:rsid w:val="001B4BBC"/>
    <w:rsid w:val="001B556A"/>
    <w:rsid w:val="001C0CDE"/>
    <w:rsid w:val="001C1F36"/>
    <w:rsid w:val="001C3419"/>
    <w:rsid w:val="001C39D5"/>
    <w:rsid w:val="001C59FA"/>
    <w:rsid w:val="001C62DC"/>
    <w:rsid w:val="001C653F"/>
    <w:rsid w:val="001C67AF"/>
    <w:rsid w:val="001C7891"/>
    <w:rsid w:val="001C7FCC"/>
    <w:rsid w:val="001D2412"/>
    <w:rsid w:val="001D3B4F"/>
    <w:rsid w:val="001D78DA"/>
    <w:rsid w:val="001E09E9"/>
    <w:rsid w:val="001E26E5"/>
    <w:rsid w:val="001E4738"/>
    <w:rsid w:val="001E4CEF"/>
    <w:rsid w:val="001E695E"/>
    <w:rsid w:val="001E6EF6"/>
    <w:rsid w:val="001E7FA6"/>
    <w:rsid w:val="001F1451"/>
    <w:rsid w:val="001F1BDA"/>
    <w:rsid w:val="001F25AD"/>
    <w:rsid w:val="001F3325"/>
    <w:rsid w:val="001F4CCA"/>
    <w:rsid w:val="001F54BF"/>
    <w:rsid w:val="001F77C9"/>
    <w:rsid w:val="0020265F"/>
    <w:rsid w:val="00203EB9"/>
    <w:rsid w:val="002045FE"/>
    <w:rsid w:val="00205172"/>
    <w:rsid w:val="00205B32"/>
    <w:rsid w:val="00206BE2"/>
    <w:rsid w:val="00206F24"/>
    <w:rsid w:val="00207B9F"/>
    <w:rsid w:val="0021004C"/>
    <w:rsid w:val="00210581"/>
    <w:rsid w:val="00210906"/>
    <w:rsid w:val="00210931"/>
    <w:rsid w:val="00210DA9"/>
    <w:rsid w:val="00210F61"/>
    <w:rsid w:val="002116EB"/>
    <w:rsid w:val="0021244A"/>
    <w:rsid w:val="00212A58"/>
    <w:rsid w:val="00213FBF"/>
    <w:rsid w:val="00214124"/>
    <w:rsid w:val="00214789"/>
    <w:rsid w:val="002177C5"/>
    <w:rsid w:val="002204A5"/>
    <w:rsid w:val="002218CB"/>
    <w:rsid w:val="00221C72"/>
    <w:rsid w:val="00224B03"/>
    <w:rsid w:val="00225B7A"/>
    <w:rsid w:val="00225C62"/>
    <w:rsid w:val="002269A1"/>
    <w:rsid w:val="00226CC6"/>
    <w:rsid w:val="00226CDB"/>
    <w:rsid w:val="0023483B"/>
    <w:rsid w:val="00235CBA"/>
    <w:rsid w:val="00235CBC"/>
    <w:rsid w:val="00237950"/>
    <w:rsid w:val="00240769"/>
    <w:rsid w:val="0024217D"/>
    <w:rsid w:val="00242747"/>
    <w:rsid w:val="00245E51"/>
    <w:rsid w:val="0024608B"/>
    <w:rsid w:val="0025014B"/>
    <w:rsid w:val="00252B40"/>
    <w:rsid w:val="00254089"/>
    <w:rsid w:val="002543DB"/>
    <w:rsid w:val="00256062"/>
    <w:rsid w:val="002564C5"/>
    <w:rsid w:val="00257173"/>
    <w:rsid w:val="00257A29"/>
    <w:rsid w:val="00257FA7"/>
    <w:rsid w:val="00260AC3"/>
    <w:rsid w:val="00261590"/>
    <w:rsid w:val="00261AA5"/>
    <w:rsid w:val="00262DEB"/>
    <w:rsid w:val="002630FB"/>
    <w:rsid w:val="00263D83"/>
    <w:rsid w:val="00264B1C"/>
    <w:rsid w:val="00265BAD"/>
    <w:rsid w:val="0026783D"/>
    <w:rsid w:val="002679EA"/>
    <w:rsid w:val="00267A16"/>
    <w:rsid w:val="00271C95"/>
    <w:rsid w:val="00273C5C"/>
    <w:rsid w:val="0027550F"/>
    <w:rsid w:val="002766A3"/>
    <w:rsid w:val="002846E6"/>
    <w:rsid w:val="00284EEB"/>
    <w:rsid w:val="0028506E"/>
    <w:rsid w:val="00286F5E"/>
    <w:rsid w:val="00287FE3"/>
    <w:rsid w:val="00290366"/>
    <w:rsid w:val="00290D7A"/>
    <w:rsid w:val="00290E90"/>
    <w:rsid w:val="002928F2"/>
    <w:rsid w:val="002935B6"/>
    <w:rsid w:val="0029495D"/>
    <w:rsid w:val="00295486"/>
    <w:rsid w:val="00295AC3"/>
    <w:rsid w:val="00295DC3"/>
    <w:rsid w:val="002960D2"/>
    <w:rsid w:val="00297D4A"/>
    <w:rsid w:val="002A10C9"/>
    <w:rsid w:val="002A15D3"/>
    <w:rsid w:val="002A2FFA"/>
    <w:rsid w:val="002A3799"/>
    <w:rsid w:val="002B1061"/>
    <w:rsid w:val="002B11B4"/>
    <w:rsid w:val="002B1E60"/>
    <w:rsid w:val="002B2230"/>
    <w:rsid w:val="002B2627"/>
    <w:rsid w:val="002B37B4"/>
    <w:rsid w:val="002B3BD1"/>
    <w:rsid w:val="002B530D"/>
    <w:rsid w:val="002B53A0"/>
    <w:rsid w:val="002B587B"/>
    <w:rsid w:val="002B5FB5"/>
    <w:rsid w:val="002B6095"/>
    <w:rsid w:val="002C144D"/>
    <w:rsid w:val="002C2894"/>
    <w:rsid w:val="002C58D6"/>
    <w:rsid w:val="002C5D4F"/>
    <w:rsid w:val="002C65BB"/>
    <w:rsid w:val="002C749E"/>
    <w:rsid w:val="002C7667"/>
    <w:rsid w:val="002C773B"/>
    <w:rsid w:val="002D689C"/>
    <w:rsid w:val="002D73D0"/>
    <w:rsid w:val="002D7891"/>
    <w:rsid w:val="002E08A5"/>
    <w:rsid w:val="002E1817"/>
    <w:rsid w:val="002E1E47"/>
    <w:rsid w:val="002E320C"/>
    <w:rsid w:val="002E62CB"/>
    <w:rsid w:val="002E7E44"/>
    <w:rsid w:val="002F0D0A"/>
    <w:rsid w:val="002F0D29"/>
    <w:rsid w:val="002F1DF9"/>
    <w:rsid w:val="002F20CA"/>
    <w:rsid w:val="002F2FC8"/>
    <w:rsid w:val="002F4D99"/>
    <w:rsid w:val="002F5C37"/>
    <w:rsid w:val="002F6412"/>
    <w:rsid w:val="002F6605"/>
    <w:rsid w:val="002F6F74"/>
    <w:rsid w:val="00300B4C"/>
    <w:rsid w:val="00302265"/>
    <w:rsid w:val="003034A5"/>
    <w:rsid w:val="00303D86"/>
    <w:rsid w:val="00303E53"/>
    <w:rsid w:val="00303F4F"/>
    <w:rsid w:val="00304946"/>
    <w:rsid w:val="0030529F"/>
    <w:rsid w:val="003059CE"/>
    <w:rsid w:val="00305D2E"/>
    <w:rsid w:val="00306CEE"/>
    <w:rsid w:val="00310DB7"/>
    <w:rsid w:val="0031208C"/>
    <w:rsid w:val="003127AF"/>
    <w:rsid w:val="003147F2"/>
    <w:rsid w:val="003150A8"/>
    <w:rsid w:val="003162E4"/>
    <w:rsid w:val="00320C82"/>
    <w:rsid w:val="00323277"/>
    <w:rsid w:val="00323A69"/>
    <w:rsid w:val="00330864"/>
    <w:rsid w:val="0033190E"/>
    <w:rsid w:val="00332315"/>
    <w:rsid w:val="0033255A"/>
    <w:rsid w:val="00335855"/>
    <w:rsid w:val="00336177"/>
    <w:rsid w:val="003376E4"/>
    <w:rsid w:val="0033772E"/>
    <w:rsid w:val="0034090B"/>
    <w:rsid w:val="00340BB6"/>
    <w:rsid w:val="00340CBB"/>
    <w:rsid w:val="00340DBB"/>
    <w:rsid w:val="00343359"/>
    <w:rsid w:val="0034537F"/>
    <w:rsid w:val="00345678"/>
    <w:rsid w:val="00345CC1"/>
    <w:rsid w:val="00346CDB"/>
    <w:rsid w:val="00347E1C"/>
    <w:rsid w:val="0035059A"/>
    <w:rsid w:val="00350D2A"/>
    <w:rsid w:val="003511B5"/>
    <w:rsid w:val="00351636"/>
    <w:rsid w:val="00353AEA"/>
    <w:rsid w:val="00354201"/>
    <w:rsid w:val="00354B0A"/>
    <w:rsid w:val="00355219"/>
    <w:rsid w:val="00357E41"/>
    <w:rsid w:val="003604C3"/>
    <w:rsid w:val="00360BC1"/>
    <w:rsid w:val="00361893"/>
    <w:rsid w:val="00363286"/>
    <w:rsid w:val="00364075"/>
    <w:rsid w:val="00364BF9"/>
    <w:rsid w:val="00364C64"/>
    <w:rsid w:val="003650F7"/>
    <w:rsid w:val="003664C6"/>
    <w:rsid w:val="00366758"/>
    <w:rsid w:val="00370752"/>
    <w:rsid w:val="00370E1A"/>
    <w:rsid w:val="00373196"/>
    <w:rsid w:val="003737A0"/>
    <w:rsid w:val="0038009C"/>
    <w:rsid w:val="003818DA"/>
    <w:rsid w:val="00383A04"/>
    <w:rsid w:val="00384D41"/>
    <w:rsid w:val="003863B7"/>
    <w:rsid w:val="00387409"/>
    <w:rsid w:val="00390D5E"/>
    <w:rsid w:val="00392831"/>
    <w:rsid w:val="00394A24"/>
    <w:rsid w:val="0039553E"/>
    <w:rsid w:val="003968FF"/>
    <w:rsid w:val="00396F90"/>
    <w:rsid w:val="003A0EF0"/>
    <w:rsid w:val="003A19ED"/>
    <w:rsid w:val="003A1E87"/>
    <w:rsid w:val="003A23D6"/>
    <w:rsid w:val="003A2E24"/>
    <w:rsid w:val="003A3B4F"/>
    <w:rsid w:val="003A519C"/>
    <w:rsid w:val="003A632D"/>
    <w:rsid w:val="003A7CBD"/>
    <w:rsid w:val="003B083E"/>
    <w:rsid w:val="003B0B34"/>
    <w:rsid w:val="003B2582"/>
    <w:rsid w:val="003B3624"/>
    <w:rsid w:val="003B4367"/>
    <w:rsid w:val="003B5487"/>
    <w:rsid w:val="003B57EA"/>
    <w:rsid w:val="003B5A30"/>
    <w:rsid w:val="003B5D68"/>
    <w:rsid w:val="003B7618"/>
    <w:rsid w:val="003C065D"/>
    <w:rsid w:val="003C0FA7"/>
    <w:rsid w:val="003C1D3A"/>
    <w:rsid w:val="003C3400"/>
    <w:rsid w:val="003C402F"/>
    <w:rsid w:val="003C58DF"/>
    <w:rsid w:val="003C6033"/>
    <w:rsid w:val="003C7357"/>
    <w:rsid w:val="003C7F3F"/>
    <w:rsid w:val="003D407F"/>
    <w:rsid w:val="003D4638"/>
    <w:rsid w:val="003D4694"/>
    <w:rsid w:val="003D5CFE"/>
    <w:rsid w:val="003D663C"/>
    <w:rsid w:val="003D6F58"/>
    <w:rsid w:val="003E074E"/>
    <w:rsid w:val="003E1221"/>
    <w:rsid w:val="003E1981"/>
    <w:rsid w:val="003E2580"/>
    <w:rsid w:val="003E5543"/>
    <w:rsid w:val="003E55A8"/>
    <w:rsid w:val="003E584F"/>
    <w:rsid w:val="003E710C"/>
    <w:rsid w:val="003F1CA5"/>
    <w:rsid w:val="003F2E1C"/>
    <w:rsid w:val="003F3A5D"/>
    <w:rsid w:val="003F464B"/>
    <w:rsid w:val="003F58C4"/>
    <w:rsid w:val="003F72DC"/>
    <w:rsid w:val="00400B1C"/>
    <w:rsid w:val="004011B9"/>
    <w:rsid w:val="00405369"/>
    <w:rsid w:val="00405457"/>
    <w:rsid w:val="00407D9F"/>
    <w:rsid w:val="00413420"/>
    <w:rsid w:val="0041406D"/>
    <w:rsid w:val="00414657"/>
    <w:rsid w:val="004155BD"/>
    <w:rsid w:val="00417A8D"/>
    <w:rsid w:val="004205D7"/>
    <w:rsid w:val="004220C2"/>
    <w:rsid w:val="00422150"/>
    <w:rsid w:val="00423C2B"/>
    <w:rsid w:val="0042690E"/>
    <w:rsid w:val="00431305"/>
    <w:rsid w:val="004329CE"/>
    <w:rsid w:val="00432F4F"/>
    <w:rsid w:val="004336C8"/>
    <w:rsid w:val="00434A2C"/>
    <w:rsid w:val="00435221"/>
    <w:rsid w:val="00435231"/>
    <w:rsid w:val="004354E4"/>
    <w:rsid w:val="004354EC"/>
    <w:rsid w:val="0043604C"/>
    <w:rsid w:val="004360CE"/>
    <w:rsid w:val="00436269"/>
    <w:rsid w:val="004372A3"/>
    <w:rsid w:val="00437E50"/>
    <w:rsid w:val="00440BD8"/>
    <w:rsid w:val="00441D96"/>
    <w:rsid w:val="004421B6"/>
    <w:rsid w:val="004426E0"/>
    <w:rsid w:val="00442BAE"/>
    <w:rsid w:val="004441B7"/>
    <w:rsid w:val="00447CAD"/>
    <w:rsid w:val="00452E75"/>
    <w:rsid w:val="00453083"/>
    <w:rsid w:val="004534E6"/>
    <w:rsid w:val="004538D0"/>
    <w:rsid w:val="00453F39"/>
    <w:rsid w:val="00455455"/>
    <w:rsid w:val="00457317"/>
    <w:rsid w:val="004603B4"/>
    <w:rsid w:val="0046048E"/>
    <w:rsid w:val="00460B92"/>
    <w:rsid w:val="0046135B"/>
    <w:rsid w:val="00463F45"/>
    <w:rsid w:val="0046441B"/>
    <w:rsid w:val="00464AD5"/>
    <w:rsid w:val="0046505B"/>
    <w:rsid w:val="00465D1F"/>
    <w:rsid w:val="0047067D"/>
    <w:rsid w:val="00470861"/>
    <w:rsid w:val="00470A46"/>
    <w:rsid w:val="0047147C"/>
    <w:rsid w:val="004734FE"/>
    <w:rsid w:val="004737BB"/>
    <w:rsid w:val="00473A0A"/>
    <w:rsid w:val="004740CA"/>
    <w:rsid w:val="00474971"/>
    <w:rsid w:val="004760AB"/>
    <w:rsid w:val="00477A38"/>
    <w:rsid w:val="00480C23"/>
    <w:rsid w:val="00483E26"/>
    <w:rsid w:val="004849B2"/>
    <w:rsid w:val="004854AE"/>
    <w:rsid w:val="004857A6"/>
    <w:rsid w:val="00485D54"/>
    <w:rsid w:val="004869B9"/>
    <w:rsid w:val="004915F0"/>
    <w:rsid w:val="00491C5A"/>
    <w:rsid w:val="0049617E"/>
    <w:rsid w:val="004965B5"/>
    <w:rsid w:val="00497522"/>
    <w:rsid w:val="004A05B4"/>
    <w:rsid w:val="004A130B"/>
    <w:rsid w:val="004A22C9"/>
    <w:rsid w:val="004A2D1E"/>
    <w:rsid w:val="004A4857"/>
    <w:rsid w:val="004A4EC1"/>
    <w:rsid w:val="004A7206"/>
    <w:rsid w:val="004A79AB"/>
    <w:rsid w:val="004B0AFE"/>
    <w:rsid w:val="004B0BCF"/>
    <w:rsid w:val="004B75A9"/>
    <w:rsid w:val="004B78F3"/>
    <w:rsid w:val="004C00D6"/>
    <w:rsid w:val="004C0C51"/>
    <w:rsid w:val="004C164C"/>
    <w:rsid w:val="004C180B"/>
    <w:rsid w:val="004C4167"/>
    <w:rsid w:val="004C5B0B"/>
    <w:rsid w:val="004C5EF3"/>
    <w:rsid w:val="004C7728"/>
    <w:rsid w:val="004D2690"/>
    <w:rsid w:val="004D30CD"/>
    <w:rsid w:val="004D66C4"/>
    <w:rsid w:val="004E08EE"/>
    <w:rsid w:val="004E21FE"/>
    <w:rsid w:val="004E2893"/>
    <w:rsid w:val="004E3E0C"/>
    <w:rsid w:val="004E43D3"/>
    <w:rsid w:val="004E44E6"/>
    <w:rsid w:val="004E5244"/>
    <w:rsid w:val="004E53E0"/>
    <w:rsid w:val="004E5A6F"/>
    <w:rsid w:val="004F21BC"/>
    <w:rsid w:val="004F5374"/>
    <w:rsid w:val="004F64E7"/>
    <w:rsid w:val="004F6E77"/>
    <w:rsid w:val="00502546"/>
    <w:rsid w:val="0050307C"/>
    <w:rsid w:val="005031BE"/>
    <w:rsid w:val="00504718"/>
    <w:rsid w:val="00504946"/>
    <w:rsid w:val="00504C22"/>
    <w:rsid w:val="00505BD2"/>
    <w:rsid w:val="0050757C"/>
    <w:rsid w:val="00507F70"/>
    <w:rsid w:val="00510CFA"/>
    <w:rsid w:val="00512AEA"/>
    <w:rsid w:val="005134BA"/>
    <w:rsid w:val="0051350F"/>
    <w:rsid w:val="00517288"/>
    <w:rsid w:val="005173D6"/>
    <w:rsid w:val="00522CE0"/>
    <w:rsid w:val="005234F1"/>
    <w:rsid w:val="00523667"/>
    <w:rsid w:val="00525C8B"/>
    <w:rsid w:val="00527605"/>
    <w:rsid w:val="00532EDF"/>
    <w:rsid w:val="00534A7F"/>
    <w:rsid w:val="0053501D"/>
    <w:rsid w:val="00537802"/>
    <w:rsid w:val="00542430"/>
    <w:rsid w:val="00542783"/>
    <w:rsid w:val="00546482"/>
    <w:rsid w:val="00550325"/>
    <w:rsid w:val="0055135C"/>
    <w:rsid w:val="00551F4D"/>
    <w:rsid w:val="00552467"/>
    <w:rsid w:val="00552A95"/>
    <w:rsid w:val="0055641D"/>
    <w:rsid w:val="00556D65"/>
    <w:rsid w:val="0055723F"/>
    <w:rsid w:val="00561ADA"/>
    <w:rsid w:val="005631ED"/>
    <w:rsid w:val="005634EE"/>
    <w:rsid w:val="005650B7"/>
    <w:rsid w:val="00566C45"/>
    <w:rsid w:val="00567E96"/>
    <w:rsid w:val="00567FDD"/>
    <w:rsid w:val="00571307"/>
    <w:rsid w:val="00571835"/>
    <w:rsid w:val="00572863"/>
    <w:rsid w:val="005760FA"/>
    <w:rsid w:val="005775E4"/>
    <w:rsid w:val="00581ACC"/>
    <w:rsid w:val="0058354D"/>
    <w:rsid w:val="005835E8"/>
    <w:rsid w:val="00584909"/>
    <w:rsid w:val="00584E0A"/>
    <w:rsid w:val="00585FF9"/>
    <w:rsid w:val="00586862"/>
    <w:rsid w:val="00586A0A"/>
    <w:rsid w:val="00586C4F"/>
    <w:rsid w:val="00590099"/>
    <w:rsid w:val="005918EE"/>
    <w:rsid w:val="005939F4"/>
    <w:rsid w:val="00594607"/>
    <w:rsid w:val="005A03AD"/>
    <w:rsid w:val="005A1341"/>
    <w:rsid w:val="005A20B8"/>
    <w:rsid w:val="005A3AF8"/>
    <w:rsid w:val="005B1267"/>
    <w:rsid w:val="005B296F"/>
    <w:rsid w:val="005B35AE"/>
    <w:rsid w:val="005B36D3"/>
    <w:rsid w:val="005B7089"/>
    <w:rsid w:val="005B7F50"/>
    <w:rsid w:val="005C38D5"/>
    <w:rsid w:val="005C3A32"/>
    <w:rsid w:val="005C4F3A"/>
    <w:rsid w:val="005C72CA"/>
    <w:rsid w:val="005D2775"/>
    <w:rsid w:val="005D5C2B"/>
    <w:rsid w:val="005D7118"/>
    <w:rsid w:val="005D7D1B"/>
    <w:rsid w:val="005E22D5"/>
    <w:rsid w:val="005E2F1C"/>
    <w:rsid w:val="005E4F71"/>
    <w:rsid w:val="005E561F"/>
    <w:rsid w:val="005E56F2"/>
    <w:rsid w:val="005E5C6E"/>
    <w:rsid w:val="005E6183"/>
    <w:rsid w:val="005E6BD5"/>
    <w:rsid w:val="005F0685"/>
    <w:rsid w:val="005F0C8B"/>
    <w:rsid w:val="005F1349"/>
    <w:rsid w:val="005F1DD6"/>
    <w:rsid w:val="005F2EF0"/>
    <w:rsid w:val="005F5E60"/>
    <w:rsid w:val="005F7170"/>
    <w:rsid w:val="005F79A6"/>
    <w:rsid w:val="00601B2A"/>
    <w:rsid w:val="006025A6"/>
    <w:rsid w:val="00602688"/>
    <w:rsid w:val="0060494B"/>
    <w:rsid w:val="00610010"/>
    <w:rsid w:val="00610821"/>
    <w:rsid w:val="00610F71"/>
    <w:rsid w:val="0061123A"/>
    <w:rsid w:val="006154AD"/>
    <w:rsid w:val="0061573D"/>
    <w:rsid w:val="00615D58"/>
    <w:rsid w:val="00616745"/>
    <w:rsid w:val="00616B31"/>
    <w:rsid w:val="00617D40"/>
    <w:rsid w:val="006205C2"/>
    <w:rsid w:val="00620891"/>
    <w:rsid w:val="00621F07"/>
    <w:rsid w:val="0062282F"/>
    <w:rsid w:val="00623036"/>
    <w:rsid w:val="006237D2"/>
    <w:rsid w:val="00624E83"/>
    <w:rsid w:val="00625E98"/>
    <w:rsid w:val="006266BD"/>
    <w:rsid w:val="00626A2B"/>
    <w:rsid w:val="00627D12"/>
    <w:rsid w:val="00632090"/>
    <w:rsid w:val="00632151"/>
    <w:rsid w:val="00632FB0"/>
    <w:rsid w:val="006341C3"/>
    <w:rsid w:val="0063458C"/>
    <w:rsid w:val="00635707"/>
    <w:rsid w:val="00637C02"/>
    <w:rsid w:val="0064013A"/>
    <w:rsid w:val="00645290"/>
    <w:rsid w:val="00645D6B"/>
    <w:rsid w:val="00646253"/>
    <w:rsid w:val="00650DB9"/>
    <w:rsid w:val="00651214"/>
    <w:rsid w:val="00651448"/>
    <w:rsid w:val="00651682"/>
    <w:rsid w:val="00652753"/>
    <w:rsid w:val="006528FB"/>
    <w:rsid w:val="00653542"/>
    <w:rsid w:val="00653559"/>
    <w:rsid w:val="00656146"/>
    <w:rsid w:val="00661CF1"/>
    <w:rsid w:val="00661FA0"/>
    <w:rsid w:val="006674FB"/>
    <w:rsid w:val="006702C7"/>
    <w:rsid w:val="00670369"/>
    <w:rsid w:val="006717F9"/>
    <w:rsid w:val="0067286F"/>
    <w:rsid w:val="00674CAF"/>
    <w:rsid w:val="006760D1"/>
    <w:rsid w:val="00676D08"/>
    <w:rsid w:val="00680229"/>
    <w:rsid w:val="00680FCA"/>
    <w:rsid w:val="0068109D"/>
    <w:rsid w:val="00681620"/>
    <w:rsid w:val="0068320E"/>
    <w:rsid w:val="00683E17"/>
    <w:rsid w:val="0068527C"/>
    <w:rsid w:val="00685E23"/>
    <w:rsid w:val="006931D3"/>
    <w:rsid w:val="00696BEB"/>
    <w:rsid w:val="00697B55"/>
    <w:rsid w:val="00697CC8"/>
    <w:rsid w:val="006A002B"/>
    <w:rsid w:val="006A107E"/>
    <w:rsid w:val="006A24CD"/>
    <w:rsid w:val="006A3F5E"/>
    <w:rsid w:val="006A4E0C"/>
    <w:rsid w:val="006A74D7"/>
    <w:rsid w:val="006B025B"/>
    <w:rsid w:val="006B48C7"/>
    <w:rsid w:val="006B5483"/>
    <w:rsid w:val="006B580D"/>
    <w:rsid w:val="006B60F9"/>
    <w:rsid w:val="006B6324"/>
    <w:rsid w:val="006B6630"/>
    <w:rsid w:val="006B6984"/>
    <w:rsid w:val="006B6FE0"/>
    <w:rsid w:val="006B7963"/>
    <w:rsid w:val="006B7EC9"/>
    <w:rsid w:val="006C07BF"/>
    <w:rsid w:val="006C0928"/>
    <w:rsid w:val="006C1434"/>
    <w:rsid w:val="006C19B7"/>
    <w:rsid w:val="006C2233"/>
    <w:rsid w:val="006C24E5"/>
    <w:rsid w:val="006C2C0A"/>
    <w:rsid w:val="006C43E2"/>
    <w:rsid w:val="006C45E4"/>
    <w:rsid w:val="006C4D32"/>
    <w:rsid w:val="006C61AA"/>
    <w:rsid w:val="006D2EBD"/>
    <w:rsid w:val="006D3571"/>
    <w:rsid w:val="006D3BA9"/>
    <w:rsid w:val="006D50F5"/>
    <w:rsid w:val="006D5C57"/>
    <w:rsid w:val="006E0F67"/>
    <w:rsid w:val="006E1B63"/>
    <w:rsid w:val="006E1E86"/>
    <w:rsid w:val="006E38A6"/>
    <w:rsid w:val="006E455D"/>
    <w:rsid w:val="006E5A35"/>
    <w:rsid w:val="006E5D29"/>
    <w:rsid w:val="006E7519"/>
    <w:rsid w:val="006E751E"/>
    <w:rsid w:val="006E775D"/>
    <w:rsid w:val="006F1108"/>
    <w:rsid w:val="006F12EA"/>
    <w:rsid w:val="006F1CA4"/>
    <w:rsid w:val="006F1EF4"/>
    <w:rsid w:val="006F2082"/>
    <w:rsid w:val="006F236A"/>
    <w:rsid w:val="006F2D53"/>
    <w:rsid w:val="006F45EB"/>
    <w:rsid w:val="006F46A3"/>
    <w:rsid w:val="006F4794"/>
    <w:rsid w:val="006F58D4"/>
    <w:rsid w:val="006F64FC"/>
    <w:rsid w:val="006F7F80"/>
    <w:rsid w:val="007001BD"/>
    <w:rsid w:val="00700348"/>
    <w:rsid w:val="00700690"/>
    <w:rsid w:val="0070454F"/>
    <w:rsid w:val="007046E6"/>
    <w:rsid w:val="00705573"/>
    <w:rsid w:val="00706AFF"/>
    <w:rsid w:val="00707D96"/>
    <w:rsid w:val="00710523"/>
    <w:rsid w:val="00712DB9"/>
    <w:rsid w:val="00714684"/>
    <w:rsid w:val="00717B93"/>
    <w:rsid w:val="00720A95"/>
    <w:rsid w:val="00722D9C"/>
    <w:rsid w:val="007231C9"/>
    <w:rsid w:val="007242A5"/>
    <w:rsid w:val="007249BD"/>
    <w:rsid w:val="00726485"/>
    <w:rsid w:val="0072690B"/>
    <w:rsid w:val="00731506"/>
    <w:rsid w:val="007320A4"/>
    <w:rsid w:val="00733C42"/>
    <w:rsid w:val="00734213"/>
    <w:rsid w:val="00735026"/>
    <w:rsid w:val="00736A43"/>
    <w:rsid w:val="00740254"/>
    <w:rsid w:val="007407A1"/>
    <w:rsid w:val="007407A6"/>
    <w:rsid w:val="007415F1"/>
    <w:rsid w:val="00741BF9"/>
    <w:rsid w:val="00742859"/>
    <w:rsid w:val="00743201"/>
    <w:rsid w:val="00743733"/>
    <w:rsid w:val="00745428"/>
    <w:rsid w:val="00745882"/>
    <w:rsid w:val="00745B89"/>
    <w:rsid w:val="00750A70"/>
    <w:rsid w:val="00760BB6"/>
    <w:rsid w:val="007624C4"/>
    <w:rsid w:val="00762F5A"/>
    <w:rsid w:val="0076360D"/>
    <w:rsid w:val="0076370F"/>
    <w:rsid w:val="00763D3B"/>
    <w:rsid w:val="00770946"/>
    <w:rsid w:val="00771CE5"/>
    <w:rsid w:val="0077334C"/>
    <w:rsid w:val="00773532"/>
    <w:rsid w:val="00774599"/>
    <w:rsid w:val="00775416"/>
    <w:rsid w:val="00775681"/>
    <w:rsid w:val="007762C1"/>
    <w:rsid w:val="007765A3"/>
    <w:rsid w:val="00777C49"/>
    <w:rsid w:val="00780FDC"/>
    <w:rsid w:val="007819FE"/>
    <w:rsid w:val="007863D9"/>
    <w:rsid w:val="00787A1B"/>
    <w:rsid w:val="00787D0F"/>
    <w:rsid w:val="0079116A"/>
    <w:rsid w:val="00792010"/>
    <w:rsid w:val="007936F7"/>
    <w:rsid w:val="00793994"/>
    <w:rsid w:val="007A0C35"/>
    <w:rsid w:val="007A132D"/>
    <w:rsid w:val="007A3F22"/>
    <w:rsid w:val="007A6BFE"/>
    <w:rsid w:val="007B280B"/>
    <w:rsid w:val="007B2CE8"/>
    <w:rsid w:val="007B2E55"/>
    <w:rsid w:val="007B3CA0"/>
    <w:rsid w:val="007B4CF0"/>
    <w:rsid w:val="007B5027"/>
    <w:rsid w:val="007B58A3"/>
    <w:rsid w:val="007C2DC1"/>
    <w:rsid w:val="007C31F7"/>
    <w:rsid w:val="007C341F"/>
    <w:rsid w:val="007C4E77"/>
    <w:rsid w:val="007C56CC"/>
    <w:rsid w:val="007C5C54"/>
    <w:rsid w:val="007C6A59"/>
    <w:rsid w:val="007C6F35"/>
    <w:rsid w:val="007C7A50"/>
    <w:rsid w:val="007C7BF8"/>
    <w:rsid w:val="007D01BA"/>
    <w:rsid w:val="007D0C76"/>
    <w:rsid w:val="007D19D0"/>
    <w:rsid w:val="007D2C34"/>
    <w:rsid w:val="007D3B20"/>
    <w:rsid w:val="007D4A86"/>
    <w:rsid w:val="007D62DA"/>
    <w:rsid w:val="007D7698"/>
    <w:rsid w:val="007E0629"/>
    <w:rsid w:val="007E0DED"/>
    <w:rsid w:val="007E431F"/>
    <w:rsid w:val="007E443C"/>
    <w:rsid w:val="007E7E90"/>
    <w:rsid w:val="007E7EB2"/>
    <w:rsid w:val="007F0760"/>
    <w:rsid w:val="007F12BF"/>
    <w:rsid w:val="007F1438"/>
    <w:rsid w:val="007F2D95"/>
    <w:rsid w:val="007F3136"/>
    <w:rsid w:val="007F33BA"/>
    <w:rsid w:val="007F342E"/>
    <w:rsid w:val="007F4554"/>
    <w:rsid w:val="007F5B0F"/>
    <w:rsid w:val="007F6148"/>
    <w:rsid w:val="007F615F"/>
    <w:rsid w:val="00801AF2"/>
    <w:rsid w:val="00802A1C"/>
    <w:rsid w:val="008030B2"/>
    <w:rsid w:val="00803B82"/>
    <w:rsid w:val="00805980"/>
    <w:rsid w:val="00806314"/>
    <w:rsid w:val="008078F6"/>
    <w:rsid w:val="00807EEC"/>
    <w:rsid w:val="00810B25"/>
    <w:rsid w:val="008113EF"/>
    <w:rsid w:val="00813C24"/>
    <w:rsid w:val="00813E20"/>
    <w:rsid w:val="00814C11"/>
    <w:rsid w:val="008154F3"/>
    <w:rsid w:val="00815529"/>
    <w:rsid w:val="00815EE6"/>
    <w:rsid w:val="008163E7"/>
    <w:rsid w:val="0082018B"/>
    <w:rsid w:val="008210F1"/>
    <w:rsid w:val="00821337"/>
    <w:rsid w:val="00821471"/>
    <w:rsid w:val="00822261"/>
    <w:rsid w:val="008264F9"/>
    <w:rsid w:val="00826832"/>
    <w:rsid w:val="00826848"/>
    <w:rsid w:val="00827998"/>
    <w:rsid w:val="008300F9"/>
    <w:rsid w:val="008307B7"/>
    <w:rsid w:val="008326DA"/>
    <w:rsid w:val="00834876"/>
    <w:rsid w:val="00835107"/>
    <w:rsid w:val="008351C9"/>
    <w:rsid w:val="00836343"/>
    <w:rsid w:val="00836BE7"/>
    <w:rsid w:val="00836EEB"/>
    <w:rsid w:val="008371B5"/>
    <w:rsid w:val="0083741A"/>
    <w:rsid w:val="00837CE3"/>
    <w:rsid w:val="00840728"/>
    <w:rsid w:val="0084376B"/>
    <w:rsid w:val="00844C31"/>
    <w:rsid w:val="008466CC"/>
    <w:rsid w:val="00847B09"/>
    <w:rsid w:val="0085131E"/>
    <w:rsid w:val="0085132E"/>
    <w:rsid w:val="00852E88"/>
    <w:rsid w:val="00853341"/>
    <w:rsid w:val="0085427A"/>
    <w:rsid w:val="008568B4"/>
    <w:rsid w:val="00857900"/>
    <w:rsid w:val="00857A94"/>
    <w:rsid w:val="00861B88"/>
    <w:rsid w:val="0086348E"/>
    <w:rsid w:val="00865282"/>
    <w:rsid w:val="008656BD"/>
    <w:rsid w:val="008658A6"/>
    <w:rsid w:val="00865A7E"/>
    <w:rsid w:val="00865B3F"/>
    <w:rsid w:val="0086630E"/>
    <w:rsid w:val="00866714"/>
    <w:rsid w:val="00866BCA"/>
    <w:rsid w:val="008677EB"/>
    <w:rsid w:val="00870E2C"/>
    <w:rsid w:val="00871E99"/>
    <w:rsid w:val="00872890"/>
    <w:rsid w:val="00874167"/>
    <w:rsid w:val="0088012B"/>
    <w:rsid w:val="008809F6"/>
    <w:rsid w:val="008835FD"/>
    <w:rsid w:val="00885022"/>
    <w:rsid w:val="00885949"/>
    <w:rsid w:val="00885AD5"/>
    <w:rsid w:val="0088655D"/>
    <w:rsid w:val="008908DC"/>
    <w:rsid w:val="00890C46"/>
    <w:rsid w:val="00890C51"/>
    <w:rsid w:val="00892097"/>
    <w:rsid w:val="008921B8"/>
    <w:rsid w:val="008925E2"/>
    <w:rsid w:val="008931EC"/>
    <w:rsid w:val="00897928"/>
    <w:rsid w:val="008A0E2C"/>
    <w:rsid w:val="008A3727"/>
    <w:rsid w:val="008A4606"/>
    <w:rsid w:val="008A6611"/>
    <w:rsid w:val="008A6F14"/>
    <w:rsid w:val="008B2176"/>
    <w:rsid w:val="008B5E5F"/>
    <w:rsid w:val="008B6C99"/>
    <w:rsid w:val="008B7894"/>
    <w:rsid w:val="008C167D"/>
    <w:rsid w:val="008C168A"/>
    <w:rsid w:val="008C35A4"/>
    <w:rsid w:val="008C70B3"/>
    <w:rsid w:val="008C7810"/>
    <w:rsid w:val="008C7F6F"/>
    <w:rsid w:val="008D04F7"/>
    <w:rsid w:val="008D2116"/>
    <w:rsid w:val="008D2244"/>
    <w:rsid w:val="008D4CCD"/>
    <w:rsid w:val="008D598D"/>
    <w:rsid w:val="008D5EFA"/>
    <w:rsid w:val="008E0685"/>
    <w:rsid w:val="008E2512"/>
    <w:rsid w:val="008E373B"/>
    <w:rsid w:val="008E6DE2"/>
    <w:rsid w:val="008E74D5"/>
    <w:rsid w:val="008F0E47"/>
    <w:rsid w:val="008F4054"/>
    <w:rsid w:val="008F431A"/>
    <w:rsid w:val="008F58CB"/>
    <w:rsid w:val="008F64DC"/>
    <w:rsid w:val="008F66D0"/>
    <w:rsid w:val="008F6858"/>
    <w:rsid w:val="008F6ED4"/>
    <w:rsid w:val="00904C52"/>
    <w:rsid w:val="0090503B"/>
    <w:rsid w:val="00906E9E"/>
    <w:rsid w:val="009071BB"/>
    <w:rsid w:val="0090732B"/>
    <w:rsid w:val="009079B3"/>
    <w:rsid w:val="00907EB6"/>
    <w:rsid w:val="00911140"/>
    <w:rsid w:val="00911387"/>
    <w:rsid w:val="009118DA"/>
    <w:rsid w:val="0091258B"/>
    <w:rsid w:val="009135E4"/>
    <w:rsid w:val="00916605"/>
    <w:rsid w:val="00922AC4"/>
    <w:rsid w:val="00927933"/>
    <w:rsid w:val="009326FB"/>
    <w:rsid w:val="00932A7A"/>
    <w:rsid w:val="0093404D"/>
    <w:rsid w:val="00934588"/>
    <w:rsid w:val="00934E56"/>
    <w:rsid w:val="00934ED0"/>
    <w:rsid w:val="009357C4"/>
    <w:rsid w:val="009358F4"/>
    <w:rsid w:val="009361EF"/>
    <w:rsid w:val="00937945"/>
    <w:rsid w:val="0094061B"/>
    <w:rsid w:val="00940A41"/>
    <w:rsid w:val="00941248"/>
    <w:rsid w:val="00941896"/>
    <w:rsid w:val="00941F5E"/>
    <w:rsid w:val="00942EA0"/>
    <w:rsid w:val="009463F8"/>
    <w:rsid w:val="0094666B"/>
    <w:rsid w:val="00947833"/>
    <w:rsid w:val="009508AE"/>
    <w:rsid w:val="00954120"/>
    <w:rsid w:val="00954744"/>
    <w:rsid w:val="00956146"/>
    <w:rsid w:val="0095687E"/>
    <w:rsid w:val="00957A0B"/>
    <w:rsid w:val="0096088F"/>
    <w:rsid w:val="00963240"/>
    <w:rsid w:val="00963AB0"/>
    <w:rsid w:val="00963BFF"/>
    <w:rsid w:val="0096544E"/>
    <w:rsid w:val="00966A73"/>
    <w:rsid w:val="0096762C"/>
    <w:rsid w:val="00967B88"/>
    <w:rsid w:val="0097085B"/>
    <w:rsid w:val="0097094D"/>
    <w:rsid w:val="00970A4A"/>
    <w:rsid w:val="00971C95"/>
    <w:rsid w:val="00973421"/>
    <w:rsid w:val="00973F1F"/>
    <w:rsid w:val="0097491C"/>
    <w:rsid w:val="0097777F"/>
    <w:rsid w:val="009801C6"/>
    <w:rsid w:val="0098052E"/>
    <w:rsid w:val="00980B3A"/>
    <w:rsid w:val="00981677"/>
    <w:rsid w:val="00981973"/>
    <w:rsid w:val="00981A05"/>
    <w:rsid w:val="00982C1D"/>
    <w:rsid w:val="00983D78"/>
    <w:rsid w:val="00984D07"/>
    <w:rsid w:val="009872E7"/>
    <w:rsid w:val="00991295"/>
    <w:rsid w:val="0099334A"/>
    <w:rsid w:val="00993386"/>
    <w:rsid w:val="009939E4"/>
    <w:rsid w:val="00993E77"/>
    <w:rsid w:val="009957CC"/>
    <w:rsid w:val="00997199"/>
    <w:rsid w:val="009A0AEC"/>
    <w:rsid w:val="009A3781"/>
    <w:rsid w:val="009A4C85"/>
    <w:rsid w:val="009A575D"/>
    <w:rsid w:val="009A6DD3"/>
    <w:rsid w:val="009B0823"/>
    <w:rsid w:val="009B106C"/>
    <w:rsid w:val="009B1079"/>
    <w:rsid w:val="009B116A"/>
    <w:rsid w:val="009B1C13"/>
    <w:rsid w:val="009B2C0E"/>
    <w:rsid w:val="009B3F30"/>
    <w:rsid w:val="009B56C4"/>
    <w:rsid w:val="009B5E7A"/>
    <w:rsid w:val="009B65A5"/>
    <w:rsid w:val="009B787B"/>
    <w:rsid w:val="009C1CD0"/>
    <w:rsid w:val="009C32F0"/>
    <w:rsid w:val="009C3DAB"/>
    <w:rsid w:val="009C3EB1"/>
    <w:rsid w:val="009C4CC1"/>
    <w:rsid w:val="009C4D26"/>
    <w:rsid w:val="009C5046"/>
    <w:rsid w:val="009C63E9"/>
    <w:rsid w:val="009C6672"/>
    <w:rsid w:val="009C6D0F"/>
    <w:rsid w:val="009C762D"/>
    <w:rsid w:val="009D190C"/>
    <w:rsid w:val="009D256A"/>
    <w:rsid w:val="009D26C5"/>
    <w:rsid w:val="009D2B3B"/>
    <w:rsid w:val="009D2EC4"/>
    <w:rsid w:val="009D5AAF"/>
    <w:rsid w:val="009E26B2"/>
    <w:rsid w:val="009E29DF"/>
    <w:rsid w:val="009E39A6"/>
    <w:rsid w:val="009E3C5C"/>
    <w:rsid w:val="009E4A87"/>
    <w:rsid w:val="009E6770"/>
    <w:rsid w:val="009E7758"/>
    <w:rsid w:val="009F0809"/>
    <w:rsid w:val="009F1CA0"/>
    <w:rsid w:val="009F2120"/>
    <w:rsid w:val="009F3982"/>
    <w:rsid w:val="009F50E6"/>
    <w:rsid w:val="009F68C6"/>
    <w:rsid w:val="009F6FFF"/>
    <w:rsid w:val="009F79E5"/>
    <w:rsid w:val="00A014E1"/>
    <w:rsid w:val="00A027CA"/>
    <w:rsid w:val="00A02D85"/>
    <w:rsid w:val="00A044ED"/>
    <w:rsid w:val="00A0477C"/>
    <w:rsid w:val="00A05506"/>
    <w:rsid w:val="00A055E9"/>
    <w:rsid w:val="00A06076"/>
    <w:rsid w:val="00A07BA0"/>
    <w:rsid w:val="00A11E3D"/>
    <w:rsid w:val="00A12456"/>
    <w:rsid w:val="00A1278E"/>
    <w:rsid w:val="00A132F3"/>
    <w:rsid w:val="00A13ACE"/>
    <w:rsid w:val="00A13FDC"/>
    <w:rsid w:val="00A16ED9"/>
    <w:rsid w:val="00A20761"/>
    <w:rsid w:val="00A21EFC"/>
    <w:rsid w:val="00A223EE"/>
    <w:rsid w:val="00A22469"/>
    <w:rsid w:val="00A242B1"/>
    <w:rsid w:val="00A25534"/>
    <w:rsid w:val="00A26819"/>
    <w:rsid w:val="00A300BC"/>
    <w:rsid w:val="00A31B7A"/>
    <w:rsid w:val="00A34C41"/>
    <w:rsid w:val="00A375EC"/>
    <w:rsid w:val="00A405A3"/>
    <w:rsid w:val="00A42CCE"/>
    <w:rsid w:val="00A442E0"/>
    <w:rsid w:val="00A44CAC"/>
    <w:rsid w:val="00A502AB"/>
    <w:rsid w:val="00A51525"/>
    <w:rsid w:val="00A52D76"/>
    <w:rsid w:val="00A555C4"/>
    <w:rsid w:val="00A55BF6"/>
    <w:rsid w:val="00A5700F"/>
    <w:rsid w:val="00A6058D"/>
    <w:rsid w:val="00A61274"/>
    <w:rsid w:val="00A62F70"/>
    <w:rsid w:val="00A635DC"/>
    <w:rsid w:val="00A638A6"/>
    <w:rsid w:val="00A640DE"/>
    <w:rsid w:val="00A65C6C"/>
    <w:rsid w:val="00A66516"/>
    <w:rsid w:val="00A721F7"/>
    <w:rsid w:val="00A73042"/>
    <w:rsid w:val="00A730CF"/>
    <w:rsid w:val="00A73C98"/>
    <w:rsid w:val="00A74C3B"/>
    <w:rsid w:val="00A76EAF"/>
    <w:rsid w:val="00A80602"/>
    <w:rsid w:val="00A80F55"/>
    <w:rsid w:val="00A82614"/>
    <w:rsid w:val="00A82BE9"/>
    <w:rsid w:val="00A84574"/>
    <w:rsid w:val="00A8575D"/>
    <w:rsid w:val="00A858CE"/>
    <w:rsid w:val="00A917F1"/>
    <w:rsid w:val="00A91CC2"/>
    <w:rsid w:val="00A929FC"/>
    <w:rsid w:val="00A93FC4"/>
    <w:rsid w:val="00A97711"/>
    <w:rsid w:val="00A97A21"/>
    <w:rsid w:val="00A97CD1"/>
    <w:rsid w:val="00AA2ABA"/>
    <w:rsid w:val="00AA3DC3"/>
    <w:rsid w:val="00AA7612"/>
    <w:rsid w:val="00AA7BCB"/>
    <w:rsid w:val="00AB0166"/>
    <w:rsid w:val="00AB3481"/>
    <w:rsid w:val="00AB71E2"/>
    <w:rsid w:val="00AB7D0C"/>
    <w:rsid w:val="00AC0C66"/>
    <w:rsid w:val="00AC102E"/>
    <w:rsid w:val="00AC2CF9"/>
    <w:rsid w:val="00AC354F"/>
    <w:rsid w:val="00AC503E"/>
    <w:rsid w:val="00AD329D"/>
    <w:rsid w:val="00AD652A"/>
    <w:rsid w:val="00AD6D4C"/>
    <w:rsid w:val="00AD7C53"/>
    <w:rsid w:val="00AE00AA"/>
    <w:rsid w:val="00AE0456"/>
    <w:rsid w:val="00AE2053"/>
    <w:rsid w:val="00AE2FF1"/>
    <w:rsid w:val="00AE39CF"/>
    <w:rsid w:val="00AE408F"/>
    <w:rsid w:val="00AE4331"/>
    <w:rsid w:val="00AE4991"/>
    <w:rsid w:val="00AE4E20"/>
    <w:rsid w:val="00AE5199"/>
    <w:rsid w:val="00AE5706"/>
    <w:rsid w:val="00AE5D5D"/>
    <w:rsid w:val="00AE5FD5"/>
    <w:rsid w:val="00AE739A"/>
    <w:rsid w:val="00AF4C42"/>
    <w:rsid w:val="00AF577B"/>
    <w:rsid w:val="00AF71F1"/>
    <w:rsid w:val="00AF7F37"/>
    <w:rsid w:val="00B00F31"/>
    <w:rsid w:val="00B018AE"/>
    <w:rsid w:val="00B040D9"/>
    <w:rsid w:val="00B04426"/>
    <w:rsid w:val="00B04A49"/>
    <w:rsid w:val="00B05541"/>
    <w:rsid w:val="00B05D67"/>
    <w:rsid w:val="00B0628C"/>
    <w:rsid w:val="00B06A12"/>
    <w:rsid w:val="00B1266F"/>
    <w:rsid w:val="00B12718"/>
    <w:rsid w:val="00B13361"/>
    <w:rsid w:val="00B1369B"/>
    <w:rsid w:val="00B138E7"/>
    <w:rsid w:val="00B14F7B"/>
    <w:rsid w:val="00B1553E"/>
    <w:rsid w:val="00B15B8A"/>
    <w:rsid w:val="00B16941"/>
    <w:rsid w:val="00B16F36"/>
    <w:rsid w:val="00B17D59"/>
    <w:rsid w:val="00B2096E"/>
    <w:rsid w:val="00B226CB"/>
    <w:rsid w:val="00B22724"/>
    <w:rsid w:val="00B22D19"/>
    <w:rsid w:val="00B2351F"/>
    <w:rsid w:val="00B24FF7"/>
    <w:rsid w:val="00B253BE"/>
    <w:rsid w:val="00B25808"/>
    <w:rsid w:val="00B277DB"/>
    <w:rsid w:val="00B3047F"/>
    <w:rsid w:val="00B305C1"/>
    <w:rsid w:val="00B333C8"/>
    <w:rsid w:val="00B33526"/>
    <w:rsid w:val="00B33E7A"/>
    <w:rsid w:val="00B34A9A"/>
    <w:rsid w:val="00B34F4F"/>
    <w:rsid w:val="00B35D00"/>
    <w:rsid w:val="00B41CD6"/>
    <w:rsid w:val="00B42768"/>
    <w:rsid w:val="00B428D4"/>
    <w:rsid w:val="00B43AC6"/>
    <w:rsid w:val="00B43D14"/>
    <w:rsid w:val="00B46EC4"/>
    <w:rsid w:val="00B527EC"/>
    <w:rsid w:val="00B564A9"/>
    <w:rsid w:val="00B56822"/>
    <w:rsid w:val="00B568AA"/>
    <w:rsid w:val="00B56ECD"/>
    <w:rsid w:val="00B578AF"/>
    <w:rsid w:val="00B603DE"/>
    <w:rsid w:val="00B611F0"/>
    <w:rsid w:val="00B62791"/>
    <w:rsid w:val="00B63B06"/>
    <w:rsid w:val="00B64584"/>
    <w:rsid w:val="00B658B6"/>
    <w:rsid w:val="00B6611B"/>
    <w:rsid w:val="00B70860"/>
    <w:rsid w:val="00B70F2E"/>
    <w:rsid w:val="00B72BC2"/>
    <w:rsid w:val="00B73B25"/>
    <w:rsid w:val="00B73B32"/>
    <w:rsid w:val="00B73BC7"/>
    <w:rsid w:val="00B7568A"/>
    <w:rsid w:val="00B75DA8"/>
    <w:rsid w:val="00B76DA9"/>
    <w:rsid w:val="00B7736E"/>
    <w:rsid w:val="00B77DD3"/>
    <w:rsid w:val="00B81A3C"/>
    <w:rsid w:val="00B81C22"/>
    <w:rsid w:val="00B85C03"/>
    <w:rsid w:val="00B91B47"/>
    <w:rsid w:val="00B936CB"/>
    <w:rsid w:val="00B93889"/>
    <w:rsid w:val="00B950B7"/>
    <w:rsid w:val="00B9609B"/>
    <w:rsid w:val="00BA16E7"/>
    <w:rsid w:val="00BA1CD8"/>
    <w:rsid w:val="00BA2484"/>
    <w:rsid w:val="00BA2D4D"/>
    <w:rsid w:val="00BA412E"/>
    <w:rsid w:val="00BA5524"/>
    <w:rsid w:val="00BA553B"/>
    <w:rsid w:val="00BA5E81"/>
    <w:rsid w:val="00BA6DD4"/>
    <w:rsid w:val="00BB001C"/>
    <w:rsid w:val="00BB0F34"/>
    <w:rsid w:val="00BB16AE"/>
    <w:rsid w:val="00BB315F"/>
    <w:rsid w:val="00BB40E2"/>
    <w:rsid w:val="00BB45A2"/>
    <w:rsid w:val="00BB65E6"/>
    <w:rsid w:val="00BB702E"/>
    <w:rsid w:val="00BB7409"/>
    <w:rsid w:val="00BB7870"/>
    <w:rsid w:val="00BC2E8A"/>
    <w:rsid w:val="00BD1594"/>
    <w:rsid w:val="00BD1BB7"/>
    <w:rsid w:val="00BD1ECB"/>
    <w:rsid w:val="00BD246D"/>
    <w:rsid w:val="00BD2773"/>
    <w:rsid w:val="00BD2786"/>
    <w:rsid w:val="00BD2A9F"/>
    <w:rsid w:val="00BD4AC7"/>
    <w:rsid w:val="00BD4D85"/>
    <w:rsid w:val="00BD65D6"/>
    <w:rsid w:val="00BD6CCF"/>
    <w:rsid w:val="00BD6E8F"/>
    <w:rsid w:val="00BD7C97"/>
    <w:rsid w:val="00BD7CF3"/>
    <w:rsid w:val="00BE27E8"/>
    <w:rsid w:val="00BE2961"/>
    <w:rsid w:val="00BE4047"/>
    <w:rsid w:val="00BE431E"/>
    <w:rsid w:val="00BE521F"/>
    <w:rsid w:val="00BE5376"/>
    <w:rsid w:val="00BE7216"/>
    <w:rsid w:val="00BF0907"/>
    <w:rsid w:val="00BF35A9"/>
    <w:rsid w:val="00BF3CA1"/>
    <w:rsid w:val="00BF40DD"/>
    <w:rsid w:val="00BF423C"/>
    <w:rsid w:val="00BF4536"/>
    <w:rsid w:val="00BF4F5C"/>
    <w:rsid w:val="00BF4F77"/>
    <w:rsid w:val="00BF6439"/>
    <w:rsid w:val="00C02334"/>
    <w:rsid w:val="00C02DAA"/>
    <w:rsid w:val="00C04B07"/>
    <w:rsid w:val="00C054EA"/>
    <w:rsid w:val="00C05C51"/>
    <w:rsid w:val="00C05F0E"/>
    <w:rsid w:val="00C066BE"/>
    <w:rsid w:val="00C07838"/>
    <w:rsid w:val="00C119C7"/>
    <w:rsid w:val="00C121F6"/>
    <w:rsid w:val="00C123A7"/>
    <w:rsid w:val="00C13329"/>
    <w:rsid w:val="00C1341A"/>
    <w:rsid w:val="00C13B5E"/>
    <w:rsid w:val="00C13F0A"/>
    <w:rsid w:val="00C15F76"/>
    <w:rsid w:val="00C178C1"/>
    <w:rsid w:val="00C207C6"/>
    <w:rsid w:val="00C22909"/>
    <w:rsid w:val="00C23A86"/>
    <w:rsid w:val="00C24802"/>
    <w:rsid w:val="00C25EF9"/>
    <w:rsid w:val="00C2688B"/>
    <w:rsid w:val="00C27668"/>
    <w:rsid w:val="00C30187"/>
    <w:rsid w:val="00C30D44"/>
    <w:rsid w:val="00C30EB4"/>
    <w:rsid w:val="00C33A1A"/>
    <w:rsid w:val="00C34182"/>
    <w:rsid w:val="00C346B7"/>
    <w:rsid w:val="00C35EE7"/>
    <w:rsid w:val="00C366E8"/>
    <w:rsid w:val="00C36FA5"/>
    <w:rsid w:val="00C40A5B"/>
    <w:rsid w:val="00C42975"/>
    <w:rsid w:val="00C448E7"/>
    <w:rsid w:val="00C46D25"/>
    <w:rsid w:val="00C47256"/>
    <w:rsid w:val="00C50D54"/>
    <w:rsid w:val="00C51610"/>
    <w:rsid w:val="00C5242B"/>
    <w:rsid w:val="00C52CD5"/>
    <w:rsid w:val="00C53E71"/>
    <w:rsid w:val="00C546B9"/>
    <w:rsid w:val="00C57377"/>
    <w:rsid w:val="00C576C6"/>
    <w:rsid w:val="00C61E06"/>
    <w:rsid w:val="00C6299F"/>
    <w:rsid w:val="00C62A38"/>
    <w:rsid w:val="00C62F36"/>
    <w:rsid w:val="00C631C6"/>
    <w:rsid w:val="00C63EBE"/>
    <w:rsid w:val="00C642C4"/>
    <w:rsid w:val="00C65D08"/>
    <w:rsid w:val="00C66887"/>
    <w:rsid w:val="00C66EFE"/>
    <w:rsid w:val="00C71458"/>
    <w:rsid w:val="00C71A9B"/>
    <w:rsid w:val="00C71EDE"/>
    <w:rsid w:val="00C73BA1"/>
    <w:rsid w:val="00C73CB7"/>
    <w:rsid w:val="00C7465B"/>
    <w:rsid w:val="00C75700"/>
    <w:rsid w:val="00C766F4"/>
    <w:rsid w:val="00C80D25"/>
    <w:rsid w:val="00C81BB9"/>
    <w:rsid w:val="00C82ED2"/>
    <w:rsid w:val="00C84618"/>
    <w:rsid w:val="00C84E5B"/>
    <w:rsid w:val="00C85864"/>
    <w:rsid w:val="00C86B19"/>
    <w:rsid w:val="00C877F4"/>
    <w:rsid w:val="00C90C85"/>
    <w:rsid w:val="00C91264"/>
    <w:rsid w:val="00C9336B"/>
    <w:rsid w:val="00C94319"/>
    <w:rsid w:val="00C953D2"/>
    <w:rsid w:val="00C95524"/>
    <w:rsid w:val="00C95654"/>
    <w:rsid w:val="00CA0518"/>
    <w:rsid w:val="00CA07F5"/>
    <w:rsid w:val="00CA0A65"/>
    <w:rsid w:val="00CA33CA"/>
    <w:rsid w:val="00CA61BC"/>
    <w:rsid w:val="00CA6436"/>
    <w:rsid w:val="00CB23FD"/>
    <w:rsid w:val="00CB2F41"/>
    <w:rsid w:val="00CB3635"/>
    <w:rsid w:val="00CB3C9A"/>
    <w:rsid w:val="00CB65C0"/>
    <w:rsid w:val="00CB747E"/>
    <w:rsid w:val="00CC0E1D"/>
    <w:rsid w:val="00CC32A1"/>
    <w:rsid w:val="00CC3894"/>
    <w:rsid w:val="00CC4885"/>
    <w:rsid w:val="00CC50BD"/>
    <w:rsid w:val="00CC5E58"/>
    <w:rsid w:val="00CC66A1"/>
    <w:rsid w:val="00CC66D2"/>
    <w:rsid w:val="00CD0950"/>
    <w:rsid w:val="00CD10BD"/>
    <w:rsid w:val="00CD2203"/>
    <w:rsid w:val="00CD2474"/>
    <w:rsid w:val="00CD3F60"/>
    <w:rsid w:val="00CD4E55"/>
    <w:rsid w:val="00CD5FBA"/>
    <w:rsid w:val="00CD62D9"/>
    <w:rsid w:val="00CE1AB0"/>
    <w:rsid w:val="00CE2085"/>
    <w:rsid w:val="00CE52C1"/>
    <w:rsid w:val="00CE5541"/>
    <w:rsid w:val="00CE73F1"/>
    <w:rsid w:val="00CF0AA6"/>
    <w:rsid w:val="00CF1A87"/>
    <w:rsid w:val="00CF1BE3"/>
    <w:rsid w:val="00CF26A2"/>
    <w:rsid w:val="00CF2763"/>
    <w:rsid w:val="00CF316A"/>
    <w:rsid w:val="00CF322A"/>
    <w:rsid w:val="00CF3594"/>
    <w:rsid w:val="00CF53D3"/>
    <w:rsid w:val="00CF6FD2"/>
    <w:rsid w:val="00CF77A0"/>
    <w:rsid w:val="00CF7C3F"/>
    <w:rsid w:val="00D00504"/>
    <w:rsid w:val="00D00E3A"/>
    <w:rsid w:val="00D01BD4"/>
    <w:rsid w:val="00D02261"/>
    <w:rsid w:val="00D02CBD"/>
    <w:rsid w:val="00D04828"/>
    <w:rsid w:val="00D04BD5"/>
    <w:rsid w:val="00D05331"/>
    <w:rsid w:val="00D05A09"/>
    <w:rsid w:val="00D05AFC"/>
    <w:rsid w:val="00D07A60"/>
    <w:rsid w:val="00D11871"/>
    <w:rsid w:val="00D1236E"/>
    <w:rsid w:val="00D128F6"/>
    <w:rsid w:val="00D13916"/>
    <w:rsid w:val="00D140A8"/>
    <w:rsid w:val="00D20E13"/>
    <w:rsid w:val="00D221DA"/>
    <w:rsid w:val="00D23472"/>
    <w:rsid w:val="00D247C7"/>
    <w:rsid w:val="00D24F65"/>
    <w:rsid w:val="00D259BC"/>
    <w:rsid w:val="00D2763E"/>
    <w:rsid w:val="00D27F19"/>
    <w:rsid w:val="00D31EB5"/>
    <w:rsid w:val="00D31F34"/>
    <w:rsid w:val="00D32424"/>
    <w:rsid w:val="00D3295C"/>
    <w:rsid w:val="00D32E07"/>
    <w:rsid w:val="00D33D2D"/>
    <w:rsid w:val="00D33FF1"/>
    <w:rsid w:val="00D3509A"/>
    <w:rsid w:val="00D353D5"/>
    <w:rsid w:val="00D3585B"/>
    <w:rsid w:val="00D361F9"/>
    <w:rsid w:val="00D3745D"/>
    <w:rsid w:val="00D378A5"/>
    <w:rsid w:val="00D40FF9"/>
    <w:rsid w:val="00D41F24"/>
    <w:rsid w:val="00D42752"/>
    <w:rsid w:val="00D43294"/>
    <w:rsid w:val="00D46F4F"/>
    <w:rsid w:val="00D50748"/>
    <w:rsid w:val="00D51444"/>
    <w:rsid w:val="00D5382F"/>
    <w:rsid w:val="00D53885"/>
    <w:rsid w:val="00D53B4A"/>
    <w:rsid w:val="00D56F39"/>
    <w:rsid w:val="00D60295"/>
    <w:rsid w:val="00D614BC"/>
    <w:rsid w:val="00D61E5D"/>
    <w:rsid w:val="00D63A04"/>
    <w:rsid w:val="00D641B8"/>
    <w:rsid w:val="00D642CF"/>
    <w:rsid w:val="00D711AA"/>
    <w:rsid w:val="00D7121B"/>
    <w:rsid w:val="00D71BA6"/>
    <w:rsid w:val="00D72DDC"/>
    <w:rsid w:val="00D73733"/>
    <w:rsid w:val="00D76013"/>
    <w:rsid w:val="00D76515"/>
    <w:rsid w:val="00D805B4"/>
    <w:rsid w:val="00D806BA"/>
    <w:rsid w:val="00D80C6C"/>
    <w:rsid w:val="00D83E6F"/>
    <w:rsid w:val="00D8530D"/>
    <w:rsid w:val="00D85F61"/>
    <w:rsid w:val="00D860CC"/>
    <w:rsid w:val="00D86C10"/>
    <w:rsid w:val="00D92CD9"/>
    <w:rsid w:val="00D937EC"/>
    <w:rsid w:val="00D93C49"/>
    <w:rsid w:val="00D94204"/>
    <w:rsid w:val="00D946CC"/>
    <w:rsid w:val="00D94772"/>
    <w:rsid w:val="00D94FD3"/>
    <w:rsid w:val="00D9630E"/>
    <w:rsid w:val="00D96407"/>
    <w:rsid w:val="00D979E1"/>
    <w:rsid w:val="00DA0694"/>
    <w:rsid w:val="00DA0A99"/>
    <w:rsid w:val="00DA0C84"/>
    <w:rsid w:val="00DA0E63"/>
    <w:rsid w:val="00DA1691"/>
    <w:rsid w:val="00DA2565"/>
    <w:rsid w:val="00DA2D5E"/>
    <w:rsid w:val="00DA3C86"/>
    <w:rsid w:val="00DA497E"/>
    <w:rsid w:val="00DA5170"/>
    <w:rsid w:val="00DA69A0"/>
    <w:rsid w:val="00DB141F"/>
    <w:rsid w:val="00DB1843"/>
    <w:rsid w:val="00DB18BA"/>
    <w:rsid w:val="00DB2955"/>
    <w:rsid w:val="00DB4024"/>
    <w:rsid w:val="00DB532C"/>
    <w:rsid w:val="00DB5F5A"/>
    <w:rsid w:val="00DB6F1E"/>
    <w:rsid w:val="00DB70DB"/>
    <w:rsid w:val="00DB7CD8"/>
    <w:rsid w:val="00DC0AD4"/>
    <w:rsid w:val="00DC2521"/>
    <w:rsid w:val="00DC303A"/>
    <w:rsid w:val="00DC3794"/>
    <w:rsid w:val="00DC64E2"/>
    <w:rsid w:val="00DC6527"/>
    <w:rsid w:val="00DC6FEA"/>
    <w:rsid w:val="00DC7B49"/>
    <w:rsid w:val="00DC7D46"/>
    <w:rsid w:val="00DC7E37"/>
    <w:rsid w:val="00DD0A8F"/>
    <w:rsid w:val="00DD0F4F"/>
    <w:rsid w:val="00DD10E1"/>
    <w:rsid w:val="00DD2353"/>
    <w:rsid w:val="00DD4D39"/>
    <w:rsid w:val="00DD5AAF"/>
    <w:rsid w:val="00DD701D"/>
    <w:rsid w:val="00DE0775"/>
    <w:rsid w:val="00DE31F4"/>
    <w:rsid w:val="00DE4558"/>
    <w:rsid w:val="00DE4C5C"/>
    <w:rsid w:val="00DE4C62"/>
    <w:rsid w:val="00DE5E6C"/>
    <w:rsid w:val="00DE6C59"/>
    <w:rsid w:val="00DF0D65"/>
    <w:rsid w:val="00DF2405"/>
    <w:rsid w:val="00DF3685"/>
    <w:rsid w:val="00DF3ED9"/>
    <w:rsid w:val="00DF4427"/>
    <w:rsid w:val="00DF781B"/>
    <w:rsid w:val="00DF7940"/>
    <w:rsid w:val="00E002C4"/>
    <w:rsid w:val="00E00C89"/>
    <w:rsid w:val="00E00ED2"/>
    <w:rsid w:val="00E012C7"/>
    <w:rsid w:val="00E016A3"/>
    <w:rsid w:val="00E03FED"/>
    <w:rsid w:val="00E0546F"/>
    <w:rsid w:val="00E0636E"/>
    <w:rsid w:val="00E063E1"/>
    <w:rsid w:val="00E06477"/>
    <w:rsid w:val="00E06E59"/>
    <w:rsid w:val="00E11B56"/>
    <w:rsid w:val="00E11BD4"/>
    <w:rsid w:val="00E129D4"/>
    <w:rsid w:val="00E1641B"/>
    <w:rsid w:val="00E17835"/>
    <w:rsid w:val="00E20F93"/>
    <w:rsid w:val="00E2383F"/>
    <w:rsid w:val="00E24F8D"/>
    <w:rsid w:val="00E2522D"/>
    <w:rsid w:val="00E25516"/>
    <w:rsid w:val="00E26349"/>
    <w:rsid w:val="00E27970"/>
    <w:rsid w:val="00E307FE"/>
    <w:rsid w:val="00E30971"/>
    <w:rsid w:val="00E30C38"/>
    <w:rsid w:val="00E30F29"/>
    <w:rsid w:val="00E31C1D"/>
    <w:rsid w:val="00E3365A"/>
    <w:rsid w:val="00E33E24"/>
    <w:rsid w:val="00E3493B"/>
    <w:rsid w:val="00E34DB3"/>
    <w:rsid w:val="00E354CB"/>
    <w:rsid w:val="00E35C1A"/>
    <w:rsid w:val="00E366CC"/>
    <w:rsid w:val="00E40D90"/>
    <w:rsid w:val="00E41376"/>
    <w:rsid w:val="00E41684"/>
    <w:rsid w:val="00E43DE8"/>
    <w:rsid w:val="00E4467A"/>
    <w:rsid w:val="00E45A63"/>
    <w:rsid w:val="00E45D5F"/>
    <w:rsid w:val="00E45E83"/>
    <w:rsid w:val="00E466F7"/>
    <w:rsid w:val="00E46F54"/>
    <w:rsid w:val="00E50F2D"/>
    <w:rsid w:val="00E51133"/>
    <w:rsid w:val="00E548F4"/>
    <w:rsid w:val="00E55A17"/>
    <w:rsid w:val="00E55ADC"/>
    <w:rsid w:val="00E56DE6"/>
    <w:rsid w:val="00E56FD8"/>
    <w:rsid w:val="00E57A6E"/>
    <w:rsid w:val="00E57CD9"/>
    <w:rsid w:val="00E6026B"/>
    <w:rsid w:val="00E603D5"/>
    <w:rsid w:val="00E6047B"/>
    <w:rsid w:val="00E60C75"/>
    <w:rsid w:val="00E6194E"/>
    <w:rsid w:val="00E61EBF"/>
    <w:rsid w:val="00E629CB"/>
    <w:rsid w:val="00E63FCB"/>
    <w:rsid w:val="00E6527F"/>
    <w:rsid w:val="00E65554"/>
    <w:rsid w:val="00E65641"/>
    <w:rsid w:val="00E6720A"/>
    <w:rsid w:val="00E707AF"/>
    <w:rsid w:val="00E71896"/>
    <w:rsid w:val="00E71ED4"/>
    <w:rsid w:val="00E7398F"/>
    <w:rsid w:val="00E746AD"/>
    <w:rsid w:val="00E74823"/>
    <w:rsid w:val="00E74B4C"/>
    <w:rsid w:val="00E75B64"/>
    <w:rsid w:val="00E75C5B"/>
    <w:rsid w:val="00E75F3A"/>
    <w:rsid w:val="00E8059D"/>
    <w:rsid w:val="00E81774"/>
    <w:rsid w:val="00E8183A"/>
    <w:rsid w:val="00E81F14"/>
    <w:rsid w:val="00E83A01"/>
    <w:rsid w:val="00E83F2D"/>
    <w:rsid w:val="00E90561"/>
    <w:rsid w:val="00E92087"/>
    <w:rsid w:val="00E93125"/>
    <w:rsid w:val="00E951F3"/>
    <w:rsid w:val="00E95EC2"/>
    <w:rsid w:val="00E96455"/>
    <w:rsid w:val="00E96823"/>
    <w:rsid w:val="00E96A5E"/>
    <w:rsid w:val="00E97E9C"/>
    <w:rsid w:val="00EA1DF0"/>
    <w:rsid w:val="00EA1F37"/>
    <w:rsid w:val="00EA315F"/>
    <w:rsid w:val="00EA3B1F"/>
    <w:rsid w:val="00EA455A"/>
    <w:rsid w:val="00EA5368"/>
    <w:rsid w:val="00EA5775"/>
    <w:rsid w:val="00EA5D27"/>
    <w:rsid w:val="00EA5D87"/>
    <w:rsid w:val="00EA6AF7"/>
    <w:rsid w:val="00EA73F5"/>
    <w:rsid w:val="00EB0BAE"/>
    <w:rsid w:val="00EB0D34"/>
    <w:rsid w:val="00EB23FA"/>
    <w:rsid w:val="00EB37F5"/>
    <w:rsid w:val="00EB3B42"/>
    <w:rsid w:val="00EB5E1C"/>
    <w:rsid w:val="00EB759F"/>
    <w:rsid w:val="00EB77E5"/>
    <w:rsid w:val="00EB7EBE"/>
    <w:rsid w:val="00EC107A"/>
    <w:rsid w:val="00EC125B"/>
    <w:rsid w:val="00EC199F"/>
    <w:rsid w:val="00EC2DC3"/>
    <w:rsid w:val="00EC327E"/>
    <w:rsid w:val="00EC461C"/>
    <w:rsid w:val="00EC6553"/>
    <w:rsid w:val="00EC6688"/>
    <w:rsid w:val="00ED01A6"/>
    <w:rsid w:val="00ED18DE"/>
    <w:rsid w:val="00ED1A48"/>
    <w:rsid w:val="00ED45B3"/>
    <w:rsid w:val="00ED6A22"/>
    <w:rsid w:val="00EE1B13"/>
    <w:rsid w:val="00EE1CE1"/>
    <w:rsid w:val="00EE30D5"/>
    <w:rsid w:val="00EE6286"/>
    <w:rsid w:val="00EE7209"/>
    <w:rsid w:val="00EE7621"/>
    <w:rsid w:val="00EE799C"/>
    <w:rsid w:val="00EE7CA0"/>
    <w:rsid w:val="00EE7D78"/>
    <w:rsid w:val="00EF25F6"/>
    <w:rsid w:val="00EF2910"/>
    <w:rsid w:val="00EF3D9F"/>
    <w:rsid w:val="00EF4853"/>
    <w:rsid w:val="00EF487D"/>
    <w:rsid w:val="00EF76BB"/>
    <w:rsid w:val="00F008A7"/>
    <w:rsid w:val="00F00C34"/>
    <w:rsid w:val="00F0185E"/>
    <w:rsid w:val="00F02E6A"/>
    <w:rsid w:val="00F053C9"/>
    <w:rsid w:val="00F05AFE"/>
    <w:rsid w:val="00F05E71"/>
    <w:rsid w:val="00F065E0"/>
    <w:rsid w:val="00F12737"/>
    <w:rsid w:val="00F17AFA"/>
    <w:rsid w:val="00F20ABF"/>
    <w:rsid w:val="00F21616"/>
    <w:rsid w:val="00F219E5"/>
    <w:rsid w:val="00F21E68"/>
    <w:rsid w:val="00F23F90"/>
    <w:rsid w:val="00F24D7F"/>
    <w:rsid w:val="00F25CF9"/>
    <w:rsid w:val="00F2630B"/>
    <w:rsid w:val="00F27A1B"/>
    <w:rsid w:val="00F27C91"/>
    <w:rsid w:val="00F27D4E"/>
    <w:rsid w:val="00F306BA"/>
    <w:rsid w:val="00F3271C"/>
    <w:rsid w:val="00F33F9F"/>
    <w:rsid w:val="00F347BC"/>
    <w:rsid w:val="00F34CF0"/>
    <w:rsid w:val="00F36056"/>
    <w:rsid w:val="00F3734A"/>
    <w:rsid w:val="00F44C6C"/>
    <w:rsid w:val="00F470C2"/>
    <w:rsid w:val="00F52346"/>
    <w:rsid w:val="00F5293F"/>
    <w:rsid w:val="00F529A0"/>
    <w:rsid w:val="00F5386B"/>
    <w:rsid w:val="00F53B0E"/>
    <w:rsid w:val="00F53D58"/>
    <w:rsid w:val="00F53E37"/>
    <w:rsid w:val="00F5416D"/>
    <w:rsid w:val="00F56C2A"/>
    <w:rsid w:val="00F56CA9"/>
    <w:rsid w:val="00F660B1"/>
    <w:rsid w:val="00F666CE"/>
    <w:rsid w:val="00F671E2"/>
    <w:rsid w:val="00F704BF"/>
    <w:rsid w:val="00F71357"/>
    <w:rsid w:val="00F718A9"/>
    <w:rsid w:val="00F73CC1"/>
    <w:rsid w:val="00F74384"/>
    <w:rsid w:val="00F74ED7"/>
    <w:rsid w:val="00F76552"/>
    <w:rsid w:val="00F82031"/>
    <w:rsid w:val="00F84122"/>
    <w:rsid w:val="00F866A8"/>
    <w:rsid w:val="00F909B1"/>
    <w:rsid w:val="00F90AC5"/>
    <w:rsid w:val="00F93439"/>
    <w:rsid w:val="00FA1840"/>
    <w:rsid w:val="00FA1B42"/>
    <w:rsid w:val="00FA3388"/>
    <w:rsid w:val="00FA50D6"/>
    <w:rsid w:val="00FA5E86"/>
    <w:rsid w:val="00FA6E46"/>
    <w:rsid w:val="00FA7FEC"/>
    <w:rsid w:val="00FB0570"/>
    <w:rsid w:val="00FB11B0"/>
    <w:rsid w:val="00FB1255"/>
    <w:rsid w:val="00FB13B3"/>
    <w:rsid w:val="00FB4323"/>
    <w:rsid w:val="00FB59BE"/>
    <w:rsid w:val="00FB64A1"/>
    <w:rsid w:val="00FB7909"/>
    <w:rsid w:val="00FB7D2E"/>
    <w:rsid w:val="00FC6834"/>
    <w:rsid w:val="00FC694C"/>
    <w:rsid w:val="00FC7A54"/>
    <w:rsid w:val="00FCA434"/>
    <w:rsid w:val="00FD02A0"/>
    <w:rsid w:val="00FD098C"/>
    <w:rsid w:val="00FD1B4A"/>
    <w:rsid w:val="00FD1F03"/>
    <w:rsid w:val="00FD2E7F"/>
    <w:rsid w:val="00FD4315"/>
    <w:rsid w:val="00FD4376"/>
    <w:rsid w:val="00FD45FB"/>
    <w:rsid w:val="00FD6350"/>
    <w:rsid w:val="00FD63E1"/>
    <w:rsid w:val="00FD6F0D"/>
    <w:rsid w:val="00FD74D7"/>
    <w:rsid w:val="00FD7882"/>
    <w:rsid w:val="00FE04E5"/>
    <w:rsid w:val="00FE098D"/>
    <w:rsid w:val="00FE0EEA"/>
    <w:rsid w:val="00FE153C"/>
    <w:rsid w:val="00FE197E"/>
    <w:rsid w:val="00FE1AB2"/>
    <w:rsid w:val="00FE47B8"/>
    <w:rsid w:val="00FE4EB5"/>
    <w:rsid w:val="00FE5D9C"/>
    <w:rsid w:val="00FE63C5"/>
    <w:rsid w:val="00FE748D"/>
    <w:rsid w:val="00FE7F14"/>
    <w:rsid w:val="00FF068E"/>
    <w:rsid w:val="00FF1160"/>
    <w:rsid w:val="00FF1785"/>
    <w:rsid w:val="00FF2269"/>
    <w:rsid w:val="00FF550A"/>
    <w:rsid w:val="00FF5E5B"/>
    <w:rsid w:val="00FF7CC9"/>
    <w:rsid w:val="07EEDA08"/>
    <w:rsid w:val="0F08418B"/>
    <w:rsid w:val="153B27C0"/>
    <w:rsid w:val="16DA42D5"/>
    <w:rsid w:val="1BE981AA"/>
    <w:rsid w:val="1C4F9562"/>
    <w:rsid w:val="21C57336"/>
    <w:rsid w:val="38535E65"/>
    <w:rsid w:val="3AB17511"/>
    <w:rsid w:val="4277C904"/>
    <w:rsid w:val="4A7348F8"/>
    <w:rsid w:val="4B914DA6"/>
    <w:rsid w:val="669C8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D7358"/>
  <w15:chartTrackingRefBased/>
  <w15:docId w15:val="{80D28179-CBC8-46D0-A702-DFBBF659104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
    <w:next w:val="Normal"/>
    <w:qFormat/>
    <w:pPr>
      <w:keepNext/>
      <w:numPr>
        <w:numId w:val="1"/>
      </w:numPr>
      <w:spacing w:before="240" w:after="60"/>
      <w:outlineLvl w:val="0"/>
    </w:pPr>
    <w:rPr>
      <w:kern w:val="28"/>
      <w:sz w:val="28"/>
    </w:rPr>
  </w:style>
  <w:style w:type="paragraph" w:styleId="Heading2">
    <w:name w:val="heading 2"/>
    <w:basedOn w:val="Heading1"/>
    <w:next w:val="Normal"/>
    <w:qFormat/>
    <w:pPr>
      <w:numPr>
        <w:ilvl w:val="1"/>
      </w:numPr>
      <w:outlineLvl w:val="1"/>
    </w:pPr>
    <w:rPr>
      <w:sz w:val="24"/>
    </w:rPr>
  </w:style>
  <w:style w:type="paragraph" w:styleId="Heading3">
    <w:name w:val="heading 3"/>
    <w:basedOn w:val="Heading2"/>
    <w:next w:val="Normal"/>
    <w:qFormat/>
    <w:pPr>
      <w:numPr>
        <w:ilvl w:val="2"/>
      </w:numPr>
      <w:outlineLvl w:val="2"/>
    </w:pPr>
  </w:style>
  <w:style w:type="paragraph" w:styleId="Heading4">
    <w:name w:val="heading 4"/>
    <w:basedOn w:val="Heading3"/>
    <w:next w:val="Normal"/>
    <w:qFormat/>
    <w:pPr>
      <w:numPr>
        <w:ilvl w:val="3"/>
      </w:numPr>
      <w:outlineLvl w:val="3"/>
    </w:pPr>
  </w:style>
  <w:style w:type="paragraph" w:styleId="Heading5">
    <w:name w:val="heading 5"/>
    <w:basedOn w:val="Heading4"/>
    <w:next w:val="Normal"/>
    <w:qFormat/>
    <w:pPr>
      <w:numPr>
        <w:ilvl w:val="4"/>
      </w:numPr>
      <w:outlineLvl w:val="4"/>
    </w:pPr>
    <w:rPr>
      <w:sz w:val="22"/>
    </w:r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rPr>
      <w:i/>
    </w:rPr>
  </w:style>
  <w:style w:type="paragraph" w:styleId="Heading9">
    <w:name w:val="heading 9"/>
    <w:basedOn w:val="Heading8"/>
    <w:next w:val="Normal"/>
    <w:qFormat/>
    <w:pPr>
      <w:numPr>
        <w:ilvl w:val="8"/>
      </w:numPr>
      <w:tabs>
        <w:tab w:val="num" w:pos="360"/>
      </w:tabs>
      <w:outlineLvl w:val="8"/>
    </w:pPr>
    <w:rPr>
      <w:b/>
      <w:i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pPr>
      <w:spacing w:after="480"/>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Quotation">
    <w:name w:val="Quotation"/>
    <w:basedOn w:val="BodyText"/>
    <w:next w:val="BodyText"/>
    <w:pPr>
      <w:spacing w:after="120"/>
      <w:ind w:left="1440" w:right="1440"/>
    </w:pPr>
  </w:style>
  <w:style w:type="paragraph" w:styleId="FootnoteText">
    <w:name w:val="footnote text"/>
    <w:aliases w:val="ALTS FOOTNOTE,fn,Footnote text,FOOTNOTE,Footnote Text Char2,Footnote Text Char Char,Footnote Text Char1 Char Char,Footnote Text Char Char Char Char,Footnote Text Char1 Char Char Char Char,Footnote Text Char Char Char Char Char Char1,fn Cha"/>
    <w:basedOn w:val="Normal"/>
    <w:link w:val="FootnoteTextChar"/>
    <w:uiPriority w:val="99"/>
    <w:qFormat/>
    <w:rsid w:val="00006EA6"/>
  </w:style>
  <w:style w:type="character" w:styleId="FootnoteReference">
    <w:name w:val="footnote reference"/>
    <w:aliases w:val="Style 13,Appel note de bas de p,Style 12,(NECG) Footnote Reference,Style 124,o,fr,Style 3,Style 17,FR,Footnote Reference/,Style 6"/>
    <w:uiPriority w:val="99"/>
    <w:rsid w:val="00006EA6"/>
    <w:rPr>
      <w:rFonts w:ascii="Times New Roman" w:hAnsi="Times New Roman"/>
      <w:b/>
      <w:sz w:val="28"/>
      <w:u w:val="single"/>
      <w:vertAlign w:val="superscript"/>
    </w:rPr>
  </w:style>
  <w:style w:type="character" w:customStyle="1" w:styleId="BodyTextChar">
    <w:name w:val="Body Text Char"/>
    <w:link w:val="BodyText"/>
    <w:rsid w:val="00813E20"/>
    <w:rPr>
      <w:sz w:val="26"/>
    </w:rPr>
  </w:style>
  <w:style w:type="paragraph" w:styleId="NoSpacing">
    <w:name w:val="No Spacing"/>
    <w:uiPriority w:val="1"/>
    <w:qFormat/>
    <w:rsid w:val="00357E41"/>
  </w:style>
  <w:style w:type="character" w:customStyle="1" w:styleId="pmterms11">
    <w:name w:val="pmterms11"/>
    <w:rsid w:val="0060494B"/>
    <w:rPr>
      <w:b/>
      <w:bCs/>
      <w:i w:val="0"/>
      <w:iCs w:val="0"/>
      <w:color w:val="000000"/>
    </w:rPr>
  </w:style>
  <w:style w:type="paragraph" w:styleId="BalloonText">
    <w:name w:val="Balloon Text"/>
    <w:basedOn w:val="Normal"/>
    <w:link w:val="BalloonTextChar"/>
    <w:rsid w:val="00712DB9"/>
    <w:rPr>
      <w:rFonts w:ascii="Tahoma" w:hAnsi="Tahoma" w:cs="Tahoma"/>
      <w:sz w:val="16"/>
      <w:szCs w:val="16"/>
    </w:rPr>
  </w:style>
  <w:style w:type="character" w:customStyle="1" w:styleId="BalloonTextChar">
    <w:name w:val="Balloon Text Char"/>
    <w:link w:val="BalloonText"/>
    <w:rsid w:val="00712DB9"/>
    <w:rPr>
      <w:rFonts w:ascii="Tahoma" w:hAnsi="Tahoma" w:cs="Tahoma"/>
      <w:sz w:val="16"/>
      <w:szCs w:val="16"/>
    </w:rPr>
  </w:style>
  <w:style w:type="character" w:customStyle="1" w:styleId="FootnoteTextChar">
    <w:name w:val="Footnote Text Char"/>
    <w:aliases w:val="ALTS FOOTNOTE Char,fn Char,Footnote text Char,FOOTNOTE Char,Footnote Text Char2 Char,Footnote Text Char Char Char,Footnote Text Char1 Char Char Char,Footnote Text Char Char Char Char Char,Footnote Text Char1 Char Char Char Char Char"/>
    <w:link w:val="FootnoteText"/>
    <w:uiPriority w:val="99"/>
    <w:rsid w:val="000A1E72"/>
  </w:style>
  <w:style w:type="paragraph" w:styleId="ListParagraph">
    <w:name w:val="List Paragraph"/>
    <w:basedOn w:val="Normal"/>
    <w:uiPriority w:val="34"/>
    <w:qFormat/>
    <w:rsid w:val="00C40A5B"/>
    <w:pPr>
      <w:ind w:left="720"/>
    </w:pPr>
    <w:rPr>
      <w:rFonts w:ascii="Calibri" w:eastAsia="Calibri" w:hAnsi="Calibri" w:cs="Calibri"/>
      <w:sz w:val="22"/>
      <w:szCs w:val="22"/>
    </w:rPr>
  </w:style>
  <w:style w:type="character" w:styleId="Strong">
    <w:name w:val="Strong"/>
    <w:uiPriority w:val="22"/>
    <w:qFormat/>
    <w:rsid w:val="00C40A5B"/>
    <w:rPr>
      <w:b/>
      <w:bCs/>
    </w:rPr>
  </w:style>
  <w:style w:type="character" w:styleId="CommentReference">
    <w:name w:val="annotation reference"/>
    <w:rsid w:val="007E0629"/>
    <w:rPr>
      <w:sz w:val="16"/>
      <w:szCs w:val="16"/>
    </w:rPr>
  </w:style>
  <w:style w:type="paragraph" w:styleId="CommentText">
    <w:name w:val="annotation text"/>
    <w:basedOn w:val="Normal"/>
    <w:link w:val="CommentTextChar"/>
    <w:rsid w:val="007E0629"/>
  </w:style>
  <w:style w:type="character" w:customStyle="1" w:styleId="CommentTextChar">
    <w:name w:val="Comment Text Char"/>
    <w:basedOn w:val="DefaultParagraphFont"/>
    <w:link w:val="CommentText"/>
    <w:rsid w:val="007E0629"/>
  </w:style>
  <w:style w:type="paragraph" w:styleId="CommentSubject">
    <w:name w:val="annotation subject"/>
    <w:basedOn w:val="CommentText"/>
    <w:next w:val="CommentText"/>
    <w:link w:val="CommentSubjectChar"/>
    <w:rsid w:val="007E0629"/>
    <w:rPr>
      <w:b/>
      <w:bCs/>
    </w:rPr>
  </w:style>
  <w:style w:type="character" w:customStyle="1" w:styleId="CommentSubjectChar">
    <w:name w:val="Comment Subject Char"/>
    <w:link w:val="CommentSubject"/>
    <w:rsid w:val="007E0629"/>
    <w:rPr>
      <w:b/>
      <w:bCs/>
    </w:rPr>
  </w:style>
  <w:style w:type="paragraph" w:styleId="Revision">
    <w:name w:val="Revision"/>
    <w:hidden/>
    <w:uiPriority w:val="99"/>
    <w:semiHidden/>
    <w:rsid w:val="00C71EDE"/>
  </w:style>
  <w:style w:type="paragraph" w:styleId="EndnoteText">
    <w:name w:val="endnote text"/>
    <w:basedOn w:val="Normal"/>
    <w:link w:val="EndnoteTextChar"/>
    <w:rsid w:val="00A51525"/>
  </w:style>
  <w:style w:type="character" w:customStyle="1" w:styleId="EndnoteTextChar">
    <w:name w:val="Endnote Text Char"/>
    <w:basedOn w:val="DefaultParagraphFont"/>
    <w:link w:val="EndnoteText"/>
    <w:rsid w:val="00A51525"/>
  </w:style>
  <w:style w:type="character" w:styleId="EndnoteReference">
    <w:name w:val="endnote reference"/>
    <w:rsid w:val="00A51525"/>
    <w:rPr>
      <w:vertAlign w:val="superscript"/>
    </w:rPr>
  </w:style>
  <w:style w:type="character" w:styleId="Hyperlink">
    <w:name w:val="Hyperlink"/>
    <w:basedOn w:val="DefaultParagraphFont"/>
    <w:rsid w:val="002B2230"/>
    <w:rPr>
      <w:color w:val="0563C1" w:themeColor="hyperlink"/>
      <w:u w:val="single"/>
    </w:rPr>
  </w:style>
  <w:style w:type="character" w:styleId="UnresolvedMention">
    <w:name w:val="Unresolved Mention"/>
    <w:basedOn w:val="DefaultParagraphFont"/>
    <w:uiPriority w:val="99"/>
    <w:semiHidden/>
    <w:unhideWhenUsed/>
    <w:rsid w:val="002B2230"/>
    <w:rPr>
      <w:color w:val="605E5C"/>
      <w:shd w:val="clear" w:color="auto" w:fill="E1DFDD"/>
    </w:rPr>
  </w:style>
  <w:style w:type="character" w:customStyle="1" w:styleId="normaltextrun">
    <w:name w:val="normaltextrun"/>
    <w:basedOn w:val="DefaultParagraphFont"/>
    <w:rsid w:val="00C50D54"/>
  </w:style>
  <w:style w:type="character" w:customStyle="1" w:styleId="HeaderChar">
    <w:name w:val="Header Char"/>
    <w:basedOn w:val="DefaultParagraphFont"/>
    <w:link w:val="Header"/>
    <w:uiPriority w:val="99"/>
    <w:rsid w:val="00D937EC"/>
  </w:style>
  <w:style w:type="character" w:customStyle="1" w:styleId="FooterChar">
    <w:name w:val="Footer Char"/>
    <w:basedOn w:val="DefaultParagraphFont"/>
    <w:link w:val="Footer"/>
    <w:uiPriority w:val="99"/>
    <w:rsid w:val="00F1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394408">
      <w:bodyDiv w:val="1"/>
      <w:marLeft w:val="0"/>
      <w:marRight w:val="0"/>
      <w:marTop w:val="0"/>
      <w:marBottom w:val="0"/>
      <w:divBdr>
        <w:top w:val="none" w:sz="0" w:space="0" w:color="auto"/>
        <w:left w:val="none" w:sz="0" w:space="0" w:color="auto"/>
        <w:bottom w:val="none" w:sz="0" w:space="0" w:color="auto"/>
        <w:right w:val="none" w:sz="0" w:space="0" w:color="auto"/>
      </w:divBdr>
    </w:div>
    <w:div w:id="1241603972">
      <w:bodyDiv w:val="1"/>
      <w:marLeft w:val="0"/>
      <w:marRight w:val="0"/>
      <w:marTop w:val="0"/>
      <w:marBottom w:val="0"/>
      <w:divBdr>
        <w:top w:val="none" w:sz="0" w:space="0" w:color="auto"/>
        <w:left w:val="none" w:sz="0" w:space="0" w:color="auto"/>
        <w:bottom w:val="none" w:sz="0" w:space="0" w:color="auto"/>
        <w:right w:val="none" w:sz="0" w:space="0" w:color="auto"/>
      </w:divBdr>
    </w:div>
    <w:div w:id="1373270245">
      <w:bodyDiv w:val="1"/>
      <w:marLeft w:val="0"/>
      <w:marRight w:val="0"/>
      <w:marTop w:val="0"/>
      <w:marBottom w:val="0"/>
      <w:divBdr>
        <w:top w:val="none" w:sz="0" w:space="0" w:color="auto"/>
        <w:left w:val="none" w:sz="0" w:space="0" w:color="auto"/>
        <w:bottom w:val="none" w:sz="0" w:space="0" w:color="auto"/>
        <w:right w:val="none" w:sz="0" w:space="0" w:color="auto"/>
      </w:divBdr>
    </w:div>
    <w:div w:id="1480726350">
      <w:bodyDiv w:val="1"/>
      <w:marLeft w:val="0"/>
      <w:marRight w:val="0"/>
      <w:marTop w:val="0"/>
      <w:marBottom w:val="0"/>
      <w:divBdr>
        <w:top w:val="none" w:sz="0" w:space="0" w:color="auto"/>
        <w:left w:val="none" w:sz="0" w:space="0" w:color="auto"/>
        <w:bottom w:val="none" w:sz="0" w:space="0" w:color="auto"/>
        <w:right w:val="none" w:sz="0" w:space="0" w:color="auto"/>
      </w:divBdr>
    </w:div>
    <w:div w:id="1684894836">
      <w:bodyDiv w:val="1"/>
      <w:marLeft w:val="0"/>
      <w:marRight w:val="0"/>
      <w:marTop w:val="0"/>
      <w:marBottom w:val="0"/>
      <w:divBdr>
        <w:top w:val="none" w:sz="0" w:space="0" w:color="auto"/>
        <w:left w:val="none" w:sz="0" w:space="0" w:color="auto"/>
        <w:bottom w:val="none" w:sz="0" w:space="0" w:color="auto"/>
        <w:right w:val="none" w:sz="0" w:space="0" w:color="auto"/>
      </w:divBdr>
    </w:div>
    <w:div w:id="1730498244">
      <w:bodyDiv w:val="1"/>
      <w:marLeft w:val="0"/>
      <w:marRight w:val="0"/>
      <w:marTop w:val="0"/>
      <w:marBottom w:val="0"/>
      <w:divBdr>
        <w:top w:val="none" w:sz="0" w:space="0" w:color="auto"/>
        <w:left w:val="none" w:sz="0" w:space="0" w:color="auto"/>
        <w:bottom w:val="none" w:sz="0" w:space="0" w:color="auto"/>
        <w:right w:val="none" w:sz="0" w:space="0" w:color="auto"/>
      </w:divBdr>
    </w:div>
    <w:div w:id="1767536427">
      <w:bodyDiv w:val="1"/>
      <w:marLeft w:val="0"/>
      <w:marRight w:val="0"/>
      <w:marTop w:val="0"/>
      <w:marBottom w:val="0"/>
      <w:divBdr>
        <w:top w:val="none" w:sz="0" w:space="0" w:color="auto"/>
        <w:left w:val="none" w:sz="0" w:space="0" w:color="auto"/>
        <w:bottom w:val="none" w:sz="0" w:space="0" w:color="auto"/>
        <w:right w:val="none" w:sz="0" w:space="0" w:color="auto"/>
      </w:divBdr>
      <w:divsChild>
        <w:div w:id="1259558013">
          <w:marLeft w:val="0"/>
          <w:marRight w:val="0"/>
          <w:marTop w:val="0"/>
          <w:marBottom w:val="0"/>
          <w:divBdr>
            <w:top w:val="none" w:sz="0" w:space="0" w:color="3D3D3D"/>
            <w:left w:val="none" w:sz="0" w:space="0" w:color="3D3D3D"/>
            <w:bottom w:val="none" w:sz="0" w:space="0" w:color="3D3D3D"/>
            <w:right w:val="none" w:sz="0" w:space="0" w:color="3D3D3D"/>
          </w:divBdr>
          <w:divsChild>
            <w:div w:id="11362641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07233479">
      <w:bodyDiv w:val="1"/>
      <w:marLeft w:val="0"/>
      <w:marRight w:val="0"/>
      <w:marTop w:val="0"/>
      <w:marBottom w:val="0"/>
      <w:divBdr>
        <w:top w:val="none" w:sz="0" w:space="0" w:color="auto"/>
        <w:left w:val="none" w:sz="0" w:space="0" w:color="auto"/>
        <w:bottom w:val="none" w:sz="0" w:space="0" w:color="auto"/>
        <w:right w:val="none" w:sz="0" w:space="0" w:color="auto"/>
      </w:divBdr>
      <w:divsChild>
        <w:div w:id="693767973">
          <w:marLeft w:val="240"/>
          <w:marRight w:val="0"/>
          <w:marTop w:val="60"/>
          <w:marBottom w:val="60"/>
          <w:divBdr>
            <w:top w:val="none" w:sz="0" w:space="0" w:color="auto"/>
            <w:left w:val="none" w:sz="0" w:space="0" w:color="auto"/>
            <w:bottom w:val="none" w:sz="0" w:space="0" w:color="auto"/>
            <w:right w:val="none" w:sz="0" w:space="0" w:color="auto"/>
          </w:divBdr>
          <w:divsChild>
            <w:div w:id="73474545">
              <w:marLeft w:val="0"/>
              <w:marRight w:val="0"/>
              <w:marTop w:val="0"/>
              <w:marBottom w:val="0"/>
              <w:divBdr>
                <w:top w:val="none" w:sz="0" w:space="0" w:color="auto"/>
                <w:left w:val="none" w:sz="0" w:space="0" w:color="auto"/>
                <w:bottom w:val="none" w:sz="0" w:space="0" w:color="auto"/>
                <w:right w:val="none" w:sz="0" w:space="0" w:color="auto"/>
              </w:divBdr>
            </w:div>
          </w:divsChild>
        </w:div>
        <w:div w:id="805852459">
          <w:marLeft w:val="240"/>
          <w:marRight w:val="0"/>
          <w:marTop w:val="60"/>
          <w:marBottom w:val="60"/>
          <w:divBdr>
            <w:top w:val="none" w:sz="0" w:space="0" w:color="auto"/>
            <w:left w:val="none" w:sz="0" w:space="0" w:color="auto"/>
            <w:bottom w:val="none" w:sz="0" w:space="0" w:color="auto"/>
            <w:right w:val="none" w:sz="0" w:space="0" w:color="auto"/>
          </w:divBdr>
          <w:divsChild>
            <w:div w:id="29646989">
              <w:marLeft w:val="0"/>
              <w:marRight w:val="0"/>
              <w:marTop w:val="0"/>
              <w:marBottom w:val="0"/>
              <w:divBdr>
                <w:top w:val="none" w:sz="0" w:space="0" w:color="auto"/>
                <w:left w:val="none" w:sz="0" w:space="0" w:color="auto"/>
                <w:bottom w:val="none" w:sz="0" w:space="0" w:color="auto"/>
                <w:right w:val="none" w:sz="0" w:space="0" w:color="auto"/>
              </w:divBdr>
            </w:div>
          </w:divsChild>
        </w:div>
        <w:div w:id="924340907">
          <w:marLeft w:val="240"/>
          <w:marRight w:val="0"/>
          <w:marTop w:val="60"/>
          <w:marBottom w:val="60"/>
          <w:divBdr>
            <w:top w:val="none" w:sz="0" w:space="0" w:color="auto"/>
            <w:left w:val="none" w:sz="0" w:space="0" w:color="auto"/>
            <w:bottom w:val="none" w:sz="0" w:space="0" w:color="auto"/>
            <w:right w:val="none" w:sz="0" w:space="0" w:color="auto"/>
          </w:divBdr>
          <w:divsChild>
            <w:div w:id="16127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0820">
      <w:bodyDiv w:val="1"/>
      <w:marLeft w:val="0"/>
      <w:marRight w:val="0"/>
      <w:marTop w:val="0"/>
      <w:marBottom w:val="0"/>
      <w:divBdr>
        <w:top w:val="none" w:sz="0" w:space="0" w:color="auto"/>
        <w:left w:val="none" w:sz="0" w:space="0" w:color="auto"/>
        <w:bottom w:val="none" w:sz="0" w:space="0" w:color="auto"/>
        <w:right w:val="none" w:sz="0" w:space="0" w:color="auto"/>
      </w:divBdr>
    </w:div>
    <w:div w:id="1949267345">
      <w:bodyDiv w:val="1"/>
      <w:marLeft w:val="0"/>
      <w:marRight w:val="0"/>
      <w:marTop w:val="0"/>
      <w:marBottom w:val="0"/>
      <w:divBdr>
        <w:top w:val="none" w:sz="0" w:space="0" w:color="auto"/>
        <w:left w:val="none" w:sz="0" w:space="0" w:color="auto"/>
        <w:bottom w:val="none" w:sz="0" w:space="0" w:color="auto"/>
        <w:right w:val="none" w:sz="0" w:space="0" w:color="auto"/>
      </w:divBdr>
    </w:div>
    <w:div w:id="2028869969">
      <w:bodyDiv w:val="1"/>
      <w:marLeft w:val="0"/>
      <w:marRight w:val="0"/>
      <w:marTop w:val="0"/>
      <w:marBottom w:val="0"/>
      <w:divBdr>
        <w:top w:val="none" w:sz="0" w:space="0" w:color="auto"/>
        <w:left w:val="none" w:sz="0" w:space="0" w:color="auto"/>
        <w:bottom w:val="none" w:sz="0" w:space="0" w:color="auto"/>
        <w:right w:val="none" w:sz="0" w:space="0" w:color="auto"/>
      </w:divBdr>
      <w:divsChild>
        <w:div w:id="620918135">
          <w:marLeft w:val="0"/>
          <w:marRight w:val="0"/>
          <w:marTop w:val="0"/>
          <w:marBottom w:val="0"/>
          <w:divBdr>
            <w:top w:val="none" w:sz="0" w:space="0" w:color="3D3D3D"/>
            <w:left w:val="none" w:sz="0" w:space="0" w:color="3D3D3D"/>
            <w:bottom w:val="none" w:sz="0" w:space="0" w:color="3D3D3D"/>
            <w:right w:val="none" w:sz="0" w:space="0" w:color="3D3D3D"/>
          </w:divBdr>
          <w:divsChild>
            <w:div w:id="3691919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6956204">
      <w:bodyDiv w:val="1"/>
      <w:marLeft w:val="0"/>
      <w:marRight w:val="0"/>
      <w:marTop w:val="0"/>
      <w:marBottom w:val="0"/>
      <w:divBdr>
        <w:top w:val="none" w:sz="0" w:space="0" w:color="auto"/>
        <w:left w:val="none" w:sz="0" w:space="0" w:color="auto"/>
        <w:bottom w:val="none" w:sz="0" w:space="0" w:color="auto"/>
        <w:right w:val="none" w:sz="0" w:space="0" w:color="auto"/>
      </w:divBdr>
      <w:divsChild>
        <w:div w:id="128596672">
          <w:marLeft w:val="0"/>
          <w:marRight w:val="0"/>
          <w:marTop w:val="0"/>
          <w:marBottom w:val="0"/>
          <w:divBdr>
            <w:top w:val="none" w:sz="0" w:space="0" w:color="3D3D3D"/>
            <w:left w:val="none" w:sz="0" w:space="0" w:color="3D3D3D"/>
            <w:bottom w:val="none" w:sz="0" w:space="0" w:color="3D3D3D"/>
            <w:right w:val="none" w:sz="0" w:space="0" w:color="3D3D3D"/>
          </w:divBdr>
          <w:divsChild>
            <w:div w:id="20751571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1034839">
      <w:bodyDiv w:val="1"/>
      <w:marLeft w:val="0"/>
      <w:marRight w:val="0"/>
      <w:marTop w:val="0"/>
      <w:marBottom w:val="0"/>
      <w:divBdr>
        <w:top w:val="none" w:sz="0" w:space="0" w:color="auto"/>
        <w:left w:val="none" w:sz="0" w:space="0" w:color="auto"/>
        <w:bottom w:val="none" w:sz="0" w:space="0" w:color="auto"/>
        <w:right w:val="none" w:sz="0" w:space="0" w:color="auto"/>
      </w:divBdr>
      <w:divsChild>
        <w:div w:id="28339791">
          <w:marLeft w:val="0"/>
          <w:marRight w:val="0"/>
          <w:marTop w:val="0"/>
          <w:marBottom w:val="0"/>
          <w:divBdr>
            <w:top w:val="none" w:sz="0" w:space="0" w:color="3D3D3D"/>
            <w:left w:val="none" w:sz="0" w:space="0" w:color="3D3D3D"/>
            <w:bottom w:val="none" w:sz="0" w:space="0" w:color="3D3D3D"/>
            <w:right w:val="none" w:sz="0" w:space="0" w:color="3D3D3D"/>
          </w:divBdr>
          <w:divsChild>
            <w:div w:id="6126376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6295689">
      <w:bodyDiv w:val="1"/>
      <w:marLeft w:val="0"/>
      <w:marRight w:val="0"/>
      <w:marTop w:val="0"/>
      <w:marBottom w:val="0"/>
      <w:divBdr>
        <w:top w:val="none" w:sz="0" w:space="0" w:color="auto"/>
        <w:left w:val="none" w:sz="0" w:space="0" w:color="auto"/>
        <w:bottom w:val="none" w:sz="0" w:space="0" w:color="auto"/>
        <w:right w:val="none" w:sz="0" w:space="0" w:color="auto"/>
      </w:divBdr>
    </w:div>
    <w:div w:id="207913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e.przybyla@cpuc.c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en.vo@cpuc.c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5c74c69-dab1-4a0b-bbef-27751b157b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2B931158C62F418EDEABBA98490587" ma:contentTypeVersion="13" ma:contentTypeDescription="Create a new document." ma:contentTypeScope="" ma:versionID="dc3742e811bc7f0ed319977e2916dceb">
  <xsd:schema xmlns:xsd="http://www.w3.org/2001/XMLSchema" xmlns:xs="http://www.w3.org/2001/XMLSchema" xmlns:p="http://schemas.microsoft.com/office/2006/metadata/properties" xmlns:ns3="e5c74c69-dab1-4a0b-bbef-27751b157bb9" xmlns:ns4="8a814e6a-64b0-4918-94c3-0bf72c47bda1" targetNamespace="http://schemas.microsoft.com/office/2006/metadata/properties" ma:root="true" ma:fieldsID="d75124b398d41017a7557bce54e0938e" ns3:_="" ns4:_="">
    <xsd:import namespace="e5c74c69-dab1-4a0b-bbef-27751b157bb9"/>
    <xsd:import namespace="8a814e6a-64b0-4918-94c3-0bf72c47bda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74c69-dab1-4a0b-bbef-27751b157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14e6a-64b0-4918-94c3-0bf72c47bd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A6143-BF00-4669-ACF4-C482C4448263}">
  <ds:schemaRefs>
    <ds:schemaRef ds:uri="http://schemas.microsoft.com/sharepoint/v3/contenttype/forms"/>
  </ds:schemaRefs>
</ds:datastoreItem>
</file>

<file path=customXml/itemProps2.xml><?xml version="1.0" encoding="utf-8"?>
<ds:datastoreItem xmlns:ds="http://schemas.openxmlformats.org/officeDocument/2006/customXml" ds:itemID="{306312B4-B024-4664-8E75-F7021A7B6287}">
  <ds:schemaRefs>
    <ds:schemaRef ds:uri="http://schemas.openxmlformats.org/officeDocument/2006/bibliography"/>
  </ds:schemaRefs>
</ds:datastoreItem>
</file>

<file path=customXml/itemProps3.xml><?xml version="1.0" encoding="utf-8"?>
<ds:datastoreItem xmlns:ds="http://schemas.openxmlformats.org/officeDocument/2006/customXml" ds:itemID="{90373CD8-1495-4142-8F41-BF4F1E141B7D}">
  <ds:schemaRefs>
    <ds:schemaRef ds:uri="http://schemas.microsoft.com/office/2006/metadata/properties"/>
    <ds:schemaRef ds:uri="http://schemas.microsoft.com/office/infopath/2007/PartnerControls"/>
    <ds:schemaRef ds:uri="e5c74c69-dab1-4a0b-bbef-27751b157bb9"/>
  </ds:schemaRefs>
</ds:datastoreItem>
</file>

<file path=customXml/itemProps4.xml><?xml version="1.0" encoding="utf-8"?>
<ds:datastoreItem xmlns:ds="http://schemas.openxmlformats.org/officeDocument/2006/customXml" ds:itemID="{F6FD6CFC-6DC3-43D3-84AE-6C01BBF70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74c69-dab1-4a0b-bbef-27751b157bb9"/>
    <ds:schemaRef ds:uri="8a814e6a-64b0-4918-94c3-0bf72c47b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1405</ap:Words>
  <ap:Characters>8014</ap:Characters>
  <ap:Application>Microsoft Office Word</ap:Application>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State of California</vt:lpstr>
    </vt:vector>
  </ap:TitlesOfParts>
  <ap:Company/>
  <ap:LinksUpToDate>false</ap:LinksUpToDate>
  <ap:CharactersWithSpaces>9401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2025-10-20T16:32:00Z</cp:lastPrinted>
  <dcterms:created xsi:type="dcterms:W3CDTF">2025-10-20T09:49:25Z</dcterms:created>
  <dcterms:modified xsi:type="dcterms:W3CDTF">2025-10-20T09:49:25Z</dcterms:modified>
</cp:coreProperties>
</file>