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100AD8" w:rsidRDefault="00E22894" w14:paraId="6CC91C65" w14:textId="58BDEE0D">
      <w:pPr>
        <w:tabs>
          <w:tab w:val="center" w:pos="4680"/>
          <w:tab w:val="right" w:pos="9360"/>
        </w:tabs>
        <w:spacing w:line="240" w:lineRule="auto"/>
        <w:ind w:firstLine="0"/>
      </w:pPr>
      <w:r>
        <w:t>ALJ/MLQ/jnf</w:t>
      </w:r>
      <w:r w:rsidR="007E0FEE">
        <w:tab/>
      </w:r>
      <w:r w:rsidR="00DA7B5D">
        <w:rPr>
          <w:rFonts w:ascii="Arial" w:hAnsi="Arial" w:cs="Arial"/>
          <w:b/>
          <w:sz w:val="32"/>
          <w:szCs w:val="32"/>
        </w:rPr>
        <w:t>PROPOSED DECISION</w:t>
      </w:r>
      <w:r w:rsidR="00DA7B5D">
        <w:tab/>
      </w:r>
      <w:r w:rsidRPr="00EE4315" w:rsidR="00DA7B5D">
        <w:rPr>
          <w:b/>
        </w:rPr>
        <w:t>Agenda ID #</w:t>
      </w:r>
      <w:r w:rsidR="001F0A62">
        <w:rPr>
          <w:b/>
        </w:rPr>
        <w:t>23847</w:t>
      </w:r>
    </w:p>
    <w:p w:rsidRPr="00EE4315" w:rsidR="00DA7B5D" w:rsidP="00E22894" w:rsidRDefault="00E22894" w14:paraId="7A53418E" w14:textId="6D1FE881">
      <w:pPr>
        <w:spacing w:line="240" w:lineRule="auto"/>
        <w:jc w:val="right"/>
        <w:rPr>
          <w:b/>
        </w:rPr>
      </w:pPr>
      <w:r>
        <w:rPr>
          <w:b/>
        </w:rPr>
        <w:t>Ratesetting</w:t>
      </w:r>
    </w:p>
    <w:p w:rsidR="00DA7B5D" w:rsidP="00E22894" w:rsidRDefault="00DA7B5D" w14:paraId="6706CFF5" w14:textId="77777777">
      <w:pPr>
        <w:spacing w:line="240" w:lineRule="auto"/>
        <w:ind w:firstLine="0"/>
      </w:pPr>
    </w:p>
    <w:p w:rsidRPr="00EE3060" w:rsidR="00DA7B5D" w:rsidP="00E22894" w:rsidRDefault="00DA7B5D" w14:paraId="0B64CF16" w14:textId="77777777">
      <w:pPr>
        <w:spacing w:line="240" w:lineRule="auto"/>
        <w:ind w:firstLine="0"/>
      </w:pPr>
      <w:r>
        <w:t xml:space="preserve">Decision </w:t>
      </w:r>
      <w:r w:rsidR="008D16B7">
        <w:t>__________</w:t>
      </w:r>
    </w:p>
    <w:p w:rsidR="00DA7B5D" w:rsidP="00E22894" w:rsidRDefault="00DA7B5D" w14:paraId="356933BE" w14:textId="77777777">
      <w:pPr>
        <w:spacing w:line="240" w:lineRule="auto"/>
        <w:ind w:firstLine="0"/>
        <w:rPr>
          <w:u w:val="single"/>
        </w:rPr>
      </w:pPr>
    </w:p>
    <w:p w:rsidR="00E22894" w:rsidP="00E22894" w:rsidRDefault="00E22894" w14:paraId="3D7D7804" w14:textId="77777777">
      <w:pPr>
        <w:spacing w:line="240" w:lineRule="auto"/>
        <w:ind w:firstLine="0"/>
        <w:rPr>
          <w:u w:val="single"/>
        </w:rPr>
      </w:pPr>
    </w:p>
    <w:p w:rsidR="00DA7B5D" w:rsidP="00BB0243" w:rsidRDefault="00DA7B5D" w14:paraId="1FF2D512"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1E4CD3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770"/>
        <w:gridCol w:w="4590"/>
      </w:tblGrid>
      <w:tr w:rsidR="00DA7B5D" w:rsidTr="007F24F8" w14:paraId="252A3F83" w14:textId="77777777">
        <w:trPr>
          <w:jc w:val="center"/>
        </w:trPr>
        <w:tc>
          <w:tcPr>
            <w:tcW w:w="4770" w:type="dxa"/>
            <w:tcBorders>
              <w:top w:val="nil"/>
              <w:left w:val="nil"/>
              <w:bottom w:val="single" w:color="auto" w:sz="4" w:space="0"/>
              <w:right w:val="single" w:color="auto" w:sz="4" w:space="0"/>
            </w:tcBorders>
          </w:tcPr>
          <w:p w:rsidRPr="00DA7B5D" w:rsidR="00DA7B5D" w:rsidP="00C10B5F" w:rsidRDefault="00555E10" w14:paraId="01A24B65" w14:textId="6F462207">
            <w:pPr>
              <w:spacing w:line="240" w:lineRule="auto"/>
              <w:ind w:firstLine="0"/>
              <w:rPr>
                <w:rFonts w:cs="Arial"/>
                <w:szCs w:val="26"/>
              </w:rPr>
            </w:pPr>
            <w:bookmarkStart w:name="_Hlk212791179" w:id="0"/>
            <w:r w:rsidRPr="00555E10">
              <w:rPr>
                <w:rFonts w:cs="Arial"/>
                <w:szCs w:val="26"/>
              </w:rPr>
              <w:t>In the Matter of the Application of Crimson California Pipeline L.P. (PLC</w:t>
            </w:r>
            <w:r w:rsidR="007F24F8">
              <w:rPr>
                <w:rFonts w:cs="Arial"/>
                <w:szCs w:val="26"/>
              </w:rPr>
              <w:noBreakHyphen/>
            </w:r>
            <w:r w:rsidRPr="00555E10">
              <w:rPr>
                <w:rFonts w:cs="Arial"/>
                <w:szCs w:val="26"/>
              </w:rPr>
              <w:t xml:space="preserve">26) for Authority to Increase Rates for Its Crude Oil Pipeline Services. </w:t>
            </w:r>
            <w:r>
              <w:rPr>
                <w:rFonts w:cs="Arial"/>
                <w:szCs w:val="26"/>
              </w:rPr>
              <w:t xml:space="preserve"> </w:t>
            </w:r>
            <w:r w:rsidRPr="00555E10">
              <w:rPr>
                <w:rFonts w:cs="Arial"/>
                <w:szCs w:val="26"/>
              </w:rPr>
              <w:t>(SOUTHERN CALIFORNIA</w:t>
            </w:r>
            <w:r>
              <w:rPr>
                <w:rFonts w:cs="Arial"/>
                <w:szCs w:val="26"/>
              </w:rPr>
              <w:t>.</w:t>
            </w:r>
            <w:r w:rsidRPr="00555E10">
              <w:rPr>
                <w:rFonts w:cs="Arial"/>
                <w:szCs w:val="26"/>
              </w:rPr>
              <w:t>)</w:t>
            </w:r>
            <w:r w:rsidRPr="00DA7B5D" w:rsidR="00DA7B5D">
              <w:rPr>
                <w:rFonts w:cs="Arial"/>
                <w:szCs w:val="26"/>
              </w:rPr>
              <w:br/>
            </w:r>
          </w:p>
        </w:tc>
        <w:tc>
          <w:tcPr>
            <w:tcW w:w="4590" w:type="dxa"/>
            <w:tcBorders>
              <w:top w:val="nil"/>
              <w:left w:val="single" w:color="auto" w:sz="4" w:space="0"/>
              <w:bottom w:val="nil"/>
              <w:right w:val="nil"/>
            </w:tcBorders>
            <w:vAlign w:val="center"/>
          </w:tcPr>
          <w:p w:rsidRPr="00DA7B5D" w:rsidR="00DA7B5D" w:rsidP="00412C83" w:rsidRDefault="00CC0C75" w14:paraId="4A3317F0" w14:textId="4BD2E83C">
            <w:pPr>
              <w:spacing w:line="240" w:lineRule="auto"/>
              <w:ind w:firstLine="0"/>
              <w:jc w:val="center"/>
              <w:rPr>
                <w:rFonts w:cs="Arial"/>
                <w:szCs w:val="26"/>
              </w:rPr>
            </w:pPr>
            <w:r>
              <w:rPr>
                <w:rFonts w:cs="Arial"/>
                <w:szCs w:val="26"/>
              </w:rPr>
              <w:t>Application</w:t>
            </w:r>
            <w:r w:rsidR="00555E10">
              <w:rPr>
                <w:rFonts w:cs="Arial"/>
                <w:szCs w:val="26"/>
              </w:rPr>
              <w:t> </w:t>
            </w:r>
            <w:r>
              <w:rPr>
                <w:rFonts w:cs="Arial"/>
                <w:szCs w:val="26"/>
              </w:rPr>
              <w:t>24-06-019</w:t>
            </w:r>
          </w:p>
        </w:tc>
      </w:tr>
      <w:bookmarkEnd w:id="0"/>
    </w:tbl>
    <w:p w:rsidR="00DA7B5D" w:rsidP="008F0116" w:rsidRDefault="00DA7B5D" w14:paraId="60D3440D" w14:textId="77777777">
      <w:pPr>
        <w:spacing w:line="240" w:lineRule="auto"/>
        <w:ind w:firstLine="0"/>
        <w:rPr>
          <w:rFonts w:ascii="Arial" w:hAnsi="Arial" w:cs="Arial"/>
          <w:sz w:val="24"/>
          <w:szCs w:val="24"/>
        </w:rPr>
      </w:pPr>
    </w:p>
    <w:p w:rsidR="00DA7B5D" w:rsidP="008F0116" w:rsidRDefault="00DA7B5D" w14:paraId="23E6A128" w14:textId="77777777">
      <w:pPr>
        <w:spacing w:line="240" w:lineRule="auto"/>
        <w:ind w:firstLine="0"/>
        <w:rPr>
          <w:rFonts w:ascii="Arial" w:hAnsi="Arial" w:cs="Arial"/>
          <w:sz w:val="24"/>
          <w:szCs w:val="24"/>
        </w:rPr>
      </w:pPr>
    </w:p>
    <w:p w:rsidR="0098655A" w:rsidP="00ED0BF7" w:rsidRDefault="00C83AF3" w14:paraId="5BD16EC2" w14:textId="0B72E7C9">
      <w:pPr>
        <w:pStyle w:val="Dummy"/>
        <w:spacing w:after="240"/>
        <w:jc w:val="center"/>
      </w:pPr>
      <w:r>
        <w:t>DECISION</w:t>
      </w:r>
      <w:r w:rsidR="00E22698">
        <w:t xml:space="preserve"> </w:t>
      </w:r>
      <w:r w:rsidR="005A3EA7">
        <w:t xml:space="preserve">AUTHORIZING </w:t>
      </w:r>
      <w:r w:rsidR="009F6F01">
        <w:t>RATE INCREASE</w:t>
      </w:r>
      <w:r w:rsidR="00ED0BF7">
        <w:t xml:space="preserve"> </w:t>
      </w:r>
      <w:r w:rsidR="009F6F01">
        <w:t>ON</w:t>
      </w:r>
      <w:r w:rsidR="00ED0BF7">
        <w:br/>
      </w:r>
      <w:r w:rsidR="009F6F01">
        <w:t>CRIMSON CALIFORNIA PIPELINE L.P.’S</w:t>
      </w:r>
      <w:r w:rsidR="00ED0BF7">
        <w:t xml:space="preserve"> </w:t>
      </w:r>
      <w:r w:rsidR="00ED0BF7">
        <w:br/>
      </w:r>
      <w:r w:rsidR="009F6F01">
        <w:t>SOUTHERN CALIFORNIA PIPELINE</w:t>
      </w:r>
      <w:r w:rsidR="00B441F6">
        <w:t xml:space="preserve"> SYSTEM</w:t>
      </w:r>
    </w:p>
    <w:p w:rsidR="005A148C" w:rsidP="005A148C" w:rsidRDefault="005A148C" w14:paraId="0C92E8EA" w14:textId="77777777">
      <w:pPr>
        <w:pStyle w:val="Dummy"/>
      </w:pPr>
      <w:bookmarkStart w:name="_Toc8123714" w:id="1"/>
      <w:bookmarkStart w:name="_Toc133843842" w:id="2"/>
      <w:r>
        <w:t>Summary</w:t>
      </w:r>
      <w:bookmarkEnd w:id="1"/>
      <w:bookmarkEnd w:id="2"/>
    </w:p>
    <w:p w:rsidR="0073353F" w:rsidP="00555E10" w:rsidRDefault="005A148C" w14:paraId="4CD9811A" w14:textId="326DCC5D">
      <w:pPr>
        <w:pStyle w:val="Standard"/>
      </w:pPr>
      <w:r>
        <w:t>T</w:t>
      </w:r>
      <w:r w:rsidR="00052C62">
        <w:t>his decision authorizes Crimson California Pipeline, L.P. to increase the rates charged for the intrastate transportation of crude oil</w:t>
      </w:r>
      <w:r w:rsidR="00BE59C6">
        <w:t xml:space="preserve"> on its Southern California pipeline </w:t>
      </w:r>
      <w:r w:rsidR="00B441F6">
        <w:t>system</w:t>
      </w:r>
      <w:r w:rsidR="00BE59C6">
        <w:t xml:space="preserve"> by </w:t>
      </w:r>
      <w:r w:rsidR="00F5743B">
        <w:t>26.35</w:t>
      </w:r>
      <w:r w:rsidR="00BE59C6">
        <w:t>% above the rates in effect prior to August 1, 202</w:t>
      </w:r>
      <w:r w:rsidR="004C048A">
        <w:t xml:space="preserve">4.  We further authorize the retroactive charge and collection of the difference between rates billed and the approved rate beginning </w:t>
      </w:r>
      <w:r w:rsidR="003F01F7">
        <w:t>August</w:t>
      </w:r>
      <w:r w:rsidR="00195AD4">
        <w:t xml:space="preserve"> </w:t>
      </w:r>
      <w:r w:rsidR="004C048A">
        <w:t>1, 2024</w:t>
      </w:r>
      <w:r w:rsidR="004B6B0F">
        <w:t>, including interest calculated at the 90-day commercial paper rate</w:t>
      </w:r>
      <w:r w:rsidR="004C048A">
        <w:t>.</w:t>
      </w:r>
    </w:p>
    <w:p w:rsidR="004C048A" w:rsidP="00C231B0" w:rsidRDefault="00C231B0" w14:paraId="50BAC609" w14:textId="4B797F58">
      <w:pPr>
        <w:pStyle w:val="Standard"/>
      </w:pPr>
      <w:r>
        <w:t>This proceeding is closed.</w:t>
      </w:r>
    </w:p>
    <w:p w:rsidRPr="00121089" w:rsidR="005A148C" w:rsidP="00E45934" w:rsidRDefault="002C7FE9" w14:paraId="4F3A923E" w14:textId="77777777">
      <w:pPr>
        <w:pStyle w:val="Heading1"/>
      </w:pPr>
      <w:bookmarkStart w:name="_Toc8123715" w:id="3"/>
      <w:bookmarkStart w:name="_Toc133843843" w:id="4"/>
      <w:r w:rsidRPr="00121089">
        <w:t>Background</w:t>
      </w:r>
      <w:bookmarkEnd w:id="3"/>
      <w:bookmarkEnd w:id="4"/>
    </w:p>
    <w:p w:rsidR="00E45934" w:rsidP="00726FBA" w:rsidRDefault="00935B86" w14:paraId="0964E8CC" w14:textId="77777777">
      <w:pPr>
        <w:pStyle w:val="Standard"/>
        <w:sectPr w:rsidR="00E45934" w:rsidSect="00726FBA">
          <w:headerReference w:type="default" r:id="rId11"/>
          <w:footerReference w:type="default" r:id="rId12"/>
          <w:pgSz w:w="12240" w:h="15840"/>
          <w:pgMar w:top="1728" w:right="1440" w:bottom="1440" w:left="1440" w:header="720" w:footer="720" w:gutter="0"/>
          <w:pgNumType w:start="1"/>
          <w:cols w:space="720"/>
          <w:docGrid w:linePitch="360"/>
        </w:sectPr>
      </w:pPr>
      <w:r w:rsidRPr="00935B86">
        <w:t xml:space="preserve">Crimson California Pipeline L.P. (Crimson or Applicant) is a California limited partnership authorized to do business in the State of California as a pipeline corporation as defined by </w:t>
      </w:r>
      <w:r w:rsidR="00DE5763">
        <w:t xml:space="preserve">California </w:t>
      </w:r>
      <w:r w:rsidRPr="00935B86">
        <w:t xml:space="preserve">Public Utilities </w:t>
      </w:r>
      <w:r w:rsidR="0032489C">
        <w:t xml:space="preserve">Code </w:t>
      </w:r>
      <w:r w:rsidRPr="00935B86">
        <w:t>(Pub. Util.</w:t>
      </w:r>
      <w:r w:rsidR="0032489C">
        <w:t xml:space="preserve"> Code</w:t>
      </w:r>
      <w:r w:rsidRPr="00935B86">
        <w:t xml:space="preserve">) </w:t>
      </w:r>
      <w:r w:rsidR="008C30FC">
        <w:t>Section </w:t>
      </w:r>
      <w:r w:rsidRPr="00935B86">
        <w:t xml:space="preserve">228. </w:t>
      </w:r>
      <w:r w:rsidR="00770B9A">
        <w:t xml:space="preserve"> </w:t>
      </w:r>
      <w:r w:rsidRPr="00935B86">
        <w:t>Crimson is a limited partnership with its principal place of</w:t>
      </w:r>
    </w:p>
    <w:p w:rsidR="002C7FE9" w:rsidP="00726FBA" w:rsidRDefault="00935B86" w14:paraId="15093F86" w14:textId="361E3DED">
      <w:pPr>
        <w:pStyle w:val="Standard"/>
        <w:ind w:firstLine="0"/>
      </w:pPr>
      <w:r w:rsidRPr="00935B86">
        <w:lastRenderedPageBreak/>
        <w:t>business located in</w:t>
      </w:r>
      <w:r w:rsidR="00726FBA">
        <w:t xml:space="preserve"> </w:t>
      </w:r>
      <w:r w:rsidRPr="00935B86">
        <w:t>the city of Long Beach.</w:t>
      </w:r>
      <w:r w:rsidR="00E122BA">
        <w:t xml:space="preserve">  </w:t>
      </w:r>
      <w:r w:rsidRPr="00935B86">
        <w:t xml:space="preserve">Crimson’s general partner is Crimson </w:t>
      </w:r>
      <w:r w:rsidRPr="00935B86" w:rsidR="002D2272">
        <w:t>Pipeline</w:t>
      </w:r>
      <w:r w:rsidR="00E45934">
        <w:t xml:space="preserve"> </w:t>
      </w:r>
      <w:r w:rsidRPr="00935B86">
        <w:t xml:space="preserve">LLC, which is wholly owned by Crimson Midstream Operating LLC. </w:t>
      </w:r>
      <w:r w:rsidR="006C4C44">
        <w:t xml:space="preserve"> </w:t>
      </w:r>
      <w:r w:rsidRPr="00935B86">
        <w:t>Crimson</w:t>
      </w:r>
      <w:r w:rsidR="007F24F8">
        <w:t xml:space="preserve"> </w:t>
      </w:r>
      <w:r w:rsidRPr="00935B86">
        <w:t xml:space="preserve">Midstream </w:t>
      </w:r>
      <w:r w:rsidRPr="00935B86" w:rsidR="002D2272">
        <w:t>Operating</w:t>
      </w:r>
      <w:r w:rsidRPr="00935B86">
        <w:t xml:space="preserve"> LLC is wholly owned by Crimson Midstream Holdings LLC, a privately held company.</w:t>
      </w:r>
    </w:p>
    <w:p w:rsidR="00935B86" w:rsidP="006E6574" w:rsidRDefault="00C46675" w14:paraId="14852CAE" w14:textId="65CDF8B5">
      <w:pPr>
        <w:pStyle w:val="Standard"/>
      </w:pPr>
      <w:r w:rsidRPr="00C46675">
        <w:t xml:space="preserve">Crimson owns and operates a network of six common carrier crude oil pipeline systems in Southern California. </w:t>
      </w:r>
      <w:r w:rsidR="00E122BA">
        <w:t xml:space="preserve"> </w:t>
      </w:r>
      <w:r w:rsidRPr="00C46675">
        <w:t>The systems total approximately 300</w:t>
      </w:r>
      <w:r w:rsidR="00DE5763">
        <w:t> </w:t>
      </w:r>
      <w:r w:rsidRPr="00C46675">
        <w:t xml:space="preserve">miles of pipeline connecting various producing oil fields </w:t>
      </w:r>
      <w:r w:rsidR="001E42A7">
        <w:t xml:space="preserve">to refineries </w:t>
      </w:r>
      <w:r w:rsidRPr="00C46675">
        <w:t xml:space="preserve">in the Los Angeles Basin. </w:t>
      </w:r>
      <w:r w:rsidR="00E122BA">
        <w:t xml:space="preserve"> </w:t>
      </w:r>
      <w:r w:rsidRPr="00C46675">
        <w:t xml:space="preserve">Its systems include crude oil pipelines and related infrastructure.  </w:t>
      </w:r>
    </w:p>
    <w:p w:rsidR="0063491C" w:rsidP="00E45934" w:rsidRDefault="00C46675" w14:paraId="1ED6B9D8" w14:textId="66374F74">
      <w:pPr>
        <w:pStyle w:val="Heading2"/>
      </w:pPr>
      <w:r>
        <w:t>Application</w:t>
      </w:r>
    </w:p>
    <w:p w:rsidR="0063491C" w:rsidP="00DE5763" w:rsidRDefault="008C30FC" w14:paraId="2EA455DB" w14:textId="0C25F742">
      <w:pPr>
        <w:pStyle w:val="Standard"/>
      </w:pPr>
      <w:r>
        <w:t>Section </w:t>
      </w:r>
      <w:r w:rsidR="00266BFB">
        <w:t xml:space="preserve">455.3(b)(5) of the </w:t>
      </w:r>
      <w:r w:rsidR="00AF61FA">
        <w:t xml:space="preserve">Pub. Util. Code </w:t>
      </w:r>
      <w:r w:rsidR="00266BFB">
        <w:t xml:space="preserve">authorizes California oil pipeline companies to increase rates, without seeking prior Commission approval, by not more than </w:t>
      </w:r>
      <w:r w:rsidR="00390249">
        <w:t xml:space="preserve">10 percent (%) </w:t>
      </w:r>
      <w:r w:rsidR="00266BFB">
        <w:t xml:space="preserve">within a 12-month period, upon 30 days’ notice to the Commission and all shippers. </w:t>
      </w:r>
      <w:r w:rsidR="006368D9">
        <w:t xml:space="preserve"> </w:t>
      </w:r>
      <w:r w:rsidR="00266BFB">
        <w:t>Such an increase remains subject to retroactive Commission adjustment and refund with interest, as appropriate.</w:t>
      </w:r>
    </w:p>
    <w:p w:rsidR="00320B6E" w:rsidP="00555E10" w:rsidRDefault="00716786" w14:paraId="5DA83FF6" w14:textId="708B2D93">
      <w:pPr>
        <w:pStyle w:val="Standard"/>
      </w:pPr>
      <w:r w:rsidRPr="00716786">
        <w:t xml:space="preserve">On June 28, 2024, Crimson filed </w:t>
      </w:r>
      <w:r w:rsidR="0070567E">
        <w:t>A</w:t>
      </w:r>
      <w:r w:rsidRPr="00716786">
        <w:t>pplication (A.)</w:t>
      </w:r>
      <w:r w:rsidR="0070567E">
        <w:t> </w:t>
      </w:r>
      <w:r w:rsidRPr="00716786">
        <w:t xml:space="preserve">24-06-019 requesting authority to increase the rates that it charges for transportation of crude oil on its Southern California pipeline system by 1) 10% effective August 1, 2024 </w:t>
      </w:r>
      <w:r w:rsidR="00484FA1">
        <w:t>and</w:t>
      </w:r>
      <w:r w:rsidRPr="00716786">
        <w:t xml:space="preserve"> 2) </w:t>
      </w:r>
      <w:r w:rsidR="0017536F">
        <w:t xml:space="preserve">an aggregate </w:t>
      </w:r>
      <w:r w:rsidRPr="00716786">
        <w:t>36.92% effective the first day of the month following the Commission’s issuance of a decision</w:t>
      </w:r>
      <w:r w:rsidR="00BE0A61">
        <w:t xml:space="preserve"> (Application)</w:t>
      </w:r>
      <w:r w:rsidRPr="00716786">
        <w:t xml:space="preserve">. </w:t>
      </w:r>
      <w:r w:rsidR="00BE0A61">
        <w:t xml:space="preserve"> </w:t>
      </w:r>
      <w:r w:rsidR="007211BC">
        <w:t>Crimson did not file an</w:t>
      </w:r>
      <w:r w:rsidR="00565C5B">
        <w:t>y</w:t>
      </w:r>
      <w:r w:rsidR="007211BC">
        <w:t xml:space="preserve"> adv</w:t>
      </w:r>
      <w:r w:rsidR="00777CA7">
        <w:t>ice letter</w:t>
      </w:r>
      <w:r w:rsidR="00565C5B">
        <w:t>s</w:t>
      </w:r>
      <w:r w:rsidR="00777CA7">
        <w:t xml:space="preserve"> seeking the 10% approval</w:t>
      </w:r>
      <w:r w:rsidR="00F50B0B">
        <w:t xml:space="preserve"> pursuant to Pub. Util. Code </w:t>
      </w:r>
      <w:r w:rsidR="008C30FC">
        <w:t>Section </w:t>
      </w:r>
      <w:r w:rsidR="00F50B0B">
        <w:t>455.3(b)(5).</w:t>
      </w:r>
    </w:p>
    <w:p w:rsidR="00101CB3" w:rsidP="00E45934" w:rsidRDefault="00484FA1" w14:paraId="0F52FB12" w14:textId="061E921C">
      <w:pPr>
        <w:pStyle w:val="Heading2"/>
      </w:pPr>
      <w:r>
        <w:t>Procedural Background</w:t>
      </w:r>
    </w:p>
    <w:p w:rsidR="00AA7799" w:rsidP="00555E10" w:rsidRDefault="00484FA1" w14:paraId="7FDF40E1" w14:textId="1052DD09">
      <w:pPr>
        <w:pStyle w:val="Standard"/>
      </w:pPr>
      <w:r>
        <w:t>Crimson’s</w:t>
      </w:r>
      <w:r w:rsidR="00D163C0">
        <w:t xml:space="preserve"> </w:t>
      </w:r>
      <w:r>
        <w:t>A</w:t>
      </w:r>
      <w:r w:rsidR="00D163C0">
        <w:t xml:space="preserve">pplication appeared on the Commission’s Public Calendar on </w:t>
      </w:r>
      <w:r w:rsidR="008C2E75">
        <w:t>July 3, 2024</w:t>
      </w:r>
      <w:r w:rsidR="00196902">
        <w:t>.  No protests to the Application were received.</w:t>
      </w:r>
    </w:p>
    <w:p w:rsidR="00683B2C" w:rsidP="00555E10" w:rsidRDefault="00196902" w14:paraId="21855D94" w14:textId="3C2A5BCA">
      <w:pPr>
        <w:pStyle w:val="Standard"/>
      </w:pPr>
      <w:r>
        <w:t xml:space="preserve">A prehearing conference was held on </w:t>
      </w:r>
      <w:r w:rsidR="00BE0A61">
        <w:t>October 28, 2024</w:t>
      </w:r>
      <w:r w:rsidR="00920730">
        <w:t xml:space="preserve">.  A Scoping Memo and Ruling </w:t>
      </w:r>
      <w:r w:rsidR="00653827">
        <w:t xml:space="preserve">(Scoping Memo) </w:t>
      </w:r>
      <w:r w:rsidR="00920730">
        <w:t xml:space="preserve">was issued on </w:t>
      </w:r>
      <w:r w:rsidR="00E1530A">
        <w:t xml:space="preserve">December 11, 2024, categorizing the </w:t>
      </w:r>
      <w:r w:rsidR="00E1530A">
        <w:lastRenderedPageBreak/>
        <w:t>proceeding as ratesetting and determining that evidentiary hearings were not necessary</w:t>
      </w:r>
      <w:r w:rsidR="00431753">
        <w:t>.</w:t>
      </w:r>
    </w:p>
    <w:p w:rsidR="008A7BD3" w:rsidP="008A7BD3" w:rsidRDefault="008A7BD3" w14:paraId="6D1807E4" w14:textId="44BF156D">
      <w:pPr>
        <w:pStyle w:val="Standard"/>
      </w:pPr>
      <w:r>
        <w:t>On April 21, 2025, the Administrative Law Judge (ALJ) issued a ruling requiring Crimson  to remove CorEnergy’s finances (including debt</w:t>
      </w:r>
      <w:r w:rsidR="00484FA1">
        <w:t xml:space="preserve"> and</w:t>
      </w:r>
      <w:r>
        <w:t xml:space="preserve"> reorganization costs) from Crimson’s </w:t>
      </w:r>
      <w:r w:rsidR="00744B62">
        <w:t>a</w:t>
      </w:r>
      <w:r>
        <w:t>pplication and submit recalculated achieved returns</w:t>
      </w:r>
      <w:r w:rsidR="00BF01A4">
        <w:t xml:space="preserve"> (April 21, 2025 Ruling)</w:t>
      </w:r>
      <w:r>
        <w:t>.</w:t>
      </w:r>
      <w:r>
        <w:rPr>
          <w:rStyle w:val="FootnoteReference"/>
        </w:rPr>
        <w:footnoteReference w:id="2"/>
      </w:r>
    </w:p>
    <w:p w:rsidR="008A7BD3" w:rsidP="00555E10" w:rsidRDefault="008A7BD3" w14:paraId="47CF0C4F" w14:textId="05B2C5CF">
      <w:pPr>
        <w:pStyle w:val="Standard"/>
      </w:pPr>
      <w:r>
        <w:t xml:space="preserve">On May 15, 2025, Crimson responded to the April 21, 2025 </w:t>
      </w:r>
      <w:r w:rsidR="00BF01A4">
        <w:t>R</w:t>
      </w:r>
      <w:r>
        <w:t xml:space="preserve">uling by filing additional testimony from </w:t>
      </w:r>
      <w:r w:rsidR="005D5FC8">
        <w:t>Dr. </w:t>
      </w:r>
      <w:r>
        <w:t>Michael J. Webb (</w:t>
      </w:r>
      <w:r w:rsidR="00C93E1F">
        <w:t>Response</w:t>
      </w:r>
      <w:r w:rsidR="001A20C2">
        <w:t xml:space="preserve"> No. 1</w:t>
      </w:r>
      <w:r>
        <w:t xml:space="preserve">).  </w:t>
      </w:r>
    </w:p>
    <w:p w:rsidR="00013575" w:rsidP="00555E10" w:rsidRDefault="00013575" w14:paraId="66EDA2BB" w14:textId="1693C1A4">
      <w:pPr>
        <w:pStyle w:val="Standard"/>
      </w:pPr>
      <w:r>
        <w:t>On September 2, 2025,</w:t>
      </w:r>
      <w:r w:rsidR="00A83D07">
        <w:t xml:space="preserve"> the ALJ</w:t>
      </w:r>
      <w:r>
        <w:t xml:space="preserve"> </w:t>
      </w:r>
      <w:r w:rsidR="00DE1603">
        <w:t>issued a ruling requiring Crimson to file additional information</w:t>
      </w:r>
      <w:r w:rsidR="005A1C39">
        <w:t xml:space="preserve"> and provide comments</w:t>
      </w:r>
      <w:r w:rsidR="00BF01A4">
        <w:t xml:space="preserve"> (September 2, 2025 Ruling)</w:t>
      </w:r>
      <w:r w:rsidR="005A1C39">
        <w:t>.</w:t>
      </w:r>
      <w:r w:rsidR="00303E8C">
        <w:rPr>
          <w:rStyle w:val="FootnoteReference"/>
        </w:rPr>
        <w:footnoteReference w:id="3"/>
      </w:r>
    </w:p>
    <w:p w:rsidR="005A1C39" w:rsidP="00555E10" w:rsidRDefault="005A1C39" w14:paraId="67BD9A52" w14:textId="365B4914">
      <w:pPr>
        <w:pStyle w:val="Standard"/>
      </w:pPr>
      <w:r>
        <w:t xml:space="preserve">On September 12, 2025, </w:t>
      </w:r>
      <w:r w:rsidR="001A20C2">
        <w:t xml:space="preserve">Crimson responded to the September 2, 2025 </w:t>
      </w:r>
      <w:r w:rsidR="00BF01A4">
        <w:t>R</w:t>
      </w:r>
      <w:r w:rsidR="001A20C2">
        <w:t>uling by filing a response (Response No. 2).</w:t>
      </w:r>
    </w:p>
    <w:p w:rsidR="00484FA1" w:rsidP="00484FA1" w:rsidRDefault="00484FA1" w14:paraId="1289DAC0" w14:textId="1D7FD331">
      <w:pPr>
        <w:pStyle w:val="Heading2"/>
      </w:pPr>
      <w:r>
        <w:t>Submission Date</w:t>
      </w:r>
    </w:p>
    <w:p w:rsidR="00484FA1" w:rsidP="00555E10" w:rsidRDefault="00484FA1" w14:paraId="188C02E5" w14:textId="6769E617">
      <w:pPr>
        <w:pStyle w:val="Standard"/>
      </w:pPr>
      <w:r>
        <w:t xml:space="preserve">This proceeding was submitted on </w:t>
      </w:r>
      <w:r w:rsidR="002538D5">
        <w:t>October 23</w:t>
      </w:r>
      <w:r>
        <w:t>, 2025 by</w:t>
      </w:r>
      <w:r w:rsidR="002538D5">
        <w:t xml:space="preserve"> the assigned Administrative Law Judge’s </w:t>
      </w:r>
      <w:r w:rsidR="00F46527">
        <w:t>Ruling Receiving Evidence Into The Evidentiary Record.</w:t>
      </w:r>
    </w:p>
    <w:p w:rsidR="002C032D" w:rsidP="00E45934" w:rsidRDefault="002C032D" w14:paraId="1FD1ABA6" w14:textId="1C6041A0">
      <w:pPr>
        <w:pStyle w:val="Heading2"/>
      </w:pPr>
      <w:r>
        <w:t>Evidentiary Record</w:t>
      </w:r>
    </w:p>
    <w:p w:rsidRPr="002C032D" w:rsidR="002C032D" w:rsidP="00555E10" w:rsidRDefault="002C032D" w14:paraId="1025CA86" w14:textId="689FC7D7">
      <w:pPr>
        <w:pStyle w:val="Standard"/>
      </w:pPr>
      <w:r>
        <w:t xml:space="preserve">The evidentiary record in this proceeding consists of Crimson’s </w:t>
      </w:r>
      <w:r w:rsidR="002C7392">
        <w:t xml:space="preserve">Application including Exhibit A Certification Status, Exhibit B Financial statements, Exhibit C Current and Proposed Rates, and Exhibit D Declaration of </w:t>
      </w:r>
      <w:r w:rsidR="002C7392">
        <w:lastRenderedPageBreak/>
        <w:t xml:space="preserve">Michael J. Webb; </w:t>
      </w:r>
      <w:r>
        <w:t>Response No. 1 to the April 21, 2025 Ruling</w:t>
      </w:r>
      <w:r w:rsidR="002C7392">
        <w:t xml:space="preserve">; </w:t>
      </w:r>
      <w:r>
        <w:t xml:space="preserve">and Response No. 2 to the September 2, 2025 Ruling. </w:t>
      </w:r>
    </w:p>
    <w:p w:rsidR="00293530" w:rsidP="00E45934" w:rsidRDefault="00293530" w14:paraId="0BEABC6F" w14:textId="5A9DAA25">
      <w:pPr>
        <w:pStyle w:val="Heading1"/>
      </w:pPr>
      <w:r>
        <w:t>Standard of Review</w:t>
      </w:r>
    </w:p>
    <w:p w:rsidRPr="00293530" w:rsidR="00293530" w:rsidP="00555E10" w:rsidRDefault="005F36FC" w14:paraId="42031BBF" w14:textId="21905DD1">
      <w:pPr>
        <w:pStyle w:val="Standard"/>
      </w:pPr>
      <w:r>
        <w:t>The</w:t>
      </w:r>
      <w:r w:rsidR="00502A51">
        <w:t xml:space="preserve"> applicant bears the burden of</w:t>
      </w:r>
      <w:r>
        <w:t xml:space="preserve"> </w:t>
      </w:r>
      <w:r w:rsidR="00502A51">
        <w:t>proof to demonstrate by a preponderance of the evidence that its rate increase</w:t>
      </w:r>
      <w:r>
        <w:t xml:space="preserve"> </w:t>
      </w:r>
      <w:r w:rsidR="00502A51">
        <w:t xml:space="preserve">request is just and reasonable and that the ratemaking mechanisms are fair.  </w:t>
      </w:r>
      <w:r w:rsidRPr="00EC23E8" w:rsidR="00EC23E8">
        <w:t>That burden is met when the weight of evidence in support of the application has more convincing force than the evidence to the contrary.</w:t>
      </w:r>
      <w:r w:rsidR="004D796C">
        <w:rPr>
          <w:rStyle w:val="FootnoteReference"/>
        </w:rPr>
        <w:footnoteReference w:id="4"/>
      </w:r>
      <w:r w:rsidRPr="00EC23E8" w:rsidR="00EC23E8">
        <w:t xml:space="preserve"> </w:t>
      </w:r>
      <w:r w:rsidR="00EC23E8">
        <w:t xml:space="preserve"> </w:t>
      </w:r>
    </w:p>
    <w:p w:rsidR="005A148C" w:rsidP="00E45934" w:rsidRDefault="00431753" w14:paraId="1463B46F" w14:textId="670F448D">
      <w:pPr>
        <w:pStyle w:val="Heading1"/>
      </w:pPr>
      <w:r>
        <w:t xml:space="preserve">Issues </w:t>
      </w:r>
      <w:r w:rsidR="00861BC0">
        <w:t>b</w:t>
      </w:r>
      <w:r>
        <w:t>efore the Commission</w:t>
      </w:r>
    </w:p>
    <w:p w:rsidR="0063491C" w:rsidP="006E6574" w:rsidRDefault="005939A5" w14:paraId="500DCC9B" w14:textId="14D96ACF">
      <w:pPr>
        <w:pStyle w:val="Standard"/>
      </w:pPr>
      <w:r>
        <w:t xml:space="preserve">The </w:t>
      </w:r>
      <w:r w:rsidR="00814B58">
        <w:t>Scoping Memo identified the following issues for consideration in this proceeding:</w:t>
      </w:r>
    </w:p>
    <w:p w:rsidR="009E44D0" w:rsidP="00555E10" w:rsidRDefault="00E838B4" w14:paraId="77E290BF" w14:textId="50158A9D">
      <w:pPr>
        <w:pStyle w:val="ListNum"/>
      </w:pPr>
      <w:bookmarkStart w:name="_Hlk188522247" w:id="5"/>
      <w:r>
        <w:t xml:space="preserve">Do the </w:t>
      </w:r>
      <w:r w:rsidRPr="00555E10">
        <w:t>proposed</w:t>
      </w:r>
      <w:r>
        <w:t xml:space="preserve"> rate increases comply with all applicable laws, regulations, general orders, and decisions of the Commission?</w:t>
      </w:r>
    </w:p>
    <w:bookmarkEnd w:id="5"/>
    <w:p w:rsidR="0044259F" w:rsidP="00555E10" w:rsidRDefault="0044259F" w14:paraId="73D1A60D" w14:textId="1CAE6329">
      <w:pPr>
        <w:pStyle w:val="ListNum"/>
      </w:pPr>
      <w:r>
        <w:t xml:space="preserve">Is Crimson’s proposal </w:t>
      </w:r>
      <w:r w:rsidR="00747360">
        <w:t>to increase rates by 10 percent effective August 1, 2024, reasonable and in the public interest?</w:t>
      </w:r>
    </w:p>
    <w:p w:rsidR="00747360" w:rsidP="00555E10" w:rsidRDefault="00747360" w14:paraId="5D68284C" w14:textId="4C9C261E">
      <w:pPr>
        <w:pStyle w:val="ListNum"/>
      </w:pPr>
      <w:r>
        <w:t>Is Crimson’s proposal to increase rates by 36.92 percent effective</w:t>
      </w:r>
      <w:r w:rsidR="007F161E">
        <w:t xml:space="preserve"> the first day of the month following the Commission’s issuance of a decision, reasonable and in the public interest?</w:t>
      </w:r>
    </w:p>
    <w:p w:rsidR="007F161E" w:rsidP="00555E10" w:rsidRDefault="007F161E" w14:paraId="4C591064" w14:textId="0187953D">
      <w:pPr>
        <w:pStyle w:val="ListNum"/>
      </w:pPr>
      <w:r>
        <w:t>Are there any safety considerations raised by Crimson’s application?</w:t>
      </w:r>
    </w:p>
    <w:p w:rsidR="005939A5" w:rsidP="00555E10" w:rsidRDefault="007F161E" w14:paraId="12C49A64" w14:textId="25083216">
      <w:pPr>
        <w:pStyle w:val="ListNum"/>
      </w:pPr>
      <w:r>
        <w:t xml:space="preserve">Whether Crimson’s application impacts the achievement of any goals of the Commission’s Environmental and Social Justice </w:t>
      </w:r>
      <w:r w:rsidR="005D5FC8">
        <w:t>(ESJ) A</w:t>
      </w:r>
      <w:r>
        <w:t>ction Plan.</w:t>
      </w:r>
    </w:p>
    <w:p w:rsidR="00EA36C6" w:rsidP="00E45934" w:rsidRDefault="005D5FC8" w14:paraId="611D1D4E" w14:textId="1C729E41">
      <w:pPr>
        <w:pStyle w:val="Heading1"/>
      </w:pPr>
      <w:r>
        <w:lastRenderedPageBreak/>
        <w:t xml:space="preserve">Do </w:t>
      </w:r>
      <w:r w:rsidR="00861BC0">
        <w:t>t</w:t>
      </w:r>
      <w:r>
        <w:t xml:space="preserve">he Proposed Rate Increases Comply </w:t>
      </w:r>
      <w:r w:rsidR="00861BC0">
        <w:t>w</w:t>
      </w:r>
      <w:r>
        <w:t xml:space="preserve">ith </w:t>
      </w:r>
      <w:r w:rsidR="00861BC0">
        <w:t>a</w:t>
      </w:r>
      <w:r>
        <w:t>ll Applicable Laws, Regulations, General Orders</w:t>
      </w:r>
      <w:r w:rsidR="002D2E51">
        <w:t xml:space="preserve"> (GOs)</w:t>
      </w:r>
      <w:r>
        <w:t xml:space="preserve">, </w:t>
      </w:r>
      <w:r w:rsidR="00861BC0">
        <w:t>a</w:t>
      </w:r>
      <w:r>
        <w:t xml:space="preserve">nd Decisions </w:t>
      </w:r>
      <w:r w:rsidR="00861BC0">
        <w:t>o</w:t>
      </w:r>
      <w:r>
        <w:t xml:space="preserve">f </w:t>
      </w:r>
      <w:r w:rsidR="00861BC0">
        <w:t>t</w:t>
      </w:r>
      <w:r>
        <w:t>he Commission</w:t>
      </w:r>
    </w:p>
    <w:p w:rsidR="00F9036F" w:rsidP="00555E10" w:rsidRDefault="00F9036F" w14:paraId="06F63CB9" w14:textId="762CE510">
      <w:pPr>
        <w:pStyle w:val="Standard"/>
      </w:pPr>
      <w:r>
        <w:t xml:space="preserve">The first issue is whether the rate increase </w:t>
      </w:r>
      <w:r w:rsidR="002104DE">
        <w:t xml:space="preserve">request </w:t>
      </w:r>
      <w:r>
        <w:t>complies with all</w:t>
      </w:r>
    </w:p>
    <w:p w:rsidR="00F9036F" w:rsidP="00F9036F" w:rsidRDefault="00F9036F" w14:paraId="16176F27" w14:textId="6B5CDC6D">
      <w:pPr>
        <w:ind w:firstLine="0"/>
      </w:pPr>
      <w:r>
        <w:t xml:space="preserve">applicable law, </w:t>
      </w:r>
      <w:r w:rsidR="0059679F">
        <w:t>GO</w:t>
      </w:r>
      <w:r w:rsidR="00E62CED">
        <w:t>s</w:t>
      </w:r>
      <w:r w:rsidR="004F6B47">
        <w:t xml:space="preserve">, </w:t>
      </w:r>
      <w:r>
        <w:t xml:space="preserve">rules, and </w:t>
      </w:r>
      <w:r w:rsidR="004F6B47">
        <w:t xml:space="preserve">Commission </w:t>
      </w:r>
      <w:r>
        <w:t xml:space="preserve">decisions such that it </w:t>
      </w:r>
      <w:r w:rsidR="004F6B47">
        <w:t>warrants approval</w:t>
      </w:r>
      <w:r>
        <w:t>.  We find that it does.</w:t>
      </w:r>
    </w:p>
    <w:p w:rsidR="00EA36C6" w:rsidP="00555E10" w:rsidRDefault="00102171" w14:paraId="34FA2409" w14:textId="3E5FF5C7">
      <w:pPr>
        <w:pStyle w:val="Standard"/>
      </w:pPr>
      <w:r>
        <w:t xml:space="preserve">The </w:t>
      </w:r>
      <w:r w:rsidR="00B121E3">
        <w:t>A</w:t>
      </w:r>
      <w:r>
        <w:t xml:space="preserve">pplication was filed pursuant to requirements of Pub. Util. Code Sections 454 and 455.3, and all relevant </w:t>
      </w:r>
      <w:r w:rsidR="004D796C">
        <w:t>GO</w:t>
      </w:r>
      <w:r w:rsidR="00E62CED">
        <w:t>s</w:t>
      </w:r>
      <w:r>
        <w:t xml:space="preserve">, </w:t>
      </w:r>
      <w:r w:rsidR="00861BC0">
        <w:t>r</w:t>
      </w:r>
      <w:r>
        <w:t>ules, and Commission decisions.</w:t>
      </w:r>
      <w:r w:rsidR="001D207C">
        <w:t xml:space="preserve">  </w:t>
      </w:r>
      <w:r w:rsidR="00C42E8C">
        <w:t xml:space="preserve">Consistent with </w:t>
      </w:r>
      <w:r w:rsidR="008C30FC">
        <w:t>Section </w:t>
      </w:r>
      <w:r w:rsidR="00C42E8C">
        <w:t xml:space="preserve">455.3, the </w:t>
      </w:r>
      <w:r w:rsidR="00B121E3">
        <w:t>A</w:t>
      </w:r>
      <w:r w:rsidR="00C42E8C">
        <w:t>pplication seeks Commission review and approval of th</w:t>
      </w:r>
      <w:r w:rsidR="009F36B8">
        <w:t xml:space="preserve">e </w:t>
      </w:r>
      <w:r w:rsidR="00811936">
        <w:t xml:space="preserve">rate </w:t>
      </w:r>
      <w:r w:rsidR="009F36B8">
        <w:t>increase</w:t>
      </w:r>
      <w:r w:rsidR="002104DE">
        <w:t xml:space="preserve"> request</w:t>
      </w:r>
      <w:r w:rsidR="00C42E8C">
        <w:t xml:space="preserve">.  </w:t>
      </w:r>
      <w:r w:rsidR="009F36B8">
        <w:t xml:space="preserve">For the reasons discussed </w:t>
      </w:r>
      <w:r w:rsidR="00C42E8C">
        <w:t xml:space="preserve">below on the reasonableness of the </w:t>
      </w:r>
      <w:r w:rsidR="002104DE">
        <w:t xml:space="preserve">rate increase </w:t>
      </w:r>
      <w:r w:rsidR="00C42E8C">
        <w:t xml:space="preserve">request, we determine that the rate increase request complies with all applicable law.  </w:t>
      </w:r>
      <w:r>
        <w:t xml:space="preserve">The </w:t>
      </w:r>
      <w:r w:rsidR="00B121E3">
        <w:t>A</w:t>
      </w:r>
      <w:r>
        <w:t>pplication presents Crimson’s e</w:t>
      </w:r>
      <w:r w:rsidR="00150F2B">
        <w:t>videntiary support and justification for the</w:t>
      </w:r>
      <w:r w:rsidR="002104DE">
        <w:t xml:space="preserve"> </w:t>
      </w:r>
      <w:r w:rsidR="00150F2B">
        <w:t>rate increase</w:t>
      </w:r>
      <w:r w:rsidR="002104DE">
        <w:t xml:space="preserve"> request</w:t>
      </w:r>
      <w:r>
        <w:t xml:space="preserve">. </w:t>
      </w:r>
      <w:r w:rsidR="00D8346B">
        <w:t xml:space="preserve"> </w:t>
      </w:r>
      <w:r w:rsidR="00135306">
        <w:t xml:space="preserve">As such, </w:t>
      </w:r>
      <w:r>
        <w:t xml:space="preserve">we </w:t>
      </w:r>
      <w:r w:rsidR="00135306">
        <w:t>find</w:t>
      </w:r>
      <w:r>
        <w:t xml:space="preserve"> that the </w:t>
      </w:r>
      <w:r w:rsidR="00B121E3">
        <w:t>A</w:t>
      </w:r>
      <w:r w:rsidR="00BA70A2">
        <w:t>pplication</w:t>
      </w:r>
      <w:r>
        <w:t xml:space="preserve"> </w:t>
      </w:r>
      <w:r w:rsidRPr="00E44FD1" w:rsidR="00E44FD1">
        <w:t>complies with all applicable law, rules, and decisions</w:t>
      </w:r>
      <w:r w:rsidR="00E44FD1">
        <w:t>.</w:t>
      </w:r>
    </w:p>
    <w:p w:rsidRPr="0038398E" w:rsidR="0038398E" w:rsidP="00E45934" w:rsidRDefault="00EB3CAE" w14:paraId="3DF9CFF4" w14:textId="2E751E86">
      <w:pPr>
        <w:pStyle w:val="Heading1"/>
      </w:pPr>
      <w:r>
        <w:t xml:space="preserve">Is Crimson’s </w:t>
      </w:r>
      <w:r w:rsidR="00C14E06">
        <w:t xml:space="preserve">Proposal </w:t>
      </w:r>
      <w:r w:rsidR="00861BC0">
        <w:t>t</w:t>
      </w:r>
      <w:r w:rsidR="00C14E06">
        <w:t xml:space="preserve">o Increase Rates </w:t>
      </w:r>
      <w:r w:rsidR="00861BC0">
        <w:t>b</w:t>
      </w:r>
      <w:r w:rsidR="00C14E06">
        <w:t>y 10 </w:t>
      </w:r>
      <w:r w:rsidR="00861BC0">
        <w:t xml:space="preserve">Percent </w:t>
      </w:r>
      <w:r w:rsidR="00C14E06">
        <w:t xml:space="preserve">Reasonable </w:t>
      </w:r>
      <w:r w:rsidR="00861BC0">
        <w:t>a</w:t>
      </w:r>
      <w:r w:rsidR="00C14E06">
        <w:t xml:space="preserve">nd </w:t>
      </w:r>
      <w:r w:rsidR="00861BC0">
        <w:t>i</w:t>
      </w:r>
      <w:r w:rsidR="00C14E06">
        <w:t xml:space="preserve">n </w:t>
      </w:r>
      <w:r w:rsidR="00861BC0">
        <w:t>t</w:t>
      </w:r>
      <w:r w:rsidR="00C14E06">
        <w:t xml:space="preserve">he Public Interest </w:t>
      </w:r>
    </w:p>
    <w:p w:rsidR="00236B94" w:rsidP="00FC639A" w:rsidRDefault="00236B94" w14:paraId="1CF997F5" w14:textId="7316FD35">
      <w:pPr>
        <w:pStyle w:val="Standard"/>
      </w:pPr>
      <w:bookmarkStart w:name="_Hlk209167151" w:id="6"/>
      <w:r w:rsidRPr="00236B94">
        <w:t xml:space="preserve">The second issue is whether Crimson’s proposal to increase rates by </w:t>
      </w:r>
      <w:r w:rsidR="00861BC0">
        <w:t>10</w:t>
      </w:r>
      <w:r w:rsidRPr="00236B94">
        <w:t xml:space="preserve"> percent is just and reasonable. </w:t>
      </w:r>
      <w:r w:rsidR="001E620C">
        <w:t xml:space="preserve"> </w:t>
      </w:r>
      <w:r w:rsidR="008E1479">
        <w:t xml:space="preserve">Under Pub. Util. Code Section 451, </w:t>
      </w:r>
      <w:r w:rsidR="00E06F62">
        <w:t>all charges demanded or received by a public utility for any service rendered shall be “just and reasonable.”</w:t>
      </w:r>
      <w:r w:rsidR="001E620C">
        <w:t xml:space="preserve"> </w:t>
      </w:r>
      <w:r w:rsidR="00E06F62">
        <w:t xml:space="preserve"> Under Pub. Util. Code Section 454(a), a public utility shall not change any rate except upon a showing that the new rate is “justified.”</w:t>
      </w:r>
      <w:r w:rsidR="001E620C">
        <w:t xml:space="preserve"> </w:t>
      </w:r>
      <w:r w:rsidR="00E06F62">
        <w:t xml:space="preserve"> </w:t>
      </w:r>
      <w:r w:rsidRPr="00236B94">
        <w:t xml:space="preserve">Under </w:t>
      </w:r>
      <w:r w:rsidR="008C30FC">
        <w:t>Section </w:t>
      </w:r>
      <w:r w:rsidRPr="00236B94">
        <w:t xml:space="preserve">455.3, Crimson may implement a </w:t>
      </w:r>
      <w:r w:rsidR="00861BC0">
        <w:t>10</w:t>
      </w:r>
      <w:r w:rsidRPr="00236B94">
        <w:t xml:space="preserve"> percent increase after providing proper notice to its shippers, subject to subsequent Commission review and approval by Advice Letter. </w:t>
      </w:r>
      <w:r w:rsidR="00FB2CDE">
        <w:t xml:space="preserve"> </w:t>
      </w:r>
      <w:r w:rsidRPr="00236B94">
        <w:t xml:space="preserve">Crimson did not submit an Advice Letter to the Commission and instead sought the </w:t>
      </w:r>
      <w:r w:rsidR="00861BC0">
        <w:t>10</w:t>
      </w:r>
      <w:r w:rsidR="00E62CED">
        <w:t> </w:t>
      </w:r>
      <w:r w:rsidRPr="00236B94">
        <w:t>percent increase in th</w:t>
      </w:r>
      <w:r w:rsidR="00B121E3">
        <w:t>e</w:t>
      </w:r>
      <w:r w:rsidRPr="00236B94">
        <w:t xml:space="preserve"> </w:t>
      </w:r>
      <w:r w:rsidR="00861BC0">
        <w:t>A</w:t>
      </w:r>
      <w:r w:rsidRPr="00236B94">
        <w:t>pplication.</w:t>
      </w:r>
    </w:p>
    <w:p w:rsidR="00FC639A" w:rsidP="00E62CED" w:rsidRDefault="00A54EA3" w14:paraId="52E0F4B7" w14:textId="688CD899">
      <w:pPr>
        <w:pStyle w:val="Standard"/>
        <w:spacing w:after="120"/>
      </w:pPr>
      <w:r w:rsidRPr="00A54EA3">
        <w:lastRenderedPageBreak/>
        <w:t xml:space="preserve">In support of the Application, </w:t>
      </w:r>
      <w:r w:rsidR="005D5FC8">
        <w:t>Dr. </w:t>
      </w:r>
      <w:r w:rsidRPr="00A54EA3">
        <w:t xml:space="preserve">Webb evaluated Crimson’s financial condition under three scenarios: no rate increase, a </w:t>
      </w:r>
      <w:r w:rsidR="00B121E3">
        <w:t>10</w:t>
      </w:r>
      <w:r w:rsidRPr="00A54EA3">
        <w:t xml:space="preserve"> percent increase, and a 36.92 percent increase. </w:t>
      </w:r>
      <w:r w:rsidR="0092770F">
        <w:t xml:space="preserve"> </w:t>
      </w:r>
      <w:r w:rsidR="005D5FC8">
        <w:t>Dr. </w:t>
      </w:r>
      <w:r w:rsidRPr="00A54EA3">
        <w:t>Webb’s testimony is summarized below</w:t>
      </w:r>
      <w:r w:rsidR="00DE20E4">
        <w:t>.</w:t>
      </w:r>
      <w:r w:rsidR="00F46527">
        <w:rPr>
          <w:rStyle w:val="FootnoteReference"/>
        </w:rPr>
        <w:footnoteReference w:id="5"/>
      </w:r>
    </w:p>
    <w:tbl>
      <w:tblPr>
        <w:tblStyle w:val="TableGrid"/>
        <w:tblW w:w="0" w:type="auto"/>
        <w:tblCellMar>
          <w:top w:w="58" w:type="dxa"/>
          <w:bottom w:w="58" w:type="dxa"/>
        </w:tblCellMar>
        <w:tblLook w:val="04A0" w:firstRow="1" w:lastRow="0" w:firstColumn="1" w:lastColumn="0" w:noHBand="0" w:noVBand="1"/>
      </w:tblPr>
      <w:tblGrid>
        <w:gridCol w:w="2245"/>
        <w:gridCol w:w="2340"/>
        <w:gridCol w:w="2427"/>
        <w:gridCol w:w="2338"/>
      </w:tblGrid>
      <w:tr w:rsidR="006973CA" w:rsidTr="00E62CED" w14:paraId="20A7F0AA" w14:textId="77777777">
        <w:trPr>
          <w:tblHeader/>
        </w:trPr>
        <w:tc>
          <w:tcPr>
            <w:tcW w:w="2245" w:type="dxa"/>
            <w:vAlign w:val="center"/>
          </w:tcPr>
          <w:p w:rsidRPr="00E62CED" w:rsidR="006973CA" w:rsidP="00E62CED" w:rsidRDefault="006973CA" w14:paraId="31BEB14F" w14:textId="77777777">
            <w:pPr>
              <w:pStyle w:val="Standard"/>
              <w:keepNext/>
              <w:spacing w:line="240" w:lineRule="auto"/>
              <w:ind w:firstLine="0"/>
              <w:jc w:val="center"/>
              <w:rPr>
                <w:b/>
                <w:bCs/>
              </w:rPr>
            </w:pPr>
          </w:p>
        </w:tc>
        <w:tc>
          <w:tcPr>
            <w:tcW w:w="2340" w:type="dxa"/>
            <w:vAlign w:val="center"/>
          </w:tcPr>
          <w:p w:rsidRPr="00E62CED" w:rsidR="006973CA" w:rsidP="00E62CED" w:rsidRDefault="006973CA" w14:paraId="7BA4EC4D" w14:textId="793F9FDE">
            <w:pPr>
              <w:pStyle w:val="Standard"/>
              <w:spacing w:line="240" w:lineRule="auto"/>
              <w:ind w:firstLine="0"/>
              <w:jc w:val="center"/>
              <w:rPr>
                <w:b/>
                <w:bCs/>
              </w:rPr>
            </w:pPr>
            <w:r w:rsidRPr="00E62CED">
              <w:rPr>
                <w:b/>
                <w:bCs/>
              </w:rPr>
              <w:t>No Rate Increase</w:t>
            </w:r>
          </w:p>
        </w:tc>
        <w:tc>
          <w:tcPr>
            <w:tcW w:w="2427" w:type="dxa"/>
            <w:vAlign w:val="center"/>
          </w:tcPr>
          <w:p w:rsidRPr="00E62CED" w:rsidR="006973CA" w:rsidP="00E62CED" w:rsidRDefault="006973CA" w14:paraId="010A468E" w14:textId="65278050">
            <w:pPr>
              <w:pStyle w:val="Standard"/>
              <w:spacing w:line="240" w:lineRule="auto"/>
              <w:ind w:firstLine="0"/>
              <w:jc w:val="center"/>
              <w:rPr>
                <w:b/>
                <w:bCs/>
              </w:rPr>
            </w:pPr>
            <w:r w:rsidRPr="00E62CED">
              <w:rPr>
                <w:b/>
                <w:bCs/>
              </w:rPr>
              <w:t xml:space="preserve">10% Rate </w:t>
            </w:r>
            <w:r w:rsidR="00E62CED">
              <w:rPr>
                <w:b/>
                <w:bCs/>
              </w:rPr>
              <w:br/>
            </w:r>
            <w:r w:rsidRPr="00E62CED">
              <w:rPr>
                <w:b/>
                <w:bCs/>
              </w:rPr>
              <w:t>Increase</w:t>
            </w:r>
          </w:p>
        </w:tc>
        <w:tc>
          <w:tcPr>
            <w:tcW w:w="2338" w:type="dxa"/>
            <w:vAlign w:val="center"/>
          </w:tcPr>
          <w:p w:rsidRPr="00E62CED" w:rsidR="006973CA" w:rsidP="00E62CED" w:rsidRDefault="006F1BF1" w14:paraId="02415D61" w14:textId="5C3D02C5">
            <w:pPr>
              <w:pStyle w:val="Standard"/>
              <w:spacing w:line="240" w:lineRule="auto"/>
              <w:ind w:firstLine="0"/>
              <w:jc w:val="center"/>
              <w:rPr>
                <w:b/>
                <w:bCs/>
              </w:rPr>
            </w:pPr>
            <w:r w:rsidRPr="00E62CED">
              <w:rPr>
                <w:b/>
                <w:bCs/>
              </w:rPr>
              <w:t>36.92</w:t>
            </w:r>
            <w:r w:rsidRPr="00E62CED" w:rsidR="006973CA">
              <w:rPr>
                <w:b/>
                <w:bCs/>
              </w:rPr>
              <w:t>% Rate Increase</w:t>
            </w:r>
          </w:p>
        </w:tc>
      </w:tr>
      <w:tr w:rsidR="006973CA" w:rsidTr="00E62CED" w14:paraId="1A4E5C8D" w14:textId="77777777">
        <w:tc>
          <w:tcPr>
            <w:tcW w:w="2245" w:type="dxa"/>
          </w:tcPr>
          <w:p w:rsidR="006973CA" w:rsidP="00E62CED" w:rsidRDefault="006B502B" w14:paraId="65C85EFD" w14:textId="24EC5379">
            <w:pPr>
              <w:pStyle w:val="Standard"/>
              <w:spacing w:line="240" w:lineRule="auto"/>
              <w:ind w:firstLine="0"/>
            </w:pPr>
            <w:r>
              <w:t xml:space="preserve">Return on </w:t>
            </w:r>
            <w:r w:rsidR="006973CA">
              <w:t>Rate Base</w:t>
            </w:r>
          </w:p>
        </w:tc>
        <w:tc>
          <w:tcPr>
            <w:tcW w:w="2340" w:type="dxa"/>
          </w:tcPr>
          <w:p w:rsidR="006973CA" w:rsidP="00E62CED" w:rsidRDefault="00D2307D" w14:paraId="52F10E6D" w14:textId="424F701B">
            <w:pPr>
              <w:pStyle w:val="Standard"/>
              <w:spacing w:line="240" w:lineRule="auto"/>
              <w:ind w:firstLine="0"/>
              <w:jc w:val="center"/>
            </w:pPr>
            <w:r>
              <w:t>-</w:t>
            </w:r>
            <w:r w:rsidR="009D263B">
              <w:t>3.46%</w:t>
            </w:r>
          </w:p>
        </w:tc>
        <w:tc>
          <w:tcPr>
            <w:tcW w:w="2427" w:type="dxa"/>
          </w:tcPr>
          <w:p w:rsidR="006973CA" w:rsidP="00E62CED" w:rsidRDefault="009D263B" w14:paraId="04C34D29" w14:textId="41192BE1">
            <w:pPr>
              <w:pStyle w:val="Standard"/>
              <w:spacing w:line="240" w:lineRule="auto"/>
              <w:ind w:firstLine="0"/>
              <w:jc w:val="center"/>
            </w:pPr>
            <w:r>
              <w:t>1.21%</w:t>
            </w:r>
          </w:p>
        </w:tc>
        <w:tc>
          <w:tcPr>
            <w:tcW w:w="2338" w:type="dxa"/>
          </w:tcPr>
          <w:p w:rsidR="006973CA" w:rsidP="00E62CED" w:rsidRDefault="0009530D" w14:paraId="5373BE0A" w14:textId="6845A383">
            <w:pPr>
              <w:pStyle w:val="Standard"/>
              <w:spacing w:line="240" w:lineRule="auto"/>
              <w:ind w:firstLine="0"/>
              <w:jc w:val="center"/>
            </w:pPr>
            <w:r>
              <w:t>13.80%</w:t>
            </w:r>
          </w:p>
        </w:tc>
      </w:tr>
      <w:tr w:rsidR="006973CA" w:rsidTr="00E62CED" w14:paraId="5BB102AC" w14:textId="77777777">
        <w:tc>
          <w:tcPr>
            <w:tcW w:w="2245" w:type="dxa"/>
          </w:tcPr>
          <w:p w:rsidR="006973CA" w:rsidP="00E62CED" w:rsidRDefault="006973CA" w14:paraId="4B415BAC" w14:textId="798B90EA">
            <w:pPr>
              <w:pStyle w:val="Standard"/>
              <w:spacing w:line="240" w:lineRule="auto"/>
              <w:ind w:firstLine="0"/>
            </w:pPr>
            <w:r>
              <w:t>Return on Equity</w:t>
            </w:r>
          </w:p>
        </w:tc>
        <w:tc>
          <w:tcPr>
            <w:tcW w:w="2340" w:type="dxa"/>
          </w:tcPr>
          <w:p w:rsidR="006973CA" w:rsidP="00E62CED" w:rsidRDefault="0009530D" w14:paraId="2566B625" w14:textId="49E91BCD">
            <w:pPr>
              <w:pStyle w:val="Standard"/>
              <w:spacing w:line="240" w:lineRule="auto"/>
              <w:ind w:firstLine="0"/>
              <w:jc w:val="center"/>
            </w:pPr>
            <w:r>
              <w:t>-</w:t>
            </w:r>
            <w:r w:rsidR="00F234B7">
              <w:t>13.77%</w:t>
            </w:r>
          </w:p>
        </w:tc>
        <w:tc>
          <w:tcPr>
            <w:tcW w:w="2427" w:type="dxa"/>
          </w:tcPr>
          <w:p w:rsidR="006973CA" w:rsidP="00E62CED" w:rsidRDefault="00DF78D6" w14:paraId="7066690E" w14:textId="74317D4C">
            <w:pPr>
              <w:pStyle w:val="Standard"/>
              <w:spacing w:line="240" w:lineRule="auto"/>
              <w:ind w:firstLine="0"/>
              <w:jc w:val="center"/>
            </w:pPr>
            <w:r>
              <w:t>-5.99%</w:t>
            </w:r>
          </w:p>
        </w:tc>
        <w:tc>
          <w:tcPr>
            <w:tcW w:w="2338" w:type="dxa"/>
          </w:tcPr>
          <w:p w:rsidR="006973CA" w:rsidP="00E62CED" w:rsidRDefault="00580F58" w14:paraId="23D92018" w14:textId="09938158">
            <w:pPr>
              <w:pStyle w:val="Standard"/>
              <w:spacing w:line="240" w:lineRule="auto"/>
              <w:ind w:firstLine="0"/>
              <w:jc w:val="center"/>
            </w:pPr>
            <w:r>
              <w:t>15</w:t>
            </w:r>
            <w:r w:rsidR="006B7A04">
              <w:t>.00</w:t>
            </w:r>
            <w:r>
              <w:t>%</w:t>
            </w:r>
          </w:p>
        </w:tc>
      </w:tr>
      <w:bookmarkEnd w:id="6"/>
    </w:tbl>
    <w:p w:rsidR="00F655D3" w:rsidP="00E62CED" w:rsidRDefault="00F655D3" w14:paraId="7CBBC4F6" w14:textId="771B06EF">
      <w:pPr>
        <w:pStyle w:val="Standard"/>
        <w:spacing w:line="240" w:lineRule="auto"/>
        <w:ind w:firstLine="0"/>
      </w:pPr>
    </w:p>
    <w:p w:rsidR="0070764A" w:rsidP="0070764A" w:rsidRDefault="00BF191E" w14:paraId="49B5FFF4" w14:textId="6CCA88B5">
      <w:pPr>
        <w:pStyle w:val="Standard"/>
        <w:ind w:firstLine="0"/>
      </w:pPr>
      <w:r>
        <w:t xml:space="preserve">A review of </w:t>
      </w:r>
      <w:r w:rsidR="005D5FC8">
        <w:t>Dr. </w:t>
      </w:r>
      <w:r>
        <w:t xml:space="preserve">Webb’s testimony </w:t>
      </w:r>
      <w:r w:rsidR="00E72C11">
        <w:t xml:space="preserve">concludes that a 10% rate increase would result in a </w:t>
      </w:r>
      <w:r w:rsidR="006B502B">
        <w:t xml:space="preserve">return on </w:t>
      </w:r>
      <w:r w:rsidR="00E72C11">
        <w:t>rate base</w:t>
      </w:r>
      <w:r w:rsidR="00B121E3">
        <w:t xml:space="preserve"> </w:t>
      </w:r>
      <w:r w:rsidR="00E72C11">
        <w:t>of 1.21%</w:t>
      </w:r>
      <w:r w:rsidR="008B69F5">
        <w:t xml:space="preserve"> </w:t>
      </w:r>
      <w:r w:rsidR="00E72C11">
        <w:t xml:space="preserve">and a return on equity of </w:t>
      </w:r>
      <w:r w:rsidR="00660145">
        <w:t xml:space="preserve">-5.99%.  </w:t>
      </w:r>
    </w:p>
    <w:p w:rsidR="00B05D1E" w:rsidP="00E45934" w:rsidRDefault="006F1BF1" w14:paraId="46A74722" w14:textId="3D7A0C96">
      <w:pPr>
        <w:pStyle w:val="Heading2"/>
      </w:pPr>
      <w:r>
        <w:t xml:space="preserve">Legal Standard </w:t>
      </w:r>
      <w:r w:rsidR="001C7F3A">
        <w:t>u</w:t>
      </w:r>
      <w:r>
        <w:t>nder Bluefield and Hope</w:t>
      </w:r>
    </w:p>
    <w:p w:rsidR="003D778B" w:rsidP="005D4967" w:rsidRDefault="003D778B" w14:paraId="117B89A4" w14:textId="3015D74A">
      <w:pPr>
        <w:pStyle w:val="Standard"/>
      </w:pPr>
      <w:r>
        <w:t xml:space="preserve">The legal standard for setting a fair rate of return was established by the United States Supreme Court in the </w:t>
      </w:r>
      <w:r w:rsidRPr="003F01F7">
        <w:rPr>
          <w:i/>
          <w:iCs/>
        </w:rPr>
        <w:t>Bluefield</w:t>
      </w:r>
      <w:r>
        <w:t xml:space="preserve"> and </w:t>
      </w:r>
      <w:r w:rsidRPr="003F01F7">
        <w:rPr>
          <w:i/>
          <w:iCs/>
        </w:rPr>
        <w:t>Hope</w:t>
      </w:r>
      <w:r>
        <w:t xml:space="preserve"> cases.</w:t>
      </w:r>
      <w:r w:rsidR="005D4967">
        <w:rPr>
          <w:rStyle w:val="FootnoteReference"/>
        </w:rPr>
        <w:footnoteReference w:id="6"/>
      </w:r>
      <w:r w:rsidR="00366D22">
        <w:t xml:space="preserve">  </w:t>
      </w:r>
      <w:r>
        <w:t xml:space="preserve">The </w:t>
      </w:r>
      <w:r w:rsidRPr="003F01F7">
        <w:rPr>
          <w:i/>
          <w:iCs/>
        </w:rPr>
        <w:t>Bluefield</w:t>
      </w:r>
      <w:r>
        <w:t xml:space="preserve"> case sets forth the standard for measuring just and reasonable rates:</w:t>
      </w:r>
    </w:p>
    <w:p w:rsidR="00AE170D" w:rsidP="00555E10" w:rsidRDefault="00716904" w14:paraId="407A0439" w14:textId="16D59773">
      <w:pPr>
        <w:pStyle w:val="BlockQuote"/>
      </w:pPr>
      <w:r>
        <w:t>A public utility is entitled to such rates as will permit it to earn a return upon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 . .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w:t>
      </w:r>
      <w:r w:rsidR="000F5892">
        <w:rPr>
          <w:rStyle w:val="FootnoteReference"/>
        </w:rPr>
        <w:footnoteReference w:id="7"/>
      </w:r>
    </w:p>
    <w:p w:rsidR="00580F58" w:rsidP="00E62CED" w:rsidRDefault="006D3958" w14:paraId="7EC9C694" w14:textId="41A44294">
      <w:pPr>
        <w:pStyle w:val="Standard"/>
        <w:spacing w:before="180"/>
      </w:pPr>
      <w:r>
        <w:lastRenderedPageBreak/>
        <w:t xml:space="preserve">The </w:t>
      </w:r>
      <w:r w:rsidRPr="003F01F7">
        <w:rPr>
          <w:i/>
          <w:iCs/>
        </w:rPr>
        <w:t>Hope</w:t>
      </w:r>
      <w:r>
        <w:t xml:space="preserve"> decision reinforces the financial soundness and capital attraction principles of the </w:t>
      </w:r>
      <w:r w:rsidRPr="003F01F7">
        <w:rPr>
          <w:i/>
          <w:iCs/>
        </w:rPr>
        <w:t>Bluefield</w:t>
      </w:r>
      <w:r>
        <w:t xml:space="preserve"> decision:</w:t>
      </w:r>
    </w:p>
    <w:p w:rsidR="0038398E" w:rsidP="00555E10" w:rsidRDefault="00D12B07" w14:paraId="6289A593" w14:textId="0E5F52E9">
      <w:pPr>
        <w:pStyle w:val="BlockQuote"/>
      </w:pPr>
      <w:r>
        <w:t>From the investor or company point of view it is important that there be enough revenue not only for operating expenses but also for the capital costs of the business. These include service on the debt and dividends on the stock . . . By that standard the return to the equity owner should be commensurate with returns on investments in other enterprises having corresponding risks. That return, moreover, should be sufficient to assure confidence in the financial integrity of the enterprise, so as to maintain its credit and attract capital.</w:t>
      </w:r>
      <w:r>
        <w:rPr>
          <w:rStyle w:val="FootnoteReference"/>
        </w:rPr>
        <w:footnoteReference w:id="8"/>
      </w:r>
    </w:p>
    <w:p w:rsidR="00D12B07" w:rsidP="00E62CED" w:rsidRDefault="00765B8A" w14:paraId="55F85AE7" w14:textId="358C0D59">
      <w:pPr>
        <w:pStyle w:val="Standard"/>
        <w:spacing w:before="180"/>
        <w:ind w:firstLine="0"/>
      </w:pPr>
      <w:r w:rsidRPr="00765B8A">
        <w:t xml:space="preserve">After reviewing </w:t>
      </w:r>
      <w:r w:rsidR="005D5FC8">
        <w:t>Dr. </w:t>
      </w:r>
      <w:r w:rsidRPr="00765B8A">
        <w:t xml:space="preserve">Webb’s testimony, it is determined that a -5.99% return on equity would not provide Crimson with financial soundness, adequate credit strength, or the ability to cover its operating expenses. </w:t>
      </w:r>
      <w:r w:rsidR="00ED1D8B">
        <w:t xml:space="preserve"> </w:t>
      </w:r>
      <w:r w:rsidRPr="00765B8A">
        <w:t xml:space="preserve">Consistent with the principles articulated in </w:t>
      </w:r>
      <w:r w:rsidRPr="003F01F7">
        <w:rPr>
          <w:i/>
          <w:iCs/>
        </w:rPr>
        <w:t>Bluefield</w:t>
      </w:r>
      <w:r w:rsidRPr="00765B8A">
        <w:t xml:space="preserve"> and </w:t>
      </w:r>
      <w:r w:rsidRPr="003F01F7">
        <w:rPr>
          <w:i/>
          <w:iCs/>
        </w:rPr>
        <w:t>Hope</w:t>
      </w:r>
      <w:r w:rsidRPr="00765B8A">
        <w:t xml:space="preserve">, requiring Crimson to increase rates by </w:t>
      </w:r>
      <w:r w:rsidR="007D63FA">
        <w:t xml:space="preserve">only </w:t>
      </w:r>
      <w:r w:rsidRPr="00765B8A">
        <w:t xml:space="preserve">10 percent would not be just and reasonable because it would compel </w:t>
      </w:r>
      <w:r w:rsidR="006243A4">
        <w:t>Crimson</w:t>
      </w:r>
      <w:r w:rsidRPr="00765B8A">
        <w:t xml:space="preserve"> to operate at a loss. </w:t>
      </w:r>
      <w:r w:rsidR="006243A4">
        <w:t xml:space="preserve"> </w:t>
      </w:r>
      <w:r w:rsidRPr="00765B8A">
        <w:t>A</w:t>
      </w:r>
      <w:r>
        <w:t>s such</w:t>
      </w:r>
      <w:r w:rsidRPr="00765B8A">
        <w:t xml:space="preserve">, </w:t>
      </w:r>
      <w:r w:rsidR="005352D8">
        <w:t>we find</w:t>
      </w:r>
      <w:r w:rsidR="005E6E51">
        <w:t xml:space="preserve"> that a </w:t>
      </w:r>
      <w:r w:rsidRPr="00765B8A">
        <w:t xml:space="preserve">10 percent rate increase </w:t>
      </w:r>
      <w:r w:rsidR="005E6E51">
        <w:t xml:space="preserve">is not </w:t>
      </w:r>
      <w:r w:rsidR="00622EB6">
        <w:t xml:space="preserve">reasonable and </w:t>
      </w:r>
      <w:r w:rsidR="001C7F3A">
        <w:t xml:space="preserve">not </w:t>
      </w:r>
      <w:r w:rsidR="00622EB6">
        <w:t>in the public interest.</w:t>
      </w:r>
    </w:p>
    <w:p w:rsidR="00EB3CAE" w:rsidP="00E45934" w:rsidRDefault="00C14E06" w14:paraId="379457FC" w14:textId="0AC89344">
      <w:pPr>
        <w:pStyle w:val="Heading1"/>
      </w:pPr>
      <w:r>
        <w:t xml:space="preserve">Is Crimson’s Proposal </w:t>
      </w:r>
      <w:r w:rsidR="00CA022A">
        <w:t>t</w:t>
      </w:r>
      <w:r>
        <w:t xml:space="preserve">o Increase Rates </w:t>
      </w:r>
      <w:r w:rsidR="00CA022A">
        <w:t>b</w:t>
      </w:r>
      <w:r>
        <w:t xml:space="preserve">y 36.92 Percent Reasonable </w:t>
      </w:r>
      <w:r w:rsidR="00CA022A">
        <w:t>a</w:t>
      </w:r>
      <w:r>
        <w:t xml:space="preserve">nd </w:t>
      </w:r>
      <w:r w:rsidR="00CA022A">
        <w:t>i</w:t>
      </w:r>
      <w:r>
        <w:t xml:space="preserve">n </w:t>
      </w:r>
      <w:r w:rsidR="00CA022A">
        <w:t>t</w:t>
      </w:r>
      <w:r>
        <w:t>he Public Interest</w:t>
      </w:r>
    </w:p>
    <w:p w:rsidR="007418BD" w:rsidP="00677E13" w:rsidRDefault="007418BD" w14:paraId="110FAB7E" w14:textId="1B6A5C10">
      <w:pPr>
        <w:pStyle w:val="Standard"/>
      </w:pPr>
      <w:r w:rsidRPr="007418BD">
        <w:t xml:space="preserve">A review of Crimson’s </w:t>
      </w:r>
      <w:r w:rsidR="00BA186F">
        <w:t>A</w:t>
      </w:r>
      <w:r w:rsidRPr="007418BD">
        <w:t xml:space="preserve">pplication discloses that the filing incorporates the financial condition of </w:t>
      </w:r>
      <w:proofErr w:type="spellStart"/>
      <w:r w:rsidRPr="007418BD">
        <w:t>CorEnergy</w:t>
      </w:r>
      <w:proofErr w:type="spellEnd"/>
      <w:r w:rsidR="009E7A36">
        <w:t xml:space="preserve"> (</w:t>
      </w:r>
      <w:r w:rsidRPr="007418BD">
        <w:t>including debt</w:t>
      </w:r>
      <w:r w:rsidR="00BA186F">
        <w:t xml:space="preserve"> and</w:t>
      </w:r>
      <w:r w:rsidRPr="007418BD">
        <w:t xml:space="preserve"> reorganization costs</w:t>
      </w:r>
      <w:r w:rsidR="002E6ACA">
        <w:t>)</w:t>
      </w:r>
      <w:r w:rsidRPr="007418BD">
        <w:t xml:space="preserve">. </w:t>
      </w:r>
      <w:r w:rsidR="002E6ACA">
        <w:t xml:space="preserve"> </w:t>
      </w:r>
      <w:r w:rsidRPr="007418BD">
        <w:t xml:space="preserve">The Commission must determine whether </w:t>
      </w:r>
      <w:proofErr w:type="spellStart"/>
      <w:r w:rsidRPr="007418BD">
        <w:t>CorEnergy</w:t>
      </w:r>
      <w:proofErr w:type="spellEnd"/>
      <w:r w:rsidRPr="007418BD">
        <w:t xml:space="preserve"> financials are properly part of Crimson’s </w:t>
      </w:r>
      <w:r w:rsidR="007B211B">
        <w:t>rate base</w:t>
      </w:r>
      <w:r w:rsidRPr="007418BD">
        <w:t xml:space="preserve"> and therefore appropriate for consideration in this </w:t>
      </w:r>
      <w:r w:rsidR="00BA186F">
        <w:t>A</w:t>
      </w:r>
      <w:r w:rsidR="007B211B">
        <w:t>pplication</w:t>
      </w:r>
      <w:r w:rsidRPr="007418BD">
        <w:t>.</w:t>
      </w:r>
    </w:p>
    <w:p w:rsidR="00677E13" w:rsidP="00677E13" w:rsidRDefault="00677E13" w14:paraId="306AB062" w14:textId="1FA822BA">
      <w:pPr>
        <w:pStyle w:val="Standard"/>
      </w:pPr>
      <w:proofErr w:type="spellStart"/>
      <w:r>
        <w:t>CorEnergy</w:t>
      </w:r>
      <w:proofErr w:type="spellEnd"/>
      <w:r>
        <w:t xml:space="preserve"> has a 45 percent interest in Crimson.</w:t>
      </w:r>
      <w:r>
        <w:rPr>
          <w:rStyle w:val="FootnoteReference"/>
        </w:rPr>
        <w:footnoteReference w:id="9"/>
      </w:r>
      <w:r>
        <w:t xml:space="preserve">  In A.21-02-013, Crimson and </w:t>
      </w:r>
      <w:proofErr w:type="spellStart"/>
      <w:r>
        <w:t>CorEnergy</w:t>
      </w:r>
      <w:proofErr w:type="spellEnd"/>
      <w:r>
        <w:t xml:space="preserve"> requested permission to change control of Crimson</w:t>
      </w:r>
      <w:r w:rsidR="00BC4AC8">
        <w:t xml:space="preserve"> and</w:t>
      </w:r>
      <w:r>
        <w:t xml:space="preserve"> San </w:t>
      </w:r>
      <w:r>
        <w:lastRenderedPageBreak/>
        <w:t xml:space="preserve">Pablo Bay Pipeline Company, LLC. (SPBPC) to </w:t>
      </w:r>
      <w:proofErr w:type="spellStart"/>
      <w:r>
        <w:t>CorEnergy</w:t>
      </w:r>
      <w:proofErr w:type="spellEnd"/>
      <w:r w:rsidR="001C0DD6">
        <w:t>,</w:t>
      </w:r>
      <w:r w:rsidR="00C77AA0">
        <w:t xml:space="preserve"> </w:t>
      </w:r>
      <w:r w:rsidR="001C0DD6">
        <w:t>with t</w:t>
      </w:r>
      <w:r>
        <w:t>he proposed transaction</w:t>
      </w:r>
      <w:r w:rsidR="00BC4AC8">
        <w:t xml:space="preserve"> </w:t>
      </w:r>
      <w:r w:rsidR="00574320">
        <w:t>transferring</w:t>
      </w:r>
      <w:r>
        <w:t xml:space="preserve"> exclusive control of Crimson’s pipelines and SPBPC’s pipelines to </w:t>
      </w:r>
      <w:proofErr w:type="spellStart"/>
      <w:r>
        <w:t>CorEnergy</w:t>
      </w:r>
      <w:proofErr w:type="spellEnd"/>
      <w:r>
        <w:t xml:space="preserve"> alone.</w:t>
      </w:r>
      <w:r>
        <w:rPr>
          <w:rStyle w:val="FootnoteReference"/>
        </w:rPr>
        <w:footnoteReference w:id="10"/>
      </w:r>
    </w:p>
    <w:p w:rsidR="00677E13" w:rsidP="00677E13" w:rsidRDefault="00677E13" w14:paraId="07FD7EB0" w14:textId="449A5333">
      <w:pPr>
        <w:pStyle w:val="Standard"/>
      </w:pPr>
      <w:r>
        <w:t xml:space="preserve">In D.22-12-032, the Commission denied CorEnergy’s </w:t>
      </w:r>
      <w:r w:rsidR="0026498F">
        <w:t>application</w:t>
      </w:r>
      <w:r>
        <w:t xml:space="preserve"> (A.21</w:t>
      </w:r>
      <w:r w:rsidR="00E62CED">
        <w:noBreakHyphen/>
      </w:r>
      <w:r>
        <w:t>02</w:t>
      </w:r>
      <w:r w:rsidR="00E62CED">
        <w:noBreakHyphen/>
      </w:r>
      <w:r>
        <w:t>013) for a change of control of Crimson and the SPBPC.</w:t>
      </w:r>
      <w:r>
        <w:rPr>
          <w:rStyle w:val="FootnoteReference"/>
        </w:rPr>
        <w:footnoteReference w:id="11"/>
      </w:r>
    </w:p>
    <w:p w:rsidR="00677E13" w:rsidP="00677E13" w:rsidRDefault="00677E13" w14:paraId="22F1ECAC" w14:textId="00E75683">
      <w:pPr>
        <w:pStyle w:val="Standard"/>
      </w:pPr>
      <w:r>
        <w:t>An application must provide the legal name of the applicant and location of its principal place of business.</w:t>
      </w:r>
      <w:r>
        <w:rPr>
          <w:rStyle w:val="FootnoteReference"/>
        </w:rPr>
        <w:footnoteReference w:id="12"/>
      </w:r>
      <w:r>
        <w:t xml:space="preserve">  In addition, the rules provide that a financial statement </w:t>
      </w:r>
      <w:r w:rsidR="00BA186F">
        <w:t xml:space="preserve">of the applicant </w:t>
      </w:r>
      <w:r>
        <w:t>shall be attached to the application.</w:t>
      </w:r>
      <w:r w:rsidR="0082400E">
        <w:rPr>
          <w:rStyle w:val="FootnoteReference"/>
        </w:rPr>
        <w:footnoteReference w:id="13"/>
      </w:r>
    </w:p>
    <w:p w:rsidRPr="00144B38" w:rsidR="00144B38" w:rsidP="00144B38" w:rsidRDefault="00144B38" w14:paraId="569D2BA8" w14:textId="7A39F856">
      <w:pPr>
        <w:pStyle w:val="Standard"/>
      </w:pPr>
      <w:r w:rsidRPr="00144B38">
        <w:t xml:space="preserve">Crimson’s initial filing incorporated financial information attributable to </w:t>
      </w:r>
      <w:proofErr w:type="spellStart"/>
      <w:r w:rsidRPr="00144B38">
        <w:t>CorEnergy</w:t>
      </w:r>
      <w:proofErr w:type="spellEnd"/>
      <w:r w:rsidRPr="00144B38">
        <w:t xml:space="preserve">, including debt service and reorganization costs. </w:t>
      </w:r>
      <w:r w:rsidR="00FF72D7">
        <w:t xml:space="preserve"> </w:t>
      </w:r>
      <w:r w:rsidRPr="00144B38">
        <w:t>D</w:t>
      </w:r>
      <w:r w:rsidR="002D2E51">
        <w:t>ecision </w:t>
      </w:r>
      <w:r w:rsidRPr="00144B38">
        <w:t>22</w:t>
      </w:r>
      <w:r w:rsidR="00E62CED">
        <w:noBreakHyphen/>
      </w:r>
      <w:r w:rsidRPr="00144B38">
        <w:t>12</w:t>
      </w:r>
      <w:r w:rsidR="00E62CED">
        <w:noBreakHyphen/>
      </w:r>
      <w:r w:rsidRPr="00144B38">
        <w:t xml:space="preserve">032 denied CorEnergy’s request to change ownership of Crimson; </w:t>
      </w:r>
      <w:r w:rsidR="00B37050">
        <w:t xml:space="preserve">therefore, it is determined that </w:t>
      </w:r>
      <w:proofErr w:type="spellStart"/>
      <w:r w:rsidRPr="00144B38">
        <w:t>CorEnergy</w:t>
      </w:r>
      <w:proofErr w:type="spellEnd"/>
      <w:r w:rsidRPr="00144B38">
        <w:t xml:space="preserve"> is a minority investor in Crimson and CorEnergy’s </w:t>
      </w:r>
      <w:r w:rsidR="00B37050">
        <w:t>financials</w:t>
      </w:r>
      <w:r w:rsidRPr="00144B38">
        <w:t xml:space="preserve"> are not properly part of Crimson’s application.</w:t>
      </w:r>
    </w:p>
    <w:p w:rsidR="00C47452" w:rsidP="00EB63CD" w:rsidRDefault="00E06F62" w14:paraId="0A3C6466" w14:textId="292086A5">
      <w:pPr>
        <w:pStyle w:val="Standard"/>
      </w:pPr>
      <w:r>
        <w:t>Because CorEnergy’s financials are not properly part of Crimson’s Application</w:t>
      </w:r>
      <w:r w:rsidRPr="00144B38" w:rsidR="00144B38">
        <w:t xml:space="preserve">, we find that Crimson’s 36.92 percent rate increase </w:t>
      </w:r>
      <w:r w:rsidR="009C7F01">
        <w:t>request</w:t>
      </w:r>
      <w:r w:rsidRPr="00144B38" w:rsidR="00144B38">
        <w:t xml:space="preserve"> </w:t>
      </w:r>
      <w:r w:rsidR="00431219">
        <w:t xml:space="preserve">is </w:t>
      </w:r>
      <w:r w:rsidRPr="00144B38" w:rsidR="00144B38">
        <w:t>unreasonable and not in the public interest.</w:t>
      </w:r>
    </w:p>
    <w:p w:rsidR="00D450AF" w:rsidP="00E45934" w:rsidRDefault="0056598C" w14:paraId="05B45848" w14:textId="44BD1CD0">
      <w:pPr>
        <w:pStyle w:val="Heading1"/>
      </w:pPr>
      <w:r>
        <w:t>Are</w:t>
      </w:r>
      <w:r w:rsidR="00C14E06">
        <w:t xml:space="preserve"> Crimson’s</w:t>
      </w:r>
      <w:r w:rsidR="00D450AF">
        <w:t xml:space="preserve"> </w:t>
      </w:r>
      <w:r w:rsidR="00716DB2">
        <w:t xml:space="preserve">Revised </w:t>
      </w:r>
      <w:r w:rsidR="00C14E06">
        <w:t>Proposal</w:t>
      </w:r>
      <w:r>
        <w:t>s</w:t>
      </w:r>
      <w:r w:rsidR="00D450AF">
        <w:t>, Including Its Request</w:t>
      </w:r>
      <w:r w:rsidR="00C14E06">
        <w:t xml:space="preserve"> </w:t>
      </w:r>
      <w:r w:rsidR="00CA022A">
        <w:t>t</w:t>
      </w:r>
      <w:r w:rsidR="00C14E06">
        <w:t xml:space="preserve">o Increase Rates </w:t>
      </w:r>
      <w:r w:rsidR="00CA022A">
        <w:t>b</w:t>
      </w:r>
      <w:r w:rsidR="00C14E06">
        <w:t>y 26.35%</w:t>
      </w:r>
      <w:r w:rsidR="00D450AF">
        <w:t>,</w:t>
      </w:r>
      <w:r w:rsidR="00C14E06">
        <w:t xml:space="preserve"> Reasonable </w:t>
      </w:r>
      <w:r w:rsidR="00CA022A">
        <w:t>a</w:t>
      </w:r>
      <w:r w:rsidR="00C14E06">
        <w:t xml:space="preserve">nd </w:t>
      </w:r>
      <w:r w:rsidR="00CA022A">
        <w:t>i</w:t>
      </w:r>
      <w:r w:rsidR="00C14E06">
        <w:t xml:space="preserve">n </w:t>
      </w:r>
      <w:r w:rsidR="00CA022A">
        <w:t>t</w:t>
      </w:r>
      <w:r w:rsidR="00C14E06">
        <w:t>he Public Interest</w:t>
      </w:r>
    </w:p>
    <w:p w:rsidRPr="00D450AF" w:rsidR="00D450AF" w:rsidP="00574320" w:rsidRDefault="0056598C" w14:paraId="79B25CB9" w14:textId="26073C7E">
      <w:pPr>
        <w:pStyle w:val="Standard"/>
      </w:pPr>
      <w:r>
        <w:t>In its</w:t>
      </w:r>
      <w:r w:rsidRPr="00144B38" w:rsidR="00D450AF">
        <w:t xml:space="preserve"> May 15, 2025, </w:t>
      </w:r>
      <w:r>
        <w:t>Response No. 1</w:t>
      </w:r>
      <w:r w:rsidRPr="00144B38" w:rsidR="00D450AF">
        <w:t xml:space="preserve"> to the April 21, 2025 Ruling</w:t>
      </w:r>
      <w:r>
        <w:t>,</w:t>
      </w:r>
      <w:r w:rsidRPr="00144B38" w:rsidR="00D450AF">
        <w:t xml:space="preserve"> </w:t>
      </w:r>
      <w:r>
        <w:t xml:space="preserve">Crimson </w:t>
      </w:r>
      <w:r w:rsidRPr="00144B38" w:rsidR="00D450AF">
        <w:t>submitt</w:t>
      </w:r>
      <w:r>
        <w:t>ed</w:t>
      </w:r>
      <w:r w:rsidRPr="00144B38" w:rsidR="00D450AF">
        <w:t xml:space="preserve"> supplemental testimony from </w:t>
      </w:r>
      <w:r w:rsidR="00D450AF">
        <w:t>Dr. </w:t>
      </w:r>
      <w:r w:rsidRPr="00144B38" w:rsidR="00D450AF">
        <w:t xml:space="preserve">Webb </w:t>
      </w:r>
      <w:r>
        <w:t xml:space="preserve">that </w:t>
      </w:r>
      <w:r w:rsidRPr="00144B38" w:rsidR="00D450AF">
        <w:t xml:space="preserve">removed CorEnergy’s financials from Crimson’s </w:t>
      </w:r>
      <w:r w:rsidR="00D450AF">
        <w:t>application</w:t>
      </w:r>
      <w:r w:rsidRPr="00144B38" w:rsidR="00D450AF">
        <w:t xml:space="preserve">, reducing Crimson’s rate increase </w:t>
      </w:r>
      <w:r w:rsidR="00D450AF">
        <w:t xml:space="preserve">request </w:t>
      </w:r>
      <w:r w:rsidRPr="00144B38" w:rsidR="00D450AF">
        <w:t>from 36.92</w:t>
      </w:r>
      <w:r w:rsidR="00D450AF">
        <w:t> </w:t>
      </w:r>
      <w:r w:rsidRPr="00144B38" w:rsidR="00D450AF">
        <w:t xml:space="preserve">percent to 26.35 percent and reflecting a return on rate base of </w:t>
      </w:r>
      <w:r w:rsidRPr="00144B38" w:rsidR="00D450AF">
        <w:lastRenderedPageBreak/>
        <w:t>13.80</w:t>
      </w:r>
      <w:r w:rsidR="00D450AF">
        <w:t> </w:t>
      </w:r>
      <w:r w:rsidRPr="00144B38" w:rsidR="00D450AF">
        <w:t>percent and a return on equity of 15.00</w:t>
      </w:r>
      <w:r w:rsidR="00D450AF">
        <w:t> </w:t>
      </w:r>
      <w:r w:rsidRPr="00144B38" w:rsidR="00D450AF">
        <w:t>percent.</w:t>
      </w:r>
      <w:r w:rsidR="00D62CE1">
        <w:rPr>
          <w:rStyle w:val="FootnoteReference"/>
        </w:rPr>
        <w:footnoteReference w:id="14"/>
      </w:r>
      <w:r w:rsidR="00D450AF">
        <w:t xml:space="preserve"> </w:t>
      </w:r>
      <w:r w:rsidR="0084433B">
        <w:t xml:space="preserve"> </w:t>
      </w:r>
      <w:r w:rsidR="00D62CE1">
        <w:t xml:space="preserve">In its September 15, 2025 </w:t>
      </w:r>
      <w:r>
        <w:t>R</w:t>
      </w:r>
      <w:r w:rsidR="00D62CE1">
        <w:t>esponse</w:t>
      </w:r>
      <w:r>
        <w:t xml:space="preserve"> No. 2</w:t>
      </w:r>
      <w:r w:rsidR="00D62CE1">
        <w:t xml:space="preserve"> to the September 2, 2025 Ruling, Crimson </w:t>
      </w:r>
      <w:r>
        <w:t>proposed a 60/40 equity-to-debt capital structure for Crimson</w:t>
      </w:r>
      <w:r w:rsidR="00BD2B90">
        <w:t>, a cost of debt of 12 percent, and a return on equity of 15 percent.</w:t>
      </w:r>
      <w:r>
        <w:rPr>
          <w:rStyle w:val="FootnoteReference"/>
        </w:rPr>
        <w:footnoteReference w:id="15"/>
      </w:r>
      <w:r>
        <w:t xml:space="preserve"> </w:t>
      </w:r>
      <w:r w:rsidR="0084433B">
        <w:t xml:space="preserve"> </w:t>
      </w:r>
      <w:r w:rsidR="00D450AF">
        <w:t>In the following Sections, we address whether Crimson’s revised proposal</w:t>
      </w:r>
      <w:r>
        <w:t>s are</w:t>
      </w:r>
      <w:r w:rsidR="00D450AF">
        <w:t xml:space="preserve"> reasonable and in the public interest. </w:t>
      </w:r>
    </w:p>
    <w:p w:rsidR="0010531F" w:rsidP="00E45934" w:rsidRDefault="00946CF4" w14:paraId="065A2282" w14:textId="3AC031B9">
      <w:pPr>
        <w:pStyle w:val="Heading2"/>
      </w:pPr>
      <w:r>
        <w:t xml:space="preserve">Capital </w:t>
      </w:r>
      <w:r w:rsidRPr="00555E10">
        <w:t>Structure</w:t>
      </w:r>
    </w:p>
    <w:p w:rsidR="00AD5575" w:rsidP="00946CF4" w:rsidRDefault="00DF3E88" w14:paraId="1AD21807" w14:textId="3243E67C">
      <w:pPr>
        <w:pStyle w:val="Standard"/>
      </w:pPr>
      <w:r>
        <w:t>Crimson</w:t>
      </w:r>
      <w:r w:rsidR="00D450AF">
        <w:t>’s revised proposal</w:t>
      </w:r>
      <w:r>
        <w:t xml:space="preserve"> </w:t>
      </w:r>
      <w:r w:rsidR="000F6FC2">
        <w:t>seeks a capital structure of 60 percent equity and 40 percent debt.</w:t>
      </w:r>
      <w:r w:rsidR="0064688F">
        <w:t xml:space="preserve">  </w:t>
      </w:r>
      <w:r w:rsidR="00A64FDC">
        <w:t>Crimson argues that the Commission should adopt a 60/40 equity to debt capital structure</w:t>
      </w:r>
      <w:r w:rsidR="00AD5575">
        <w:t xml:space="preserve"> </w:t>
      </w:r>
      <w:r w:rsidR="001C0DD6">
        <w:t xml:space="preserve">because it </w:t>
      </w:r>
      <w:r w:rsidR="00AD5575">
        <w:t>is economically sensible and has been approved by the Commission in several rate proceedings.</w:t>
      </w:r>
      <w:r w:rsidR="00AD5575">
        <w:rPr>
          <w:rStyle w:val="FootnoteReference"/>
        </w:rPr>
        <w:footnoteReference w:id="16"/>
      </w:r>
      <w:r w:rsidR="00AD5575">
        <w:t xml:space="preserve">  </w:t>
      </w:r>
    </w:p>
    <w:p w:rsidR="00946CF4" w:rsidP="00946CF4" w:rsidRDefault="00177837" w14:paraId="2C32050C" w14:textId="4572EAE5">
      <w:pPr>
        <w:pStyle w:val="Standard"/>
      </w:pPr>
      <w:r>
        <w:t>The Commission finds</w:t>
      </w:r>
      <w:r w:rsidR="00F04CB8">
        <w:t xml:space="preserve"> that a 60 percent</w:t>
      </w:r>
      <w:r w:rsidR="00085202">
        <w:t xml:space="preserve"> </w:t>
      </w:r>
      <w:r w:rsidR="00B20C63">
        <w:t xml:space="preserve">equity </w:t>
      </w:r>
      <w:r w:rsidR="00085202">
        <w:t>and 40 percent debt capital structure has been consistently approved</w:t>
      </w:r>
      <w:r w:rsidR="00F04CB8">
        <w:t xml:space="preserve"> </w:t>
      </w:r>
      <w:r w:rsidR="0064688F">
        <w:t>for Crimson</w:t>
      </w:r>
      <w:r w:rsidR="00B247EF">
        <w:t>.</w:t>
      </w:r>
      <w:r w:rsidR="00B247EF">
        <w:rPr>
          <w:rStyle w:val="FootnoteReference"/>
        </w:rPr>
        <w:footnoteReference w:id="17"/>
      </w:r>
      <w:r w:rsidR="00B247EF">
        <w:t xml:space="preserve">  </w:t>
      </w:r>
      <w:r w:rsidR="00393B14">
        <w:t>As such, we grant Crimson</w:t>
      </w:r>
      <w:r w:rsidR="008116E7">
        <w:t>’s request for a 60/40 equity to debt ratio.</w:t>
      </w:r>
    </w:p>
    <w:p w:rsidR="008116E7" w:rsidP="00E45934" w:rsidRDefault="008116E7" w14:paraId="60BFE3F4" w14:textId="42355B7D">
      <w:pPr>
        <w:pStyle w:val="Heading2"/>
      </w:pPr>
      <w:r>
        <w:t>Cost of Debt</w:t>
      </w:r>
      <w:r w:rsidR="004E294A">
        <w:t xml:space="preserve"> </w:t>
      </w:r>
    </w:p>
    <w:p w:rsidR="00F04909" w:rsidP="008116E7" w:rsidRDefault="00D842A8" w14:paraId="50C47F1B" w14:textId="096465D9">
      <w:pPr>
        <w:pStyle w:val="Standard"/>
      </w:pPr>
      <w:r>
        <w:t xml:space="preserve">Crimson seeks a cost of debt of 12% based on </w:t>
      </w:r>
      <w:r w:rsidR="008D199A">
        <w:t xml:space="preserve">several factors: 1) Crimson does not </w:t>
      </w:r>
      <w:r w:rsidR="005918B3">
        <w:t>issue long term debt but instead relies on its owners; 2) Crimson has no third-party deb</w:t>
      </w:r>
      <w:r w:rsidR="00F37C2A">
        <w:t>t, all debt</w:t>
      </w:r>
      <w:r w:rsidR="00AB5398">
        <w:t xml:space="preserve"> is with its minority owner </w:t>
      </w:r>
      <w:proofErr w:type="spellStart"/>
      <w:r w:rsidR="00AB5398">
        <w:t>CorEnergy</w:t>
      </w:r>
      <w:proofErr w:type="spellEnd"/>
      <w:r w:rsidR="00AB5398">
        <w:t xml:space="preserve">; 3) </w:t>
      </w:r>
      <w:r w:rsidR="00060D9C">
        <w:t xml:space="preserve">a hypothetical debt cost representative </w:t>
      </w:r>
      <w:r w:rsidR="00FE74A3">
        <w:t xml:space="preserve">of the cost of debt of companies with a similar risk profile to Crimson; 4) testimony of </w:t>
      </w:r>
      <w:r w:rsidR="005D5FC8">
        <w:t>Dr. </w:t>
      </w:r>
      <w:r w:rsidR="00FE74A3">
        <w:t>Webb</w:t>
      </w:r>
      <w:r w:rsidR="00123370">
        <w:t>, who concludes that Crimson would have a bond rating of CCC or (Ca using Moody metrics)</w:t>
      </w:r>
      <w:r w:rsidR="00C32931">
        <w:t>; and 5) CCC bonds have been trading at above 12% since Spring 2022.</w:t>
      </w:r>
      <w:r w:rsidR="00C32931">
        <w:rPr>
          <w:rStyle w:val="FootnoteReference"/>
        </w:rPr>
        <w:footnoteReference w:id="18"/>
      </w:r>
    </w:p>
    <w:p w:rsidR="007A5DFF" w:rsidP="005A0F51" w:rsidRDefault="00F57FDC" w14:paraId="608BCB99" w14:textId="2573A37B">
      <w:pPr>
        <w:pStyle w:val="Standard"/>
      </w:pPr>
      <w:r>
        <w:lastRenderedPageBreak/>
        <w:t xml:space="preserve">Crimson contends that a cost of debt of 12% is appropriate </w:t>
      </w:r>
      <w:r w:rsidR="00A80CBD">
        <w:t>because</w:t>
      </w:r>
      <w:r>
        <w:t xml:space="preserve"> </w:t>
      </w:r>
      <w:r w:rsidR="00A80CBD">
        <w:t>1)</w:t>
      </w:r>
      <w:r w:rsidR="00150E94">
        <w:t> </w:t>
      </w:r>
      <w:r>
        <w:t>Crimson’s financial risk has increased significantly in the past 18 months</w:t>
      </w:r>
      <w:r w:rsidR="00A80CBD">
        <w:t>; 2)</w:t>
      </w:r>
      <w:r w:rsidR="00150E94">
        <w:t> </w:t>
      </w:r>
      <w:proofErr w:type="spellStart"/>
      <w:r w:rsidR="005C604A">
        <w:t>CorEnergy</w:t>
      </w:r>
      <w:proofErr w:type="spellEnd"/>
      <w:r w:rsidR="005C604A">
        <w:t xml:space="preserve"> issued a secured note to Crimson at 12%</w:t>
      </w:r>
      <w:r w:rsidR="00150E94">
        <w:t>,</w:t>
      </w:r>
      <w:r w:rsidR="005C604A">
        <w:t xml:space="preserve"> and 3) another oil pipeline</w:t>
      </w:r>
      <w:r w:rsidR="00E56286">
        <w:t xml:space="preserve">, Summit Midstream Partners, in a similar subprime category issued a bond requiring </w:t>
      </w:r>
      <w:r w:rsidR="00B67494">
        <w:t xml:space="preserve">a </w:t>
      </w:r>
      <w:r w:rsidR="00E56286">
        <w:t>12% interest rate.</w:t>
      </w:r>
      <w:r w:rsidR="00FD2026">
        <w:rPr>
          <w:rStyle w:val="FootnoteReference"/>
        </w:rPr>
        <w:footnoteReference w:id="19"/>
      </w:r>
    </w:p>
    <w:p w:rsidR="00AD62FD" w:rsidP="00150E94" w:rsidRDefault="00AD62FD" w14:paraId="2BC764B0" w14:textId="7EA87AF2">
      <w:pPr>
        <w:pStyle w:val="Standard"/>
        <w:spacing w:after="120"/>
      </w:pPr>
      <w:r>
        <w:t>In its Response</w:t>
      </w:r>
      <w:r w:rsidR="00ED6ECE">
        <w:t xml:space="preserve"> No. 2</w:t>
      </w:r>
      <w:r>
        <w:t xml:space="preserve">, </w:t>
      </w:r>
      <w:r w:rsidR="005D5FC8">
        <w:t>Dr. </w:t>
      </w:r>
      <w:r>
        <w:t xml:space="preserve">Webb described Crimson’s financial state using three scenarios: first, if Crimson did not raise its rates at all, </w:t>
      </w:r>
      <w:r w:rsidR="00ED6ECE">
        <w:t xml:space="preserve">second, </w:t>
      </w:r>
      <w:r>
        <w:t xml:space="preserve">if Crimson raised its rates by 10% and third, if Crimson raised its rates by 26.35%.  </w:t>
      </w:r>
      <w:r w:rsidR="005D5FC8">
        <w:t>Dr. </w:t>
      </w:r>
      <w:r w:rsidR="00ED6ECE">
        <w:t>Webb’s testimony is summarized below</w:t>
      </w:r>
      <w:r w:rsidR="00DE20E4">
        <w:t>:</w:t>
      </w:r>
      <w:r w:rsidR="00A3314C">
        <w:rPr>
          <w:rStyle w:val="FootnoteReference"/>
        </w:rPr>
        <w:footnoteReference w:id="20"/>
      </w:r>
    </w:p>
    <w:tbl>
      <w:tblPr>
        <w:tblStyle w:val="TableGrid"/>
        <w:tblW w:w="0" w:type="auto"/>
        <w:tblCellMar>
          <w:top w:w="58" w:type="dxa"/>
          <w:bottom w:w="58" w:type="dxa"/>
        </w:tblCellMar>
        <w:tblLook w:val="04A0" w:firstRow="1" w:lastRow="0" w:firstColumn="1" w:lastColumn="0" w:noHBand="0" w:noVBand="1"/>
      </w:tblPr>
      <w:tblGrid>
        <w:gridCol w:w="2337"/>
        <w:gridCol w:w="2337"/>
        <w:gridCol w:w="2338"/>
        <w:gridCol w:w="2338"/>
      </w:tblGrid>
      <w:tr w:rsidR="00AD62FD" w:rsidTr="00150E94" w14:paraId="00AE713B" w14:textId="77777777">
        <w:trPr>
          <w:tblHeader/>
        </w:trPr>
        <w:tc>
          <w:tcPr>
            <w:tcW w:w="2337" w:type="dxa"/>
            <w:vAlign w:val="center"/>
          </w:tcPr>
          <w:p w:rsidRPr="00150E94" w:rsidR="00AD62FD" w:rsidP="00150E94" w:rsidRDefault="00AD62FD" w14:paraId="1B6E8E74" w14:textId="77777777">
            <w:pPr>
              <w:pStyle w:val="Standard"/>
              <w:keepNext/>
              <w:spacing w:line="240" w:lineRule="auto"/>
              <w:ind w:firstLine="0"/>
              <w:jc w:val="center"/>
              <w:rPr>
                <w:b/>
                <w:bCs/>
              </w:rPr>
            </w:pPr>
          </w:p>
        </w:tc>
        <w:tc>
          <w:tcPr>
            <w:tcW w:w="2337" w:type="dxa"/>
            <w:vAlign w:val="center"/>
          </w:tcPr>
          <w:p w:rsidRPr="00150E94" w:rsidR="00AD62FD" w:rsidP="00150E94" w:rsidRDefault="00AD62FD" w14:paraId="7B5BBBCC" w14:textId="77777777">
            <w:pPr>
              <w:pStyle w:val="Standard"/>
              <w:spacing w:line="240" w:lineRule="auto"/>
              <w:ind w:firstLine="0"/>
              <w:jc w:val="center"/>
              <w:rPr>
                <w:b/>
                <w:bCs/>
              </w:rPr>
            </w:pPr>
            <w:r w:rsidRPr="00150E94">
              <w:rPr>
                <w:b/>
                <w:bCs/>
              </w:rPr>
              <w:t>No Rate Increase</w:t>
            </w:r>
          </w:p>
        </w:tc>
        <w:tc>
          <w:tcPr>
            <w:tcW w:w="2338" w:type="dxa"/>
            <w:vAlign w:val="center"/>
          </w:tcPr>
          <w:p w:rsidRPr="00150E94" w:rsidR="00AD62FD" w:rsidP="00150E94" w:rsidRDefault="00AD62FD" w14:paraId="09408224" w14:textId="77777777">
            <w:pPr>
              <w:pStyle w:val="Standard"/>
              <w:spacing w:line="240" w:lineRule="auto"/>
              <w:ind w:firstLine="0"/>
              <w:jc w:val="center"/>
              <w:rPr>
                <w:b/>
                <w:bCs/>
              </w:rPr>
            </w:pPr>
            <w:r w:rsidRPr="00150E94">
              <w:rPr>
                <w:b/>
                <w:bCs/>
              </w:rPr>
              <w:t>10% Rate Increase</w:t>
            </w:r>
          </w:p>
        </w:tc>
        <w:tc>
          <w:tcPr>
            <w:tcW w:w="2338" w:type="dxa"/>
            <w:vAlign w:val="center"/>
          </w:tcPr>
          <w:p w:rsidRPr="00150E94" w:rsidR="00AD62FD" w:rsidP="00150E94" w:rsidRDefault="00AD62FD" w14:paraId="0ACD4A77" w14:textId="77777777">
            <w:pPr>
              <w:pStyle w:val="Standard"/>
              <w:spacing w:line="240" w:lineRule="auto"/>
              <w:ind w:firstLine="0"/>
              <w:jc w:val="center"/>
              <w:rPr>
                <w:b/>
                <w:bCs/>
              </w:rPr>
            </w:pPr>
            <w:r w:rsidRPr="00150E94">
              <w:rPr>
                <w:b/>
                <w:bCs/>
              </w:rPr>
              <w:t>26.35% Rate Increase</w:t>
            </w:r>
          </w:p>
        </w:tc>
      </w:tr>
      <w:tr w:rsidR="00AD62FD" w:rsidTr="00150E94" w14:paraId="140DB0B5" w14:textId="77777777">
        <w:tc>
          <w:tcPr>
            <w:tcW w:w="2337" w:type="dxa"/>
          </w:tcPr>
          <w:p w:rsidR="00AD62FD" w:rsidP="00150E94" w:rsidRDefault="00093D19" w14:paraId="3F3A882D" w14:textId="186A0357">
            <w:pPr>
              <w:pStyle w:val="Standard"/>
              <w:spacing w:line="240" w:lineRule="auto"/>
              <w:ind w:firstLine="0"/>
            </w:pPr>
            <w:r>
              <w:t xml:space="preserve">Return on </w:t>
            </w:r>
            <w:r w:rsidR="00AD62FD">
              <w:t>Rate Base</w:t>
            </w:r>
          </w:p>
        </w:tc>
        <w:tc>
          <w:tcPr>
            <w:tcW w:w="2337" w:type="dxa"/>
          </w:tcPr>
          <w:p w:rsidR="00AD62FD" w:rsidP="00150E94" w:rsidRDefault="00AD62FD" w14:paraId="4386F27A" w14:textId="77777777">
            <w:pPr>
              <w:pStyle w:val="Standard"/>
              <w:spacing w:line="240" w:lineRule="auto"/>
              <w:ind w:firstLine="0"/>
              <w:jc w:val="center"/>
            </w:pPr>
            <w:r>
              <w:t>-1.48%</w:t>
            </w:r>
          </w:p>
        </w:tc>
        <w:tc>
          <w:tcPr>
            <w:tcW w:w="2338" w:type="dxa"/>
          </w:tcPr>
          <w:p w:rsidR="00AD62FD" w:rsidP="00150E94" w:rsidRDefault="00AD62FD" w14:paraId="2B11063E" w14:textId="77777777">
            <w:pPr>
              <w:pStyle w:val="Standard"/>
              <w:spacing w:line="240" w:lineRule="auto"/>
              <w:ind w:firstLine="0"/>
              <w:jc w:val="center"/>
            </w:pPr>
            <w:r>
              <w:t>6.15%</w:t>
            </w:r>
          </w:p>
        </w:tc>
        <w:tc>
          <w:tcPr>
            <w:tcW w:w="2338" w:type="dxa"/>
          </w:tcPr>
          <w:p w:rsidR="00AD62FD" w:rsidP="00150E94" w:rsidRDefault="00AD62FD" w14:paraId="47293CC8" w14:textId="77777777">
            <w:pPr>
              <w:pStyle w:val="Standard"/>
              <w:spacing w:line="240" w:lineRule="auto"/>
              <w:ind w:firstLine="0"/>
              <w:jc w:val="center"/>
            </w:pPr>
            <w:r>
              <w:t>13.80%</w:t>
            </w:r>
          </w:p>
        </w:tc>
      </w:tr>
      <w:tr w:rsidR="00AD62FD" w:rsidTr="00150E94" w14:paraId="20C076D9" w14:textId="77777777">
        <w:tc>
          <w:tcPr>
            <w:tcW w:w="2337" w:type="dxa"/>
          </w:tcPr>
          <w:p w:rsidR="00AD62FD" w:rsidP="00150E94" w:rsidRDefault="00AD62FD" w14:paraId="6C40C061" w14:textId="77777777">
            <w:pPr>
              <w:pStyle w:val="Standard"/>
              <w:spacing w:line="240" w:lineRule="auto"/>
              <w:ind w:firstLine="0"/>
            </w:pPr>
            <w:r>
              <w:t>Return on Equity</w:t>
            </w:r>
          </w:p>
        </w:tc>
        <w:tc>
          <w:tcPr>
            <w:tcW w:w="2337" w:type="dxa"/>
          </w:tcPr>
          <w:p w:rsidR="00AD62FD" w:rsidP="00150E94" w:rsidRDefault="00AD62FD" w14:paraId="0B214506" w14:textId="77777777">
            <w:pPr>
              <w:pStyle w:val="Standard"/>
              <w:spacing w:line="240" w:lineRule="auto"/>
              <w:ind w:firstLine="0"/>
              <w:jc w:val="center"/>
            </w:pPr>
            <w:r>
              <w:t>-5.53%</w:t>
            </w:r>
          </w:p>
        </w:tc>
        <w:tc>
          <w:tcPr>
            <w:tcW w:w="2338" w:type="dxa"/>
          </w:tcPr>
          <w:p w:rsidR="00AD62FD" w:rsidP="00150E94" w:rsidRDefault="00AD62FD" w14:paraId="1661AD5B" w14:textId="77777777">
            <w:pPr>
              <w:pStyle w:val="Standard"/>
              <w:spacing w:line="240" w:lineRule="auto"/>
              <w:ind w:firstLine="0"/>
              <w:jc w:val="center"/>
            </w:pPr>
            <w:r>
              <w:t>2.25%</w:t>
            </w:r>
          </w:p>
        </w:tc>
        <w:tc>
          <w:tcPr>
            <w:tcW w:w="2338" w:type="dxa"/>
          </w:tcPr>
          <w:p w:rsidR="00AD62FD" w:rsidP="00150E94" w:rsidRDefault="00AD62FD" w14:paraId="3C443C0C" w14:textId="77777777">
            <w:pPr>
              <w:pStyle w:val="Standard"/>
              <w:spacing w:line="240" w:lineRule="auto"/>
              <w:ind w:firstLine="0"/>
              <w:jc w:val="center"/>
            </w:pPr>
            <w:r>
              <w:t>15.00%</w:t>
            </w:r>
          </w:p>
        </w:tc>
      </w:tr>
    </w:tbl>
    <w:p w:rsidR="00372514" w:rsidP="00372514" w:rsidRDefault="00372514" w14:paraId="2B1F8035" w14:textId="77777777">
      <w:pPr>
        <w:pStyle w:val="Standard"/>
        <w:ind w:firstLine="0"/>
      </w:pPr>
    </w:p>
    <w:p w:rsidR="004E294A" w:rsidP="00372514" w:rsidRDefault="00372514" w14:paraId="2C895B27" w14:textId="3E7CA0CE">
      <w:pPr>
        <w:pStyle w:val="Standard"/>
        <w:ind w:firstLine="0"/>
      </w:pPr>
      <w:r w:rsidRPr="00372514">
        <w:t xml:space="preserve">Based on the evidence, including </w:t>
      </w:r>
      <w:r w:rsidR="005D5FC8">
        <w:t>Dr. </w:t>
      </w:r>
      <w:r w:rsidRPr="00372514">
        <w:t>Webb’s analys</w:t>
      </w:r>
      <w:r w:rsidR="00AF5385">
        <w:t>is</w:t>
      </w:r>
      <w:r w:rsidRPr="00372514">
        <w:t xml:space="preserve"> and market comparators, we find there is sufficient support to adopt a 12 percent cost of debt for ratemaking purposes.</w:t>
      </w:r>
    </w:p>
    <w:p w:rsidR="00E7437F" w:rsidP="00E45934" w:rsidRDefault="00E7437F" w14:paraId="2FB8AE24" w14:textId="5CF3CFE0">
      <w:pPr>
        <w:pStyle w:val="Heading2"/>
      </w:pPr>
      <w:r>
        <w:t>Return on Equity</w:t>
      </w:r>
      <w:r w:rsidR="00C14E06">
        <w:t xml:space="preserve"> </w:t>
      </w:r>
    </w:p>
    <w:p w:rsidR="007C1C0B" w:rsidP="00E7437F" w:rsidRDefault="00E7437F" w14:paraId="236318C5" w14:textId="77777777">
      <w:pPr>
        <w:pStyle w:val="Standard"/>
      </w:pPr>
      <w:r>
        <w:t xml:space="preserve">Crimson requests a </w:t>
      </w:r>
      <w:r w:rsidR="002C5FA5">
        <w:t xml:space="preserve">return on equity of 15%.  </w:t>
      </w:r>
      <w:r w:rsidR="00E33CD5">
        <w:t xml:space="preserve">In testimony, Dr. Webb indicated that Crimson’s financial situation has deteriorated materially since the issuance of D.24-05-007 and that Crimson’s cost of debt is now 12% and that </w:t>
      </w:r>
      <w:r w:rsidR="006012AE">
        <w:t>it is axiomatic that the return on equity exceed the cost of debt.</w:t>
      </w:r>
      <w:r w:rsidR="004104FD">
        <w:rPr>
          <w:rStyle w:val="FootnoteReference"/>
        </w:rPr>
        <w:footnoteReference w:id="21"/>
      </w:r>
      <w:r w:rsidR="00D2068B">
        <w:t xml:space="preserve">  </w:t>
      </w:r>
    </w:p>
    <w:p w:rsidR="00871E3D" w:rsidP="00896E49" w:rsidRDefault="005D5FC8" w14:paraId="3A03E38A" w14:textId="2B9B7923">
      <w:pPr>
        <w:pStyle w:val="Standard"/>
      </w:pPr>
      <w:r>
        <w:lastRenderedPageBreak/>
        <w:t>Dr. </w:t>
      </w:r>
      <w:r w:rsidRPr="00896E49" w:rsidR="00896E49">
        <w:t>Webb recommends a multi</w:t>
      </w:r>
      <w:r w:rsidRPr="00896E49" w:rsidR="00896E49">
        <w:noBreakHyphen/>
        <w:t xml:space="preserve">factor methodology to estimate an appropriate return on equity. </w:t>
      </w:r>
      <w:r w:rsidR="0092770F">
        <w:t xml:space="preserve"> </w:t>
      </w:r>
      <w:r w:rsidRPr="00896E49" w:rsidR="00896E49">
        <w:t>His approach comprises: (1) assessing the returns produced by a proxy group of sub</w:t>
      </w:r>
      <w:r w:rsidRPr="00896E49" w:rsidR="00896E49">
        <w:noBreakHyphen/>
        <w:t>investment</w:t>
      </w:r>
      <w:r w:rsidRPr="00896E49" w:rsidR="00896E49">
        <w:noBreakHyphen/>
        <w:t>grade midstream companies; (2) considering the equity premium implied by precedent in prior Commission decisions; and (3) calculating an equity return for investment</w:t>
      </w:r>
      <w:r w:rsidRPr="00896E49" w:rsidR="00896E49">
        <w:noBreakHyphen/>
        <w:t>grade firms using the Capital Asset Pricing Model and then adding a small</w:t>
      </w:r>
      <w:r w:rsidRPr="00896E49" w:rsidR="00896E49">
        <w:noBreakHyphen/>
        <w:t>company premium to reflect Crimson’s size and risk profile.</w:t>
      </w:r>
      <w:r w:rsidR="00896E49">
        <w:rPr>
          <w:rStyle w:val="FootnoteReference"/>
        </w:rPr>
        <w:footnoteReference w:id="22"/>
      </w:r>
      <w:r w:rsidR="00896E49">
        <w:t xml:space="preserve">  </w:t>
      </w:r>
      <w:r w:rsidR="00B96A14">
        <w:t xml:space="preserve">Based upon each of </w:t>
      </w:r>
      <w:r>
        <w:t>Dr. </w:t>
      </w:r>
      <w:r w:rsidR="0092770F">
        <w:t xml:space="preserve"> </w:t>
      </w:r>
      <w:r w:rsidR="00B96A14">
        <w:t xml:space="preserve">Webb’s </w:t>
      </w:r>
      <w:r w:rsidR="003B61F8">
        <w:t>criteria</w:t>
      </w:r>
      <w:r w:rsidR="00B96A14">
        <w:t xml:space="preserve">, </w:t>
      </w:r>
      <w:r>
        <w:t>Dr. </w:t>
      </w:r>
      <w:r w:rsidR="00B96A14">
        <w:t>Webb concludes that Crimson</w:t>
      </w:r>
      <w:r w:rsidR="003B61F8">
        <w:t xml:space="preserve"> requires a return on equity of 15%.</w:t>
      </w:r>
    </w:p>
    <w:p w:rsidR="00B91567" w:rsidP="00434351" w:rsidRDefault="00BE70C8" w14:paraId="2FEBE99C" w14:textId="74087F5E">
      <w:pPr>
        <w:pStyle w:val="Standard"/>
      </w:pPr>
      <w:r w:rsidRPr="00BE70C8">
        <w:t xml:space="preserve">We acknowledge that Crimson would be operating at a loss if this application </w:t>
      </w:r>
      <w:r w:rsidR="00BC0171">
        <w:t xml:space="preserve">was </w:t>
      </w:r>
      <w:r w:rsidRPr="00BE70C8">
        <w:t xml:space="preserve">not approved </w:t>
      </w:r>
      <w:r w:rsidR="00B01568">
        <w:t xml:space="preserve">and that Crimson’s </w:t>
      </w:r>
      <w:r w:rsidR="00BC0171">
        <w:t>financial insecurities would greatly affect the public.  W</w:t>
      </w:r>
      <w:r w:rsidRPr="00434351" w:rsidR="00434351">
        <w:t>e</w:t>
      </w:r>
      <w:r w:rsidR="008D2BD1">
        <w:t xml:space="preserve"> conclude</w:t>
      </w:r>
      <w:r w:rsidRPr="00434351" w:rsidR="00434351">
        <w:t xml:space="preserve"> that Crimson is entitled to a 15 percent return on equity for the period covered by this decision, </w:t>
      </w:r>
      <w:r w:rsidR="00C34BC9">
        <w:t>a</w:t>
      </w:r>
      <w:r w:rsidRPr="00434351" w:rsidR="00434351">
        <w:t xml:space="preserve"> conclusion </w:t>
      </w:r>
      <w:r w:rsidR="00C34BC9">
        <w:t>consistent with</w:t>
      </w:r>
      <w:r w:rsidR="008D2BD1">
        <w:t xml:space="preserve"> the fact </w:t>
      </w:r>
      <w:r w:rsidR="00B62BCA">
        <w:t xml:space="preserve">that no protest was filed to this </w:t>
      </w:r>
      <w:r w:rsidR="00C34BC9">
        <w:t>A</w:t>
      </w:r>
      <w:r w:rsidR="00B62BCA">
        <w:t>pplication.</w:t>
      </w:r>
      <w:r w:rsidR="005C418E">
        <w:t xml:space="preserve">  </w:t>
      </w:r>
    </w:p>
    <w:p w:rsidRPr="00E7437F" w:rsidR="003B61F8" w:rsidP="00434351" w:rsidRDefault="00C34BC9" w14:paraId="42FA4CCD" w14:textId="591D29D8">
      <w:pPr>
        <w:pStyle w:val="Standard"/>
      </w:pPr>
      <w:r>
        <w:t>Further, nothing in this decision should be construed</w:t>
      </w:r>
      <w:r w:rsidRPr="00434351" w:rsidR="00434351">
        <w:t xml:space="preserve"> as establishing entitlement to a 12 percent cost of debt or a 15 percent return on equity in future years</w:t>
      </w:r>
      <w:r w:rsidR="00434351">
        <w:t xml:space="preserve"> for Crimson</w:t>
      </w:r>
      <w:r w:rsidRPr="00434351" w:rsidR="00434351">
        <w:t>.</w:t>
      </w:r>
    </w:p>
    <w:p w:rsidR="006B56EC" w:rsidP="00E45934" w:rsidRDefault="005D5FC8" w14:paraId="73B7AAFE" w14:textId="20819991">
      <w:pPr>
        <w:pStyle w:val="Heading1"/>
      </w:pPr>
      <w:r>
        <w:t>Are There Any Safety Consideration</w:t>
      </w:r>
      <w:r w:rsidR="00C34BC9">
        <w:t>s</w:t>
      </w:r>
      <w:r>
        <w:t xml:space="preserve"> Raised </w:t>
      </w:r>
      <w:r w:rsidR="00CA022A">
        <w:t>b</w:t>
      </w:r>
      <w:r>
        <w:t>y Crimson’s Application</w:t>
      </w:r>
    </w:p>
    <w:p w:rsidR="00EF2CE2" w:rsidP="00DF167F" w:rsidRDefault="00DF167F" w14:paraId="00024A2D" w14:textId="1A92C438">
      <w:pPr>
        <w:pStyle w:val="Standard"/>
      </w:pPr>
      <w:r w:rsidRPr="00DF167F">
        <w:t>The third issue for consideration in this matter is that of safety considerations.</w:t>
      </w:r>
      <w:r>
        <w:t xml:space="preserve">  </w:t>
      </w:r>
      <w:r w:rsidR="00EF2CE2">
        <w:t>On September 2, 2025, Crimson was directed to provide</w:t>
      </w:r>
      <w:r w:rsidR="00CE0F39">
        <w:t xml:space="preserve"> evidence or testimony relating to safety considerations raised by its </w:t>
      </w:r>
      <w:r w:rsidR="00C34BC9">
        <w:t>A</w:t>
      </w:r>
      <w:r w:rsidR="00CE0F39">
        <w:t>pplication.</w:t>
      </w:r>
      <w:r w:rsidR="00EF2CE2">
        <w:t xml:space="preserve"> Crimson submitted its response on September 12, 2025.</w:t>
      </w:r>
    </w:p>
    <w:p w:rsidR="00EF2CE2" w:rsidP="00EF2CE2" w:rsidRDefault="00EF2CE2" w14:paraId="72E45578" w14:textId="0B7E6B11">
      <w:pPr>
        <w:pStyle w:val="Standard"/>
      </w:pPr>
      <w:r>
        <w:t xml:space="preserve">In its Response No. 2, Crimson indicates that no party has identified any safety concerns or related issues. </w:t>
      </w:r>
      <w:r w:rsidR="00EE5348">
        <w:t xml:space="preserve"> </w:t>
      </w:r>
      <w:r>
        <w:t xml:space="preserve">Crimson asserts that this </w:t>
      </w:r>
      <w:r w:rsidR="00C34BC9">
        <w:t>A</w:t>
      </w:r>
      <w:r>
        <w:t xml:space="preserve">pplication does not give rise to any safety considerations. </w:t>
      </w:r>
      <w:r w:rsidR="00EE5348">
        <w:t xml:space="preserve"> </w:t>
      </w:r>
      <w:r>
        <w:t xml:space="preserve">Additionally, Crimson states that the </w:t>
      </w:r>
      <w:r>
        <w:lastRenderedPageBreak/>
        <w:t xml:space="preserve">requested rate increases include </w:t>
      </w:r>
      <w:r w:rsidRPr="00CE0F39" w:rsidR="00CE0F39">
        <w:t xml:space="preserve">funding earmarked for safety investments </w:t>
      </w:r>
      <w:r>
        <w:t>and implementation of safety standards.</w:t>
      </w:r>
    </w:p>
    <w:p w:rsidRPr="0046158C" w:rsidR="00CD6A65" w:rsidP="008466C1" w:rsidRDefault="00EF2CE2" w14:paraId="4F7DEC8A" w14:textId="0BDE3309">
      <w:pPr>
        <w:pStyle w:val="Standard"/>
      </w:pPr>
      <w:r>
        <w:t xml:space="preserve">It is noted that safety remains a fundamental priority for the Commission and is integral to all facets of a utility’s operations. </w:t>
      </w:r>
      <w:r w:rsidR="00386EF1">
        <w:t xml:space="preserve"> </w:t>
      </w:r>
      <w:r w:rsidR="00AD1774">
        <w:t xml:space="preserve">As such, </w:t>
      </w:r>
      <w:r w:rsidR="000A590C">
        <w:t>we</w:t>
      </w:r>
      <w:r>
        <w:t xml:space="preserve"> </w:t>
      </w:r>
      <w:r w:rsidR="00AD1774">
        <w:t>find</w:t>
      </w:r>
      <w:r>
        <w:t xml:space="preserve"> that this </w:t>
      </w:r>
      <w:r w:rsidR="00DB38F2">
        <w:t>A</w:t>
      </w:r>
      <w:r>
        <w:t>pplication does not present any safety concerns.</w:t>
      </w:r>
    </w:p>
    <w:p w:rsidR="00FF49DA" w:rsidP="00E45934" w:rsidRDefault="00FF49DA" w14:paraId="72C713ED" w14:textId="70456B41">
      <w:pPr>
        <w:pStyle w:val="Heading1"/>
      </w:pPr>
      <w:r>
        <w:t>W</w:t>
      </w:r>
      <w:r w:rsidR="00F165C3">
        <w:t xml:space="preserve">hether Crimson’s </w:t>
      </w:r>
      <w:r w:rsidR="005D5FC8">
        <w:t>A</w:t>
      </w:r>
      <w:r w:rsidR="00F165C3">
        <w:t xml:space="preserve">pplication </w:t>
      </w:r>
      <w:r w:rsidR="005D5FC8">
        <w:t>I</w:t>
      </w:r>
      <w:r w:rsidR="00F165C3">
        <w:t xml:space="preserve">mpacts the </w:t>
      </w:r>
      <w:r w:rsidR="005D5FC8">
        <w:t>A</w:t>
      </w:r>
      <w:r w:rsidR="00F165C3">
        <w:t xml:space="preserve">chievement of </w:t>
      </w:r>
      <w:r w:rsidR="005D5FC8">
        <w:t>A</w:t>
      </w:r>
      <w:r w:rsidR="00F165C3">
        <w:t xml:space="preserve">ny </w:t>
      </w:r>
      <w:r w:rsidR="005D5FC8">
        <w:t>G</w:t>
      </w:r>
      <w:r w:rsidR="00F165C3">
        <w:t>oals of the Commission’s</w:t>
      </w:r>
      <w:r w:rsidR="005D5FC8">
        <w:t xml:space="preserve"> ESJ </w:t>
      </w:r>
      <w:r w:rsidR="00F165C3">
        <w:t>Action Plan</w:t>
      </w:r>
      <w:r w:rsidR="00C14E06">
        <w:t xml:space="preserve"> </w:t>
      </w:r>
    </w:p>
    <w:p w:rsidR="001B0B86" w:rsidP="00350B59" w:rsidRDefault="00C10749" w14:paraId="3B62A820" w14:textId="072AD32D">
      <w:pPr>
        <w:pStyle w:val="Standard"/>
      </w:pPr>
      <w:r w:rsidRPr="00C10749">
        <w:t xml:space="preserve">The final issue for our consideration is whether the </w:t>
      </w:r>
      <w:r w:rsidR="00350B59">
        <w:t>a</w:t>
      </w:r>
      <w:r w:rsidRPr="00C10749">
        <w:t xml:space="preserve">pplication negatively impacts any </w:t>
      </w:r>
      <w:r w:rsidR="006F0843">
        <w:t>ESJ</w:t>
      </w:r>
      <w:r w:rsidRPr="00C10749">
        <w:t xml:space="preserve"> communities.</w:t>
      </w:r>
      <w:r w:rsidR="006F0843">
        <w:t xml:space="preserve">  </w:t>
      </w:r>
      <w:r w:rsidR="00EA665A">
        <w:t xml:space="preserve">In its Response No. 2, Crimson notes that its customers are large </w:t>
      </w:r>
      <w:r w:rsidR="008C60C1">
        <w:t>commercial oil companies and the only entities that will be impacted by the rate increase.</w:t>
      </w:r>
      <w:r w:rsidR="008C60C1">
        <w:rPr>
          <w:rStyle w:val="FootnoteReference"/>
        </w:rPr>
        <w:footnoteReference w:id="23"/>
      </w:r>
      <w:r w:rsidRPr="001B0B86" w:rsidR="001B0B86">
        <w:t xml:space="preserve"> </w:t>
      </w:r>
    </w:p>
    <w:p w:rsidR="00F165C3" w:rsidP="001B0B86" w:rsidRDefault="001B0B86" w14:paraId="08DA0A5D" w14:textId="58F19D1E">
      <w:pPr>
        <w:pStyle w:val="Standard"/>
      </w:pPr>
      <w:r>
        <w:t xml:space="preserve">Crimson faces the prospect of operating </w:t>
      </w:r>
      <w:r w:rsidR="007F78B2">
        <w:t>its Southern California pipeline</w:t>
      </w:r>
      <w:r w:rsidR="002B3768">
        <w:t xml:space="preserve"> </w:t>
      </w:r>
      <w:r w:rsidR="007F78B2">
        <w:t>s</w:t>
      </w:r>
      <w:r>
        <w:t xml:space="preserve">ystem at a financial loss if the </w:t>
      </w:r>
      <w:r w:rsidR="003C25C5">
        <w:t>a</w:t>
      </w:r>
      <w:r>
        <w:t xml:space="preserve">pplication is not approved. </w:t>
      </w:r>
      <w:r w:rsidR="003C25C5">
        <w:t xml:space="preserve"> </w:t>
      </w:r>
      <w:r>
        <w:t xml:space="preserve">The rate increase </w:t>
      </w:r>
      <w:r w:rsidR="003C25C5">
        <w:t xml:space="preserve">request </w:t>
      </w:r>
      <w:r>
        <w:t xml:space="preserve">includes funding earmarked </w:t>
      </w:r>
      <w:r w:rsidRPr="00AD1774" w:rsidR="00AD1774">
        <w:t>for implementation of environmental protection</w:t>
      </w:r>
      <w:r>
        <w:t xml:space="preserve">, and insufficient revenue poses a significant risk to Crimson’s ability to adequately maintain the pipeline. </w:t>
      </w:r>
      <w:r w:rsidR="003C25C5">
        <w:t xml:space="preserve"> </w:t>
      </w:r>
      <w:r>
        <w:t xml:space="preserve">Failures in pipeline safety carry the potential for substantial environmental damage and public health hazards. </w:t>
      </w:r>
      <w:r w:rsidR="003C25C5">
        <w:t xml:space="preserve"> </w:t>
      </w:r>
      <w:r>
        <w:t xml:space="preserve">Ensuring that ESJ communities are protected necessitates that Crimson has sufficient revenues to </w:t>
      </w:r>
      <w:r w:rsidR="003C25C5">
        <w:t>guarantee</w:t>
      </w:r>
      <w:r w:rsidRPr="00350B59" w:rsidR="00350B59">
        <w:t xml:space="preserve"> safe operations.</w:t>
      </w:r>
      <w:r w:rsidR="003C25C5">
        <w:t xml:space="preserve">  </w:t>
      </w:r>
      <w:r w:rsidR="000A590C">
        <w:t>As such</w:t>
      </w:r>
      <w:r w:rsidRPr="00350B59" w:rsidR="00350B59">
        <w:t xml:space="preserve">, we find that Crimson’s </w:t>
      </w:r>
      <w:r w:rsidR="003C25C5">
        <w:t>a</w:t>
      </w:r>
      <w:r w:rsidRPr="00350B59" w:rsidR="00350B59">
        <w:t xml:space="preserve">pplication aligns with and supports the objectives of </w:t>
      </w:r>
      <w:r w:rsidR="00404B4E">
        <w:t>ESJ.</w:t>
      </w:r>
    </w:p>
    <w:p w:rsidR="00C3327F" w:rsidP="00E45934" w:rsidRDefault="00C3327F" w14:paraId="61F7BC32" w14:textId="5CA99945">
      <w:pPr>
        <w:pStyle w:val="Heading1"/>
      </w:pPr>
      <w:r>
        <w:t xml:space="preserve">Retroactive Recovery of Rate Increase </w:t>
      </w:r>
    </w:p>
    <w:p w:rsidRPr="00F165C3" w:rsidR="00C3327F" w:rsidP="00C3327F" w:rsidRDefault="00C3327F" w14:paraId="0F420566" w14:textId="12897DED">
      <w:pPr>
        <w:pStyle w:val="Standard"/>
      </w:pPr>
      <w:r>
        <w:t xml:space="preserve">Pub. Util. Code Section 455.3(b)(5) provides that the Commission shall determine the appropriateness of allowing retroactive charge and collection of subsequently approved rate increases above 10 percent. </w:t>
      </w:r>
      <w:r w:rsidR="008E29D7">
        <w:t xml:space="preserve"> </w:t>
      </w:r>
      <w:r>
        <w:t xml:space="preserve">The analysis set forth </w:t>
      </w:r>
      <w:r>
        <w:lastRenderedPageBreak/>
        <w:t xml:space="preserve">above that finds a rate increase of 26.35 percent just and reasonable also supports a determination that retroactive recovery of that rate increase with interest is appropriate. </w:t>
      </w:r>
      <w:r w:rsidR="008E29D7">
        <w:t xml:space="preserve"> </w:t>
      </w:r>
      <w:r>
        <w:t xml:space="preserve">As a result, we authorize </w:t>
      </w:r>
      <w:r w:rsidR="003D46CC">
        <w:t>the retroactive charge and collection of the difference between rates billed and the rates approved by this decision beginning August 1, 2024, including interest calculated at the 90-day commercial paper rate.</w:t>
      </w:r>
    </w:p>
    <w:p w:rsidR="00603238" w:rsidP="00E45934" w:rsidRDefault="00603238" w14:paraId="1D1DD216" w14:textId="31D1632C">
      <w:pPr>
        <w:pStyle w:val="Heading1"/>
      </w:pPr>
      <w:bookmarkStart w:name="_Toc133843852" w:id="7"/>
      <w:bookmarkStart w:name="_Toc8123721" w:id="8"/>
      <w:r>
        <w:t>Summary of Public Comment</w:t>
      </w:r>
      <w:bookmarkEnd w:id="7"/>
      <w:r w:rsidR="00C14E06">
        <w:t xml:space="preserve"> </w:t>
      </w:r>
    </w:p>
    <w:p w:rsidR="00E9073D" w:rsidP="00555E10" w:rsidRDefault="00603238" w14:paraId="037FA41B" w14:textId="1F0BAA93">
      <w:pPr>
        <w:pStyle w:val="Standard"/>
      </w:pPr>
      <w:r w:rsidRPr="00AE0708">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2B3768">
        <w:t xml:space="preserve"> </w:t>
      </w:r>
      <w:r w:rsidRPr="00430795" w:rsidR="00430795">
        <w:t xml:space="preserve"> </w:t>
      </w:r>
      <w:r w:rsidR="007F78B2">
        <w:t>No Public Comments under Rule 1.18 have been filed for this proceeding.</w:t>
      </w:r>
    </w:p>
    <w:p w:rsidR="00FA1B4F" w:rsidP="00E45934" w:rsidRDefault="005939A5" w14:paraId="707FD796" w14:textId="48D64DD9">
      <w:pPr>
        <w:pStyle w:val="Heading1"/>
      </w:pPr>
      <w:bookmarkStart w:name="_Toc133843853" w:id="9"/>
      <w:r>
        <w:t>Conclusion</w:t>
      </w:r>
      <w:bookmarkEnd w:id="8"/>
      <w:bookmarkEnd w:id="9"/>
      <w:r w:rsidR="00C14E06">
        <w:t xml:space="preserve"> </w:t>
      </w:r>
    </w:p>
    <w:p w:rsidRPr="00343E5C" w:rsidR="00343E5C" w:rsidP="00343E5C" w:rsidRDefault="00B8615D" w14:paraId="737E9325" w14:textId="6FCBD0E3">
      <w:pPr>
        <w:pStyle w:val="Standard"/>
      </w:pPr>
      <w:r>
        <w:t xml:space="preserve">The Commission authorizes Crimson to </w:t>
      </w:r>
      <w:r w:rsidRPr="009E4E35" w:rsidR="009E4E35">
        <w:t xml:space="preserve">increase the rates charged for the intrastate transportation of crude oil on its Southern California pipeline </w:t>
      </w:r>
      <w:r w:rsidR="002652C4">
        <w:t>system</w:t>
      </w:r>
      <w:r w:rsidRPr="009E4E35" w:rsidR="009E4E35">
        <w:t xml:space="preserve"> by 26.35% above the rates in effect prior to August 1, 2024.  </w:t>
      </w:r>
    </w:p>
    <w:p w:rsidR="004A1EAD" w:rsidP="00E45934" w:rsidRDefault="004A1EAD" w14:paraId="59DFE3CF" w14:textId="607566E1">
      <w:pPr>
        <w:pStyle w:val="Heading1"/>
      </w:pPr>
      <w:bookmarkStart w:name="_Toc8123723" w:id="10"/>
      <w:bookmarkStart w:name="_Toc133843854" w:id="11"/>
      <w:r>
        <w:t>Procedural Matters</w:t>
      </w:r>
      <w:r w:rsidR="00C14E06">
        <w:t xml:space="preserve"> </w:t>
      </w:r>
    </w:p>
    <w:p w:rsidRPr="008B175A" w:rsidR="004A1EAD" w:rsidP="004A1EAD" w:rsidRDefault="004A1EAD" w14:paraId="7D334F4B" w14:textId="2594A217">
      <w:pPr>
        <w:pStyle w:val="Standard"/>
      </w:pPr>
      <w:r w:rsidRPr="008B175A">
        <w:t>This decision affirms all rulings made by the ALJ and assigned Commissioner in this proceeding.</w:t>
      </w:r>
      <w:r w:rsidR="00787050">
        <w:t xml:space="preserve"> </w:t>
      </w:r>
      <w:r w:rsidRPr="008B175A">
        <w:t xml:space="preserve"> All motions not ruled on are deemed denied.</w:t>
      </w:r>
    </w:p>
    <w:p w:rsidR="005939A5" w:rsidP="00E45934" w:rsidRDefault="00555E10" w14:paraId="3475DAF2" w14:textId="72B6DC53">
      <w:pPr>
        <w:pStyle w:val="Heading1"/>
      </w:pPr>
      <w:r>
        <w:t>Waive</w:t>
      </w:r>
      <w:r w:rsidR="008C30FC">
        <w:t>r</w:t>
      </w:r>
      <w:r>
        <w:t xml:space="preserve"> of Comment Period</w:t>
      </w:r>
      <w:bookmarkEnd w:id="10"/>
      <w:bookmarkEnd w:id="11"/>
    </w:p>
    <w:p w:rsidR="00555E10" w:rsidP="00555E10" w:rsidRDefault="00555E10" w14:paraId="0A7B25A2" w14:textId="115B840C">
      <w:pPr>
        <w:pStyle w:val="Standard"/>
      </w:pPr>
      <w:bookmarkStart w:name="_Toc8123724" w:id="12"/>
      <w:bookmarkStart w:name="_Toc133843855" w:id="13"/>
      <w:r w:rsidRPr="00555E10">
        <w:t>This is an uncontested matter in which the decision grants the relief requested</w:t>
      </w:r>
      <w:r w:rsidR="002652C4">
        <w:t xml:space="preserve"> by Crimson pursuant to its revised proposals described in this decision</w:t>
      </w:r>
      <w:r w:rsidR="0092770F">
        <w:t xml:space="preserve">.  </w:t>
      </w:r>
      <w:r w:rsidRPr="00555E10">
        <w:t>Accordingly, pursuant to Pub</w:t>
      </w:r>
      <w:r w:rsidR="008C30FC">
        <w:t>.</w:t>
      </w:r>
      <w:r w:rsidRPr="00555E10">
        <w:t xml:space="preserve"> Util</w:t>
      </w:r>
      <w:r w:rsidR="008C30FC">
        <w:t>.</w:t>
      </w:r>
      <w:r w:rsidRPr="00555E10">
        <w:t xml:space="preserve"> Code </w:t>
      </w:r>
      <w:r w:rsidR="008C30FC">
        <w:t>Section </w:t>
      </w:r>
      <w:r w:rsidRPr="00555E10">
        <w:t>311(g)(2), the otherwise applicable 30-day period for public review and comment is waived.</w:t>
      </w:r>
    </w:p>
    <w:p w:rsidR="005939A5" w:rsidP="00E45934" w:rsidRDefault="005939A5" w14:paraId="608FDBA7" w14:textId="36E1AB73">
      <w:pPr>
        <w:pStyle w:val="Heading1"/>
      </w:pPr>
      <w:r>
        <w:lastRenderedPageBreak/>
        <w:t>Assignment of Proceeding</w:t>
      </w:r>
      <w:bookmarkEnd w:id="12"/>
      <w:bookmarkEnd w:id="13"/>
    </w:p>
    <w:p w:rsidR="005939A5" w:rsidP="006E6574" w:rsidRDefault="002B2C05" w14:paraId="09EA6EB0" w14:textId="120591C7">
      <w:pPr>
        <w:pStyle w:val="Standard"/>
      </w:pPr>
      <w:r>
        <w:t xml:space="preserve">Matthew Baker </w:t>
      </w:r>
      <w:r w:rsidR="005939A5">
        <w:t>is the assigned Commissioner and</w:t>
      </w:r>
      <w:r>
        <w:t xml:space="preserve"> Minh LeQuang </w:t>
      </w:r>
      <w:r w:rsidR="005939A5">
        <w:t>is the assigned ALJ in this proceeding.</w:t>
      </w:r>
    </w:p>
    <w:p w:rsidR="005939A5" w:rsidP="005939A5" w:rsidRDefault="005939A5" w14:paraId="01A50153" w14:textId="77777777">
      <w:pPr>
        <w:pStyle w:val="Dummy"/>
      </w:pPr>
      <w:bookmarkStart w:name="_Toc8123725" w:id="14"/>
      <w:bookmarkStart w:name="_Toc133843856" w:id="15"/>
      <w:r>
        <w:t>Findings of Fact</w:t>
      </w:r>
      <w:bookmarkEnd w:id="14"/>
      <w:bookmarkEnd w:id="15"/>
    </w:p>
    <w:p w:rsidR="00A27EA7" w:rsidP="00A27EA7" w:rsidRDefault="00A27EA7" w14:paraId="72C410E5" w14:textId="07DCAF2C">
      <w:pPr>
        <w:pStyle w:val="FoF"/>
      </w:pPr>
      <w:r w:rsidRPr="00A27EA7">
        <w:t>Crimson owns and operates a network of six common carrier crude oil pipeline systems in Southern California.  The systems total approximately 300</w:t>
      </w:r>
      <w:r w:rsidR="00C14E06">
        <w:t> </w:t>
      </w:r>
      <w:r w:rsidRPr="00A27EA7">
        <w:t xml:space="preserve">miles of pipeline connecting various producing oil fields to refineries in </w:t>
      </w:r>
      <w:r w:rsidR="002652C4">
        <w:t xml:space="preserve">the </w:t>
      </w:r>
      <w:r w:rsidRPr="00A27EA7">
        <w:t>Los Angeles</w:t>
      </w:r>
      <w:r w:rsidR="002652C4">
        <w:t xml:space="preserve"> Basin</w:t>
      </w:r>
      <w:r w:rsidRPr="00A27EA7">
        <w:t>.  Its systems include crude oil pipelines and related infrastructure.</w:t>
      </w:r>
    </w:p>
    <w:p w:rsidRPr="00A27EA7" w:rsidR="002F5950" w:rsidP="00A27EA7" w:rsidRDefault="002F5950" w14:paraId="6F1B5931" w14:textId="3447E806">
      <w:pPr>
        <w:pStyle w:val="FoF"/>
      </w:pPr>
      <w:r>
        <w:t xml:space="preserve">Pipeline </w:t>
      </w:r>
      <w:r w:rsidR="0030501E">
        <w:t xml:space="preserve">corporations are public utilities under Pub. Util. Code </w:t>
      </w:r>
      <w:r w:rsidR="008C30FC">
        <w:t>Section </w:t>
      </w:r>
      <w:r w:rsidR="0030501E">
        <w:t>216(a).</w:t>
      </w:r>
    </w:p>
    <w:p w:rsidR="007774A9" w:rsidP="007774A9" w:rsidRDefault="007774A9" w14:paraId="4F26C9C8" w14:textId="26ED08B3">
      <w:pPr>
        <w:pStyle w:val="FoF"/>
      </w:pPr>
      <w:r w:rsidRPr="007774A9">
        <w:t xml:space="preserve">In the </w:t>
      </w:r>
      <w:r w:rsidR="002652C4">
        <w:t>A</w:t>
      </w:r>
      <w:r w:rsidRPr="007774A9">
        <w:t>pplication, Crimson requests authority for a 1</w:t>
      </w:r>
      <w:r w:rsidR="008F3155">
        <w:t>0</w:t>
      </w:r>
      <w:r w:rsidR="00C14E06">
        <w:t> </w:t>
      </w:r>
      <w:r w:rsidR="008F3155">
        <w:t>percent</w:t>
      </w:r>
      <w:r w:rsidRPr="007774A9">
        <w:t xml:space="preserve"> rate increase</w:t>
      </w:r>
      <w:r>
        <w:t xml:space="preserve"> </w:t>
      </w:r>
      <w:r w:rsidR="002652C4">
        <w:t>effective August 1, 2024, and</w:t>
      </w:r>
      <w:r>
        <w:t xml:space="preserve"> a 36.92</w:t>
      </w:r>
      <w:r w:rsidR="008F3155">
        <w:t xml:space="preserve"> percent </w:t>
      </w:r>
      <w:r w:rsidR="002652C4">
        <w:t xml:space="preserve">rate increase </w:t>
      </w:r>
      <w:r w:rsidRPr="007774A9">
        <w:t xml:space="preserve">effective </w:t>
      </w:r>
      <w:r w:rsidR="002652C4">
        <w:t>the first day of the month following the Commission’s issuance of a decision.</w:t>
      </w:r>
    </w:p>
    <w:p w:rsidR="00CB654E" w:rsidP="007774A9" w:rsidRDefault="00CB654E" w14:paraId="6F656073" w14:textId="718626FD">
      <w:pPr>
        <w:pStyle w:val="FoF"/>
      </w:pPr>
      <w:r>
        <w:t xml:space="preserve">The </w:t>
      </w:r>
      <w:r w:rsidR="002652C4">
        <w:t>A</w:t>
      </w:r>
      <w:r>
        <w:t>pplication is unopposed.</w:t>
      </w:r>
    </w:p>
    <w:p w:rsidRPr="007774A9" w:rsidR="00971106" w:rsidP="007774A9" w:rsidRDefault="00971106" w14:paraId="036938DC" w14:textId="3FAB7E44">
      <w:pPr>
        <w:pStyle w:val="FoF"/>
      </w:pPr>
      <w:r>
        <w:t>Crimson applied for the revenues it determined necessary to conduct its business reasonably, reliably and safely.</w:t>
      </w:r>
    </w:p>
    <w:p w:rsidRPr="0010268A" w:rsidR="008E6AE6" w:rsidP="00004CFA" w:rsidRDefault="007439A4" w14:paraId="23ED7046" w14:textId="5CC2BBD7">
      <w:pPr>
        <w:pStyle w:val="FoF"/>
      </w:pPr>
      <w:r w:rsidRPr="0010268A">
        <w:t>Crimson’s operating costs are $</w:t>
      </w:r>
      <w:r w:rsidR="0092070C">
        <w:t>34,609,497.00.</w:t>
      </w:r>
    </w:p>
    <w:p w:rsidRPr="0010268A" w:rsidR="007439A4" w:rsidP="00004CFA" w:rsidRDefault="007439A4" w14:paraId="5E263F65" w14:textId="1D128D50">
      <w:pPr>
        <w:pStyle w:val="FoF"/>
      </w:pPr>
      <w:r w:rsidRPr="0010268A">
        <w:t>Crimson’s rate base is $</w:t>
      </w:r>
      <w:r w:rsidR="001D30BA">
        <w:t>58,586,189.00</w:t>
      </w:r>
      <w:r w:rsidR="002652C4">
        <w:t>.</w:t>
      </w:r>
    </w:p>
    <w:p w:rsidR="001C613C" w:rsidP="00F67803" w:rsidRDefault="001C613C" w14:paraId="108BF098" w14:textId="65AE0248">
      <w:pPr>
        <w:pStyle w:val="FoF"/>
      </w:pPr>
      <w:r>
        <w:t>Crimson’s cost of debt is 12 percent.</w:t>
      </w:r>
      <w:r w:rsidR="00F67803">
        <w:t xml:space="preserve"> </w:t>
      </w:r>
    </w:p>
    <w:p w:rsidR="00695F09" w:rsidP="00004CFA" w:rsidRDefault="00695F09" w14:paraId="786AD950" w14:textId="3A25D6C9">
      <w:pPr>
        <w:pStyle w:val="FoF"/>
      </w:pPr>
      <w:r>
        <w:t xml:space="preserve">Crimson reasonably prioritizes </w:t>
      </w:r>
      <w:r w:rsidR="00620686">
        <w:t>safety and devotes adequate funds to achieve the required and necessary safety.</w:t>
      </w:r>
    </w:p>
    <w:p w:rsidRPr="001E2A62" w:rsidR="00910624" w:rsidP="00C14E06" w:rsidRDefault="00910624" w14:paraId="06294BD3" w14:textId="3405D566">
      <w:pPr>
        <w:pStyle w:val="FoF"/>
      </w:pPr>
      <w:r>
        <w:t xml:space="preserve">A rate increase advances the goals of the ESJ Action Plan by improving environmental protection </w:t>
      </w:r>
      <w:r w:rsidR="00974318">
        <w:t>for</w:t>
      </w:r>
      <w:r>
        <w:t xml:space="preserve"> ESJ Communities.</w:t>
      </w:r>
    </w:p>
    <w:p w:rsidR="005939A5" w:rsidP="005939A5" w:rsidRDefault="005939A5" w14:paraId="66F90488" w14:textId="26489BF8">
      <w:pPr>
        <w:pStyle w:val="Dummy"/>
      </w:pPr>
      <w:bookmarkStart w:name="_Toc8123726" w:id="16"/>
      <w:bookmarkStart w:name="_Toc133843857" w:id="17"/>
      <w:r>
        <w:lastRenderedPageBreak/>
        <w:t>Conclusions of Law</w:t>
      </w:r>
      <w:bookmarkEnd w:id="16"/>
      <w:bookmarkEnd w:id="17"/>
    </w:p>
    <w:p w:rsidR="00932865" w:rsidP="001E2A62" w:rsidRDefault="00C3450D" w14:paraId="7A2FC875" w14:textId="6F5DE875">
      <w:pPr>
        <w:pStyle w:val="CoL"/>
      </w:pPr>
      <w:r>
        <w:t>Crimson’s</w:t>
      </w:r>
      <w:r w:rsidR="00620686">
        <w:t xml:space="preserve"> rate increase</w:t>
      </w:r>
      <w:r w:rsidR="001435B2">
        <w:t xml:space="preserve"> request sought in this </w:t>
      </w:r>
      <w:r>
        <w:t>A</w:t>
      </w:r>
      <w:r w:rsidR="001435B2">
        <w:t>pplication complies with and is consistent with all applicable Pub</w:t>
      </w:r>
      <w:r w:rsidR="00C14E06">
        <w:t>.</w:t>
      </w:r>
      <w:r w:rsidR="001435B2">
        <w:t xml:space="preserve"> Util</w:t>
      </w:r>
      <w:r w:rsidR="00C14E06">
        <w:t>.</w:t>
      </w:r>
      <w:r w:rsidR="001435B2">
        <w:t xml:space="preserve"> Code Sections, GOs, </w:t>
      </w:r>
      <w:r w:rsidR="00EC1AC0">
        <w:t>r</w:t>
      </w:r>
      <w:r w:rsidR="001435B2">
        <w:t>ules and Commission decisions.</w:t>
      </w:r>
    </w:p>
    <w:p w:rsidRPr="001E2A62" w:rsidR="00C3450D" w:rsidP="001E2A62" w:rsidRDefault="00C3450D" w14:paraId="49FD0E49" w14:textId="0415854D">
      <w:pPr>
        <w:pStyle w:val="CoL"/>
      </w:pPr>
      <w:r>
        <w:t>Crimson’s proposals for a 60/40 equity-to-debt capital structure, a return on rate base of 13.80 percent, and a return on equity of 15 percent are reasonable and should be adopted.</w:t>
      </w:r>
    </w:p>
    <w:p w:rsidR="00932865" w:rsidP="001E2A62" w:rsidRDefault="001435B2" w14:paraId="162A1A01" w14:textId="0792DA3E">
      <w:pPr>
        <w:pStyle w:val="CoL"/>
      </w:pPr>
      <w:r>
        <w:t xml:space="preserve">A rate increase of 26.35% </w:t>
      </w:r>
      <w:r w:rsidR="003D46CC">
        <w:t xml:space="preserve">by Crimson </w:t>
      </w:r>
      <w:r>
        <w:t>is justified, reasonable</w:t>
      </w:r>
      <w:r w:rsidR="00CF3981">
        <w:t>, in the public interest and should be authorized.</w:t>
      </w:r>
    </w:p>
    <w:p w:rsidRPr="001E2A62" w:rsidR="003D46CC" w:rsidP="001E2A62" w:rsidRDefault="003D46CC" w14:paraId="59D1A6CB" w14:textId="6CEFCAEB">
      <w:pPr>
        <w:pStyle w:val="CoL"/>
      </w:pPr>
      <w:r>
        <w:t>The retroactive charge and collection by Crimson of the difference between rates billed and the rates approved by this decision beginning August 1, 2024, including interest calculated at the 90-day commercial paper rate, should be authorized.</w:t>
      </w:r>
    </w:p>
    <w:p w:rsidR="008F143D" w:rsidP="00D44DB6" w:rsidRDefault="00CF3981" w14:paraId="6834689C" w14:textId="6135D57F">
      <w:pPr>
        <w:pStyle w:val="CoL"/>
      </w:pPr>
      <w:r>
        <w:t>Like all utilities under the Commission’s jurisdiction, Crimson should be responsible for fulfilling its vital obligations to operate safely in all aspects of its business.</w:t>
      </w:r>
    </w:p>
    <w:p w:rsidRPr="001E2A62" w:rsidR="00CF3981" w:rsidP="00D44DB6" w:rsidRDefault="00CF3981" w14:paraId="30DCDE06" w14:textId="1A5A4F87">
      <w:pPr>
        <w:pStyle w:val="CoL"/>
      </w:pPr>
      <w:r>
        <w:t>This proceeding should be closed.</w:t>
      </w:r>
    </w:p>
    <w:p w:rsidR="00BB0243" w:rsidP="00555E10" w:rsidRDefault="005939A5" w14:paraId="3D9E171E" w14:textId="77777777">
      <w:pPr>
        <w:pStyle w:val="Mainex"/>
        <w:spacing w:before="180" w:after="120" w:line="240" w:lineRule="auto"/>
      </w:pPr>
      <w:bookmarkStart w:name="_Toc133843858" w:id="18"/>
      <w:r>
        <w:t>O</w:t>
      </w:r>
      <w:r w:rsidR="00722850">
        <w:t>RDER</w:t>
      </w:r>
      <w:bookmarkEnd w:id="18"/>
    </w:p>
    <w:p w:rsidR="00BB0243" w:rsidP="00555E10" w:rsidRDefault="00BB0243" w14:paraId="74E9A9B2" w14:textId="77777777">
      <w:pPr>
        <w:keepNext/>
      </w:pPr>
      <w:r w:rsidRPr="00BB0243">
        <w:rPr>
          <w:b/>
        </w:rPr>
        <w:t>IT IS ORDERED</w:t>
      </w:r>
      <w:r>
        <w:t xml:space="preserve"> that:</w:t>
      </w:r>
    </w:p>
    <w:p w:rsidR="00C3450D" w:rsidP="00C3450D" w:rsidRDefault="00C3450D" w14:paraId="0D65E5EE" w14:textId="6B934CD2">
      <w:pPr>
        <w:pStyle w:val="OP"/>
      </w:pPr>
      <w:r>
        <w:t>Crimson California Pipeline L.P.’s proposals for a 60/40 equity-to-debt capital structure, a return on rate base of 13.80 percent, and a return on equity of 15 percent are adopted.</w:t>
      </w:r>
    </w:p>
    <w:p w:rsidR="00932865" w:rsidP="001E2A62" w:rsidRDefault="00997881" w14:paraId="431FFCA9" w14:textId="4A2876E4">
      <w:pPr>
        <w:pStyle w:val="OP"/>
      </w:pPr>
      <w:r w:rsidRPr="00997881">
        <w:t xml:space="preserve">Crimson California Pipeline L.P. is authorized to increase its rates for transportation of crude petroleum products on its Southern California Pipeline System by </w:t>
      </w:r>
      <w:r>
        <w:t>26.35</w:t>
      </w:r>
      <w:r w:rsidRPr="00997881">
        <w:t xml:space="preserve"> percent effective August 1, 202</w:t>
      </w:r>
      <w:r>
        <w:t>4</w:t>
      </w:r>
      <w:r w:rsidRPr="00997881">
        <w:t>.</w:t>
      </w:r>
    </w:p>
    <w:p w:rsidRPr="001E2A62" w:rsidR="003D46CC" w:rsidP="001E2A62" w:rsidRDefault="003D46CC" w14:paraId="12D14771" w14:textId="36F3CB87">
      <w:pPr>
        <w:pStyle w:val="OP"/>
      </w:pPr>
      <w:r>
        <w:lastRenderedPageBreak/>
        <w:t>Crimson California Pipeline L.P. is authorized to retroactively charge and collect the difference between rates billed and the rates approved by this decision beginning August 1, 2024, including interest calculated at the 90-day commercial paper rate,</w:t>
      </w:r>
    </w:p>
    <w:p w:rsidR="00F6397D" w:rsidP="00DE5763" w:rsidRDefault="00E23CBB" w14:paraId="3D2CC7EC" w14:textId="1FC63C6C">
      <w:pPr>
        <w:pStyle w:val="OP"/>
        <w:keepNext/>
      </w:pPr>
      <w:r w:rsidRPr="001E2A62">
        <w:t>Application</w:t>
      </w:r>
      <w:r w:rsidR="00555E10">
        <w:t> </w:t>
      </w:r>
      <w:r w:rsidRPr="00997881" w:rsidR="00997881">
        <w:t>24-06-019</w:t>
      </w:r>
      <w:r w:rsidR="00997881">
        <w:t xml:space="preserve"> </w:t>
      </w:r>
      <w:r w:rsidRPr="001E2A62">
        <w:t>is closed.</w:t>
      </w:r>
    </w:p>
    <w:p w:rsidR="008F0116" w:rsidP="00DE5763" w:rsidRDefault="008F0116" w14:paraId="79FE6B1E" w14:textId="77777777">
      <w:pPr>
        <w:pStyle w:val="Standard"/>
        <w:keepNext/>
      </w:pPr>
      <w:r>
        <w:t>This order is effective today.</w:t>
      </w:r>
    </w:p>
    <w:p w:rsidR="00714CF2" w:rsidP="00DE5763" w:rsidRDefault="008F0116" w14:paraId="30605B8E" w14:textId="77777777">
      <w:pPr>
        <w:pStyle w:val="Standard"/>
        <w:keepNext/>
      </w:pPr>
      <w:r>
        <w:t xml:space="preserve">Dated </w:t>
      </w:r>
      <w:r>
        <w:rPr>
          <w:u w:val="single"/>
        </w:rPr>
        <w:tab/>
      </w:r>
      <w:r>
        <w:rPr>
          <w:u w:val="single"/>
        </w:rPr>
        <w:tab/>
      </w:r>
      <w:r>
        <w:rPr>
          <w:u w:val="single"/>
        </w:rPr>
        <w:tab/>
      </w:r>
      <w:r>
        <w:rPr>
          <w:u w:val="single"/>
        </w:rPr>
        <w:tab/>
      </w:r>
      <w:r>
        <w:rPr>
          <w:u w:val="single"/>
        </w:rPr>
        <w:tab/>
      </w:r>
      <w:r>
        <w:t>, at San Francisco, California</w:t>
      </w:r>
    </w:p>
    <w:p w:rsidR="00555E10" w:rsidP="00DE5763" w:rsidRDefault="00555E10" w14:paraId="53CAC82F" w14:textId="77777777">
      <w:pPr>
        <w:keepNext/>
      </w:pPr>
    </w:p>
    <w:p w:rsidR="00555E10" w:rsidP="00DE5763" w:rsidRDefault="00555E10" w14:paraId="1CE8B12B" w14:textId="77777777">
      <w:pPr>
        <w:keepNext/>
      </w:pPr>
    </w:p>
    <w:p w:rsidRPr="00714CF2" w:rsidR="00555E10" w:rsidP="00DE5763" w:rsidRDefault="00555E10" w14:paraId="54D77B45" w14:textId="77777777">
      <w:pPr>
        <w:keepNext/>
      </w:pPr>
    </w:p>
    <w:sectPr w:rsidRPr="00714CF2" w:rsidR="00555E10" w:rsidSect="00E22894">
      <w:headerReference w:type="default" r:id="rId13"/>
      <w:footerReference w:type="default" r:id="rId14"/>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2B46" w14:textId="77777777" w:rsidR="001F6C86" w:rsidRDefault="001F6C86" w:rsidP="0098138E">
      <w:pPr>
        <w:spacing w:line="240" w:lineRule="auto"/>
      </w:pPr>
      <w:r>
        <w:separator/>
      </w:r>
    </w:p>
  </w:endnote>
  <w:endnote w:type="continuationSeparator" w:id="0">
    <w:p w14:paraId="0899034F" w14:textId="77777777" w:rsidR="001F6C86" w:rsidRDefault="001F6C8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463A" w14:textId="3628FB46" w:rsidR="00E22894" w:rsidRDefault="00726FBA" w:rsidP="00726FBA">
    <w:pPr>
      <w:tabs>
        <w:tab w:val="center" w:pos="4680"/>
      </w:tabs>
      <w:spacing w:line="240" w:lineRule="auto"/>
      <w:ind w:firstLine="0"/>
    </w:pPr>
    <w:r w:rsidRPr="00A07A32">
      <w:rPr>
        <w:sz w:val="16"/>
        <w:szCs w:val="16"/>
      </w:rPr>
      <w:t>584610997</w:t>
    </w:r>
    <w:r>
      <w:tab/>
    </w:r>
    <w:r w:rsidR="00E22894">
      <w:t>-</w:t>
    </w:r>
    <w:sdt>
      <w:sdtPr>
        <w:id w:val="2120796388"/>
        <w:docPartObj>
          <w:docPartGallery w:val="Page Numbers (Bottom of Page)"/>
          <w:docPartUnique/>
        </w:docPartObj>
      </w:sdtPr>
      <w:sdtEndPr>
        <w:rPr>
          <w:noProof/>
        </w:rPr>
      </w:sdtEndPr>
      <w:sdtContent>
        <w:r w:rsidR="00E22894">
          <w:t xml:space="preserve"> </w:t>
        </w:r>
        <w:r w:rsidR="00E22894">
          <w:fldChar w:fldCharType="begin"/>
        </w:r>
        <w:r w:rsidR="00E22894">
          <w:instrText xml:space="preserve"> PAGE   \* MERGEFORMAT </w:instrText>
        </w:r>
        <w:r w:rsidR="00E22894">
          <w:fldChar w:fldCharType="separate"/>
        </w:r>
        <w:r w:rsidR="00E22894">
          <w:rPr>
            <w:noProof/>
          </w:rPr>
          <w:t>2</w:t>
        </w:r>
        <w:r w:rsidR="00E22894">
          <w:rPr>
            <w:noProof/>
          </w:rPr>
          <w:fldChar w:fldCharType="end"/>
        </w:r>
        <w:r w:rsidR="00E22894">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EFB9" w14:textId="386EFF1A" w:rsidR="00726FBA" w:rsidRDefault="00726FBA" w:rsidP="00726FBA">
    <w:pPr>
      <w:tabs>
        <w:tab w:val="center" w:pos="4680"/>
      </w:tabs>
      <w:spacing w:line="240" w:lineRule="auto"/>
      <w:ind w:firstLine="0"/>
      <w:jc w:val="center"/>
    </w:pPr>
    <w:r>
      <w:t>-</w:t>
    </w:r>
    <w:sdt>
      <w:sdtPr>
        <w:id w:val="2125651935"/>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6475" w14:textId="77777777" w:rsidR="001F6C86" w:rsidRDefault="001F6C86" w:rsidP="00DF58E7">
      <w:pPr>
        <w:spacing w:line="240" w:lineRule="auto"/>
        <w:ind w:firstLine="0"/>
      </w:pPr>
      <w:r>
        <w:separator/>
      </w:r>
    </w:p>
  </w:footnote>
  <w:footnote w:type="continuationSeparator" w:id="0">
    <w:p w14:paraId="13AECFC1" w14:textId="77777777" w:rsidR="001F6C86" w:rsidRDefault="001F6C86" w:rsidP="00DF58E7">
      <w:pPr>
        <w:spacing w:line="240" w:lineRule="auto"/>
        <w:ind w:firstLine="0"/>
      </w:pPr>
      <w:r>
        <w:continuationSeparator/>
      </w:r>
    </w:p>
  </w:footnote>
  <w:footnote w:type="continuationNotice" w:id="1">
    <w:p w14:paraId="1AA4FFE4" w14:textId="77777777" w:rsidR="001F6C86" w:rsidRPr="00DF58E7" w:rsidRDefault="001F6C86" w:rsidP="00DF58E7">
      <w:pPr>
        <w:spacing w:line="240" w:lineRule="auto"/>
        <w:ind w:firstLine="0"/>
        <w:jc w:val="right"/>
        <w:rPr>
          <w:i/>
          <w:sz w:val="22"/>
        </w:rPr>
      </w:pPr>
      <w:r w:rsidRPr="00DF58E7">
        <w:rPr>
          <w:i/>
          <w:sz w:val="22"/>
        </w:rPr>
        <w:t>Footnote continued on next page.</w:t>
      </w:r>
    </w:p>
  </w:footnote>
  <w:footnote w:id="2">
    <w:p w14:paraId="16E0A202" w14:textId="6E737744" w:rsidR="008A7BD3" w:rsidRDefault="008A7BD3" w:rsidP="008C30FC">
      <w:pPr>
        <w:pStyle w:val="FootnoteText"/>
      </w:pPr>
      <w:r>
        <w:rPr>
          <w:rStyle w:val="FootnoteReference"/>
        </w:rPr>
        <w:footnoteRef/>
      </w:r>
      <w:r>
        <w:t xml:space="preserve"> April 21, 2025 </w:t>
      </w:r>
      <w:r w:rsidR="00BF01A4">
        <w:t xml:space="preserve">Ruling </w:t>
      </w:r>
      <w:r>
        <w:t xml:space="preserve">at 1.  The </w:t>
      </w:r>
      <w:r w:rsidR="00BF01A4">
        <w:t>April 21, 2025 R</w:t>
      </w:r>
      <w:r>
        <w:t xml:space="preserve">uling also requested additional information for the following: 1) Why Crimson did not file advice letters for the years 2023 and 2024; 2) Why the List of Equity shows Additional Paid-in Capital ($185,044,573.81) is negative; and 3) </w:t>
      </w:r>
      <w:r w:rsidR="00B3454F">
        <w:t>W</w:t>
      </w:r>
      <w:r>
        <w:t xml:space="preserve">hy </w:t>
      </w:r>
      <w:r w:rsidR="00BD22F7">
        <w:t xml:space="preserve">the </w:t>
      </w:r>
      <w:r>
        <w:t xml:space="preserve">Income Statement includes an Impairment Expense ($61,473,614.40) as a line item.  </w:t>
      </w:r>
    </w:p>
  </w:footnote>
  <w:footnote w:id="3">
    <w:p w14:paraId="03DE391F" w14:textId="35144DCB" w:rsidR="00303E8C" w:rsidRDefault="00303E8C" w:rsidP="008C30FC">
      <w:pPr>
        <w:pStyle w:val="FootnoteText"/>
      </w:pPr>
      <w:r>
        <w:rPr>
          <w:rStyle w:val="FootnoteReference"/>
        </w:rPr>
        <w:footnoteRef/>
      </w:r>
      <w:r>
        <w:t xml:space="preserve"> </w:t>
      </w:r>
      <w:r w:rsidR="00BD22F7">
        <w:t>The September</w:t>
      </w:r>
      <w:r w:rsidR="00861BC0">
        <w:t xml:space="preserve"> 2, 2025</w:t>
      </w:r>
      <w:r w:rsidR="00BD22F7">
        <w:t xml:space="preserve"> </w:t>
      </w:r>
      <w:r w:rsidRPr="00303E8C">
        <w:t>Ruling requir</w:t>
      </w:r>
      <w:r w:rsidR="00BD22F7">
        <w:t>ed</w:t>
      </w:r>
      <w:r w:rsidRPr="00303E8C">
        <w:t xml:space="preserve"> Crimson to file testimonies or evidence addressing Scoping Memo Issue Nos.</w:t>
      </w:r>
      <w:r w:rsidR="008C30FC">
        <w:t> </w:t>
      </w:r>
      <w:r w:rsidRPr="00303E8C">
        <w:t>4-5 and provide comments on the ALJ’s intention to receive evidence from A.23-03-001 into the record.</w:t>
      </w:r>
    </w:p>
  </w:footnote>
  <w:footnote w:id="4">
    <w:p w14:paraId="318FE1EF" w14:textId="0F580C4E" w:rsidR="004D796C" w:rsidRDefault="004D796C" w:rsidP="008C30FC">
      <w:pPr>
        <w:pStyle w:val="FootnoteText"/>
      </w:pPr>
      <w:r>
        <w:rPr>
          <w:rStyle w:val="FootnoteReference"/>
        </w:rPr>
        <w:footnoteRef/>
      </w:r>
      <w:r>
        <w:t xml:space="preserve"> </w:t>
      </w:r>
      <w:r w:rsidR="000B7695">
        <w:t>Decision (D.)</w:t>
      </w:r>
      <w:r w:rsidR="008C30FC">
        <w:t> </w:t>
      </w:r>
      <w:r>
        <w:t>D.20-11-026 at 11.</w:t>
      </w:r>
    </w:p>
  </w:footnote>
  <w:footnote w:id="5">
    <w:p w14:paraId="580A6404" w14:textId="20E62DC9" w:rsidR="00F46527" w:rsidRDefault="00F46527">
      <w:pPr>
        <w:pStyle w:val="FootnoteText"/>
      </w:pPr>
      <w:r>
        <w:rPr>
          <w:rStyle w:val="FootnoteReference"/>
        </w:rPr>
        <w:footnoteRef/>
      </w:r>
      <w:r>
        <w:t xml:space="preserve"> </w:t>
      </w:r>
      <w:r w:rsidR="00D744CC">
        <w:t>Application, Exhibit D</w:t>
      </w:r>
      <w:r w:rsidR="009164B2">
        <w:t>, Declaration of Michael J. Webb</w:t>
      </w:r>
      <w:r w:rsidR="00D744CC">
        <w:t xml:space="preserve"> at 1</w:t>
      </w:r>
      <w:r w:rsidR="003C3B72">
        <w:t>2</w:t>
      </w:r>
      <w:r w:rsidR="00D744CC">
        <w:t>.</w:t>
      </w:r>
    </w:p>
  </w:footnote>
  <w:footnote w:id="6">
    <w:p w14:paraId="19420E01" w14:textId="66F927CE" w:rsidR="005D4967" w:rsidRDefault="005D4967" w:rsidP="008C30FC">
      <w:pPr>
        <w:pStyle w:val="FootnoteText"/>
      </w:pPr>
      <w:r>
        <w:rPr>
          <w:rStyle w:val="FootnoteReference"/>
        </w:rPr>
        <w:footnoteRef/>
      </w:r>
      <w:r>
        <w:t xml:space="preserve"> D.07-12-049, mimeo</w:t>
      </w:r>
      <w:r w:rsidR="00B121E3">
        <w:t xml:space="preserve"> at</w:t>
      </w:r>
      <w:r>
        <w:t xml:space="preserve"> 9, citing </w:t>
      </w:r>
      <w:r w:rsidRPr="002D31DC">
        <w:rPr>
          <w:i/>
          <w:iCs/>
        </w:rPr>
        <w:t>Bluefield Water Works Co. v. Public Serv. Comm</w:t>
      </w:r>
      <w:r w:rsidR="002D31DC">
        <w:rPr>
          <w:i/>
          <w:iCs/>
        </w:rPr>
        <w:t>ission</w:t>
      </w:r>
      <w:r>
        <w:t xml:space="preserve">, 262 US 679 (1923); </w:t>
      </w:r>
      <w:r w:rsidRPr="00D05442">
        <w:rPr>
          <w:i/>
          <w:iCs/>
        </w:rPr>
        <w:t>Federal Power Comm’n v. Hope Natural Gas Co</w:t>
      </w:r>
      <w:r>
        <w:t>., 320 U.S. 591 (1944).</w:t>
      </w:r>
    </w:p>
  </w:footnote>
  <w:footnote w:id="7">
    <w:p w14:paraId="1B1FD6EB" w14:textId="60575E60" w:rsidR="000F5892" w:rsidRDefault="000F5892" w:rsidP="008C30FC">
      <w:pPr>
        <w:pStyle w:val="FootnoteText"/>
      </w:pPr>
      <w:r>
        <w:rPr>
          <w:rStyle w:val="FootnoteReference"/>
        </w:rPr>
        <w:footnoteRef/>
      </w:r>
      <w:r>
        <w:t xml:space="preserve"> </w:t>
      </w:r>
      <w:r w:rsidRPr="003F01F7">
        <w:rPr>
          <w:i/>
          <w:iCs/>
        </w:rPr>
        <w:t>Bluefield</w:t>
      </w:r>
      <w:r>
        <w:t>, 262 U.S. at 692.</w:t>
      </w:r>
    </w:p>
  </w:footnote>
  <w:footnote w:id="8">
    <w:p w14:paraId="79FC602D" w14:textId="5274408D" w:rsidR="00D12B07" w:rsidRDefault="00D12B07" w:rsidP="008C30FC">
      <w:pPr>
        <w:pStyle w:val="FootnoteText"/>
      </w:pPr>
      <w:r>
        <w:rPr>
          <w:rStyle w:val="FootnoteReference"/>
        </w:rPr>
        <w:footnoteRef/>
      </w:r>
      <w:r>
        <w:t xml:space="preserve"> </w:t>
      </w:r>
      <w:r w:rsidRPr="003F01F7">
        <w:rPr>
          <w:i/>
          <w:iCs/>
        </w:rPr>
        <w:t>Hope</w:t>
      </w:r>
      <w:r>
        <w:t>, 320 U.S. at 603.</w:t>
      </w:r>
    </w:p>
  </w:footnote>
  <w:footnote w:id="9">
    <w:p w14:paraId="70BBCEC7" w14:textId="77777777" w:rsidR="00677E13" w:rsidRDefault="00677E13" w:rsidP="008C30FC">
      <w:pPr>
        <w:pStyle w:val="FootnoteText"/>
      </w:pPr>
      <w:r>
        <w:rPr>
          <w:rStyle w:val="FootnoteReference"/>
        </w:rPr>
        <w:footnoteRef/>
      </w:r>
      <w:r>
        <w:t xml:space="preserve"> D.22-12-032 at 2.</w:t>
      </w:r>
    </w:p>
  </w:footnote>
  <w:footnote w:id="10">
    <w:p w14:paraId="31A13F18" w14:textId="5F07AFE2" w:rsidR="00677E13" w:rsidRDefault="00677E13" w:rsidP="008C30FC">
      <w:pPr>
        <w:pStyle w:val="FootnoteText"/>
      </w:pPr>
      <w:r>
        <w:rPr>
          <w:rStyle w:val="FootnoteReference"/>
        </w:rPr>
        <w:footnoteRef/>
      </w:r>
      <w:r>
        <w:t xml:space="preserve"> </w:t>
      </w:r>
      <w:r w:rsidR="001C0DD6">
        <w:t>D.22-12-032 at 3.</w:t>
      </w:r>
    </w:p>
  </w:footnote>
  <w:footnote w:id="11">
    <w:p w14:paraId="11FE4B5F" w14:textId="77777777" w:rsidR="00677E13" w:rsidRDefault="00677E13" w:rsidP="008C30FC">
      <w:pPr>
        <w:pStyle w:val="FootnoteText"/>
      </w:pPr>
      <w:r>
        <w:rPr>
          <w:rStyle w:val="FootnoteReference"/>
        </w:rPr>
        <w:footnoteRef/>
      </w:r>
      <w:r>
        <w:t xml:space="preserve"> D.22-12-032 at 1.</w:t>
      </w:r>
    </w:p>
  </w:footnote>
  <w:footnote w:id="12">
    <w:p w14:paraId="639E3235" w14:textId="492AE60D" w:rsidR="00677E13" w:rsidRDefault="00677E13" w:rsidP="008C30FC">
      <w:pPr>
        <w:pStyle w:val="FootnoteText"/>
      </w:pPr>
      <w:r>
        <w:rPr>
          <w:rStyle w:val="FootnoteReference"/>
        </w:rPr>
        <w:footnoteRef/>
      </w:r>
      <w:r>
        <w:t xml:space="preserve"> Rule 2.1(a)</w:t>
      </w:r>
      <w:r w:rsidR="00DE20E4">
        <w:t>.</w:t>
      </w:r>
    </w:p>
  </w:footnote>
  <w:footnote w:id="13">
    <w:p w14:paraId="077E8E50" w14:textId="4CCBA35B" w:rsidR="0082400E" w:rsidRDefault="0082400E" w:rsidP="008C30FC">
      <w:pPr>
        <w:pStyle w:val="FootnoteText"/>
      </w:pPr>
      <w:r>
        <w:rPr>
          <w:rStyle w:val="FootnoteReference"/>
        </w:rPr>
        <w:footnoteRef/>
      </w:r>
      <w:r>
        <w:t xml:space="preserve"> </w:t>
      </w:r>
      <w:r w:rsidR="005B2544" w:rsidRPr="008C30FC">
        <w:rPr>
          <w:i/>
          <w:iCs/>
        </w:rPr>
        <w:t>Id</w:t>
      </w:r>
      <w:r w:rsidR="005B2544">
        <w:t>.</w:t>
      </w:r>
    </w:p>
  </w:footnote>
  <w:footnote w:id="14">
    <w:p w14:paraId="74B1D254" w14:textId="6A935126" w:rsidR="00D62CE1" w:rsidRDefault="00D62CE1">
      <w:pPr>
        <w:pStyle w:val="FootnoteText"/>
      </w:pPr>
      <w:r>
        <w:rPr>
          <w:rStyle w:val="FootnoteReference"/>
        </w:rPr>
        <w:footnoteRef/>
      </w:r>
      <w:r>
        <w:t xml:space="preserve"> Response No. 1 at </w:t>
      </w:r>
      <w:r w:rsidR="00BD2B90">
        <w:t>1-2.</w:t>
      </w:r>
    </w:p>
  </w:footnote>
  <w:footnote w:id="15">
    <w:p w14:paraId="571E89AC" w14:textId="4153341C" w:rsidR="0056598C" w:rsidRDefault="0056598C">
      <w:pPr>
        <w:pStyle w:val="FootnoteText"/>
      </w:pPr>
      <w:r>
        <w:rPr>
          <w:rStyle w:val="FootnoteReference"/>
        </w:rPr>
        <w:footnoteRef/>
      </w:r>
      <w:r>
        <w:t xml:space="preserve"> Response No. 2 at 3</w:t>
      </w:r>
      <w:r w:rsidR="00BD2B90">
        <w:t>, 8</w:t>
      </w:r>
      <w:r>
        <w:t>.</w:t>
      </w:r>
    </w:p>
  </w:footnote>
  <w:footnote w:id="16">
    <w:p w14:paraId="7559819F" w14:textId="0D06EA3D" w:rsidR="00AD5575" w:rsidRDefault="00AD5575" w:rsidP="008C30FC">
      <w:pPr>
        <w:pStyle w:val="FootnoteText"/>
      </w:pPr>
      <w:r>
        <w:rPr>
          <w:rStyle w:val="FootnoteReference"/>
        </w:rPr>
        <w:footnoteRef/>
      </w:r>
      <w:r>
        <w:t xml:space="preserve"> </w:t>
      </w:r>
      <w:r w:rsidRPr="00150E94">
        <w:rPr>
          <w:i/>
          <w:iCs/>
        </w:rPr>
        <w:t>Id</w:t>
      </w:r>
      <w:r>
        <w:t>.</w:t>
      </w:r>
    </w:p>
  </w:footnote>
  <w:footnote w:id="17">
    <w:p w14:paraId="728996EA" w14:textId="44F366F7" w:rsidR="00B247EF" w:rsidRDefault="00B247EF" w:rsidP="008C30FC">
      <w:pPr>
        <w:pStyle w:val="FootnoteText"/>
      </w:pPr>
      <w:r>
        <w:rPr>
          <w:rStyle w:val="FootnoteReference"/>
        </w:rPr>
        <w:footnoteRef/>
      </w:r>
      <w:r>
        <w:t xml:space="preserve"> </w:t>
      </w:r>
      <w:r w:rsidRPr="00150E94">
        <w:rPr>
          <w:i/>
          <w:iCs/>
        </w:rPr>
        <w:t>See</w:t>
      </w:r>
      <w:r>
        <w:t xml:space="preserve"> D.20-11-026</w:t>
      </w:r>
      <w:r w:rsidR="00716DB2">
        <w:t>;</w:t>
      </w:r>
      <w:r>
        <w:t xml:space="preserve"> D.24-05-007 (modified on other grounds by D.24-12-027).</w:t>
      </w:r>
    </w:p>
  </w:footnote>
  <w:footnote w:id="18">
    <w:p w14:paraId="008D74AA" w14:textId="375382B5" w:rsidR="00C32931" w:rsidRDefault="00C32931" w:rsidP="008C30FC">
      <w:pPr>
        <w:pStyle w:val="FootnoteText"/>
      </w:pPr>
      <w:r>
        <w:rPr>
          <w:rStyle w:val="FootnoteReference"/>
        </w:rPr>
        <w:footnoteRef/>
      </w:r>
      <w:r>
        <w:t xml:space="preserve"> Response</w:t>
      </w:r>
      <w:r w:rsidR="00093D19">
        <w:t xml:space="preserve"> No. 2</w:t>
      </w:r>
      <w:r>
        <w:t xml:space="preserve"> at 6.</w:t>
      </w:r>
    </w:p>
  </w:footnote>
  <w:footnote w:id="19">
    <w:p w14:paraId="235873EF" w14:textId="423645B7" w:rsidR="00FD2026" w:rsidRDefault="00FD2026" w:rsidP="008C30FC">
      <w:pPr>
        <w:pStyle w:val="FootnoteText"/>
      </w:pPr>
      <w:r>
        <w:rPr>
          <w:rStyle w:val="FootnoteReference"/>
        </w:rPr>
        <w:footnoteRef/>
      </w:r>
      <w:r>
        <w:t xml:space="preserve"> </w:t>
      </w:r>
      <w:r w:rsidR="00742595">
        <w:t xml:space="preserve">Application, </w:t>
      </w:r>
      <w:r>
        <w:t>Exhibit D</w:t>
      </w:r>
      <w:r w:rsidR="00BA07DA">
        <w:t>,</w:t>
      </w:r>
      <w:r>
        <w:t xml:space="preserve"> Declaration of Michael J. Webb at </w:t>
      </w:r>
      <w:r w:rsidR="00885CB0">
        <w:t>15</w:t>
      </w:r>
      <w:r w:rsidR="00526313">
        <w:t>-16</w:t>
      </w:r>
      <w:r>
        <w:t>.</w:t>
      </w:r>
    </w:p>
  </w:footnote>
  <w:footnote w:id="20">
    <w:p w14:paraId="3E95349E" w14:textId="035D9C70" w:rsidR="00A3314C" w:rsidRDefault="00A3314C">
      <w:pPr>
        <w:pStyle w:val="FootnoteText"/>
      </w:pPr>
      <w:r>
        <w:rPr>
          <w:rStyle w:val="FootnoteReference"/>
        </w:rPr>
        <w:footnoteRef/>
      </w:r>
      <w:r>
        <w:t xml:space="preserve"> </w:t>
      </w:r>
      <w:r w:rsidR="00B171A0">
        <w:t>Response No. 1, Attachment A</w:t>
      </w:r>
      <w:r w:rsidR="00742595">
        <w:t>, Declaration of Michael J. Webb</w:t>
      </w:r>
      <w:r w:rsidR="00B171A0">
        <w:t xml:space="preserve"> </w:t>
      </w:r>
      <w:r w:rsidR="002538D5">
        <w:t>at 6.</w:t>
      </w:r>
    </w:p>
  </w:footnote>
  <w:footnote w:id="21">
    <w:p w14:paraId="7E3FE527" w14:textId="50045B4B" w:rsidR="004104FD" w:rsidRDefault="004104FD" w:rsidP="008C30FC">
      <w:pPr>
        <w:pStyle w:val="FootnoteText"/>
      </w:pPr>
      <w:r>
        <w:rPr>
          <w:rStyle w:val="FootnoteReference"/>
        </w:rPr>
        <w:footnoteRef/>
      </w:r>
      <w:r>
        <w:t xml:space="preserve"> D.25-06-044 at 47.</w:t>
      </w:r>
    </w:p>
  </w:footnote>
  <w:footnote w:id="22">
    <w:p w14:paraId="29B3819D" w14:textId="5938683C" w:rsidR="00896E49" w:rsidRDefault="00896E49" w:rsidP="008C30FC">
      <w:pPr>
        <w:pStyle w:val="FootnoteText"/>
      </w:pPr>
      <w:r>
        <w:rPr>
          <w:rStyle w:val="FootnoteReference"/>
        </w:rPr>
        <w:footnoteRef/>
      </w:r>
      <w:r>
        <w:t xml:space="preserve"> </w:t>
      </w:r>
      <w:r w:rsidR="00DB59EA">
        <w:t xml:space="preserve">Application, </w:t>
      </w:r>
      <w:r w:rsidRPr="00896E49">
        <w:t xml:space="preserve">Exhibit D, Declaration of Michael J. Webb at </w:t>
      </w:r>
      <w:r w:rsidR="00FF5578">
        <w:t>20-21</w:t>
      </w:r>
      <w:r w:rsidRPr="00896E49">
        <w:t>.</w:t>
      </w:r>
    </w:p>
  </w:footnote>
  <w:footnote w:id="23">
    <w:p w14:paraId="2A5E9613" w14:textId="720B8F55" w:rsidR="008C60C1" w:rsidRPr="00567687" w:rsidRDefault="008C60C1" w:rsidP="008C30FC">
      <w:pPr>
        <w:pStyle w:val="FootnoteText"/>
      </w:pPr>
      <w:r>
        <w:rPr>
          <w:rStyle w:val="FootnoteReference"/>
        </w:rPr>
        <w:footnoteRef/>
      </w:r>
      <w:r>
        <w:t xml:space="preserve"> </w:t>
      </w:r>
      <w:r w:rsidR="00567687">
        <w:t>Response No. 2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B345" w14:textId="1427AD99" w:rsidR="00E22894" w:rsidRPr="00E22894" w:rsidRDefault="00E22894" w:rsidP="00E22894">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89E3" w14:textId="77777777" w:rsidR="00726FBA" w:rsidRPr="00E22894" w:rsidRDefault="00726FBA" w:rsidP="00E22894">
    <w:pPr>
      <w:pStyle w:val="Header"/>
      <w:tabs>
        <w:tab w:val="clear" w:pos="4680"/>
      </w:tabs>
      <w:ind w:firstLine="0"/>
      <w:rPr>
        <w:iCs/>
      </w:rPr>
    </w:pPr>
    <w:r>
      <w:rPr>
        <w:iCs/>
      </w:rPr>
      <w:t>A.24-06-019  ALJ/MLQ/jnf</w:t>
    </w:r>
    <w:r>
      <w:rPr>
        <w:iCs/>
      </w:rPr>
      <w:tab/>
      <w:t>PROPOSED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2F0049BF"/>
    <w:multiLevelType w:val="hybridMultilevel"/>
    <w:tmpl w:val="D35AC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5CA16115"/>
    <w:multiLevelType w:val="hybridMultilevel"/>
    <w:tmpl w:val="7C58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18F4A5AC"/>
    <w:numStyleLink w:val="FoFCoLOP"/>
  </w:abstractNum>
  <w:num w:numId="1" w16cid:durableId="1354526949">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num>
  <w:num w:numId="2" w16cid:durableId="140774137">
    <w:abstractNumId w:val="1"/>
  </w:num>
  <w:num w:numId="3" w16cid:durableId="1898543446">
    <w:abstractNumId w:val="11"/>
  </w:num>
  <w:num w:numId="4" w16cid:durableId="701521005">
    <w:abstractNumId w:val="2"/>
  </w:num>
  <w:num w:numId="5" w16cid:durableId="2017029027">
    <w:abstractNumId w:val="16"/>
  </w:num>
  <w:num w:numId="6" w16cid:durableId="973756952">
    <w:abstractNumId w:val="10"/>
  </w:num>
  <w:num w:numId="7" w16cid:durableId="827667741">
    <w:abstractNumId w:val="5"/>
  </w:num>
  <w:num w:numId="8" w16cid:durableId="1760327020">
    <w:abstractNumId w:val="15"/>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329646237">
    <w:abstractNumId w:val="9"/>
  </w:num>
  <w:num w:numId="19" w16cid:durableId="1752239660">
    <w:abstractNumId w:val="13"/>
  </w:num>
  <w:num w:numId="20" w16cid:durableId="161430225">
    <w:abstractNumId w:val="14"/>
  </w:num>
  <w:num w:numId="21" w16cid:durableId="80951585">
    <w:abstractNumId w:val="14"/>
  </w:num>
  <w:num w:numId="22" w16cid:durableId="1033119479">
    <w:abstractNumId w:val="14"/>
  </w:num>
  <w:num w:numId="23" w16cid:durableId="575437969">
    <w:abstractNumId w:val="14"/>
  </w:num>
  <w:num w:numId="24" w16cid:durableId="35004866">
    <w:abstractNumId w:val="14"/>
  </w:num>
  <w:num w:numId="25" w16cid:durableId="1460025348">
    <w:abstractNumId w:val="14"/>
  </w:num>
  <w:num w:numId="26" w16cid:durableId="1952398720">
    <w:abstractNumId w:val="14"/>
  </w:num>
  <w:num w:numId="27" w16cid:durableId="835194635">
    <w:abstractNumId w:val="14"/>
  </w:num>
  <w:num w:numId="28" w16cid:durableId="762647976">
    <w:abstractNumId w:val="14"/>
  </w:num>
  <w:num w:numId="29" w16cid:durableId="1701395056">
    <w:abstractNumId w:val="14"/>
  </w:num>
  <w:num w:numId="30" w16cid:durableId="963653426">
    <w:abstractNumId w:val="14"/>
  </w:num>
  <w:num w:numId="31" w16cid:durableId="1775244422">
    <w:abstractNumId w:val="14"/>
  </w:num>
  <w:num w:numId="32" w16cid:durableId="126045287">
    <w:abstractNumId w:val="14"/>
  </w:num>
  <w:num w:numId="33" w16cid:durableId="813839420">
    <w:abstractNumId w:val="14"/>
  </w:num>
  <w:num w:numId="34" w16cid:durableId="158008594">
    <w:abstractNumId w:val="14"/>
  </w:num>
  <w:num w:numId="35" w16cid:durableId="1030911460">
    <w:abstractNumId w:val="14"/>
    <w:lvlOverride w:ilvl="1">
      <w:lvl w:ilvl="1">
        <w:start w:val="1"/>
        <w:numFmt w:val="decimal"/>
        <w:pStyle w:val="Heading2"/>
        <w:lvlText w:val="%1.%2."/>
        <w:lvlJc w:val="left"/>
        <w:pPr>
          <w:tabs>
            <w:tab w:val="num" w:pos="1080"/>
          </w:tabs>
          <w:ind w:left="1080" w:hanging="720"/>
        </w:pPr>
      </w:lvl>
    </w:lvlOverride>
  </w:num>
  <w:num w:numId="36" w16cid:durableId="765733715">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7" w16cid:durableId="1550652903">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8" w16cid:durableId="1059092829">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39" w16cid:durableId="1835678459">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0" w16cid:durableId="1159660160">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1" w16cid:durableId="1752461722">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2" w16cid:durableId="1680541449">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3" w16cid:durableId="1639453941">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4" w16cid:durableId="682782577">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5" w16cid:durableId="304742721">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6" w16cid:durableId="1471365465">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7" w16cid:durableId="25762078">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8" w16cid:durableId="1670214556">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9" w16cid:durableId="1527282390">
    <w:abstractNumId w:val="14"/>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A"/>
    <w:rsid w:val="00000F6A"/>
    <w:rsid w:val="00004CFA"/>
    <w:rsid w:val="000061FF"/>
    <w:rsid w:val="00011742"/>
    <w:rsid w:val="00013575"/>
    <w:rsid w:val="00014EA1"/>
    <w:rsid w:val="00021E2D"/>
    <w:rsid w:val="00033F89"/>
    <w:rsid w:val="00052C62"/>
    <w:rsid w:val="000531C1"/>
    <w:rsid w:val="00060D9C"/>
    <w:rsid w:val="00065728"/>
    <w:rsid w:val="00066C75"/>
    <w:rsid w:val="00067C28"/>
    <w:rsid w:val="0007115A"/>
    <w:rsid w:val="00081DFB"/>
    <w:rsid w:val="00085202"/>
    <w:rsid w:val="00085475"/>
    <w:rsid w:val="00093D19"/>
    <w:rsid w:val="0009530D"/>
    <w:rsid w:val="00095AE5"/>
    <w:rsid w:val="000973C8"/>
    <w:rsid w:val="000A2AA9"/>
    <w:rsid w:val="000A56F2"/>
    <w:rsid w:val="000A590C"/>
    <w:rsid w:val="000A6E05"/>
    <w:rsid w:val="000A7750"/>
    <w:rsid w:val="000B12FA"/>
    <w:rsid w:val="000B233A"/>
    <w:rsid w:val="000B2A42"/>
    <w:rsid w:val="000B36A9"/>
    <w:rsid w:val="000B3997"/>
    <w:rsid w:val="000B53BD"/>
    <w:rsid w:val="000B6D20"/>
    <w:rsid w:val="000B7695"/>
    <w:rsid w:val="000C08BF"/>
    <w:rsid w:val="000C3B9A"/>
    <w:rsid w:val="000D2449"/>
    <w:rsid w:val="000D25A8"/>
    <w:rsid w:val="000E270A"/>
    <w:rsid w:val="000E3990"/>
    <w:rsid w:val="000E4268"/>
    <w:rsid w:val="000E4C53"/>
    <w:rsid w:val="000E7C90"/>
    <w:rsid w:val="000F48C6"/>
    <w:rsid w:val="000F5892"/>
    <w:rsid w:val="000F6FC2"/>
    <w:rsid w:val="001005EC"/>
    <w:rsid w:val="00100AD8"/>
    <w:rsid w:val="00101CB3"/>
    <w:rsid w:val="00102171"/>
    <w:rsid w:val="0010268A"/>
    <w:rsid w:val="0010531F"/>
    <w:rsid w:val="0011028D"/>
    <w:rsid w:val="00111DA2"/>
    <w:rsid w:val="001137B5"/>
    <w:rsid w:val="001139FF"/>
    <w:rsid w:val="0011653C"/>
    <w:rsid w:val="00121089"/>
    <w:rsid w:val="001222C0"/>
    <w:rsid w:val="00123370"/>
    <w:rsid w:val="0012619F"/>
    <w:rsid w:val="001325E9"/>
    <w:rsid w:val="00135306"/>
    <w:rsid w:val="001359DA"/>
    <w:rsid w:val="001435B2"/>
    <w:rsid w:val="00144B38"/>
    <w:rsid w:val="00146F91"/>
    <w:rsid w:val="00150E94"/>
    <w:rsid w:val="00150F2B"/>
    <w:rsid w:val="00151FC8"/>
    <w:rsid w:val="00152A7E"/>
    <w:rsid w:val="001566C8"/>
    <w:rsid w:val="001638E6"/>
    <w:rsid w:val="00164FE9"/>
    <w:rsid w:val="001708EC"/>
    <w:rsid w:val="0017536F"/>
    <w:rsid w:val="00177837"/>
    <w:rsid w:val="00180215"/>
    <w:rsid w:val="00180E10"/>
    <w:rsid w:val="001842EF"/>
    <w:rsid w:val="00184A8F"/>
    <w:rsid w:val="001850F4"/>
    <w:rsid w:val="00190051"/>
    <w:rsid w:val="00191276"/>
    <w:rsid w:val="00195AD4"/>
    <w:rsid w:val="00196902"/>
    <w:rsid w:val="001A06CC"/>
    <w:rsid w:val="001A20C2"/>
    <w:rsid w:val="001A58E7"/>
    <w:rsid w:val="001A7F11"/>
    <w:rsid w:val="001B0B86"/>
    <w:rsid w:val="001B64BB"/>
    <w:rsid w:val="001C0DD6"/>
    <w:rsid w:val="001C363F"/>
    <w:rsid w:val="001C613C"/>
    <w:rsid w:val="001C69C6"/>
    <w:rsid w:val="001C7F3A"/>
    <w:rsid w:val="001D207C"/>
    <w:rsid w:val="001D30BA"/>
    <w:rsid w:val="001D3893"/>
    <w:rsid w:val="001D6CCC"/>
    <w:rsid w:val="001E21F4"/>
    <w:rsid w:val="001E2A62"/>
    <w:rsid w:val="001E42A7"/>
    <w:rsid w:val="001E620C"/>
    <w:rsid w:val="001E6AF4"/>
    <w:rsid w:val="001F0A62"/>
    <w:rsid w:val="001F2819"/>
    <w:rsid w:val="001F6C86"/>
    <w:rsid w:val="00200367"/>
    <w:rsid w:val="00200C5F"/>
    <w:rsid w:val="00200CFA"/>
    <w:rsid w:val="00203AE7"/>
    <w:rsid w:val="002043EC"/>
    <w:rsid w:val="00204F58"/>
    <w:rsid w:val="00205B6A"/>
    <w:rsid w:val="002104DE"/>
    <w:rsid w:val="00226439"/>
    <w:rsid w:val="00226A01"/>
    <w:rsid w:val="00233FE1"/>
    <w:rsid w:val="00236B94"/>
    <w:rsid w:val="00243DC0"/>
    <w:rsid w:val="00247477"/>
    <w:rsid w:val="0025013A"/>
    <w:rsid w:val="002529A8"/>
    <w:rsid w:val="002538D5"/>
    <w:rsid w:val="00260EE6"/>
    <w:rsid w:val="0026498F"/>
    <w:rsid w:val="002652C4"/>
    <w:rsid w:val="00266BFB"/>
    <w:rsid w:val="00270440"/>
    <w:rsid w:val="00271654"/>
    <w:rsid w:val="00284906"/>
    <w:rsid w:val="00284D8D"/>
    <w:rsid w:val="00287BC5"/>
    <w:rsid w:val="0029090F"/>
    <w:rsid w:val="00292C83"/>
    <w:rsid w:val="00293530"/>
    <w:rsid w:val="00293DEE"/>
    <w:rsid w:val="002A0B5D"/>
    <w:rsid w:val="002A0ECD"/>
    <w:rsid w:val="002A53F9"/>
    <w:rsid w:val="002B1E30"/>
    <w:rsid w:val="002B21D1"/>
    <w:rsid w:val="002B2C05"/>
    <w:rsid w:val="002B3768"/>
    <w:rsid w:val="002C032D"/>
    <w:rsid w:val="002C5FA5"/>
    <w:rsid w:val="002C7392"/>
    <w:rsid w:val="002C7FE9"/>
    <w:rsid w:val="002D0DC5"/>
    <w:rsid w:val="002D2272"/>
    <w:rsid w:val="002D2E51"/>
    <w:rsid w:val="002D30BA"/>
    <w:rsid w:val="002D31DC"/>
    <w:rsid w:val="002D4EFD"/>
    <w:rsid w:val="002D53A3"/>
    <w:rsid w:val="002E0BE6"/>
    <w:rsid w:val="002E5C14"/>
    <w:rsid w:val="002E6ACA"/>
    <w:rsid w:val="002F5950"/>
    <w:rsid w:val="002F5E3F"/>
    <w:rsid w:val="002F7BF6"/>
    <w:rsid w:val="00302A5A"/>
    <w:rsid w:val="00303E8C"/>
    <w:rsid w:val="00304967"/>
    <w:rsid w:val="0030501E"/>
    <w:rsid w:val="00307485"/>
    <w:rsid w:val="00307943"/>
    <w:rsid w:val="003104F7"/>
    <w:rsid w:val="00315A97"/>
    <w:rsid w:val="00316071"/>
    <w:rsid w:val="00320B6E"/>
    <w:rsid w:val="0032489C"/>
    <w:rsid w:val="003250A4"/>
    <w:rsid w:val="00327546"/>
    <w:rsid w:val="00335B82"/>
    <w:rsid w:val="003372C8"/>
    <w:rsid w:val="0034081F"/>
    <w:rsid w:val="00343E5C"/>
    <w:rsid w:val="00344FB8"/>
    <w:rsid w:val="0034777F"/>
    <w:rsid w:val="00350B59"/>
    <w:rsid w:val="00355717"/>
    <w:rsid w:val="0036017B"/>
    <w:rsid w:val="00362755"/>
    <w:rsid w:val="00365552"/>
    <w:rsid w:val="00366D22"/>
    <w:rsid w:val="00366D40"/>
    <w:rsid w:val="0037243E"/>
    <w:rsid w:val="00372514"/>
    <w:rsid w:val="00373B93"/>
    <w:rsid w:val="00375566"/>
    <w:rsid w:val="00380979"/>
    <w:rsid w:val="00380CD1"/>
    <w:rsid w:val="0038398E"/>
    <w:rsid w:val="00386EF1"/>
    <w:rsid w:val="0038795E"/>
    <w:rsid w:val="00390249"/>
    <w:rsid w:val="00390997"/>
    <w:rsid w:val="00392585"/>
    <w:rsid w:val="00393B14"/>
    <w:rsid w:val="003971AA"/>
    <w:rsid w:val="003A02CA"/>
    <w:rsid w:val="003A38F0"/>
    <w:rsid w:val="003A48D8"/>
    <w:rsid w:val="003B61F8"/>
    <w:rsid w:val="003C022E"/>
    <w:rsid w:val="003C1AE5"/>
    <w:rsid w:val="003C25C5"/>
    <w:rsid w:val="003C3B72"/>
    <w:rsid w:val="003C42D6"/>
    <w:rsid w:val="003D46CC"/>
    <w:rsid w:val="003D778B"/>
    <w:rsid w:val="003F01F7"/>
    <w:rsid w:val="003F069A"/>
    <w:rsid w:val="003F4329"/>
    <w:rsid w:val="003F4CDE"/>
    <w:rsid w:val="003F4D65"/>
    <w:rsid w:val="00404B4E"/>
    <w:rsid w:val="00406E4C"/>
    <w:rsid w:val="00407C3E"/>
    <w:rsid w:val="004104FD"/>
    <w:rsid w:val="00412106"/>
    <w:rsid w:val="00412534"/>
    <w:rsid w:val="00412C83"/>
    <w:rsid w:val="00425F42"/>
    <w:rsid w:val="00426014"/>
    <w:rsid w:val="00430795"/>
    <w:rsid w:val="00431219"/>
    <w:rsid w:val="00431753"/>
    <w:rsid w:val="00434351"/>
    <w:rsid w:val="0043722D"/>
    <w:rsid w:val="0044259F"/>
    <w:rsid w:val="00442959"/>
    <w:rsid w:val="00444CA5"/>
    <w:rsid w:val="0044617E"/>
    <w:rsid w:val="00453E6B"/>
    <w:rsid w:val="0045651A"/>
    <w:rsid w:val="0046078B"/>
    <w:rsid w:val="00460B7D"/>
    <w:rsid w:val="0046158C"/>
    <w:rsid w:val="004657EC"/>
    <w:rsid w:val="0046676F"/>
    <w:rsid w:val="00471221"/>
    <w:rsid w:val="004743A5"/>
    <w:rsid w:val="00480CB0"/>
    <w:rsid w:val="00483603"/>
    <w:rsid w:val="00484862"/>
    <w:rsid w:val="00484FA1"/>
    <w:rsid w:val="004863B2"/>
    <w:rsid w:val="0049092A"/>
    <w:rsid w:val="00491BC3"/>
    <w:rsid w:val="004A1EAD"/>
    <w:rsid w:val="004A2179"/>
    <w:rsid w:val="004A2CFB"/>
    <w:rsid w:val="004A47BE"/>
    <w:rsid w:val="004B34EA"/>
    <w:rsid w:val="004B5494"/>
    <w:rsid w:val="004B6B0F"/>
    <w:rsid w:val="004C048A"/>
    <w:rsid w:val="004C7A2B"/>
    <w:rsid w:val="004C7AE1"/>
    <w:rsid w:val="004C7D3A"/>
    <w:rsid w:val="004D3251"/>
    <w:rsid w:val="004D4A68"/>
    <w:rsid w:val="004D796C"/>
    <w:rsid w:val="004E294A"/>
    <w:rsid w:val="004E3F0E"/>
    <w:rsid w:val="004E4CD5"/>
    <w:rsid w:val="004E64B4"/>
    <w:rsid w:val="004F6B47"/>
    <w:rsid w:val="00500981"/>
    <w:rsid w:val="005018A8"/>
    <w:rsid w:val="00502A51"/>
    <w:rsid w:val="00505A39"/>
    <w:rsid w:val="005119D2"/>
    <w:rsid w:val="00515CE4"/>
    <w:rsid w:val="00521523"/>
    <w:rsid w:val="005220E2"/>
    <w:rsid w:val="005240BF"/>
    <w:rsid w:val="00526313"/>
    <w:rsid w:val="00530744"/>
    <w:rsid w:val="00533FBF"/>
    <w:rsid w:val="00535185"/>
    <w:rsid w:val="005352D8"/>
    <w:rsid w:val="005358C9"/>
    <w:rsid w:val="00545184"/>
    <w:rsid w:val="005467CF"/>
    <w:rsid w:val="00552E33"/>
    <w:rsid w:val="00555E10"/>
    <w:rsid w:val="00557C5B"/>
    <w:rsid w:val="0056598C"/>
    <w:rsid w:val="00565C5B"/>
    <w:rsid w:val="00566930"/>
    <w:rsid w:val="00567687"/>
    <w:rsid w:val="00570E16"/>
    <w:rsid w:val="00574320"/>
    <w:rsid w:val="005762BB"/>
    <w:rsid w:val="00580F58"/>
    <w:rsid w:val="005837FD"/>
    <w:rsid w:val="00585390"/>
    <w:rsid w:val="00586A9B"/>
    <w:rsid w:val="005918B3"/>
    <w:rsid w:val="00591F57"/>
    <w:rsid w:val="00593538"/>
    <w:rsid w:val="005939A5"/>
    <w:rsid w:val="0059679F"/>
    <w:rsid w:val="00596928"/>
    <w:rsid w:val="005A0F51"/>
    <w:rsid w:val="005A148C"/>
    <w:rsid w:val="005A1C39"/>
    <w:rsid w:val="005A2031"/>
    <w:rsid w:val="005A2836"/>
    <w:rsid w:val="005A3EA7"/>
    <w:rsid w:val="005B2544"/>
    <w:rsid w:val="005B2C29"/>
    <w:rsid w:val="005B761A"/>
    <w:rsid w:val="005C418E"/>
    <w:rsid w:val="005C4F3F"/>
    <w:rsid w:val="005C58FA"/>
    <w:rsid w:val="005C604A"/>
    <w:rsid w:val="005C651A"/>
    <w:rsid w:val="005D4967"/>
    <w:rsid w:val="005D5FC8"/>
    <w:rsid w:val="005E6E51"/>
    <w:rsid w:val="005F36FC"/>
    <w:rsid w:val="006012AE"/>
    <w:rsid w:val="00603238"/>
    <w:rsid w:val="00617FFB"/>
    <w:rsid w:val="00620686"/>
    <w:rsid w:val="00622EB6"/>
    <w:rsid w:val="006243A4"/>
    <w:rsid w:val="0062469A"/>
    <w:rsid w:val="00630A50"/>
    <w:rsid w:val="00632207"/>
    <w:rsid w:val="00632B28"/>
    <w:rsid w:val="00632C4E"/>
    <w:rsid w:val="0063491C"/>
    <w:rsid w:val="00635DE9"/>
    <w:rsid w:val="006368D9"/>
    <w:rsid w:val="00641A5C"/>
    <w:rsid w:val="00641AE9"/>
    <w:rsid w:val="00643B35"/>
    <w:rsid w:val="0064688F"/>
    <w:rsid w:val="00653827"/>
    <w:rsid w:val="006546D1"/>
    <w:rsid w:val="00654CDD"/>
    <w:rsid w:val="006551FC"/>
    <w:rsid w:val="00660145"/>
    <w:rsid w:val="00660D2E"/>
    <w:rsid w:val="00661AFE"/>
    <w:rsid w:val="00663CA1"/>
    <w:rsid w:val="00670DE0"/>
    <w:rsid w:val="00671DC8"/>
    <w:rsid w:val="00671EE7"/>
    <w:rsid w:val="0067234E"/>
    <w:rsid w:val="0067365C"/>
    <w:rsid w:val="00675E94"/>
    <w:rsid w:val="00677E13"/>
    <w:rsid w:val="00680F19"/>
    <w:rsid w:val="00683B2C"/>
    <w:rsid w:val="00683B9F"/>
    <w:rsid w:val="006907CA"/>
    <w:rsid w:val="00692F2A"/>
    <w:rsid w:val="00695F09"/>
    <w:rsid w:val="006973CA"/>
    <w:rsid w:val="006A3F73"/>
    <w:rsid w:val="006A5541"/>
    <w:rsid w:val="006B01E9"/>
    <w:rsid w:val="006B502B"/>
    <w:rsid w:val="006B56EC"/>
    <w:rsid w:val="006B610B"/>
    <w:rsid w:val="006B7A04"/>
    <w:rsid w:val="006C1F10"/>
    <w:rsid w:val="006C4C44"/>
    <w:rsid w:val="006C4ECB"/>
    <w:rsid w:val="006C561A"/>
    <w:rsid w:val="006D12C8"/>
    <w:rsid w:val="006D3958"/>
    <w:rsid w:val="006D4A1B"/>
    <w:rsid w:val="006D6607"/>
    <w:rsid w:val="006E05D8"/>
    <w:rsid w:val="006E0D4D"/>
    <w:rsid w:val="006E5E28"/>
    <w:rsid w:val="006E61D6"/>
    <w:rsid w:val="006E6574"/>
    <w:rsid w:val="006F0843"/>
    <w:rsid w:val="006F1BF1"/>
    <w:rsid w:val="0070567E"/>
    <w:rsid w:val="0070764A"/>
    <w:rsid w:val="007078F0"/>
    <w:rsid w:val="00707CFE"/>
    <w:rsid w:val="00714CF2"/>
    <w:rsid w:val="00714F6F"/>
    <w:rsid w:val="007156B9"/>
    <w:rsid w:val="00715A2F"/>
    <w:rsid w:val="00716786"/>
    <w:rsid w:val="00716904"/>
    <w:rsid w:val="00716DB2"/>
    <w:rsid w:val="00720817"/>
    <w:rsid w:val="007211BC"/>
    <w:rsid w:val="00721D7C"/>
    <w:rsid w:val="007222F0"/>
    <w:rsid w:val="00722850"/>
    <w:rsid w:val="0072570C"/>
    <w:rsid w:val="00726D31"/>
    <w:rsid w:val="00726FBA"/>
    <w:rsid w:val="0073353F"/>
    <w:rsid w:val="00735A91"/>
    <w:rsid w:val="007418BD"/>
    <w:rsid w:val="00742595"/>
    <w:rsid w:val="00742E45"/>
    <w:rsid w:val="007439A4"/>
    <w:rsid w:val="00743E95"/>
    <w:rsid w:val="007447AF"/>
    <w:rsid w:val="00744B62"/>
    <w:rsid w:val="00747360"/>
    <w:rsid w:val="00750816"/>
    <w:rsid w:val="007606B6"/>
    <w:rsid w:val="007657C1"/>
    <w:rsid w:val="00765B8A"/>
    <w:rsid w:val="00770B9A"/>
    <w:rsid w:val="007774A9"/>
    <w:rsid w:val="0077755F"/>
    <w:rsid w:val="00777CA7"/>
    <w:rsid w:val="00785061"/>
    <w:rsid w:val="00787050"/>
    <w:rsid w:val="007879B1"/>
    <w:rsid w:val="00793B62"/>
    <w:rsid w:val="00793B9B"/>
    <w:rsid w:val="0079410A"/>
    <w:rsid w:val="007A2C4B"/>
    <w:rsid w:val="007A406D"/>
    <w:rsid w:val="007A5DFF"/>
    <w:rsid w:val="007A62B0"/>
    <w:rsid w:val="007B211B"/>
    <w:rsid w:val="007B4362"/>
    <w:rsid w:val="007C1A35"/>
    <w:rsid w:val="007C1C0B"/>
    <w:rsid w:val="007C5A0C"/>
    <w:rsid w:val="007D63FA"/>
    <w:rsid w:val="007D796C"/>
    <w:rsid w:val="007E0FEE"/>
    <w:rsid w:val="007F14C8"/>
    <w:rsid w:val="007F161E"/>
    <w:rsid w:val="007F1B69"/>
    <w:rsid w:val="007F2017"/>
    <w:rsid w:val="007F24F8"/>
    <w:rsid w:val="007F4E33"/>
    <w:rsid w:val="007F578D"/>
    <w:rsid w:val="007F78B2"/>
    <w:rsid w:val="0080390E"/>
    <w:rsid w:val="00806FF7"/>
    <w:rsid w:val="008116E7"/>
    <w:rsid w:val="00811936"/>
    <w:rsid w:val="00811B11"/>
    <w:rsid w:val="00814B58"/>
    <w:rsid w:val="008159CF"/>
    <w:rsid w:val="00816E05"/>
    <w:rsid w:val="008170F7"/>
    <w:rsid w:val="008210B5"/>
    <w:rsid w:val="0082400E"/>
    <w:rsid w:val="008325DC"/>
    <w:rsid w:val="008339BB"/>
    <w:rsid w:val="008407BA"/>
    <w:rsid w:val="00840CEB"/>
    <w:rsid w:val="0084433B"/>
    <w:rsid w:val="008466C1"/>
    <w:rsid w:val="00861BC0"/>
    <w:rsid w:val="00864134"/>
    <w:rsid w:val="0086419A"/>
    <w:rsid w:val="008649FC"/>
    <w:rsid w:val="008670A0"/>
    <w:rsid w:val="0087023B"/>
    <w:rsid w:val="00871E3D"/>
    <w:rsid w:val="008839FB"/>
    <w:rsid w:val="00885B7C"/>
    <w:rsid w:val="00885CB0"/>
    <w:rsid w:val="00896E49"/>
    <w:rsid w:val="008A08BF"/>
    <w:rsid w:val="008A179F"/>
    <w:rsid w:val="008A631B"/>
    <w:rsid w:val="008A7BD3"/>
    <w:rsid w:val="008B0864"/>
    <w:rsid w:val="008B175A"/>
    <w:rsid w:val="008B69F5"/>
    <w:rsid w:val="008C2E75"/>
    <w:rsid w:val="008C30FC"/>
    <w:rsid w:val="008C3CB7"/>
    <w:rsid w:val="008C60C1"/>
    <w:rsid w:val="008C67DC"/>
    <w:rsid w:val="008C67E1"/>
    <w:rsid w:val="008C7413"/>
    <w:rsid w:val="008D15F2"/>
    <w:rsid w:val="008D16B7"/>
    <w:rsid w:val="008D199A"/>
    <w:rsid w:val="008D2BD1"/>
    <w:rsid w:val="008D5903"/>
    <w:rsid w:val="008E1479"/>
    <w:rsid w:val="008E29D7"/>
    <w:rsid w:val="008E6AE6"/>
    <w:rsid w:val="008F0116"/>
    <w:rsid w:val="008F1110"/>
    <w:rsid w:val="008F143D"/>
    <w:rsid w:val="008F1D2A"/>
    <w:rsid w:val="008F3155"/>
    <w:rsid w:val="00902BD0"/>
    <w:rsid w:val="00904745"/>
    <w:rsid w:val="00905A32"/>
    <w:rsid w:val="00910624"/>
    <w:rsid w:val="00916157"/>
    <w:rsid w:val="009164B2"/>
    <w:rsid w:val="0092070C"/>
    <w:rsid w:val="00920730"/>
    <w:rsid w:val="009209BB"/>
    <w:rsid w:val="0092662B"/>
    <w:rsid w:val="0092770F"/>
    <w:rsid w:val="00931585"/>
    <w:rsid w:val="00932865"/>
    <w:rsid w:val="0093296D"/>
    <w:rsid w:val="00935B86"/>
    <w:rsid w:val="00940101"/>
    <w:rsid w:val="009407C1"/>
    <w:rsid w:val="00943DB8"/>
    <w:rsid w:val="00944FEB"/>
    <w:rsid w:val="00946CF4"/>
    <w:rsid w:val="009514F5"/>
    <w:rsid w:val="00951C4E"/>
    <w:rsid w:val="00960922"/>
    <w:rsid w:val="009649C2"/>
    <w:rsid w:val="00971106"/>
    <w:rsid w:val="00974318"/>
    <w:rsid w:val="0098138E"/>
    <w:rsid w:val="00985EA2"/>
    <w:rsid w:val="0098655A"/>
    <w:rsid w:val="00991F35"/>
    <w:rsid w:val="00997881"/>
    <w:rsid w:val="009A6E36"/>
    <w:rsid w:val="009B27FC"/>
    <w:rsid w:val="009B3F15"/>
    <w:rsid w:val="009C7F01"/>
    <w:rsid w:val="009D180E"/>
    <w:rsid w:val="009D263B"/>
    <w:rsid w:val="009D411C"/>
    <w:rsid w:val="009D5C3E"/>
    <w:rsid w:val="009D7873"/>
    <w:rsid w:val="009E05CC"/>
    <w:rsid w:val="009E44D0"/>
    <w:rsid w:val="009E4E35"/>
    <w:rsid w:val="009E6052"/>
    <w:rsid w:val="009E7A36"/>
    <w:rsid w:val="009E7C7F"/>
    <w:rsid w:val="009F36B8"/>
    <w:rsid w:val="009F6F01"/>
    <w:rsid w:val="00A0429D"/>
    <w:rsid w:val="00A17CE0"/>
    <w:rsid w:val="00A23D48"/>
    <w:rsid w:val="00A24631"/>
    <w:rsid w:val="00A266C4"/>
    <w:rsid w:val="00A27EA7"/>
    <w:rsid w:val="00A31FC7"/>
    <w:rsid w:val="00A32BB8"/>
    <w:rsid w:val="00A3314C"/>
    <w:rsid w:val="00A40AF7"/>
    <w:rsid w:val="00A41988"/>
    <w:rsid w:val="00A42306"/>
    <w:rsid w:val="00A44E8D"/>
    <w:rsid w:val="00A46EA8"/>
    <w:rsid w:val="00A54EA3"/>
    <w:rsid w:val="00A55ACD"/>
    <w:rsid w:val="00A60B81"/>
    <w:rsid w:val="00A64FDC"/>
    <w:rsid w:val="00A71EA7"/>
    <w:rsid w:val="00A74EBC"/>
    <w:rsid w:val="00A7708F"/>
    <w:rsid w:val="00A80CBD"/>
    <w:rsid w:val="00A83D07"/>
    <w:rsid w:val="00A85D27"/>
    <w:rsid w:val="00A8762C"/>
    <w:rsid w:val="00A95094"/>
    <w:rsid w:val="00A977F3"/>
    <w:rsid w:val="00AA26C6"/>
    <w:rsid w:val="00AA7799"/>
    <w:rsid w:val="00AB48A7"/>
    <w:rsid w:val="00AB5398"/>
    <w:rsid w:val="00AB7875"/>
    <w:rsid w:val="00AC1E3F"/>
    <w:rsid w:val="00AC1FC0"/>
    <w:rsid w:val="00AC4014"/>
    <w:rsid w:val="00AC68EE"/>
    <w:rsid w:val="00AD1774"/>
    <w:rsid w:val="00AD5575"/>
    <w:rsid w:val="00AD62FD"/>
    <w:rsid w:val="00AE0708"/>
    <w:rsid w:val="00AE170D"/>
    <w:rsid w:val="00AE47CD"/>
    <w:rsid w:val="00AE59B8"/>
    <w:rsid w:val="00AF207B"/>
    <w:rsid w:val="00AF43BD"/>
    <w:rsid w:val="00AF5385"/>
    <w:rsid w:val="00AF61FA"/>
    <w:rsid w:val="00B01568"/>
    <w:rsid w:val="00B01F7E"/>
    <w:rsid w:val="00B03405"/>
    <w:rsid w:val="00B05D1E"/>
    <w:rsid w:val="00B1107E"/>
    <w:rsid w:val="00B121E3"/>
    <w:rsid w:val="00B16C2A"/>
    <w:rsid w:val="00B171A0"/>
    <w:rsid w:val="00B20C63"/>
    <w:rsid w:val="00B22176"/>
    <w:rsid w:val="00B241C8"/>
    <w:rsid w:val="00B247EF"/>
    <w:rsid w:val="00B24E79"/>
    <w:rsid w:val="00B3087D"/>
    <w:rsid w:val="00B3454F"/>
    <w:rsid w:val="00B34794"/>
    <w:rsid w:val="00B37050"/>
    <w:rsid w:val="00B441F6"/>
    <w:rsid w:val="00B53900"/>
    <w:rsid w:val="00B552D0"/>
    <w:rsid w:val="00B60421"/>
    <w:rsid w:val="00B62BCA"/>
    <w:rsid w:val="00B662A4"/>
    <w:rsid w:val="00B66A6F"/>
    <w:rsid w:val="00B67494"/>
    <w:rsid w:val="00B71F98"/>
    <w:rsid w:val="00B72560"/>
    <w:rsid w:val="00B730A5"/>
    <w:rsid w:val="00B7550E"/>
    <w:rsid w:val="00B76773"/>
    <w:rsid w:val="00B80F19"/>
    <w:rsid w:val="00B81EB6"/>
    <w:rsid w:val="00B8615D"/>
    <w:rsid w:val="00B91567"/>
    <w:rsid w:val="00B96A14"/>
    <w:rsid w:val="00B97D97"/>
    <w:rsid w:val="00BA07DA"/>
    <w:rsid w:val="00BA16EC"/>
    <w:rsid w:val="00BA186F"/>
    <w:rsid w:val="00BA4A42"/>
    <w:rsid w:val="00BA70A2"/>
    <w:rsid w:val="00BB0243"/>
    <w:rsid w:val="00BC0171"/>
    <w:rsid w:val="00BC41F4"/>
    <w:rsid w:val="00BC4AC8"/>
    <w:rsid w:val="00BD22F7"/>
    <w:rsid w:val="00BD2B90"/>
    <w:rsid w:val="00BD7D8D"/>
    <w:rsid w:val="00BE0A61"/>
    <w:rsid w:val="00BE2DD2"/>
    <w:rsid w:val="00BE3D05"/>
    <w:rsid w:val="00BE59C6"/>
    <w:rsid w:val="00BE70C8"/>
    <w:rsid w:val="00BF01A4"/>
    <w:rsid w:val="00BF191E"/>
    <w:rsid w:val="00BF609C"/>
    <w:rsid w:val="00C10749"/>
    <w:rsid w:val="00C109EE"/>
    <w:rsid w:val="00C10B5F"/>
    <w:rsid w:val="00C14E06"/>
    <w:rsid w:val="00C16531"/>
    <w:rsid w:val="00C17164"/>
    <w:rsid w:val="00C231B0"/>
    <w:rsid w:val="00C2405F"/>
    <w:rsid w:val="00C257AE"/>
    <w:rsid w:val="00C32931"/>
    <w:rsid w:val="00C3327F"/>
    <w:rsid w:val="00C3450D"/>
    <w:rsid w:val="00C34BC9"/>
    <w:rsid w:val="00C35F8D"/>
    <w:rsid w:val="00C40335"/>
    <w:rsid w:val="00C42E8C"/>
    <w:rsid w:val="00C46675"/>
    <w:rsid w:val="00C46874"/>
    <w:rsid w:val="00C468DB"/>
    <w:rsid w:val="00C47452"/>
    <w:rsid w:val="00C615AD"/>
    <w:rsid w:val="00C734FC"/>
    <w:rsid w:val="00C7759A"/>
    <w:rsid w:val="00C77AA0"/>
    <w:rsid w:val="00C8096B"/>
    <w:rsid w:val="00C83AF3"/>
    <w:rsid w:val="00C878D5"/>
    <w:rsid w:val="00C9033B"/>
    <w:rsid w:val="00C910F2"/>
    <w:rsid w:val="00C913A1"/>
    <w:rsid w:val="00C91679"/>
    <w:rsid w:val="00C93E1F"/>
    <w:rsid w:val="00C97C5B"/>
    <w:rsid w:val="00CA022A"/>
    <w:rsid w:val="00CB0232"/>
    <w:rsid w:val="00CB654E"/>
    <w:rsid w:val="00CB656B"/>
    <w:rsid w:val="00CC04A0"/>
    <w:rsid w:val="00CC0C75"/>
    <w:rsid w:val="00CC32AA"/>
    <w:rsid w:val="00CC46C1"/>
    <w:rsid w:val="00CC6128"/>
    <w:rsid w:val="00CC6A99"/>
    <w:rsid w:val="00CD6314"/>
    <w:rsid w:val="00CD6A65"/>
    <w:rsid w:val="00CE0F39"/>
    <w:rsid w:val="00CE1BA9"/>
    <w:rsid w:val="00CF236E"/>
    <w:rsid w:val="00CF3981"/>
    <w:rsid w:val="00D00AA3"/>
    <w:rsid w:val="00D014B3"/>
    <w:rsid w:val="00D03BAE"/>
    <w:rsid w:val="00D0504E"/>
    <w:rsid w:val="00D05442"/>
    <w:rsid w:val="00D07F73"/>
    <w:rsid w:val="00D12B07"/>
    <w:rsid w:val="00D14844"/>
    <w:rsid w:val="00D163C0"/>
    <w:rsid w:val="00D16973"/>
    <w:rsid w:val="00D2041C"/>
    <w:rsid w:val="00D20555"/>
    <w:rsid w:val="00D2068B"/>
    <w:rsid w:val="00D220CD"/>
    <w:rsid w:val="00D2307D"/>
    <w:rsid w:val="00D25ADE"/>
    <w:rsid w:val="00D31231"/>
    <w:rsid w:val="00D40E73"/>
    <w:rsid w:val="00D40E8B"/>
    <w:rsid w:val="00D43297"/>
    <w:rsid w:val="00D443BD"/>
    <w:rsid w:val="00D44DB6"/>
    <w:rsid w:val="00D450AF"/>
    <w:rsid w:val="00D50119"/>
    <w:rsid w:val="00D51E1B"/>
    <w:rsid w:val="00D54D1C"/>
    <w:rsid w:val="00D55F4F"/>
    <w:rsid w:val="00D62CE1"/>
    <w:rsid w:val="00D70026"/>
    <w:rsid w:val="00D7246F"/>
    <w:rsid w:val="00D744CC"/>
    <w:rsid w:val="00D74C43"/>
    <w:rsid w:val="00D82A43"/>
    <w:rsid w:val="00D8346B"/>
    <w:rsid w:val="00D842A8"/>
    <w:rsid w:val="00D87201"/>
    <w:rsid w:val="00D9059B"/>
    <w:rsid w:val="00D90E5E"/>
    <w:rsid w:val="00DA7B5D"/>
    <w:rsid w:val="00DB20C7"/>
    <w:rsid w:val="00DB2FF3"/>
    <w:rsid w:val="00DB38F2"/>
    <w:rsid w:val="00DB59EA"/>
    <w:rsid w:val="00DB6BB0"/>
    <w:rsid w:val="00DC078A"/>
    <w:rsid w:val="00DC17B3"/>
    <w:rsid w:val="00DD2F17"/>
    <w:rsid w:val="00DD42E6"/>
    <w:rsid w:val="00DE1603"/>
    <w:rsid w:val="00DE20E4"/>
    <w:rsid w:val="00DE2650"/>
    <w:rsid w:val="00DE5763"/>
    <w:rsid w:val="00DF167F"/>
    <w:rsid w:val="00DF16AB"/>
    <w:rsid w:val="00DF3E88"/>
    <w:rsid w:val="00DF4CBB"/>
    <w:rsid w:val="00DF58E7"/>
    <w:rsid w:val="00DF68E0"/>
    <w:rsid w:val="00DF78D6"/>
    <w:rsid w:val="00E03A51"/>
    <w:rsid w:val="00E06F62"/>
    <w:rsid w:val="00E11876"/>
    <w:rsid w:val="00E122BA"/>
    <w:rsid w:val="00E1530A"/>
    <w:rsid w:val="00E16421"/>
    <w:rsid w:val="00E16F58"/>
    <w:rsid w:val="00E20766"/>
    <w:rsid w:val="00E22698"/>
    <w:rsid w:val="00E22894"/>
    <w:rsid w:val="00E23CBB"/>
    <w:rsid w:val="00E33601"/>
    <w:rsid w:val="00E33CD5"/>
    <w:rsid w:val="00E369F0"/>
    <w:rsid w:val="00E37B59"/>
    <w:rsid w:val="00E44FD1"/>
    <w:rsid w:val="00E45934"/>
    <w:rsid w:val="00E47A71"/>
    <w:rsid w:val="00E47FF5"/>
    <w:rsid w:val="00E53438"/>
    <w:rsid w:val="00E56286"/>
    <w:rsid w:val="00E570D7"/>
    <w:rsid w:val="00E62CED"/>
    <w:rsid w:val="00E725FC"/>
    <w:rsid w:val="00E72C11"/>
    <w:rsid w:val="00E7437F"/>
    <w:rsid w:val="00E7585D"/>
    <w:rsid w:val="00E838B4"/>
    <w:rsid w:val="00E9073D"/>
    <w:rsid w:val="00E90875"/>
    <w:rsid w:val="00E9124D"/>
    <w:rsid w:val="00E96C5E"/>
    <w:rsid w:val="00EA36C6"/>
    <w:rsid w:val="00EA4E8F"/>
    <w:rsid w:val="00EA665A"/>
    <w:rsid w:val="00EB2CD3"/>
    <w:rsid w:val="00EB3C84"/>
    <w:rsid w:val="00EB3CAE"/>
    <w:rsid w:val="00EB5D64"/>
    <w:rsid w:val="00EB6082"/>
    <w:rsid w:val="00EB63CD"/>
    <w:rsid w:val="00EB7DF6"/>
    <w:rsid w:val="00EC1AC0"/>
    <w:rsid w:val="00EC23E8"/>
    <w:rsid w:val="00EC30F9"/>
    <w:rsid w:val="00ED0BF7"/>
    <w:rsid w:val="00ED1D8B"/>
    <w:rsid w:val="00ED5725"/>
    <w:rsid w:val="00ED6D81"/>
    <w:rsid w:val="00ED6ECE"/>
    <w:rsid w:val="00ED7031"/>
    <w:rsid w:val="00EE20BF"/>
    <w:rsid w:val="00EE3060"/>
    <w:rsid w:val="00EE4315"/>
    <w:rsid w:val="00EE5348"/>
    <w:rsid w:val="00EF2CE2"/>
    <w:rsid w:val="00EF330E"/>
    <w:rsid w:val="00EF3CEA"/>
    <w:rsid w:val="00EF6925"/>
    <w:rsid w:val="00F04909"/>
    <w:rsid w:val="00F04CB8"/>
    <w:rsid w:val="00F057FD"/>
    <w:rsid w:val="00F108E9"/>
    <w:rsid w:val="00F11914"/>
    <w:rsid w:val="00F12118"/>
    <w:rsid w:val="00F13A82"/>
    <w:rsid w:val="00F165C3"/>
    <w:rsid w:val="00F17471"/>
    <w:rsid w:val="00F234B7"/>
    <w:rsid w:val="00F26ED3"/>
    <w:rsid w:val="00F33655"/>
    <w:rsid w:val="00F3574D"/>
    <w:rsid w:val="00F37C2A"/>
    <w:rsid w:val="00F453A4"/>
    <w:rsid w:val="00F46527"/>
    <w:rsid w:val="00F50B0B"/>
    <w:rsid w:val="00F5375E"/>
    <w:rsid w:val="00F5743B"/>
    <w:rsid w:val="00F57FDC"/>
    <w:rsid w:val="00F62B7A"/>
    <w:rsid w:val="00F62E6E"/>
    <w:rsid w:val="00F6397D"/>
    <w:rsid w:val="00F64B5B"/>
    <w:rsid w:val="00F655D3"/>
    <w:rsid w:val="00F67803"/>
    <w:rsid w:val="00F7293E"/>
    <w:rsid w:val="00F76650"/>
    <w:rsid w:val="00F80B18"/>
    <w:rsid w:val="00F8400E"/>
    <w:rsid w:val="00F84A51"/>
    <w:rsid w:val="00F84B1A"/>
    <w:rsid w:val="00F9036F"/>
    <w:rsid w:val="00F9187B"/>
    <w:rsid w:val="00F92385"/>
    <w:rsid w:val="00F948E4"/>
    <w:rsid w:val="00FA1B4F"/>
    <w:rsid w:val="00FA5947"/>
    <w:rsid w:val="00FB2CDE"/>
    <w:rsid w:val="00FB36F8"/>
    <w:rsid w:val="00FB65CA"/>
    <w:rsid w:val="00FC0FD3"/>
    <w:rsid w:val="00FC47F9"/>
    <w:rsid w:val="00FC639A"/>
    <w:rsid w:val="00FD2026"/>
    <w:rsid w:val="00FE2351"/>
    <w:rsid w:val="00FE337D"/>
    <w:rsid w:val="00FE5580"/>
    <w:rsid w:val="00FE74A3"/>
    <w:rsid w:val="00FF037E"/>
    <w:rsid w:val="00FF110C"/>
    <w:rsid w:val="00FF49DA"/>
    <w:rsid w:val="00FF5578"/>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B4A3B"/>
  <w15:chartTrackingRefBased/>
  <w15:docId w15:val="{2AC7BAF1-C8C1-4A0F-AEDC-B54490D1F9B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62FD"/>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555E10"/>
    <w:pPr>
      <w:numPr>
        <w:ilvl w:val="6"/>
        <w:numId w:val="15"/>
      </w:numPr>
      <w:spacing w:after="120" w:line="240" w:lineRule="auto"/>
      <w:ind w:right="1440"/>
    </w:pPr>
  </w:style>
  <w:style w:type="character" w:styleId="CommentReference">
    <w:name w:val="annotation reference"/>
    <w:basedOn w:val="DefaultParagraphFont"/>
    <w:uiPriority w:val="99"/>
    <w:semiHidden/>
    <w:unhideWhenUsed/>
    <w:rsid w:val="00CE0F39"/>
    <w:rPr>
      <w:sz w:val="16"/>
      <w:szCs w:val="16"/>
    </w:rPr>
  </w:style>
  <w:style w:type="paragraph" w:styleId="CommentText">
    <w:name w:val="annotation text"/>
    <w:basedOn w:val="Normal"/>
    <w:link w:val="CommentTextChar"/>
    <w:uiPriority w:val="99"/>
    <w:unhideWhenUsed/>
    <w:rsid w:val="00CE0F39"/>
    <w:pPr>
      <w:spacing w:line="240" w:lineRule="auto"/>
    </w:pPr>
    <w:rPr>
      <w:sz w:val="20"/>
      <w:szCs w:val="20"/>
    </w:rPr>
  </w:style>
  <w:style w:type="character" w:customStyle="1" w:styleId="CommentTextChar">
    <w:name w:val="Comment Text Char"/>
    <w:basedOn w:val="DefaultParagraphFont"/>
    <w:link w:val="CommentText"/>
    <w:uiPriority w:val="99"/>
    <w:rsid w:val="00CE0F39"/>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CE0F39"/>
    <w:rPr>
      <w:b/>
      <w:bCs/>
    </w:rPr>
  </w:style>
  <w:style w:type="character" w:customStyle="1" w:styleId="CommentSubjectChar">
    <w:name w:val="Comment Subject Char"/>
    <w:basedOn w:val="CommentTextChar"/>
    <w:link w:val="CommentSubject"/>
    <w:uiPriority w:val="99"/>
    <w:semiHidden/>
    <w:rsid w:val="00CE0F39"/>
    <w:rPr>
      <w:rFonts w:ascii="Book Antiqua" w:hAnsi="Book Antiqua"/>
      <w:b/>
      <w:bCs/>
      <w:sz w:val="20"/>
      <w:szCs w:val="20"/>
    </w:rPr>
  </w:style>
  <w:style w:type="paragraph" w:styleId="Revision">
    <w:name w:val="Revision"/>
    <w:hidden/>
    <w:uiPriority w:val="99"/>
    <w:semiHidden/>
    <w:rsid w:val="0032489C"/>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1184307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3324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5134808ddd27515df808d7af9528947c">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03d2ad45a570580df49615fc5aa9d55f"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7FBEF95B-238B-407B-A2CC-6BB82839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3334</ap:Words>
  <ap:Characters>19006</ap:Characters>
  <ap:Application>Microsoft Office Word</ap:Application>
  <ap:DocSecurity>0</ap:DocSecurity>
  <ap:Lines>158</ap:Lines>
  <ap:Paragraphs>44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22296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2025-11-04T07:25:34Z</dcterms:created>
  <dcterms:modified xsi:type="dcterms:W3CDTF">2025-11-04T07:25:34Z</dcterms:modified>
</cp:coreProperties>
</file>