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F59" w:rsidR="00B60421" w:rsidP="00A43AFB" w:rsidRDefault="00A43AFB" w14:paraId="21F5DC37" w14:textId="79BBDFA1">
      <w:pPr>
        <w:tabs>
          <w:tab w:val="center" w:pos="4680"/>
          <w:tab w:val="right" w:pos="9360"/>
        </w:tabs>
        <w:spacing w:line="240" w:lineRule="auto"/>
        <w:ind w:firstLine="0"/>
        <w:rPr>
          <w:szCs w:val="26"/>
        </w:rPr>
      </w:pPr>
      <w:r>
        <w:rPr>
          <w:szCs w:val="26"/>
        </w:rPr>
        <w:t>ALJ/JYL/jnf</w:t>
      </w:r>
      <w:r w:rsidRPr="00234F59" w:rsidR="007E0FEE">
        <w:rPr>
          <w:szCs w:val="26"/>
        </w:rPr>
        <w:tab/>
      </w:r>
      <w:r w:rsidRPr="00A43AFB" w:rsidR="00DA7B5D">
        <w:rPr>
          <w:rFonts w:ascii="Arial" w:hAnsi="Arial" w:cs="Arial"/>
          <w:b/>
          <w:sz w:val="28"/>
          <w:szCs w:val="28"/>
        </w:rPr>
        <w:t>PROPOSED DECISION</w:t>
      </w:r>
      <w:r w:rsidRPr="00234F59" w:rsidR="00DA7B5D">
        <w:rPr>
          <w:szCs w:val="26"/>
        </w:rPr>
        <w:tab/>
      </w:r>
      <w:r w:rsidRPr="00234F59" w:rsidR="00DA7B5D">
        <w:rPr>
          <w:b/>
          <w:szCs w:val="26"/>
        </w:rPr>
        <w:t>Agenda ID #</w:t>
      </w:r>
      <w:r w:rsidR="001D317E">
        <w:rPr>
          <w:b/>
          <w:szCs w:val="26"/>
        </w:rPr>
        <w:t>23892</w:t>
      </w:r>
    </w:p>
    <w:p w:rsidRPr="00234F59" w:rsidR="00DA7B5D" w:rsidP="00E34772" w:rsidRDefault="00A43AFB" w14:paraId="700DE70B" w14:textId="01A8D762">
      <w:pPr>
        <w:spacing w:line="240" w:lineRule="auto"/>
        <w:jc w:val="right"/>
        <w:rPr>
          <w:b/>
          <w:szCs w:val="26"/>
        </w:rPr>
      </w:pPr>
      <w:r>
        <w:rPr>
          <w:b/>
          <w:szCs w:val="26"/>
        </w:rPr>
        <w:t>Ratesetting</w:t>
      </w:r>
    </w:p>
    <w:p w:rsidR="00DA7B5D" w:rsidP="008E4DD9" w:rsidRDefault="00DA7B5D" w14:paraId="6065929F" w14:textId="77777777">
      <w:pPr>
        <w:spacing w:line="240" w:lineRule="auto"/>
        <w:ind w:firstLine="0"/>
        <w:rPr>
          <w:szCs w:val="26"/>
        </w:rPr>
      </w:pPr>
    </w:p>
    <w:p w:rsidRPr="00234F59" w:rsidR="00DA7B5D" w:rsidP="00A43AFB" w:rsidRDefault="00DA7B5D" w14:paraId="33B6C0E5" w14:textId="77777777">
      <w:pPr>
        <w:spacing w:line="240" w:lineRule="auto"/>
        <w:ind w:left="1080" w:hanging="1080"/>
        <w:rPr>
          <w:szCs w:val="26"/>
        </w:rPr>
      </w:pPr>
      <w:r w:rsidRPr="00234F59">
        <w:rPr>
          <w:szCs w:val="26"/>
        </w:rPr>
        <w:t xml:space="preserve">Decision </w:t>
      </w:r>
      <w:r w:rsidRPr="00234F59" w:rsidR="008D16B7">
        <w:rPr>
          <w:szCs w:val="26"/>
        </w:rPr>
        <w:t>__________</w:t>
      </w:r>
    </w:p>
    <w:p w:rsidR="00DA7B5D" w:rsidP="00FD2949" w:rsidRDefault="00DA7B5D" w14:paraId="0512D096" w14:textId="77777777">
      <w:pPr>
        <w:ind w:firstLine="0"/>
        <w:rPr>
          <w:szCs w:val="26"/>
          <w:u w:val="single"/>
        </w:rPr>
      </w:pPr>
    </w:p>
    <w:p w:rsidRPr="00E34772" w:rsidR="00DA7B5D" w:rsidP="00E34772" w:rsidRDefault="00DA7B5D" w14:paraId="3DD8B13B" w14:textId="4C28E159">
      <w:pPr>
        <w:spacing w:after="240" w:line="240" w:lineRule="auto"/>
        <w:ind w:firstLine="0"/>
        <w:rPr>
          <w:rFonts w:ascii="Arial" w:hAnsi="Arial" w:cs="Arial"/>
          <w:sz w:val="24"/>
          <w:szCs w:val="24"/>
        </w:rPr>
      </w:pPr>
      <w:r w:rsidRPr="00E34772">
        <w:rPr>
          <w:rFonts w:ascii="Arial" w:hAnsi="Arial" w:cs="Arial"/>
          <w:b/>
          <w:sz w:val="24"/>
          <w:szCs w:val="24"/>
        </w:rPr>
        <w:t>BEFORE THE PUBLIC UTILITIES COMMISSION OF THE STATE OF</w:t>
      </w:r>
      <w:r w:rsidRPr="00E34772" w:rsidR="00E34772">
        <w:rPr>
          <w:rFonts w:ascii="Arial" w:hAnsi="Arial" w:cs="Arial"/>
          <w:b/>
          <w:sz w:val="24"/>
          <w:szCs w:val="24"/>
        </w:rPr>
        <w:t xml:space="preserve"> </w:t>
      </w:r>
      <w:r w:rsidRPr="00E34772">
        <w:rPr>
          <w:rFonts w:ascii="Arial" w:hAnsi="Arial" w:cs="Arial"/>
          <w:b/>
          <w:sz w:val="24"/>
          <w:szCs w:val="24"/>
        </w:rPr>
        <w:t>CALIFORNIA</w:t>
      </w:r>
    </w:p>
    <w:tbl>
      <w:tblPr>
        <w:tblStyle w:val="TableGrid"/>
        <w:tblW w:w="9360" w:type="dxa"/>
        <w:jc w:val="center"/>
        <w:tblLayout w:type="fixed"/>
        <w:tblLook w:val="04A0" w:firstRow="1" w:lastRow="0" w:firstColumn="1" w:lastColumn="0" w:noHBand="0" w:noVBand="1"/>
      </w:tblPr>
      <w:tblGrid>
        <w:gridCol w:w="4680"/>
        <w:gridCol w:w="4680"/>
      </w:tblGrid>
      <w:tr w:rsidRPr="00234F59" w:rsidR="00DA7B5D" w:rsidTr="00E34772" w14:paraId="66E7296F" w14:textId="77777777">
        <w:trPr>
          <w:jc w:val="center"/>
        </w:trPr>
        <w:tc>
          <w:tcPr>
            <w:tcW w:w="4680" w:type="dxa"/>
            <w:tcBorders>
              <w:top w:val="nil"/>
              <w:left w:val="nil"/>
              <w:bottom w:val="single" w:color="auto" w:sz="4" w:space="0"/>
              <w:right w:val="single" w:color="auto" w:sz="4" w:space="0"/>
            </w:tcBorders>
          </w:tcPr>
          <w:p w:rsidR="00DA7B5D" w:rsidP="00930DA8" w:rsidRDefault="00E34772" w14:paraId="646ED364" w14:textId="052CFD1B">
            <w:pPr>
              <w:spacing w:line="240" w:lineRule="auto"/>
              <w:ind w:firstLine="0"/>
              <w:rPr>
                <w:rFonts w:cs="Arial"/>
                <w:szCs w:val="26"/>
              </w:rPr>
            </w:pPr>
            <w:r w:rsidRPr="00E34772">
              <w:rPr>
                <w:rFonts w:cs="Arial"/>
                <w:szCs w:val="26"/>
              </w:rPr>
              <w:t>Application of Pacific Gas and Electric Company for Comprehensive Gas Advanced Metering Infrastructure Replacement Program</w:t>
            </w:r>
            <w:r>
              <w:rPr>
                <w:rFonts w:cs="Arial"/>
                <w:szCs w:val="26"/>
              </w:rPr>
              <w:t>.</w:t>
            </w:r>
            <w:r w:rsidRPr="00E34772">
              <w:rPr>
                <w:rFonts w:cs="Arial"/>
                <w:szCs w:val="26"/>
              </w:rPr>
              <w:t xml:space="preserve"> </w:t>
            </w:r>
            <w:r>
              <w:rPr>
                <w:rFonts w:cs="Arial"/>
                <w:szCs w:val="26"/>
              </w:rPr>
              <w:t xml:space="preserve"> </w:t>
            </w:r>
            <w:r w:rsidRPr="00E34772">
              <w:rPr>
                <w:rFonts w:cs="Arial"/>
                <w:szCs w:val="26"/>
              </w:rPr>
              <w:t>(U39M</w:t>
            </w:r>
            <w:r>
              <w:rPr>
                <w:rFonts w:cs="Arial"/>
                <w:szCs w:val="26"/>
              </w:rPr>
              <w:t>.</w:t>
            </w:r>
            <w:r w:rsidRPr="00E34772">
              <w:rPr>
                <w:rFonts w:cs="Arial"/>
                <w:szCs w:val="26"/>
              </w:rPr>
              <w:t>)</w:t>
            </w:r>
          </w:p>
          <w:p w:rsidRPr="00234F59" w:rsidR="00E34772" w:rsidP="00930DA8" w:rsidRDefault="00E34772" w14:paraId="42877B2E" w14:textId="6729AA14">
            <w:pPr>
              <w:spacing w:line="240" w:lineRule="auto"/>
              <w:ind w:firstLine="0"/>
              <w:rPr>
                <w:rFonts w:cs="Arial"/>
                <w:szCs w:val="26"/>
              </w:rPr>
            </w:pPr>
          </w:p>
        </w:tc>
        <w:tc>
          <w:tcPr>
            <w:tcW w:w="4680" w:type="dxa"/>
            <w:tcBorders>
              <w:top w:val="nil"/>
              <w:left w:val="single" w:color="auto" w:sz="4" w:space="0"/>
              <w:bottom w:val="nil"/>
              <w:right w:val="nil"/>
            </w:tcBorders>
            <w:vAlign w:val="center"/>
          </w:tcPr>
          <w:p w:rsidRPr="00234F59" w:rsidR="00DA7B5D" w:rsidP="007F2D8C" w:rsidRDefault="006C324E" w14:paraId="628D6EF9" w14:textId="627093B4">
            <w:pPr>
              <w:ind w:firstLine="0"/>
              <w:jc w:val="center"/>
              <w:rPr>
                <w:rFonts w:cs="Arial"/>
                <w:szCs w:val="26"/>
              </w:rPr>
            </w:pPr>
            <w:r w:rsidRPr="00234F59">
              <w:rPr>
                <w:rFonts w:cs="Arial"/>
                <w:szCs w:val="26"/>
              </w:rPr>
              <w:t>Application 24-03-011</w:t>
            </w:r>
          </w:p>
        </w:tc>
      </w:tr>
    </w:tbl>
    <w:p w:rsidR="00DA7B5D" w:rsidP="00E34772" w:rsidRDefault="00DA7B5D" w14:paraId="66677B34" w14:textId="77777777">
      <w:pPr>
        <w:spacing w:line="240" w:lineRule="auto"/>
        <w:ind w:firstLine="0"/>
        <w:rPr>
          <w:rFonts w:ascii="Arial" w:hAnsi="Arial" w:cs="Arial"/>
          <w:szCs w:val="26"/>
        </w:rPr>
      </w:pPr>
    </w:p>
    <w:p w:rsidRPr="00234F59" w:rsidR="00E34772" w:rsidP="00E34772" w:rsidRDefault="00E34772" w14:paraId="779FBECF" w14:textId="77777777">
      <w:pPr>
        <w:spacing w:line="240" w:lineRule="auto"/>
        <w:ind w:firstLine="0"/>
        <w:rPr>
          <w:rFonts w:ascii="Arial" w:hAnsi="Arial" w:cs="Arial"/>
          <w:szCs w:val="26"/>
        </w:rPr>
      </w:pPr>
    </w:p>
    <w:p w:rsidR="00A43AFB" w:rsidP="00A43AFB" w:rsidRDefault="00A43AFB" w14:paraId="681FB4A2" w14:textId="77777777">
      <w:pPr>
        <w:pStyle w:val="PDTitle"/>
        <w:sectPr w:rsidR="00A43AFB" w:rsidSect="00D44DB6">
          <w:headerReference w:type="default" r:id="rId11"/>
          <w:footerReference w:type="default" r:id="rId12"/>
          <w:pgSz w:w="12240" w:h="15840"/>
          <w:pgMar w:top="1728" w:right="1440" w:bottom="1440" w:left="1440" w:header="720" w:footer="720" w:gutter="0"/>
          <w:pgNumType w:start="1"/>
          <w:cols w:space="720"/>
          <w:docGrid w:linePitch="360"/>
        </w:sectPr>
      </w:pPr>
      <w:bookmarkStart w:name="_Toc177379429" w:id="0"/>
      <w:bookmarkStart w:name="_Toc212128374" w:id="1"/>
      <w:bookmarkStart w:name="_Hlk200526475" w:id="2"/>
      <w:bookmarkStart w:name="_Toc215555397" w:id="3"/>
      <w:r w:rsidRPr="00A43AFB">
        <w:t>DECISION APPROVING SETTLEMENT</w:t>
      </w:r>
      <w:bookmarkEnd w:id="0"/>
      <w:r w:rsidRPr="00A43AFB">
        <w:t xml:space="preserve"> AGREEMENT</w:t>
      </w:r>
      <w:bookmarkEnd w:id="1"/>
      <w:bookmarkEnd w:id="3"/>
    </w:p>
    <w:bookmarkEnd w:id="2"/>
    <w:p w:rsidRPr="001E2A62" w:rsidR="005C1AD3" w:rsidP="005C1AD3" w:rsidRDefault="005C1AD3" w14:paraId="747A9891" w14:textId="77777777">
      <w:pPr>
        <w:pStyle w:val="Main"/>
        <w:rPr>
          <w:rFonts w:ascii="Book Antiqua" w:hAnsi="Book Antiqua"/>
        </w:rPr>
      </w:pPr>
      <w:r w:rsidRPr="001E2A62">
        <w:rPr>
          <w:rFonts w:ascii="Book Antiqua" w:hAnsi="Book Antiqua"/>
        </w:rPr>
        <w:lastRenderedPageBreak/>
        <w:t>TABLE OF CONTENTS</w:t>
      </w:r>
    </w:p>
    <w:p w:rsidRPr="00D50119" w:rsidR="005C1AD3" w:rsidP="005C1AD3" w:rsidRDefault="005C1AD3" w14:paraId="1E3BF37B"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1D317E" w:rsidP="001D317E" w:rsidRDefault="005C1AD3" w14:paraId="49DD352B" w14:textId="1AB883D2">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5555397">
            <w:r w:rsidRPr="004B5183" w:rsidR="001D317E">
              <w:rPr>
                <w:rStyle w:val="Hyperlink"/>
                <w:noProof/>
              </w:rPr>
              <w:t>DECISION APPROVING SETTLEMENT AGREEMENT</w:t>
            </w:r>
            <w:r w:rsidR="001D317E">
              <w:rPr>
                <w:noProof/>
                <w:webHidden/>
              </w:rPr>
              <w:tab/>
            </w:r>
            <w:r w:rsidR="001D317E">
              <w:rPr>
                <w:noProof/>
                <w:webHidden/>
              </w:rPr>
              <w:fldChar w:fldCharType="begin"/>
            </w:r>
            <w:r w:rsidR="001D317E">
              <w:rPr>
                <w:noProof/>
                <w:webHidden/>
              </w:rPr>
              <w:instrText xml:space="preserve"> PAGEREF _Toc215555397 \h </w:instrText>
            </w:r>
            <w:r w:rsidR="001D317E">
              <w:rPr>
                <w:noProof/>
                <w:webHidden/>
              </w:rPr>
            </w:r>
            <w:r w:rsidR="001D317E">
              <w:rPr>
                <w:noProof/>
                <w:webHidden/>
              </w:rPr>
              <w:fldChar w:fldCharType="separate"/>
            </w:r>
            <w:r w:rsidR="001D317E">
              <w:rPr>
                <w:noProof/>
                <w:webHidden/>
              </w:rPr>
              <w:t>1</w:t>
            </w:r>
            <w:r w:rsidR="001D317E">
              <w:rPr>
                <w:noProof/>
                <w:webHidden/>
              </w:rPr>
              <w:fldChar w:fldCharType="end"/>
            </w:r>
          </w:hyperlink>
        </w:p>
        <w:p w:rsidR="001D317E" w:rsidRDefault="001D317E" w14:paraId="464D91B4" w14:textId="7C38A7D3">
          <w:pPr>
            <w:pStyle w:val="TOC1"/>
            <w:tabs>
              <w:tab w:val="right" w:leader="dot" w:pos="9350"/>
            </w:tabs>
            <w:rPr>
              <w:rFonts w:asciiTheme="minorHAnsi" w:hAnsiTheme="minorHAnsi" w:cstheme="minorBidi"/>
              <w:noProof/>
              <w:kern w:val="2"/>
              <w:sz w:val="24"/>
              <w:szCs w:val="24"/>
              <w14:ligatures w14:val="standardContextual"/>
            </w:rPr>
          </w:pPr>
          <w:hyperlink w:history="1" w:anchor="_Toc215555398">
            <w:r w:rsidRPr="004B5183">
              <w:rPr>
                <w:rStyle w:val="Hyperlink"/>
                <w:noProof/>
              </w:rPr>
              <w:t>Summary</w:t>
            </w:r>
            <w:r>
              <w:rPr>
                <w:noProof/>
                <w:webHidden/>
              </w:rPr>
              <w:tab/>
            </w:r>
            <w:r>
              <w:rPr>
                <w:noProof/>
                <w:webHidden/>
              </w:rPr>
              <w:fldChar w:fldCharType="begin"/>
            </w:r>
            <w:r>
              <w:rPr>
                <w:noProof/>
                <w:webHidden/>
              </w:rPr>
              <w:instrText xml:space="preserve"> PAGEREF _Toc215555398 \h </w:instrText>
            </w:r>
            <w:r>
              <w:rPr>
                <w:noProof/>
                <w:webHidden/>
              </w:rPr>
            </w:r>
            <w:r>
              <w:rPr>
                <w:noProof/>
                <w:webHidden/>
              </w:rPr>
              <w:fldChar w:fldCharType="separate"/>
            </w:r>
            <w:r>
              <w:rPr>
                <w:noProof/>
                <w:webHidden/>
              </w:rPr>
              <w:t>2</w:t>
            </w:r>
            <w:r>
              <w:rPr>
                <w:noProof/>
                <w:webHidden/>
              </w:rPr>
              <w:fldChar w:fldCharType="end"/>
            </w:r>
          </w:hyperlink>
        </w:p>
        <w:p w:rsidR="001D317E" w:rsidRDefault="001D317E" w14:paraId="28DB937D" w14:textId="0DE81062">
          <w:pPr>
            <w:pStyle w:val="TOC1"/>
            <w:tabs>
              <w:tab w:val="right" w:leader="dot" w:pos="9350"/>
            </w:tabs>
            <w:rPr>
              <w:rFonts w:asciiTheme="minorHAnsi" w:hAnsiTheme="minorHAnsi" w:cstheme="minorBidi"/>
              <w:noProof/>
              <w:kern w:val="2"/>
              <w:sz w:val="24"/>
              <w:szCs w:val="24"/>
              <w14:ligatures w14:val="standardContextual"/>
            </w:rPr>
          </w:pPr>
          <w:hyperlink w:history="1" w:anchor="_Toc215555399">
            <w:r w:rsidRPr="004B5183">
              <w:rPr>
                <w:rStyle w:val="Hyperlink"/>
                <w:noProof/>
              </w:rPr>
              <w:t>1.</w:t>
            </w:r>
            <w:r>
              <w:rPr>
                <w:rFonts w:asciiTheme="minorHAnsi" w:hAnsiTheme="minorHAnsi" w:cstheme="minorBidi"/>
                <w:noProof/>
                <w:kern w:val="2"/>
                <w:sz w:val="24"/>
                <w:szCs w:val="24"/>
                <w14:ligatures w14:val="standardContextual"/>
              </w:rPr>
              <w:tab/>
            </w:r>
            <w:r w:rsidRPr="004B5183">
              <w:rPr>
                <w:rStyle w:val="Hyperlink"/>
                <w:noProof/>
              </w:rPr>
              <w:t>Background</w:t>
            </w:r>
            <w:r>
              <w:rPr>
                <w:noProof/>
                <w:webHidden/>
              </w:rPr>
              <w:tab/>
            </w:r>
            <w:r>
              <w:rPr>
                <w:noProof/>
                <w:webHidden/>
              </w:rPr>
              <w:fldChar w:fldCharType="begin"/>
            </w:r>
            <w:r>
              <w:rPr>
                <w:noProof/>
                <w:webHidden/>
              </w:rPr>
              <w:instrText xml:space="preserve"> PAGEREF _Toc215555399 \h </w:instrText>
            </w:r>
            <w:r>
              <w:rPr>
                <w:noProof/>
                <w:webHidden/>
              </w:rPr>
            </w:r>
            <w:r>
              <w:rPr>
                <w:noProof/>
                <w:webHidden/>
              </w:rPr>
              <w:fldChar w:fldCharType="separate"/>
            </w:r>
            <w:r>
              <w:rPr>
                <w:noProof/>
                <w:webHidden/>
              </w:rPr>
              <w:t>3</w:t>
            </w:r>
            <w:r>
              <w:rPr>
                <w:noProof/>
                <w:webHidden/>
              </w:rPr>
              <w:fldChar w:fldCharType="end"/>
            </w:r>
          </w:hyperlink>
        </w:p>
        <w:p w:rsidR="001D317E" w:rsidRDefault="001D317E" w14:paraId="0AB5E7DF" w14:textId="3252081B">
          <w:pPr>
            <w:pStyle w:val="TOC2"/>
            <w:tabs>
              <w:tab w:val="right" w:leader="dot" w:pos="9350"/>
            </w:tabs>
            <w:rPr>
              <w:rFonts w:asciiTheme="minorHAnsi" w:hAnsiTheme="minorHAnsi" w:cstheme="minorBidi"/>
              <w:noProof/>
              <w:kern w:val="2"/>
              <w:sz w:val="24"/>
              <w:szCs w:val="24"/>
              <w14:ligatures w14:val="standardContextual"/>
            </w:rPr>
          </w:pPr>
          <w:hyperlink w:history="1" w:anchor="_Toc215555400">
            <w:r w:rsidRPr="004B5183">
              <w:rPr>
                <w:rStyle w:val="Hyperlink"/>
                <w:noProof/>
              </w:rPr>
              <w:t>1.2.</w:t>
            </w:r>
            <w:r>
              <w:rPr>
                <w:rFonts w:asciiTheme="minorHAnsi" w:hAnsiTheme="minorHAnsi" w:cstheme="minorBidi"/>
                <w:noProof/>
                <w:kern w:val="2"/>
                <w:sz w:val="24"/>
                <w:szCs w:val="24"/>
                <w14:ligatures w14:val="standardContextual"/>
              </w:rPr>
              <w:tab/>
            </w:r>
            <w:r w:rsidRPr="004B5183">
              <w:rPr>
                <w:rStyle w:val="Hyperlink"/>
                <w:noProof/>
              </w:rPr>
              <w:t>Factual Background</w:t>
            </w:r>
            <w:r>
              <w:rPr>
                <w:noProof/>
                <w:webHidden/>
              </w:rPr>
              <w:tab/>
            </w:r>
            <w:r>
              <w:rPr>
                <w:noProof/>
                <w:webHidden/>
              </w:rPr>
              <w:fldChar w:fldCharType="begin"/>
            </w:r>
            <w:r>
              <w:rPr>
                <w:noProof/>
                <w:webHidden/>
              </w:rPr>
              <w:instrText xml:space="preserve"> PAGEREF _Toc215555400 \h </w:instrText>
            </w:r>
            <w:r>
              <w:rPr>
                <w:noProof/>
                <w:webHidden/>
              </w:rPr>
            </w:r>
            <w:r>
              <w:rPr>
                <w:noProof/>
                <w:webHidden/>
              </w:rPr>
              <w:fldChar w:fldCharType="separate"/>
            </w:r>
            <w:r>
              <w:rPr>
                <w:noProof/>
                <w:webHidden/>
              </w:rPr>
              <w:t>3</w:t>
            </w:r>
            <w:r>
              <w:rPr>
                <w:noProof/>
                <w:webHidden/>
              </w:rPr>
              <w:fldChar w:fldCharType="end"/>
            </w:r>
          </w:hyperlink>
        </w:p>
        <w:p w:rsidR="001D317E" w:rsidRDefault="001D317E" w14:paraId="7F8D1818" w14:textId="793BB1A4">
          <w:pPr>
            <w:pStyle w:val="TOC2"/>
            <w:tabs>
              <w:tab w:val="right" w:leader="dot" w:pos="9350"/>
            </w:tabs>
            <w:rPr>
              <w:rFonts w:asciiTheme="minorHAnsi" w:hAnsiTheme="minorHAnsi" w:cstheme="minorBidi"/>
              <w:noProof/>
              <w:kern w:val="2"/>
              <w:sz w:val="24"/>
              <w:szCs w:val="24"/>
              <w14:ligatures w14:val="standardContextual"/>
            </w:rPr>
          </w:pPr>
          <w:hyperlink w:history="1" w:anchor="_Toc215555401">
            <w:r w:rsidRPr="004B5183">
              <w:rPr>
                <w:rStyle w:val="Hyperlink"/>
                <w:noProof/>
              </w:rPr>
              <w:t>1.3.</w:t>
            </w:r>
            <w:r>
              <w:rPr>
                <w:rFonts w:asciiTheme="minorHAnsi" w:hAnsiTheme="minorHAnsi" w:cstheme="minorBidi"/>
                <w:noProof/>
                <w:kern w:val="2"/>
                <w:sz w:val="24"/>
                <w:szCs w:val="24"/>
                <w14:ligatures w14:val="standardContextual"/>
              </w:rPr>
              <w:tab/>
            </w:r>
            <w:r w:rsidRPr="004B5183">
              <w:rPr>
                <w:rStyle w:val="Hyperlink"/>
                <w:noProof/>
              </w:rPr>
              <w:t>Procedural Background</w:t>
            </w:r>
            <w:r>
              <w:rPr>
                <w:noProof/>
                <w:webHidden/>
              </w:rPr>
              <w:tab/>
            </w:r>
            <w:r>
              <w:rPr>
                <w:noProof/>
                <w:webHidden/>
              </w:rPr>
              <w:fldChar w:fldCharType="begin"/>
            </w:r>
            <w:r>
              <w:rPr>
                <w:noProof/>
                <w:webHidden/>
              </w:rPr>
              <w:instrText xml:space="preserve"> PAGEREF _Toc215555401 \h </w:instrText>
            </w:r>
            <w:r>
              <w:rPr>
                <w:noProof/>
                <w:webHidden/>
              </w:rPr>
            </w:r>
            <w:r>
              <w:rPr>
                <w:noProof/>
                <w:webHidden/>
              </w:rPr>
              <w:fldChar w:fldCharType="separate"/>
            </w:r>
            <w:r>
              <w:rPr>
                <w:noProof/>
                <w:webHidden/>
              </w:rPr>
              <w:t>5</w:t>
            </w:r>
            <w:r>
              <w:rPr>
                <w:noProof/>
                <w:webHidden/>
              </w:rPr>
              <w:fldChar w:fldCharType="end"/>
            </w:r>
          </w:hyperlink>
        </w:p>
        <w:p w:rsidR="001D317E" w:rsidRDefault="001D317E" w14:paraId="62E258DD" w14:textId="5CCC435D">
          <w:pPr>
            <w:pStyle w:val="TOC2"/>
            <w:tabs>
              <w:tab w:val="right" w:leader="dot" w:pos="9350"/>
            </w:tabs>
            <w:rPr>
              <w:rFonts w:asciiTheme="minorHAnsi" w:hAnsiTheme="minorHAnsi" w:cstheme="minorBidi"/>
              <w:noProof/>
              <w:kern w:val="2"/>
              <w:sz w:val="24"/>
              <w:szCs w:val="24"/>
              <w14:ligatures w14:val="standardContextual"/>
            </w:rPr>
          </w:pPr>
          <w:hyperlink w:history="1" w:anchor="_Toc215555402">
            <w:r w:rsidRPr="004B5183">
              <w:rPr>
                <w:rStyle w:val="Hyperlink"/>
                <w:noProof/>
              </w:rPr>
              <w:t>1.4.</w:t>
            </w:r>
            <w:r>
              <w:rPr>
                <w:rFonts w:asciiTheme="minorHAnsi" w:hAnsiTheme="minorHAnsi" w:cstheme="minorBidi"/>
                <w:noProof/>
                <w:kern w:val="2"/>
                <w:sz w:val="24"/>
                <w:szCs w:val="24"/>
                <w14:ligatures w14:val="standardContextual"/>
              </w:rPr>
              <w:tab/>
            </w:r>
            <w:r w:rsidRPr="004B5183">
              <w:rPr>
                <w:rStyle w:val="Hyperlink"/>
                <w:noProof/>
              </w:rPr>
              <w:t>Submission Date</w:t>
            </w:r>
            <w:r>
              <w:rPr>
                <w:noProof/>
                <w:webHidden/>
              </w:rPr>
              <w:tab/>
            </w:r>
            <w:r>
              <w:rPr>
                <w:noProof/>
                <w:webHidden/>
              </w:rPr>
              <w:fldChar w:fldCharType="begin"/>
            </w:r>
            <w:r>
              <w:rPr>
                <w:noProof/>
                <w:webHidden/>
              </w:rPr>
              <w:instrText xml:space="preserve"> PAGEREF _Toc215555402 \h </w:instrText>
            </w:r>
            <w:r>
              <w:rPr>
                <w:noProof/>
                <w:webHidden/>
              </w:rPr>
            </w:r>
            <w:r>
              <w:rPr>
                <w:noProof/>
                <w:webHidden/>
              </w:rPr>
              <w:fldChar w:fldCharType="separate"/>
            </w:r>
            <w:r>
              <w:rPr>
                <w:noProof/>
                <w:webHidden/>
              </w:rPr>
              <w:t>9</w:t>
            </w:r>
            <w:r>
              <w:rPr>
                <w:noProof/>
                <w:webHidden/>
              </w:rPr>
              <w:fldChar w:fldCharType="end"/>
            </w:r>
          </w:hyperlink>
        </w:p>
        <w:p w:rsidR="001D317E" w:rsidRDefault="001D317E" w14:paraId="2077F1C6" w14:textId="171A0572">
          <w:pPr>
            <w:pStyle w:val="TOC1"/>
            <w:tabs>
              <w:tab w:val="right" w:leader="dot" w:pos="9350"/>
            </w:tabs>
            <w:rPr>
              <w:rFonts w:asciiTheme="minorHAnsi" w:hAnsiTheme="minorHAnsi" w:cstheme="minorBidi"/>
              <w:noProof/>
              <w:kern w:val="2"/>
              <w:sz w:val="24"/>
              <w:szCs w:val="24"/>
              <w14:ligatures w14:val="standardContextual"/>
            </w:rPr>
          </w:pPr>
          <w:hyperlink w:history="1" w:anchor="_Toc215555403">
            <w:r w:rsidRPr="004B5183">
              <w:rPr>
                <w:rStyle w:val="Hyperlink"/>
                <w:noProof/>
              </w:rPr>
              <w:t>2.</w:t>
            </w:r>
            <w:r>
              <w:rPr>
                <w:rFonts w:asciiTheme="minorHAnsi" w:hAnsiTheme="minorHAnsi" w:cstheme="minorBidi"/>
                <w:noProof/>
                <w:kern w:val="2"/>
                <w:sz w:val="24"/>
                <w:szCs w:val="24"/>
                <w14:ligatures w14:val="standardContextual"/>
              </w:rPr>
              <w:tab/>
            </w:r>
            <w:r w:rsidRPr="004B5183">
              <w:rPr>
                <w:rStyle w:val="Hyperlink"/>
                <w:noProof/>
              </w:rPr>
              <w:t>Jurisdiction and Burden of Proof</w:t>
            </w:r>
            <w:r>
              <w:rPr>
                <w:noProof/>
                <w:webHidden/>
              </w:rPr>
              <w:tab/>
            </w:r>
            <w:r>
              <w:rPr>
                <w:noProof/>
                <w:webHidden/>
              </w:rPr>
              <w:fldChar w:fldCharType="begin"/>
            </w:r>
            <w:r>
              <w:rPr>
                <w:noProof/>
                <w:webHidden/>
              </w:rPr>
              <w:instrText xml:space="preserve"> PAGEREF _Toc215555403 \h </w:instrText>
            </w:r>
            <w:r>
              <w:rPr>
                <w:noProof/>
                <w:webHidden/>
              </w:rPr>
            </w:r>
            <w:r>
              <w:rPr>
                <w:noProof/>
                <w:webHidden/>
              </w:rPr>
              <w:fldChar w:fldCharType="separate"/>
            </w:r>
            <w:r>
              <w:rPr>
                <w:noProof/>
                <w:webHidden/>
              </w:rPr>
              <w:t>9</w:t>
            </w:r>
            <w:r>
              <w:rPr>
                <w:noProof/>
                <w:webHidden/>
              </w:rPr>
              <w:fldChar w:fldCharType="end"/>
            </w:r>
          </w:hyperlink>
        </w:p>
        <w:p w:rsidR="001D317E" w:rsidRDefault="001D317E" w14:paraId="34830A74" w14:textId="76EBF92F">
          <w:pPr>
            <w:pStyle w:val="TOC1"/>
            <w:tabs>
              <w:tab w:val="right" w:leader="dot" w:pos="9350"/>
            </w:tabs>
            <w:rPr>
              <w:rFonts w:asciiTheme="minorHAnsi" w:hAnsiTheme="minorHAnsi" w:cstheme="minorBidi"/>
              <w:noProof/>
              <w:kern w:val="2"/>
              <w:sz w:val="24"/>
              <w:szCs w:val="24"/>
              <w14:ligatures w14:val="standardContextual"/>
            </w:rPr>
          </w:pPr>
          <w:hyperlink w:history="1" w:anchor="_Toc215555404">
            <w:r w:rsidRPr="004B5183">
              <w:rPr>
                <w:rStyle w:val="Hyperlink"/>
                <w:noProof/>
              </w:rPr>
              <w:t>3.</w:t>
            </w:r>
            <w:r>
              <w:rPr>
                <w:rFonts w:asciiTheme="minorHAnsi" w:hAnsiTheme="minorHAnsi" w:cstheme="minorBidi"/>
                <w:noProof/>
                <w:kern w:val="2"/>
                <w:sz w:val="24"/>
                <w:szCs w:val="24"/>
                <w14:ligatures w14:val="standardContextual"/>
              </w:rPr>
              <w:tab/>
            </w:r>
            <w:r w:rsidRPr="004B5183">
              <w:rPr>
                <w:rStyle w:val="Hyperlink"/>
                <w:noProof/>
              </w:rPr>
              <w:t>Issues Before the Commission</w:t>
            </w:r>
            <w:r>
              <w:rPr>
                <w:noProof/>
                <w:webHidden/>
              </w:rPr>
              <w:tab/>
            </w:r>
            <w:r>
              <w:rPr>
                <w:noProof/>
                <w:webHidden/>
              </w:rPr>
              <w:fldChar w:fldCharType="begin"/>
            </w:r>
            <w:r>
              <w:rPr>
                <w:noProof/>
                <w:webHidden/>
              </w:rPr>
              <w:instrText xml:space="preserve"> PAGEREF _Toc215555404 \h </w:instrText>
            </w:r>
            <w:r>
              <w:rPr>
                <w:noProof/>
                <w:webHidden/>
              </w:rPr>
            </w:r>
            <w:r>
              <w:rPr>
                <w:noProof/>
                <w:webHidden/>
              </w:rPr>
              <w:fldChar w:fldCharType="separate"/>
            </w:r>
            <w:r>
              <w:rPr>
                <w:noProof/>
                <w:webHidden/>
              </w:rPr>
              <w:t>9</w:t>
            </w:r>
            <w:r>
              <w:rPr>
                <w:noProof/>
                <w:webHidden/>
              </w:rPr>
              <w:fldChar w:fldCharType="end"/>
            </w:r>
          </w:hyperlink>
        </w:p>
        <w:p w:rsidR="001D317E" w:rsidRDefault="001D317E" w14:paraId="2234CF98" w14:textId="46EC4340">
          <w:pPr>
            <w:pStyle w:val="TOC1"/>
            <w:tabs>
              <w:tab w:val="right" w:leader="dot" w:pos="9350"/>
            </w:tabs>
            <w:rPr>
              <w:rFonts w:asciiTheme="minorHAnsi" w:hAnsiTheme="minorHAnsi" w:cstheme="minorBidi"/>
              <w:noProof/>
              <w:kern w:val="2"/>
              <w:sz w:val="24"/>
              <w:szCs w:val="24"/>
              <w14:ligatures w14:val="standardContextual"/>
            </w:rPr>
          </w:pPr>
          <w:hyperlink w:history="1" w:anchor="_Toc215555405">
            <w:r w:rsidRPr="004B5183">
              <w:rPr>
                <w:rStyle w:val="Hyperlink"/>
                <w:noProof/>
              </w:rPr>
              <w:t>4.</w:t>
            </w:r>
            <w:r>
              <w:rPr>
                <w:rFonts w:asciiTheme="minorHAnsi" w:hAnsiTheme="minorHAnsi" w:cstheme="minorBidi"/>
                <w:noProof/>
                <w:kern w:val="2"/>
                <w:sz w:val="24"/>
                <w:szCs w:val="24"/>
                <w14:ligatures w14:val="standardContextual"/>
              </w:rPr>
              <w:tab/>
            </w:r>
            <w:r w:rsidRPr="004B5183">
              <w:rPr>
                <w:rStyle w:val="Hyperlink"/>
                <w:noProof/>
              </w:rPr>
              <w:t>Settling Parties’ Positions</w:t>
            </w:r>
            <w:r>
              <w:rPr>
                <w:noProof/>
                <w:webHidden/>
              </w:rPr>
              <w:tab/>
            </w:r>
            <w:r>
              <w:rPr>
                <w:noProof/>
                <w:webHidden/>
              </w:rPr>
              <w:fldChar w:fldCharType="begin"/>
            </w:r>
            <w:r>
              <w:rPr>
                <w:noProof/>
                <w:webHidden/>
              </w:rPr>
              <w:instrText xml:space="preserve"> PAGEREF _Toc215555405 \h </w:instrText>
            </w:r>
            <w:r>
              <w:rPr>
                <w:noProof/>
                <w:webHidden/>
              </w:rPr>
            </w:r>
            <w:r>
              <w:rPr>
                <w:noProof/>
                <w:webHidden/>
              </w:rPr>
              <w:fldChar w:fldCharType="separate"/>
            </w:r>
            <w:r>
              <w:rPr>
                <w:noProof/>
                <w:webHidden/>
              </w:rPr>
              <w:t>11</w:t>
            </w:r>
            <w:r>
              <w:rPr>
                <w:noProof/>
                <w:webHidden/>
              </w:rPr>
              <w:fldChar w:fldCharType="end"/>
            </w:r>
          </w:hyperlink>
        </w:p>
        <w:p w:rsidR="001D317E" w:rsidRDefault="001D317E" w14:paraId="5F0CD0AF" w14:textId="5E686962">
          <w:pPr>
            <w:pStyle w:val="TOC2"/>
            <w:tabs>
              <w:tab w:val="right" w:leader="dot" w:pos="9350"/>
            </w:tabs>
            <w:rPr>
              <w:rFonts w:asciiTheme="minorHAnsi" w:hAnsiTheme="minorHAnsi" w:cstheme="minorBidi"/>
              <w:noProof/>
              <w:kern w:val="2"/>
              <w:sz w:val="24"/>
              <w:szCs w:val="24"/>
              <w14:ligatures w14:val="standardContextual"/>
            </w:rPr>
          </w:pPr>
          <w:hyperlink w:history="1" w:anchor="_Toc215555406">
            <w:r w:rsidRPr="004B5183">
              <w:rPr>
                <w:rStyle w:val="Hyperlink"/>
                <w:noProof/>
              </w:rPr>
              <w:t>4.1.</w:t>
            </w:r>
            <w:r>
              <w:rPr>
                <w:rFonts w:asciiTheme="minorHAnsi" w:hAnsiTheme="minorHAnsi" w:cstheme="minorBidi"/>
                <w:noProof/>
                <w:kern w:val="2"/>
                <w:sz w:val="24"/>
                <w:szCs w:val="24"/>
                <w14:ligatures w14:val="standardContextual"/>
              </w:rPr>
              <w:tab/>
            </w:r>
            <w:r w:rsidRPr="004B5183">
              <w:rPr>
                <w:rStyle w:val="Hyperlink"/>
                <w:noProof/>
              </w:rPr>
              <w:t>SBUA Response</w:t>
            </w:r>
            <w:r>
              <w:rPr>
                <w:noProof/>
                <w:webHidden/>
              </w:rPr>
              <w:tab/>
            </w:r>
            <w:r>
              <w:rPr>
                <w:noProof/>
                <w:webHidden/>
              </w:rPr>
              <w:fldChar w:fldCharType="begin"/>
            </w:r>
            <w:r>
              <w:rPr>
                <w:noProof/>
                <w:webHidden/>
              </w:rPr>
              <w:instrText xml:space="preserve"> PAGEREF _Toc215555406 \h </w:instrText>
            </w:r>
            <w:r>
              <w:rPr>
                <w:noProof/>
                <w:webHidden/>
              </w:rPr>
            </w:r>
            <w:r>
              <w:rPr>
                <w:noProof/>
                <w:webHidden/>
              </w:rPr>
              <w:fldChar w:fldCharType="separate"/>
            </w:r>
            <w:r>
              <w:rPr>
                <w:noProof/>
                <w:webHidden/>
              </w:rPr>
              <w:t>11</w:t>
            </w:r>
            <w:r>
              <w:rPr>
                <w:noProof/>
                <w:webHidden/>
              </w:rPr>
              <w:fldChar w:fldCharType="end"/>
            </w:r>
          </w:hyperlink>
        </w:p>
        <w:p w:rsidR="001D317E" w:rsidRDefault="001D317E" w14:paraId="09AEBAF2" w14:textId="191BDDE5">
          <w:pPr>
            <w:pStyle w:val="TOC2"/>
            <w:tabs>
              <w:tab w:val="right" w:leader="dot" w:pos="9350"/>
            </w:tabs>
            <w:rPr>
              <w:rFonts w:asciiTheme="minorHAnsi" w:hAnsiTheme="minorHAnsi" w:cstheme="minorBidi"/>
              <w:noProof/>
              <w:kern w:val="2"/>
              <w:sz w:val="24"/>
              <w:szCs w:val="24"/>
              <w14:ligatures w14:val="standardContextual"/>
            </w:rPr>
          </w:pPr>
          <w:hyperlink w:history="1" w:anchor="_Toc215555407">
            <w:r w:rsidRPr="004B5183">
              <w:rPr>
                <w:rStyle w:val="Hyperlink"/>
                <w:noProof/>
              </w:rPr>
              <w:t>4.2.</w:t>
            </w:r>
            <w:r>
              <w:rPr>
                <w:rFonts w:asciiTheme="minorHAnsi" w:hAnsiTheme="minorHAnsi" w:cstheme="minorBidi"/>
                <w:noProof/>
                <w:kern w:val="2"/>
                <w:sz w:val="24"/>
                <w:szCs w:val="24"/>
                <w14:ligatures w14:val="standardContextual"/>
              </w:rPr>
              <w:tab/>
            </w:r>
            <w:r w:rsidRPr="004B5183">
              <w:rPr>
                <w:rStyle w:val="Hyperlink"/>
                <w:noProof/>
              </w:rPr>
              <w:t>TURN Protest</w:t>
            </w:r>
            <w:r>
              <w:rPr>
                <w:noProof/>
                <w:webHidden/>
              </w:rPr>
              <w:tab/>
            </w:r>
            <w:r>
              <w:rPr>
                <w:noProof/>
                <w:webHidden/>
              </w:rPr>
              <w:fldChar w:fldCharType="begin"/>
            </w:r>
            <w:r>
              <w:rPr>
                <w:noProof/>
                <w:webHidden/>
              </w:rPr>
              <w:instrText xml:space="preserve"> PAGEREF _Toc215555407 \h </w:instrText>
            </w:r>
            <w:r>
              <w:rPr>
                <w:noProof/>
                <w:webHidden/>
              </w:rPr>
            </w:r>
            <w:r>
              <w:rPr>
                <w:noProof/>
                <w:webHidden/>
              </w:rPr>
              <w:fldChar w:fldCharType="separate"/>
            </w:r>
            <w:r>
              <w:rPr>
                <w:noProof/>
                <w:webHidden/>
              </w:rPr>
              <w:t>12</w:t>
            </w:r>
            <w:r>
              <w:rPr>
                <w:noProof/>
                <w:webHidden/>
              </w:rPr>
              <w:fldChar w:fldCharType="end"/>
            </w:r>
          </w:hyperlink>
        </w:p>
        <w:p w:rsidR="001D317E" w:rsidRDefault="001D317E" w14:paraId="0F468293" w14:textId="23F312BE">
          <w:pPr>
            <w:pStyle w:val="TOC2"/>
            <w:tabs>
              <w:tab w:val="right" w:leader="dot" w:pos="9350"/>
            </w:tabs>
            <w:rPr>
              <w:rFonts w:asciiTheme="minorHAnsi" w:hAnsiTheme="minorHAnsi" w:cstheme="minorBidi"/>
              <w:noProof/>
              <w:kern w:val="2"/>
              <w:sz w:val="24"/>
              <w:szCs w:val="24"/>
              <w14:ligatures w14:val="standardContextual"/>
            </w:rPr>
          </w:pPr>
          <w:hyperlink w:history="1" w:anchor="_Toc215555408">
            <w:r w:rsidRPr="004B5183">
              <w:rPr>
                <w:rStyle w:val="Hyperlink"/>
                <w:noProof/>
              </w:rPr>
              <w:t>4.3.</w:t>
            </w:r>
            <w:r>
              <w:rPr>
                <w:rFonts w:asciiTheme="minorHAnsi" w:hAnsiTheme="minorHAnsi" w:cstheme="minorBidi"/>
                <w:noProof/>
                <w:kern w:val="2"/>
                <w:sz w:val="24"/>
                <w:szCs w:val="24"/>
                <w14:ligatures w14:val="standardContextual"/>
              </w:rPr>
              <w:tab/>
            </w:r>
            <w:r w:rsidRPr="004B5183">
              <w:rPr>
                <w:rStyle w:val="Hyperlink"/>
                <w:noProof/>
              </w:rPr>
              <w:t>Cal Advocates Protest</w:t>
            </w:r>
            <w:r>
              <w:rPr>
                <w:noProof/>
                <w:webHidden/>
              </w:rPr>
              <w:tab/>
            </w:r>
            <w:r>
              <w:rPr>
                <w:noProof/>
                <w:webHidden/>
              </w:rPr>
              <w:fldChar w:fldCharType="begin"/>
            </w:r>
            <w:r>
              <w:rPr>
                <w:noProof/>
                <w:webHidden/>
              </w:rPr>
              <w:instrText xml:space="preserve"> PAGEREF _Toc215555408 \h </w:instrText>
            </w:r>
            <w:r>
              <w:rPr>
                <w:noProof/>
                <w:webHidden/>
              </w:rPr>
            </w:r>
            <w:r>
              <w:rPr>
                <w:noProof/>
                <w:webHidden/>
              </w:rPr>
              <w:fldChar w:fldCharType="separate"/>
            </w:r>
            <w:r>
              <w:rPr>
                <w:noProof/>
                <w:webHidden/>
              </w:rPr>
              <w:t>13</w:t>
            </w:r>
            <w:r>
              <w:rPr>
                <w:noProof/>
                <w:webHidden/>
              </w:rPr>
              <w:fldChar w:fldCharType="end"/>
            </w:r>
          </w:hyperlink>
        </w:p>
        <w:p w:rsidR="001D317E" w:rsidRDefault="001D317E" w14:paraId="1F0BFEC5" w14:textId="31CB9DA8">
          <w:pPr>
            <w:pStyle w:val="TOC2"/>
            <w:tabs>
              <w:tab w:val="right" w:leader="dot" w:pos="9350"/>
            </w:tabs>
            <w:rPr>
              <w:rFonts w:asciiTheme="minorHAnsi" w:hAnsiTheme="minorHAnsi" w:cstheme="minorBidi"/>
              <w:noProof/>
              <w:kern w:val="2"/>
              <w:sz w:val="24"/>
              <w:szCs w:val="24"/>
              <w14:ligatures w14:val="standardContextual"/>
            </w:rPr>
          </w:pPr>
          <w:hyperlink w:history="1" w:anchor="_Toc215555409">
            <w:r w:rsidRPr="004B5183">
              <w:rPr>
                <w:rStyle w:val="Hyperlink"/>
                <w:noProof/>
              </w:rPr>
              <w:t>4.4.</w:t>
            </w:r>
            <w:r>
              <w:rPr>
                <w:rFonts w:asciiTheme="minorHAnsi" w:hAnsiTheme="minorHAnsi" w:cstheme="minorBidi"/>
                <w:noProof/>
                <w:kern w:val="2"/>
                <w:sz w:val="24"/>
                <w:szCs w:val="24"/>
                <w14:ligatures w14:val="standardContextual"/>
              </w:rPr>
              <w:tab/>
            </w:r>
            <w:r w:rsidRPr="004B5183">
              <w:rPr>
                <w:rStyle w:val="Hyperlink"/>
                <w:noProof/>
              </w:rPr>
              <w:t>PG&amp;E Reply to Protests and Responses</w:t>
            </w:r>
            <w:r>
              <w:rPr>
                <w:noProof/>
                <w:webHidden/>
              </w:rPr>
              <w:tab/>
            </w:r>
            <w:r>
              <w:rPr>
                <w:noProof/>
                <w:webHidden/>
              </w:rPr>
              <w:fldChar w:fldCharType="begin"/>
            </w:r>
            <w:r>
              <w:rPr>
                <w:noProof/>
                <w:webHidden/>
              </w:rPr>
              <w:instrText xml:space="preserve"> PAGEREF _Toc215555409 \h </w:instrText>
            </w:r>
            <w:r>
              <w:rPr>
                <w:noProof/>
                <w:webHidden/>
              </w:rPr>
            </w:r>
            <w:r>
              <w:rPr>
                <w:noProof/>
                <w:webHidden/>
              </w:rPr>
              <w:fldChar w:fldCharType="separate"/>
            </w:r>
            <w:r>
              <w:rPr>
                <w:noProof/>
                <w:webHidden/>
              </w:rPr>
              <w:t>14</w:t>
            </w:r>
            <w:r>
              <w:rPr>
                <w:noProof/>
                <w:webHidden/>
              </w:rPr>
              <w:fldChar w:fldCharType="end"/>
            </w:r>
          </w:hyperlink>
        </w:p>
        <w:p w:rsidR="001D317E" w:rsidRDefault="001D317E" w14:paraId="2A399C57" w14:textId="29200CEA">
          <w:pPr>
            <w:pStyle w:val="TOC2"/>
            <w:tabs>
              <w:tab w:val="right" w:leader="dot" w:pos="9350"/>
            </w:tabs>
            <w:rPr>
              <w:rFonts w:asciiTheme="minorHAnsi" w:hAnsiTheme="minorHAnsi" w:cstheme="minorBidi"/>
              <w:noProof/>
              <w:kern w:val="2"/>
              <w:sz w:val="24"/>
              <w:szCs w:val="24"/>
              <w14:ligatures w14:val="standardContextual"/>
            </w:rPr>
          </w:pPr>
          <w:hyperlink w:history="1" w:anchor="_Toc215555410">
            <w:r w:rsidRPr="004B5183">
              <w:rPr>
                <w:rStyle w:val="Hyperlink"/>
                <w:noProof/>
              </w:rPr>
              <w:t>4.5.</w:t>
            </w:r>
            <w:r>
              <w:rPr>
                <w:rFonts w:asciiTheme="minorHAnsi" w:hAnsiTheme="minorHAnsi" w:cstheme="minorBidi"/>
                <w:noProof/>
                <w:kern w:val="2"/>
                <w:sz w:val="24"/>
                <w:szCs w:val="24"/>
                <w14:ligatures w14:val="standardContextual"/>
              </w:rPr>
              <w:tab/>
            </w:r>
            <w:r w:rsidRPr="004B5183">
              <w:rPr>
                <w:rStyle w:val="Hyperlink"/>
                <w:noProof/>
              </w:rPr>
              <w:t>Joint Supplemental Information</w:t>
            </w:r>
            <w:r>
              <w:rPr>
                <w:noProof/>
                <w:webHidden/>
              </w:rPr>
              <w:tab/>
            </w:r>
            <w:r>
              <w:rPr>
                <w:noProof/>
                <w:webHidden/>
              </w:rPr>
              <w:fldChar w:fldCharType="begin"/>
            </w:r>
            <w:r>
              <w:rPr>
                <w:noProof/>
                <w:webHidden/>
              </w:rPr>
              <w:instrText xml:space="preserve"> PAGEREF _Toc215555410 \h </w:instrText>
            </w:r>
            <w:r>
              <w:rPr>
                <w:noProof/>
                <w:webHidden/>
              </w:rPr>
            </w:r>
            <w:r>
              <w:rPr>
                <w:noProof/>
                <w:webHidden/>
              </w:rPr>
              <w:fldChar w:fldCharType="separate"/>
            </w:r>
            <w:r>
              <w:rPr>
                <w:noProof/>
                <w:webHidden/>
              </w:rPr>
              <w:t>15</w:t>
            </w:r>
            <w:r>
              <w:rPr>
                <w:noProof/>
                <w:webHidden/>
              </w:rPr>
              <w:fldChar w:fldCharType="end"/>
            </w:r>
          </w:hyperlink>
        </w:p>
        <w:p w:rsidR="001D317E" w:rsidRDefault="001D317E" w14:paraId="7F2F8819" w14:textId="7B1DF521">
          <w:pPr>
            <w:pStyle w:val="TOC1"/>
            <w:tabs>
              <w:tab w:val="right" w:leader="dot" w:pos="9350"/>
            </w:tabs>
            <w:rPr>
              <w:rFonts w:asciiTheme="minorHAnsi" w:hAnsiTheme="minorHAnsi" w:cstheme="minorBidi"/>
              <w:noProof/>
              <w:kern w:val="2"/>
              <w:sz w:val="24"/>
              <w:szCs w:val="24"/>
              <w14:ligatures w14:val="standardContextual"/>
            </w:rPr>
          </w:pPr>
          <w:hyperlink w:history="1" w:anchor="_Toc215555411">
            <w:r w:rsidRPr="004B5183">
              <w:rPr>
                <w:rStyle w:val="Hyperlink"/>
                <w:noProof/>
              </w:rPr>
              <w:t>5.</w:t>
            </w:r>
            <w:r>
              <w:rPr>
                <w:rFonts w:asciiTheme="minorHAnsi" w:hAnsiTheme="minorHAnsi" w:cstheme="minorBidi"/>
                <w:noProof/>
                <w:kern w:val="2"/>
                <w:sz w:val="24"/>
                <w:szCs w:val="24"/>
                <w14:ligatures w14:val="standardContextual"/>
              </w:rPr>
              <w:tab/>
            </w:r>
            <w:r w:rsidRPr="004B5183">
              <w:rPr>
                <w:rStyle w:val="Hyperlink"/>
                <w:noProof/>
              </w:rPr>
              <w:t>Settlement Agreement Terms</w:t>
            </w:r>
            <w:r>
              <w:rPr>
                <w:noProof/>
                <w:webHidden/>
              </w:rPr>
              <w:tab/>
            </w:r>
            <w:r>
              <w:rPr>
                <w:noProof/>
                <w:webHidden/>
              </w:rPr>
              <w:fldChar w:fldCharType="begin"/>
            </w:r>
            <w:r>
              <w:rPr>
                <w:noProof/>
                <w:webHidden/>
              </w:rPr>
              <w:instrText xml:space="preserve"> PAGEREF _Toc215555411 \h </w:instrText>
            </w:r>
            <w:r>
              <w:rPr>
                <w:noProof/>
                <w:webHidden/>
              </w:rPr>
            </w:r>
            <w:r>
              <w:rPr>
                <w:noProof/>
                <w:webHidden/>
              </w:rPr>
              <w:fldChar w:fldCharType="separate"/>
            </w:r>
            <w:r>
              <w:rPr>
                <w:noProof/>
                <w:webHidden/>
              </w:rPr>
              <w:t>16</w:t>
            </w:r>
            <w:r>
              <w:rPr>
                <w:noProof/>
                <w:webHidden/>
              </w:rPr>
              <w:fldChar w:fldCharType="end"/>
            </w:r>
          </w:hyperlink>
        </w:p>
        <w:p w:rsidR="001D317E" w:rsidRDefault="001D317E" w14:paraId="5D8526C2" w14:textId="2A5959AD">
          <w:pPr>
            <w:pStyle w:val="TOC1"/>
            <w:tabs>
              <w:tab w:val="right" w:leader="dot" w:pos="9350"/>
            </w:tabs>
            <w:rPr>
              <w:rFonts w:asciiTheme="minorHAnsi" w:hAnsiTheme="minorHAnsi" w:cstheme="minorBidi"/>
              <w:noProof/>
              <w:kern w:val="2"/>
              <w:sz w:val="24"/>
              <w:szCs w:val="24"/>
              <w14:ligatures w14:val="standardContextual"/>
            </w:rPr>
          </w:pPr>
          <w:hyperlink w:history="1" w:anchor="_Toc215555412">
            <w:r w:rsidRPr="004B5183">
              <w:rPr>
                <w:rStyle w:val="Hyperlink"/>
                <w:noProof/>
              </w:rPr>
              <w:t>6.</w:t>
            </w:r>
            <w:r>
              <w:rPr>
                <w:rFonts w:asciiTheme="minorHAnsi" w:hAnsiTheme="minorHAnsi" w:cstheme="minorBidi"/>
                <w:noProof/>
                <w:kern w:val="2"/>
                <w:sz w:val="24"/>
                <w:szCs w:val="24"/>
                <w14:ligatures w14:val="standardContextual"/>
              </w:rPr>
              <w:tab/>
            </w:r>
            <w:r w:rsidRPr="004B5183">
              <w:rPr>
                <w:rStyle w:val="Hyperlink"/>
                <w:noProof/>
              </w:rPr>
              <w:t>Discussion</w:t>
            </w:r>
            <w:r>
              <w:rPr>
                <w:noProof/>
                <w:webHidden/>
              </w:rPr>
              <w:tab/>
            </w:r>
            <w:r>
              <w:rPr>
                <w:noProof/>
                <w:webHidden/>
              </w:rPr>
              <w:fldChar w:fldCharType="begin"/>
            </w:r>
            <w:r>
              <w:rPr>
                <w:noProof/>
                <w:webHidden/>
              </w:rPr>
              <w:instrText xml:space="preserve"> PAGEREF _Toc215555412 \h </w:instrText>
            </w:r>
            <w:r>
              <w:rPr>
                <w:noProof/>
                <w:webHidden/>
              </w:rPr>
            </w:r>
            <w:r>
              <w:rPr>
                <w:noProof/>
                <w:webHidden/>
              </w:rPr>
              <w:fldChar w:fldCharType="separate"/>
            </w:r>
            <w:r>
              <w:rPr>
                <w:noProof/>
                <w:webHidden/>
              </w:rPr>
              <w:t>18</w:t>
            </w:r>
            <w:r>
              <w:rPr>
                <w:noProof/>
                <w:webHidden/>
              </w:rPr>
              <w:fldChar w:fldCharType="end"/>
            </w:r>
          </w:hyperlink>
        </w:p>
        <w:p w:rsidR="001D317E" w:rsidRDefault="001D317E" w14:paraId="582CCE18" w14:textId="53A30CF8">
          <w:pPr>
            <w:pStyle w:val="TOC2"/>
            <w:tabs>
              <w:tab w:val="right" w:leader="dot" w:pos="9350"/>
            </w:tabs>
            <w:rPr>
              <w:rFonts w:asciiTheme="minorHAnsi" w:hAnsiTheme="minorHAnsi" w:cstheme="minorBidi"/>
              <w:noProof/>
              <w:kern w:val="2"/>
              <w:sz w:val="24"/>
              <w:szCs w:val="24"/>
              <w14:ligatures w14:val="standardContextual"/>
            </w:rPr>
          </w:pPr>
          <w:hyperlink w:history="1" w:anchor="_Toc215555413">
            <w:r w:rsidRPr="004B5183">
              <w:rPr>
                <w:rStyle w:val="Hyperlink"/>
                <w:bCs/>
                <w:noProof/>
              </w:rPr>
              <w:t>6.1.</w:t>
            </w:r>
            <w:r>
              <w:rPr>
                <w:rFonts w:asciiTheme="minorHAnsi" w:hAnsiTheme="minorHAnsi" w:cstheme="minorBidi"/>
                <w:noProof/>
                <w:kern w:val="2"/>
                <w:sz w:val="24"/>
                <w:szCs w:val="24"/>
                <w14:ligatures w14:val="standardContextual"/>
              </w:rPr>
              <w:tab/>
            </w:r>
            <w:r w:rsidRPr="004B5183">
              <w:rPr>
                <w:rStyle w:val="Hyperlink"/>
                <w:rFonts w:eastAsia="Cambria"/>
                <w:noProof/>
              </w:rPr>
              <w:t>Reasonable Resolution of Issues</w:t>
            </w:r>
            <w:r w:rsidRPr="004B5183">
              <w:rPr>
                <w:rStyle w:val="Hyperlink"/>
                <w:noProof/>
                <w:w w:val="105"/>
              </w:rPr>
              <w:t xml:space="preserve"> In Light of the Whole Record</w:t>
            </w:r>
            <w:r>
              <w:rPr>
                <w:noProof/>
                <w:webHidden/>
              </w:rPr>
              <w:tab/>
            </w:r>
            <w:r>
              <w:rPr>
                <w:noProof/>
                <w:webHidden/>
              </w:rPr>
              <w:fldChar w:fldCharType="begin"/>
            </w:r>
            <w:r>
              <w:rPr>
                <w:noProof/>
                <w:webHidden/>
              </w:rPr>
              <w:instrText xml:space="preserve"> PAGEREF _Toc215555413 \h </w:instrText>
            </w:r>
            <w:r>
              <w:rPr>
                <w:noProof/>
                <w:webHidden/>
              </w:rPr>
            </w:r>
            <w:r>
              <w:rPr>
                <w:noProof/>
                <w:webHidden/>
              </w:rPr>
              <w:fldChar w:fldCharType="separate"/>
            </w:r>
            <w:r>
              <w:rPr>
                <w:noProof/>
                <w:webHidden/>
              </w:rPr>
              <w:t>19</w:t>
            </w:r>
            <w:r>
              <w:rPr>
                <w:noProof/>
                <w:webHidden/>
              </w:rPr>
              <w:fldChar w:fldCharType="end"/>
            </w:r>
          </w:hyperlink>
        </w:p>
        <w:p w:rsidR="001D317E" w:rsidRDefault="001D317E" w14:paraId="49EB64F5" w14:textId="66B9D07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5555414">
            <w:r w:rsidRPr="004B5183">
              <w:rPr>
                <w:rStyle w:val="Hyperlink"/>
                <w:noProof/>
              </w:rPr>
              <w:t>6.1.1.</w:t>
            </w:r>
            <w:r>
              <w:rPr>
                <w:rFonts w:asciiTheme="minorHAnsi" w:hAnsiTheme="minorHAnsi" w:cstheme="minorBidi"/>
                <w:noProof/>
                <w:kern w:val="2"/>
                <w:sz w:val="24"/>
                <w:szCs w:val="24"/>
                <w14:ligatures w14:val="standardContextual"/>
              </w:rPr>
              <w:tab/>
            </w:r>
            <w:r w:rsidRPr="004B5183">
              <w:rPr>
                <w:rStyle w:val="Hyperlink"/>
                <w:bCs/>
                <w:noProof/>
              </w:rPr>
              <w:t xml:space="preserve">Issues 2 to 6 – </w:t>
            </w:r>
            <w:r w:rsidRPr="004B5183">
              <w:rPr>
                <w:rStyle w:val="Hyperlink"/>
                <w:noProof/>
              </w:rPr>
              <w:t>Reasonableness of Proposed Revenue Requirement and Forecasts</w:t>
            </w:r>
            <w:r>
              <w:rPr>
                <w:noProof/>
                <w:webHidden/>
              </w:rPr>
              <w:tab/>
            </w:r>
            <w:r>
              <w:rPr>
                <w:noProof/>
                <w:webHidden/>
              </w:rPr>
              <w:fldChar w:fldCharType="begin"/>
            </w:r>
            <w:r>
              <w:rPr>
                <w:noProof/>
                <w:webHidden/>
              </w:rPr>
              <w:instrText xml:space="preserve"> PAGEREF _Toc215555414 \h </w:instrText>
            </w:r>
            <w:r>
              <w:rPr>
                <w:noProof/>
                <w:webHidden/>
              </w:rPr>
            </w:r>
            <w:r>
              <w:rPr>
                <w:noProof/>
                <w:webHidden/>
              </w:rPr>
              <w:fldChar w:fldCharType="separate"/>
            </w:r>
            <w:r>
              <w:rPr>
                <w:noProof/>
                <w:webHidden/>
              </w:rPr>
              <w:t>20</w:t>
            </w:r>
            <w:r>
              <w:rPr>
                <w:noProof/>
                <w:webHidden/>
              </w:rPr>
              <w:fldChar w:fldCharType="end"/>
            </w:r>
          </w:hyperlink>
        </w:p>
        <w:p w:rsidR="001D317E" w:rsidRDefault="001D317E" w14:paraId="668CD69B" w14:textId="2CD1320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5555415">
            <w:r w:rsidRPr="004B5183">
              <w:rPr>
                <w:rStyle w:val="Hyperlink"/>
                <w:noProof/>
              </w:rPr>
              <w:t>6.1.1.1.</w:t>
            </w:r>
            <w:r>
              <w:rPr>
                <w:rFonts w:asciiTheme="minorHAnsi" w:hAnsiTheme="minorHAnsi" w:eastAsiaTheme="minorEastAsia"/>
                <w:noProof/>
                <w:kern w:val="2"/>
                <w:sz w:val="24"/>
                <w:szCs w:val="24"/>
                <w14:ligatures w14:val="standardContextual"/>
              </w:rPr>
              <w:tab/>
            </w:r>
            <w:r w:rsidRPr="004B5183">
              <w:rPr>
                <w:rStyle w:val="Hyperlink"/>
                <w:noProof/>
              </w:rPr>
              <w:t>Revenue Requirement Reductions</w:t>
            </w:r>
            <w:r>
              <w:rPr>
                <w:noProof/>
                <w:webHidden/>
              </w:rPr>
              <w:tab/>
            </w:r>
            <w:r>
              <w:rPr>
                <w:noProof/>
                <w:webHidden/>
              </w:rPr>
              <w:fldChar w:fldCharType="begin"/>
            </w:r>
            <w:r>
              <w:rPr>
                <w:noProof/>
                <w:webHidden/>
              </w:rPr>
              <w:instrText xml:space="preserve"> PAGEREF _Toc215555415 \h </w:instrText>
            </w:r>
            <w:r>
              <w:rPr>
                <w:noProof/>
                <w:webHidden/>
              </w:rPr>
            </w:r>
            <w:r>
              <w:rPr>
                <w:noProof/>
                <w:webHidden/>
              </w:rPr>
              <w:fldChar w:fldCharType="separate"/>
            </w:r>
            <w:r>
              <w:rPr>
                <w:noProof/>
                <w:webHidden/>
              </w:rPr>
              <w:t>21</w:t>
            </w:r>
            <w:r>
              <w:rPr>
                <w:noProof/>
                <w:webHidden/>
              </w:rPr>
              <w:fldChar w:fldCharType="end"/>
            </w:r>
          </w:hyperlink>
        </w:p>
        <w:p w:rsidR="001D317E" w:rsidRDefault="001D317E" w14:paraId="4411DCB6" w14:textId="77B71DB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5555416">
            <w:r w:rsidRPr="004B5183">
              <w:rPr>
                <w:rStyle w:val="Hyperlink"/>
                <w:noProof/>
              </w:rPr>
              <w:t>6.1.1.2.</w:t>
            </w:r>
            <w:r>
              <w:rPr>
                <w:rFonts w:asciiTheme="minorHAnsi" w:hAnsiTheme="minorHAnsi" w:eastAsiaTheme="minorEastAsia"/>
                <w:noProof/>
                <w:kern w:val="2"/>
                <w:sz w:val="24"/>
                <w:szCs w:val="24"/>
                <w14:ligatures w14:val="standardContextual"/>
              </w:rPr>
              <w:tab/>
            </w:r>
            <w:r w:rsidRPr="004B5183">
              <w:rPr>
                <w:rStyle w:val="Hyperlink"/>
                <w:noProof/>
              </w:rPr>
              <w:t>Forecast Reductions</w:t>
            </w:r>
            <w:r>
              <w:rPr>
                <w:noProof/>
                <w:webHidden/>
              </w:rPr>
              <w:tab/>
            </w:r>
            <w:r>
              <w:rPr>
                <w:noProof/>
                <w:webHidden/>
              </w:rPr>
              <w:fldChar w:fldCharType="begin"/>
            </w:r>
            <w:r>
              <w:rPr>
                <w:noProof/>
                <w:webHidden/>
              </w:rPr>
              <w:instrText xml:space="preserve"> PAGEREF _Toc215555416 \h </w:instrText>
            </w:r>
            <w:r>
              <w:rPr>
                <w:noProof/>
                <w:webHidden/>
              </w:rPr>
            </w:r>
            <w:r>
              <w:rPr>
                <w:noProof/>
                <w:webHidden/>
              </w:rPr>
              <w:fldChar w:fldCharType="separate"/>
            </w:r>
            <w:r>
              <w:rPr>
                <w:noProof/>
                <w:webHidden/>
              </w:rPr>
              <w:t>24</w:t>
            </w:r>
            <w:r>
              <w:rPr>
                <w:noProof/>
                <w:webHidden/>
              </w:rPr>
              <w:fldChar w:fldCharType="end"/>
            </w:r>
          </w:hyperlink>
        </w:p>
        <w:p w:rsidR="001D317E" w:rsidRDefault="001D317E" w14:paraId="7C4D1B3D" w14:textId="4D7430A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5555417">
            <w:r w:rsidRPr="004B5183">
              <w:rPr>
                <w:rStyle w:val="Hyperlink"/>
                <w:noProof/>
                <w:lang w:val="en-ZW"/>
              </w:rPr>
              <w:t>6.1.1.3.</w:t>
            </w:r>
            <w:r>
              <w:rPr>
                <w:rFonts w:asciiTheme="minorHAnsi" w:hAnsiTheme="minorHAnsi" w:eastAsiaTheme="minorEastAsia"/>
                <w:noProof/>
                <w:kern w:val="2"/>
                <w:sz w:val="24"/>
                <w:szCs w:val="24"/>
                <w14:ligatures w14:val="standardContextual"/>
              </w:rPr>
              <w:tab/>
            </w:r>
            <w:r w:rsidRPr="004B5183">
              <w:rPr>
                <w:rStyle w:val="Hyperlink"/>
                <w:noProof/>
                <w:lang w:val="en-ZW"/>
              </w:rPr>
              <w:t>Cost Recovery and Rates</w:t>
            </w:r>
            <w:r>
              <w:rPr>
                <w:noProof/>
                <w:webHidden/>
              </w:rPr>
              <w:tab/>
            </w:r>
            <w:r>
              <w:rPr>
                <w:noProof/>
                <w:webHidden/>
              </w:rPr>
              <w:fldChar w:fldCharType="begin"/>
            </w:r>
            <w:r>
              <w:rPr>
                <w:noProof/>
                <w:webHidden/>
              </w:rPr>
              <w:instrText xml:space="preserve"> PAGEREF _Toc215555417 \h </w:instrText>
            </w:r>
            <w:r>
              <w:rPr>
                <w:noProof/>
                <w:webHidden/>
              </w:rPr>
            </w:r>
            <w:r>
              <w:rPr>
                <w:noProof/>
                <w:webHidden/>
              </w:rPr>
              <w:fldChar w:fldCharType="separate"/>
            </w:r>
            <w:r>
              <w:rPr>
                <w:noProof/>
                <w:webHidden/>
              </w:rPr>
              <w:t>25</w:t>
            </w:r>
            <w:r>
              <w:rPr>
                <w:noProof/>
                <w:webHidden/>
              </w:rPr>
              <w:fldChar w:fldCharType="end"/>
            </w:r>
          </w:hyperlink>
        </w:p>
        <w:p w:rsidR="001D317E" w:rsidRDefault="001D317E" w14:paraId="351AED4B" w14:textId="7458354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5555418">
            <w:r w:rsidRPr="004B5183">
              <w:rPr>
                <w:rStyle w:val="Hyperlink"/>
                <w:rFonts w:eastAsia="Cambria" w:cs="Cambria"/>
                <w:noProof/>
                <w:w w:val="105"/>
              </w:rPr>
              <w:t>6.1.2.</w:t>
            </w:r>
            <w:r>
              <w:rPr>
                <w:rFonts w:asciiTheme="minorHAnsi" w:hAnsiTheme="minorHAnsi" w:cstheme="minorBidi"/>
                <w:noProof/>
                <w:kern w:val="2"/>
                <w:sz w:val="24"/>
                <w:szCs w:val="24"/>
                <w14:ligatures w14:val="standardContextual"/>
              </w:rPr>
              <w:tab/>
            </w:r>
            <w:r w:rsidRPr="004B5183">
              <w:rPr>
                <w:rStyle w:val="Hyperlink"/>
                <w:bCs/>
                <w:noProof/>
              </w:rPr>
              <w:t xml:space="preserve">Issues 7 to 9 - </w:t>
            </w:r>
            <w:r w:rsidRPr="004B5183">
              <w:rPr>
                <w:rStyle w:val="Hyperlink"/>
                <w:noProof/>
              </w:rPr>
              <w:t>Reasonable Allocation of Responsibility for Module Failure</w:t>
            </w:r>
            <w:r>
              <w:rPr>
                <w:noProof/>
                <w:webHidden/>
              </w:rPr>
              <w:tab/>
            </w:r>
            <w:r>
              <w:rPr>
                <w:noProof/>
                <w:webHidden/>
              </w:rPr>
              <w:fldChar w:fldCharType="begin"/>
            </w:r>
            <w:r>
              <w:rPr>
                <w:noProof/>
                <w:webHidden/>
              </w:rPr>
              <w:instrText xml:space="preserve"> PAGEREF _Toc215555418 \h </w:instrText>
            </w:r>
            <w:r>
              <w:rPr>
                <w:noProof/>
                <w:webHidden/>
              </w:rPr>
            </w:r>
            <w:r>
              <w:rPr>
                <w:noProof/>
                <w:webHidden/>
              </w:rPr>
              <w:fldChar w:fldCharType="separate"/>
            </w:r>
            <w:r>
              <w:rPr>
                <w:noProof/>
                <w:webHidden/>
              </w:rPr>
              <w:t>26</w:t>
            </w:r>
            <w:r>
              <w:rPr>
                <w:noProof/>
                <w:webHidden/>
              </w:rPr>
              <w:fldChar w:fldCharType="end"/>
            </w:r>
          </w:hyperlink>
        </w:p>
        <w:p w:rsidR="001D317E" w:rsidRDefault="001D317E" w14:paraId="650E3315" w14:textId="151C915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5555419">
            <w:r w:rsidRPr="004B5183">
              <w:rPr>
                <w:rStyle w:val="Hyperlink"/>
                <w:noProof/>
              </w:rPr>
              <w:t>6.1.3.</w:t>
            </w:r>
            <w:r>
              <w:rPr>
                <w:rFonts w:asciiTheme="minorHAnsi" w:hAnsiTheme="minorHAnsi" w:cstheme="minorBidi"/>
                <w:noProof/>
                <w:kern w:val="2"/>
                <w:sz w:val="24"/>
                <w:szCs w:val="24"/>
                <w14:ligatures w14:val="standardContextual"/>
              </w:rPr>
              <w:tab/>
            </w:r>
            <w:r w:rsidRPr="004B5183">
              <w:rPr>
                <w:rStyle w:val="Hyperlink"/>
                <w:noProof/>
              </w:rPr>
              <w:t>Issues 10 and 11 - No Health, Safety, or Environmental and Social Justice Impacts</w:t>
            </w:r>
            <w:r>
              <w:rPr>
                <w:noProof/>
                <w:webHidden/>
              </w:rPr>
              <w:tab/>
            </w:r>
            <w:r>
              <w:rPr>
                <w:noProof/>
                <w:webHidden/>
              </w:rPr>
              <w:fldChar w:fldCharType="begin"/>
            </w:r>
            <w:r>
              <w:rPr>
                <w:noProof/>
                <w:webHidden/>
              </w:rPr>
              <w:instrText xml:space="preserve"> PAGEREF _Toc215555419 \h </w:instrText>
            </w:r>
            <w:r>
              <w:rPr>
                <w:noProof/>
                <w:webHidden/>
              </w:rPr>
            </w:r>
            <w:r>
              <w:rPr>
                <w:noProof/>
                <w:webHidden/>
              </w:rPr>
              <w:fldChar w:fldCharType="separate"/>
            </w:r>
            <w:r>
              <w:rPr>
                <w:noProof/>
                <w:webHidden/>
              </w:rPr>
              <w:t>32</w:t>
            </w:r>
            <w:r>
              <w:rPr>
                <w:noProof/>
                <w:webHidden/>
              </w:rPr>
              <w:fldChar w:fldCharType="end"/>
            </w:r>
          </w:hyperlink>
        </w:p>
        <w:p w:rsidR="001D317E" w:rsidRDefault="001D317E" w14:paraId="6CCA887D" w14:textId="77B13D6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5555420">
            <w:r w:rsidRPr="004B5183">
              <w:rPr>
                <w:rStyle w:val="Hyperlink"/>
                <w:noProof/>
              </w:rPr>
              <w:t>6.1.4.</w:t>
            </w:r>
            <w:r>
              <w:rPr>
                <w:rFonts w:asciiTheme="minorHAnsi" w:hAnsiTheme="minorHAnsi" w:cstheme="minorBidi"/>
                <w:noProof/>
                <w:kern w:val="2"/>
                <w:sz w:val="24"/>
                <w:szCs w:val="24"/>
                <w14:ligatures w14:val="standardContextual"/>
              </w:rPr>
              <w:tab/>
            </w:r>
            <w:r w:rsidRPr="004B5183">
              <w:rPr>
                <w:rStyle w:val="Hyperlink"/>
                <w:noProof/>
              </w:rPr>
              <w:t>Conclusion</w:t>
            </w:r>
            <w:r>
              <w:rPr>
                <w:noProof/>
                <w:webHidden/>
              </w:rPr>
              <w:tab/>
            </w:r>
            <w:r>
              <w:rPr>
                <w:noProof/>
                <w:webHidden/>
              </w:rPr>
              <w:fldChar w:fldCharType="begin"/>
            </w:r>
            <w:r>
              <w:rPr>
                <w:noProof/>
                <w:webHidden/>
              </w:rPr>
              <w:instrText xml:space="preserve"> PAGEREF _Toc215555420 \h </w:instrText>
            </w:r>
            <w:r>
              <w:rPr>
                <w:noProof/>
                <w:webHidden/>
              </w:rPr>
            </w:r>
            <w:r>
              <w:rPr>
                <w:noProof/>
                <w:webHidden/>
              </w:rPr>
              <w:fldChar w:fldCharType="separate"/>
            </w:r>
            <w:r>
              <w:rPr>
                <w:noProof/>
                <w:webHidden/>
              </w:rPr>
              <w:t>33</w:t>
            </w:r>
            <w:r>
              <w:rPr>
                <w:noProof/>
                <w:webHidden/>
              </w:rPr>
              <w:fldChar w:fldCharType="end"/>
            </w:r>
          </w:hyperlink>
        </w:p>
        <w:p w:rsidR="001D317E" w:rsidRDefault="001D317E" w14:paraId="30E317C6" w14:textId="1E377137">
          <w:pPr>
            <w:pStyle w:val="TOC2"/>
            <w:tabs>
              <w:tab w:val="right" w:leader="dot" w:pos="9350"/>
            </w:tabs>
            <w:rPr>
              <w:rFonts w:asciiTheme="minorHAnsi" w:hAnsiTheme="minorHAnsi" w:cstheme="minorBidi"/>
              <w:noProof/>
              <w:kern w:val="2"/>
              <w:sz w:val="24"/>
              <w:szCs w:val="24"/>
              <w14:ligatures w14:val="standardContextual"/>
            </w:rPr>
          </w:pPr>
          <w:hyperlink w:history="1" w:anchor="_Toc215555421">
            <w:r w:rsidRPr="004B5183">
              <w:rPr>
                <w:rStyle w:val="Hyperlink"/>
                <w:bCs/>
                <w:noProof/>
              </w:rPr>
              <w:t>6.2.</w:t>
            </w:r>
            <w:r>
              <w:rPr>
                <w:rFonts w:asciiTheme="minorHAnsi" w:hAnsiTheme="minorHAnsi" w:cstheme="minorBidi"/>
                <w:noProof/>
                <w:kern w:val="2"/>
                <w:sz w:val="24"/>
                <w:szCs w:val="24"/>
                <w14:ligatures w14:val="standardContextual"/>
              </w:rPr>
              <w:tab/>
            </w:r>
            <w:r w:rsidRPr="004B5183">
              <w:rPr>
                <w:rStyle w:val="Hyperlink"/>
                <w:noProof/>
                <w:w w:val="105"/>
              </w:rPr>
              <w:t>Consistency With Law</w:t>
            </w:r>
            <w:r>
              <w:rPr>
                <w:noProof/>
                <w:webHidden/>
              </w:rPr>
              <w:tab/>
            </w:r>
            <w:r>
              <w:rPr>
                <w:noProof/>
                <w:webHidden/>
              </w:rPr>
              <w:fldChar w:fldCharType="begin"/>
            </w:r>
            <w:r>
              <w:rPr>
                <w:noProof/>
                <w:webHidden/>
              </w:rPr>
              <w:instrText xml:space="preserve"> PAGEREF _Toc215555421 \h </w:instrText>
            </w:r>
            <w:r>
              <w:rPr>
                <w:noProof/>
                <w:webHidden/>
              </w:rPr>
            </w:r>
            <w:r>
              <w:rPr>
                <w:noProof/>
                <w:webHidden/>
              </w:rPr>
              <w:fldChar w:fldCharType="separate"/>
            </w:r>
            <w:r>
              <w:rPr>
                <w:noProof/>
                <w:webHidden/>
              </w:rPr>
              <w:t>34</w:t>
            </w:r>
            <w:r>
              <w:rPr>
                <w:noProof/>
                <w:webHidden/>
              </w:rPr>
              <w:fldChar w:fldCharType="end"/>
            </w:r>
          </w:hyperlink>
        </w:p>
        <w:p w:rsidR="001D317E" w:rsidRDefault="001D317E" w14:paraId="1313E438" w14:textId="08B04F6C">
          <w:pPr>
            <w:pStyle w:val="TOC2"/>
            <w:tabs>
              <w:tab w:val="right" w:leader="dot" w:pos="9350"/>
            </w:tabs>
            <w:rPr>
              <w:rFonts w:asciiTheme="minorHAnsi" w:hAnsiTheme="minorHAnsi" w:cstheme="minorBidi"/>
              <w:noProof/>
              <w:kern w:val="2"/>
              <w:sz w:val="24"/>
              <w:szCs w:val="24"/>
              <w14:ligatures w14:val="standardContextual"/>
            </w:rPr>
          </w:pPr>
          <w:hyperlink w:history="1" w:anchor="_Toc215555422">
            <w:r w:rsidRPr="004B5183">
              <w:rPr>
                <w:rStyle w:val="Hyperlink"/>
                <w:noProof/>
                <w:w w:val="105"/>
              </w:rPr>
              <w:t>6.3.</w:t>
            </w:r>
            <w:r>
              <w:rPr>
                <w:rFonts w:asciiTheme="minorHAnsi" w:hAnsiTheme="minorHAnsi" w:cstheme="minorBidi"/>
                <w:noProof/>
                <w:kern w:val="2"/>
                <w:sz w:val="24"/>
                <w:szCs w:val="24"/>
                <w14:ligatures w14:val="standardContextual"/>
              </w:rPr>
              <w:tab/>
            </w:r>
            <w:r w:rsidRPr="004B5183">
              <w:rPr>
                <w:rStyle w:val="Hyperlink"/>
                <w:noProof/>
                <w:w w:val="105"/>
              </w:rPr>
              <w:t>Public Interest</w:t>
            </w:r>
            <w:r>
              <w:rPr>
                <w:noProof/>
                <w:webHidden/>
              </w:rPr>
              <w:tab/>
            </w:r>
            <w:r>
              <w:rPr>
                <w:noProof/>
                <w:webHidden/>
              </w:rPr>
              <w:fldChar w:fldCharType="begin"/>
            </w:r>
            <w:r>
              <w:rPr>
                <w:noProof/>
                <w:webHidden/>
              </w:rPr>
              <w:instrText xml:space="preserve"> PAGEREF _Toc215555422 \h </w:instrText>
            </w:r>
            <w:r>
              <w:rPr>
                <w:noProof/>
                <w:webHidden/>
              </w:rPr>
            </w:r>
            <w:r>
              <w:rPr>
                <w:noProof/>
                <w:webHidden/>
              </w:rPr>
              <w:fldChar w:fldCharType="separate"/>
            </w:r>
            <w:r>
              <w:rPr>
                <w:noProof/>
                <w:webHidden/>
              </w:rPr>
              <w:t>36</w:t>
            </w:r>
            <w:r>
              <w:rPr>
                <w:noProof/>
                <w:webHidden/>
              </w:rPr>
              <w:fldChar w:fldCharType="end"/>
            </w:r>
          </w:hyperlink>
        </w:p>
        <w:p w:rsidR="001D317E" w:rsidRDefault="001D317E" w14:paraId="7D26F149" w14:textId="2EC4B854">
          <w:pPr>
            <w:pStyle w:val="TOC1"/>
            <w:tabs>
              <w:tab w:val="right" w:leader="dot" w:pos="9350"/>
            </w:tabs>
            <w:rPr>
              <w:rFonts w:asciiTheme="minorHAnsi" w:hAnsiTheme="minorHAnsi" w:cstheme="minorBidi"/>
              <w:noProof/>
              <w:kern w:val="2"/>
              <w:sz w:val="24"/>
              <w:szCs w:val="24"/>
              <w14:ligatures w14:val="standardContextual"/>
            </w:rPr>
          </w:pPr>
          <w:hyperlink w:history="1" w:anchor="_Toc215555423">
            <w:r w:rsidRPr="004B5183">
              <w:rPr>
                <w:rStyle w:val="Hyperlink"/>
                <w:noProof/>
                <w:w w:val="105"/>
              </w:rPr>
              <w:t>7.</w:t>
            </w:r>
            <w:r>
              <w:rPr>
                <w:rFonts w:asciiTheme="minorHAnsi" w:hAnsiTheme="minorHAnsi" w:cstheme="minorBidi"/>
                <w:noProof/>
                <w:kern w:val="2"/>
                <w:sz w:val="24"/>
                <w:szCs w:val="24"/>
                <w14:ligatures w14:val="standardContextual"/>
              </w:rPr>
              <w:tab/>
            </w:r>
            <w:r w:rsidRPr="004B5183">
              <w:rPr>
                <w:rStyle w:val="Hyperlink"/>
                <w:noProof/>
                <w:w w:val="105"/>
              </w:rPr>
              <w:t>Conclusion</w:t>
            </w:r>
            <w:r>
              <w:rPr>
                <w:noProof/>
                <w:webHidden/>
              </w:rPr>
              <w:tab/>
            </w:r>
            <w:r>
              <w:rPr>
                <w:noProof/>
                <w:webHidden/>
              </w:rPr>
              <w:fldChar w:fldCharType="begin"/>
            </w:r>
            <w:r>
              <w:rPr>
                <w:noProof/>
                <w:webHidden/>
              </w:rPr>
              <w:instrText xml:space="preserve"> PAGEREF _Toc215555423 \h </w:instrText>
            </w:r>
            <w:r>
              <w:rPr>
                <w:noProof/>
                <w:webHidden/>
              </w:rPr>
            </w:r>
            <w:r>
              <w:rPr>
                <w:noProof/>
                <w:webHidden/>
              </w:rPr>
              <w:fldChar w:fldCharType="separate"/>
            </w:r>
            <w:r>
              <w:rPr>
                <w:noProof/>
                <w:webHidden/>
              </w:rPr>
              <w:t>38</w:t>
            </w:r>
            <w:r>
              <w:rPr>
                <w:noProof/>
                <w:webHidden/>
              </w:rPr>
              <w:fldChar w:fldCharType="end"/>
            </w:r>
          </w:hyperlink>
        </w:p>
        <w:p w:rsidR="001D317E" w:rsidRDefault="001D317E" w14:paraId="5A037F85" w14:textId="766CDAEB">
          <w:pPr>
            <w:pStyle w:val="TOC1"/>
            <w:tabs>
              <w:tab w:val="right" w:leader="dot" w:pos="9350"/>
            </w:tabs>
            <w:rPr>
              <w:rFonts w:asciiTheme="minorHAnsi" w:hAnsiTheme="minorHAnsi" w:cstheme="minorBidi"/>
              <w:noProof/>
              <w:kern w:val="2"/>
              <w:sz w:val="24"/>
              <w:szCs w:val="24"/>
              <w14:ligatures w14:val="standardContextual"/>
            </w:rPr>
          </w:pPr>
          <w:hyperlink w:history="1" w:anchor="_Toc215555424">
            <w:r w:rsidRPr="004B5183">
              <w:rPr>
                <w:rStyle w:val="Hyperlink"/>
                <w:noProof/>
              </w:rPr>
              <w:t>8.</w:t>
            </w:r>
            <w:r>
              <w:rPr>
                <w:rFonts w:asciiTheme="minorHAnsi" w:hAnsiTheme="minorHAnsi" w:cstheme="minorBidi"/>
                <w:noProof/>
                <w:kern w:val="2"/>
                <w:sz w:val="24"/>
                <w:szCs w:val="24"/>
                <w14:ligatures w14:val="standardContextual"/>
              </w:rPr>
              <w:tab/>
            </w:r>
            <w:r w:rsidRPr="004B5183">
              <w:rPr>
                <w:rStyle w:val="Hyperlink"/>
                <w:noProof/>
              </w:rPr>
              <w:t>Summary of Public Comment</w:t>
            </w:r>
            <w:r>
              <w:rPr>
                <w:noProof/>
                <w:webHidden/>
              </w:rPr>
              <w:tab/>
            </w:r>
            <w:r>
              <w:rPr>
                <w:noProof/>
                <w:webHidden/>
              </w:rPr>
              <w:fldChar w:fldCharType="begin"/>
            </w:r>
            <w:r>
              <w:rPr>
                <w:noProof/>
                <w:webHidden/>
              </w:rPr>
              <w:instrText xml:space="preserve"> PAGEREF _Toc215555424 \h </w:instrText>
            </w:r>
            <w:r>
              <w:rPr>
                <w:noProof/>
                <w:webHidden/>
              </w:rPr>
            </w:r>
            <w:r>
              <w:rPr>
                <w:noProof/>
                <w:webHidden/>
              </w:rPr>
              <w:fldChar w:fldCharType="separate"/>
            </w:r>
            <w:r>
              <w:rPr>
                <w:noProof/>
                <w:webHidden/>
              </w:rPr>
              <w:t>38</w:t>
            </w:r>
            <w:r>
              <w:rPr>
                <w:noProof/>
                <w:webHidden/>
              </w:rPr>
              <w:fldChar w:fldCharType="end"/>
            </w:r>
          </w:hyperlink>
        </w:p>
        <w:p w:rsidR="001D317E" w:rsidRDefault="001D317E" w14:paraId="533FF0D9" w14:textId="1F43204B">
          <w:pPr>
            <w:pStyle w:val="TOC1"/>
            <w:tabs>
              <w:tab w:val="right" w:leader="dot" w:pos="9350"/>
            </w:tabs>
            <w:rPr>
              <w:rFonts w:asciiTheme="minorHAnsi" w:hAnsiTheme="minorHAnsi" w:cstheme="minorBidi"/>
              <w:noProof/>
              <w:kern w:val="2"/>
              <w:sz w:val="24"/>
              <w:szCs w:val="24"/>
              <w14:ligatures w14:val="standardContextual"/>
            </w:rPr>
          </w:pPr>
          <w:hyperlink w:history="1" w:anchor="_Toc215555425">
            <w:r w:rsidRPr="004B5183">
              <w:rPr>
                <w:rStyle w:val="Hyperlink"/>
                <w:noProof/>
              </w:rPr>
              <w:t>9.</w:t>
            </w:r>
            <w:r>
              <w:rPr>
                <w:rFonts w:asciiTheme="minorHAnsi" w:hAnsiTheme="minorHAnsi" w:cstheme="minorBidi"/>
                <w:noProof/>
                <w:kern w:val="2"/>
                <w:sz w:val="24"/>
                <w:szCs w:val="24"/>
                <w14:ligatures w14:val="standardContextual"/>
              </w:rPr>
              <w:tab/>
            </w:r>
            <w:r w:rsidRPr="004B5183">
              <w:rPr>
                <w:rStyle w:val="Hyperlink"/>
                <w:noProof/>
              </w:rPr>
              <w:t>Procedural Matters</w:t>
            </w:r>
            <w:r>
              <w:rPr>
                <w:noProof/>
                <w:webHidden/>
              </w:rPr>
              <w:tab/>
            </w:r>
            <w:r>
              <w:rPr>
                <w:noProof/>
                <w:webHidden/>
              </w:rPr>
              <w:fldChar w:fldCharType="begin"/>
            </w:r>
            <w:r>
              <w:rPr>
                <w:noProof/>
                <w:webHidden/>
              </w:rPr>
              <w:instrText xml:space="preserve"> PAGEREF _Toc215555425 \h </w:instrText>
            </w:r>
            <w:r>
              <w:rPr>
                <w:noProof/>
                <w:webHidden/>
              </w:rPr>
            </w:r>
            <w:r>
              <w:rPr>
                <w:noProof/>
                <w:webHidden/>
              </w:rPr>
              <w:fldChar w:fldCharType="separate"/>
            </w:r>
            <w:r>
              <w:rPr>
                <w:noProof/>
                <w:webHidden/>
              </w:rPr>
              <w:t>39</w:t>
            </w:r>
            <w:r>
              <w:rPr>
                <w:noProof/>
                <w:webHidden/>
              </w:rPr>
              <w:fldChar w:fldCharType="end"/>
            </w:r>
          </w:hyperlink>
        </w:p>
        <w:p w:rsidR="001D317E" w:rsidRDefault="001D317E" w14:paraId="5707A560" w14:textId="7DD9D7D4">
          <w:pPr>
            <w:pStyle w:val="TOC1"/>
            <w:tabs>
              <w:tab w:val="right" w:leader="dot" w:pos="9350"/>
            </w:tabs>
            <w:rPr>
              <w:rFonts w:asciiTheme="minorHAnsi" w:hAnsiTheme="minorHAnsi" w:cstheme="minorBidi"/>
              <w:noProof/>
              <w:kern w:val="2"/>
              <w:sz w:val="24"/>
              <w:szCs w:val="24"/>
              <w14:ligatures w14:val="standardContextual"/>
            </w:rPr>
          </w:pPr>
          <w:hyperlink w:history="1" w:anchor="_Toc215555426">
            <w:r w:rsidRPr="004B5183">
              <w:rPr>
                <w:rStyle w:val="Hyperlink"/>
                <w:noProof/>
              </w:rPr>
              <w:t>10.</w:t>
            </w:r>
            <w:r>
              <w:rPr>
                <w:rFonts w:asciiTheme="minorHAnsi" w:hAnsiTheme="minorHAnsi" w:cstheme="minorBidi"/>
                <w:noProof/>
                <w:kern w:val="2"/>
                <w:sz w:val="24"/>
                <w:szCs w:val="24"/>
                <w14:ligatures w14:val="standardContextual"/>
              </w:rPr>
              <w:tab/>
            </w:r>
            <w:r w:rsidRPr="004B5183">
              <w:rPr>
                <w:rStyle w:val="Hyperlink"/>
                <w:noProof/>
              </w:rPr>
              <w:t>Waiver of Comment Period</w:t>
            </w:r>
            <w:r>
              <w:rPr>
                <w:noProof/>
                <w:webHidden/>
              </w:rPr>
              <w:tab/>
            </w:r>
            <w:r>
              <w:rPr>
                <w:noProof/>
                <w:webHidden/>
              </w:rPr>
              <w:fldChar w:fldCharType="begin"/>
            </w:r>
            <w:r>
              <w:rPr>
                <w:noProof/>
                <w:webHidden/>
              </w:rPr>
              <w:instrText xml:space="preserve"> PAGEREF _Toc215555426 \h </w:instrText>
            </w:r>
            <w:r>
              <w:rPr>
                <w:noProof/>
                <w:webHidden/>
              </w:rPr>
            </w:r>
            <w:r>
              <w:rPr>
                <w:noProof/>
                <w:webHidden/>
              </w:rPr>
              <w:fldChar w:fldCharType="separate"/>
            </w:r>
            <w:r>
              <w:rPr>
                <w:noProof/>
                <w:webHidden/>
              </w:rPr>
              <w:t>39</w:t>
            </w:r>
            <w:r>
              <w:rPr>
                <w:noProof/>
                <w:webHidden/>
              </w:rPr>
              <w:fldChar w:fldCharType="end"/>
            </w:r>
          </w:hyperlink>
        </w:p>
        <w:p w:rsidR="001D317E" w:rsidRDefault="001D317E" w14:paraId="5B6026F8" w14:textId="2BA95E1C">
          <w:pPr>
            <w:pStyle w:val="TOC1"/>
            <w:tabs>
              <w:tab w:val="right" w:leader="dot" w:pos="9350"/>
            </w:tabs>
            <w:rPr>
              <w:rFonts w:asciiTheme="minorHAnsi" w:hAnsiTheme="minorHAnsi" w:cstheme="minorBidi"/>
              <w:noProof/>
              <w:kern w:val="2"/>
              <w:sz w:val="24"/>
              <w:szCs w:val="24"/>
              <w14:ligatures w14:val="standardContextual"/>
            </w:rPr>
          </w:pPr>
          <w:hyperlink w:history="1" w:anchor="_Toc215555427">
            <w:r w:rsidRPr="004B5183">
              <w:rPr>
                <w:rStyle w:val="Hyperlink"/>
                <w:noProof/>
              </w:rPr>
              <w:t>11.</w:t>
            </w:r>
            <w:r>
              <w:rPr>
                <w:rFonts w:asciiTheme="minorHAnsi" w:hAnsiTheme="minorHAnsi" w:cstheme="minorBidi"/>
                <w:noProof/>
                <w:kern w:val="2"/>
                <w:sz w:val="24"/>
                <w:szCs w:val="24"/>
                <w14:ligatures w14:val="standardContextual"/>
              </w:rPr>
              <w:tab/>
            </w:r>
            <w:r w:rsidRPr="004B5183">
              <w:rPr>
                <w:rStyle w:val="Hyperlink"/>
                <w:noProof/>
              </w:rPr>
              <w:t>Assignment of Proceeding</w:t>
            </w:r>
            <w:r>
              <w:rPr>
                <w:noProof/>
                <w:webHidden/>
              </w:rPr>
              <w:tab/>
            </w:r>
            <w:r>
              <w:rPr>
                <w:noProof/>
                <w:webHidden/>
              </w:rPr>
              <w:fldChar w:fldCharType="begin"/>
            </w:r>
            <w:r>
              <w:rPr>
                <w:noProof/>
                <w:webHidden/>
              </w:rPr>
              <w:instrText xml:space="preserve"> PAGEREF _Toc215555427 \h </w:instrText>
            </w:r>
            <w:r>
              <w:rPr>
                <w:noProof/>
                <w:webHidden/>
              </w:rPr>
            </w:r>
            <w:r>
              <w:rPr>
                <w:noProof/>
                <w:webHidden/>
              </w:rPr>
              <w:fldChar w:fldCharType="separate"/>
            </w:r>
            <w:r>
              <w:rPr>
                <w:noProof/>
                <w:webHidden/>
              </w:rPr>
              <w:t>39</w:t>
            </w:r>
            <w:r>
              <w:rPr>
                <w:noProof/>
                <w:webHidden/>
              </w:rPr>
              <w:fldChar w:fldCharType="end"/>
            </w:r>
          </w:hyperlink>
        </w:p>
        <w:p w:rsidR="001D317E" w:rsidP="001D317E" w:rsidRDefault="001D317E" w14:paraId="12C3E2CB" w14:textId="6B6D5A03">
          <w:pPr>
            <w:pStyle w:val="TOC1"/>
            <w:keepNext/>
            <w:tabs>
              <w:tab w:val="right" w:leader="dot" w:pos="9350"/>
            </w:tabs>
            <w:rPr>
              <w:rFonts w:asciiTheme="minorHAnsi" w:hAnsiTheme="minorHAnsi" w:cstheme="minorBidi"/>
              <w:noProof/>
              <w:kern w:val="2"/>
              <w:sz w:val="24"/>
              <w:szCs w:val="24"/>
              <w14:ligatures w14:val="standardContextual"/>
            </w:rPr>
          </w:pPr>
          <w:hyperlink w:history="1" w:anchor="_Toc215555428">
            <w:r w:rsidRPr="004B5183">
              <w:rPr>
                <w:rStyle w:val="Hyperlink"/>
                <w:noProof/>
              </w:rPr>
              <w:t>Findings of Fact</w:t>
            </w:r>
            <w:r>
              <w:rPr>
                <w:noProof/>
                <w:webHidden/>
              </w:rPr>
              <w:tab/>
            </w:r>
            <w:r>
              <w:rPr>
                <w:noProof/>
                <w:webHidden/>
              </w:rPr>
              <w:fldChar w:fldCharType="begin"/>
            </w:r>
            <w:r>
              <w:rPr>
                <w:noProof/>
                <w:webHidden/>
              </w:rPr>
              <w:instrText xml:space="preserve"> PAGEREF _Toc215555428 \h </w:instrText>
            </w:r>
            <w:r>
              <w:rPr>
                <w:noProof/>
                <w:webHidden/>
              </w:rPr>
            </w:r>
            <w:r>
              <w:rPr>
                <w:noProof/>
                <w:webHidden/>
              </w:rPr>
              <w:fldChar w:fldCharType="separate"/>
            </w:r>
            <w:r>
              <w:rPr>
                <w:noProof/>
                <w:webHidden/>
              </w:rPr>
              <w:t>39</w:t>
            </w:r>
            <w:r>
              <w:rPr>
                <w:noProof/>
                <w:webHidden/>
              </w:rPr>
              <w:fldChar w:fldCharType="end"/>
            </w:r>
          </w:hyperlink>
        </w:p>
        <w:p w:rsidR="001D317E" w:rsidP="001D317E" w:rsidRDefault="001D317E" w14:paraId="7FE05265" w14:textId="24864C2B">
          <w:pPr>
            <w:pStyle w:val="TOC1"/>
            <w:keepNext/>
            <w:tabs>
              <w:tab w:val="right" w:leader="dot" w:pos="9350"/>
            </w:tabs>
            <w:rPr>
              <w:rFonts w:asciiTheme="minorHAnsi" w:hAnsiTheme="minorHAnsi" w:cstheme="minorBidi"/>
              <w:noProof/>
              <w:kern w:val="2"/>
              <w:sz w:val="24"/>
              <w:szCs w:val="24"/>
              <w14:ligatures w14:val="standardContextual"/>
            </w:rPr>
          </w:pPr>
          <w:hyperlink w:history="1" w:anchor="_Toc215555429">
            <w:r w:rsidRPr="004B5183">
              <w:rPr>
                <w:rStyle w:val="Hyperlink"/>
                <w:noProof/>
              </w:rPr>
              <w:t>Conclusions of Law</w:t>
            </w:r>
            <w:r>
              <w:rPr>
                <w:noProof/>
                <w:webHidden/>
              </w:rPr>
              <w:tab/>
            </w:r>
            <w:r>
              <w:rPr>
                <w:noProof/>
                <w:webHidden/>
              </w:rPr>
              <w:fldChar w:fldCharType="begin"/>
            </w:r>
            <w:r>
              <w:rPr>
                <w:noProof/>
                <w:webHidden/>
              </w:rPr>
              <w:instrText xml:space="preserve"> PAGEREF _Toc215555429 \h </w:instrText>
            </w:r>
            <w:r>
              <w:rPr>
                <w:noProof/>
                <w:webHidden/>
              </w:rPr>
            </w:r>
            <w:r>
              <w:rPr>
                <w:noProof/>
                <w:webHidden/>
              </w:rPr>
              <w:fldChar w:fldCharType="separate"/>
            </w:r>
            <w:r>
              <w:rPr>
                <w:noProof/>
                <w:webHidden/>
              </w:rPr>
              <w:t>41</w:t>
            </w:r>
            <w:r>
              <w:rPr>
                <w:noProof/>
                <w:webHidden/>
              </w:rPr>
              <w:fldChar w:fldCharType="end"/>
            </w:r>
          </w:hyperlink>
        </w:p>
        <w:p w:rsidR="001D317E" w:rsidRDefault="001D317E" w14:paraId="5BC5E5ED" w14:textId="55B68CB4">
          <w:pPr>
            <w:pStyle w:val="TOC1"/>
            <w:tabs>
              <w:tab w:val="right" w:leader="dot" w:pos="9350"/>
            </w:tabs>
            <w:rPr>
              <w:rFonts w:asciiTheme="minorHAnsi" w:hAnsiTheme="minorHAnsi" w:cstheme="minorBidi"/>
              <w:noProof/>
              <w:kern w:val="2"/>
              <w:sz w:val="24"/>
              <w:szCs w:val="24"/>
              <w14:ligatures w14:val="standardContextual"/>
            </w:rPr>
          </w:pPr>
          <w:hyperlink w:history="1" w:anchor="_Toc215555430">
            <w:r w:rsidRPr="004B5183">
              <w:rPr>
                <w:rStyle w:val="Hyperlink"/>
                <w:noProof/>
              </w:rPr>
              <w:t>ORDER</w:t>
            </w:r>
            <w:r>
              <w:rPr>
                <w:noProof/>
                <w:webHidden/>
              </w:rPr>
              <w:tab/>
            </w:r>
            <w:r>
              <w:rPr>
                <w:noProof/>
                <w:webHidden/>
              </w:rPr>
              <w:fldChar w:fldCharType="begin"/>
            </w:r>
            <w:r>
              <w:rPr>
                <w:noProof/>
                <w:webHidden/>
              </w:rPr>
              <w:instrText xml:space="preserve"> PAGEREF _Toc215555430 \h </w:instrText>
            </w:r>
            <w:r>
              <w:rPr>
                <w:noProof/>
                <w:webHidden/>
              </w:rPr>
            </w:r>
            <w:r>
              <w:rPr>
                <w:noProof/>
                <w:webHidden/>
              </w:rPr>
              <w:fldChar w:fldCharType="separate"/>
            </w:r>
            <w:r>
              <w:rPr>
                <w:noProof/>
                <w:webHidden/>
              </w:rPr>
              <w:t>41</w:t>
            </w:r>
            <w:r>
              <w:rPr>
                <w:noProof/>
                <w:webHidden/>
              </w:rPr>
              <w:fldChar w:fldCharType="end"/>
            </w:r>
          </w:hyperlink>
        </w:p>
        <w:p w:rsidR="00A43AFB" w:rsidP="005C1AD3" w:rsidRDefault="005C1AD3" w14:paraId="4B5AF643" w14:textId="52128B0A">
          <w:pPr>
            <w:pStyle w:val="TOC1"/>
            <w:tabs>
              <w:tab w:val="right" w:leader="dot" w:pos="9350"/>
            </w:tabs>
          </w:pPr>
          <w:r>
            <w:rPr>
              <w:rFonts w:asciiTheme="minorHAnsi" w:hAnsiTheme="minorHAnsi"/>
              <w:sz w:val="22"/>
            </w:rPr>
            <w:fldChar w:fldCharType="end"/>
          </w:r>
        </w:p>
      </w:sdtContent>
    </w:sdt>
    <w:p w:rsidR="00A43AFB" w:rsidP="00A43AFB" w:rsidRDefault="00A43AFB" w14:paraId="482D1D64" w14:textId="630C8672">
      <w:pPr>
        <w:spacing w:line="240" w:lineRule="auto"/>
        <w:ind w:firstLine="0"/>
        <w:rPr>
          <w:rFonts w:cs="Arial"/>
          <w:szCs w:val="26"/>
        </w:rPr>
      </w:pPr>
      <w:r w:rsidRPr="0098655A">
        <w:rPr>
          <w:rFonts w:cs="Arial"/>
          <w:b/>
          <w:szCs w:val="26"/>
        </w:rPr>
        <w:t>Appendix A</w:t>
      </w:r>
      <w:r w:rsidRPr="0098655A">
        <w:rPr>
          <w:rFonts w:cs="Arial"/>
          <w:szCs w:val="26"/>
        </w:rPr>
        <w:t xml:space="preserve"> –</w:t>
      </w:r>
      <w:r>
        <w:rPr>
          <w:rFonts w:cs="Arial"/>
          <w:szCs w:val="26"/>
        </w:rPr>
        <w:t xml:space="preserve"> S</w:t>
      </w:r>
      <w:r w:rsidR="00E34772">
        <w:rPr>
          <w:rFonts w:cs="Arial"/>
          <w:szCs w:val="26"/>
        </w:rPr>
        <w:t>ettlement Agreement</w:t>
      </w:r>
    </w:p>
    <w:p w:rsidR="00A43AFB" w:rsidP="475A0C90" w:rsidRDefault="00A43AFB" w14:paraId="5E10D3F2" w14:textId="77777777">
      <w:pPr>
        <w:pStyle w:val="Standard"/>
        <w:rPr>
          <w:rFonts w:eastAsia="Book Antiqua" w:cs="Book Antiqua"/>
          <w:szCs w:val="26"/>
        </w:rPr>
        <w:sectPr w:rsidR="00A43AFB" w:rsidSect="00A43AFB">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A43AFB" w:rsidP="008E4DD9" w:rsidRDefault="00A43AFB" w14:paraId="7E61957F" w14:textId="77777777">
      <w:pPr>
        <w:pStyle w:val="Main"/>
        <w:spacing w:after="240"/>
      </w:pPr>
      <w:r w:rsidRPr="00A43AFB">
        <w:lastRenderedPageBreak/>
        <w:t>DECISION APPROVING SETTLEMENT AGREEMENT</w:t>
      </w:r>
    </w:p>
    <w:p w:rsidRPr="00234F59" w:rsidR="00A43AFB" w:rsidP="00E34772" w:rsidRDefault="00A43AFB" w14:paraId="1DAB13D9" w14:textId="77777777">
      <w:pPr>
        <w:pStyle w:val="Dummy"/>
      </w:pPr>
      <w:bookmarkStart w:name="_Toc8123714" w:id="4"/>
      <w:bookmarkStart w:name="_Toc212128375" w:id="5"/>
      <w:bookmarkStart w:name="_Toc215555398" w:id="6"/>
      <w:r w:rsidRPr="00234F59">
        <w:t>Summary</w:t>
      </w:r>
      <w:bookmarkEnd w:id="4"/>
      <w:bookmarkEnd w:id="5"/>
      <w:bookmarkEnd w:id="6"/>
    </w:p>
    <w:p w:rsidR="00A43AFB" w:rsidP="00E34772" w:rsidRDefault="00A43AFB" w14:paraId="37412402" w14:textId="4111EA16">
      <w:pPr>
        <w:pStyle w:val="Standard"/>
        <w:rPr>
          <w:rFonts w:eastAsia="Book Antiqua" w:cs="Book Antiqua"/>
          <w:szCs w:val="26"/>
        </w:rPr>
      </w:pPr>
      <w:r>
        <w:t xml:space="preserve">This decision grants the </w:t>
      </w:r>
      <w:bookmarkStart w:name="_Hlk156241576" w:id="7"/>
      <w:r>
        <w:t>Joint Motion for Adoption of Settlement Agreement filed by Pacific Gas and Electric Company</w:t>
      </w:r>
      <w:r w:rsidR="002E5261">
        <w:t xml:space="preserve"> (PG&amp;E)</w:t>
      </w:r>
      <w:r>
        <w:t xml:space="preserve">, </w:t>
      </w:r>
      <w:bookmarkStart w:name="_Hlk198625655" w:id="8"/>
      <w:bookmarkStart w:name="_Hlk198656244" w:id="9"/>
      <w:r w:rsidR="002E5261">
        <w:t>t</w:t>
      </w:r>
      <w:r>
        <w:t>he Public Advocates Office at the California Public Utilities Commission, The Utility Reform Network, and Small Business Utility Advocate</w:t>
      </w:r>
      <w:bookmarkEnd w:id="8"/>
      <w:bookmarkEnd w:id="9"/>
      <w:r>
        <w:t xml:space="preserve">s. Specifically, this decision approves and adopts </w:t>
      </w:r>
      <w:bookmarkEnd w:id="7"/>
      <w:r>
        <w:t>the proposed Settlement Agreement regarding PG</w:t>
      </w:r>
      <w:r w:rsidR="002E5261">
        <w:t>&amp;</w:t>
      </w:r>
      <w:r>
        <w:t>E</w:t>
      </w:r>
      <w:r w:rsidR="002E5261">
        <w:t xml:space="preserve">’s </w:t>
      </w:r>
      <w:r w:rsidRPr="475A0C90">
        <w:rPr>
          <w:rFonts w:eastAsia="Book Antiqua" w:cs="Book Antiqua"/>
          <w:szCs w:val="26"/>
        </w:rPr>
        <w:t xml:space="preserve">Comprehensive Gas Advanced Metering Infrastructure </w:t>
      </w:r>
      <w:r w:rsidRPr="00657364">
        <w:rPr>
          <w:rFonts w:eastAsia="Book Antiqua" w:cs="Book Antiqua"/>
          <w:szCs w:val="26"/>
        </w:rPr>
        <w:t>Replacement Program</w:t>
      </w:r>
      <w:r>
        <w:rPr>
          <w:rFonts w:eastAsia="Book Antiqua" w:cs="Book Antiqua"/>
          <w:szCs w:val="26"/>
        </w:rPr>
        <w:t xml:space="preserve"> to replace and upgrade </w:t>
      </w:r>
      <w:r w:rsidR="00AC6533">
        <w:rPr>
          <w:rFonts w:eastAsia="Book Antiqua" w:cs="Book Antiqua"/>
          <w:szCs w:val="26"/>
        </w:rPr>
        <w:t xml:space="preserve">battery-operated </w:t>
      </w:r>
      <w:r w:rsidR="002731FB">
        <w:rPr>
          <w:rFonts w:eastAsia="Book Antiqua" w:cs="Book Antiqua"/>
          <w:szCs w:val="26"/>
        </w:rPr>
        <w:t>Gas Module</w:t>
      </w:r>
      <w:r>
        <w:rPr>
          <w:rFonts w:eastAsia="Book Antiqua" w:cs="Book Antiqua"/>
          <w:szCs w:val="26"/>
        </w:rPr>
        <w:t xml:space="preserve">s installed on customer gas meters that transmit customer gas usage. </w:t>
      </w:r>
    </w:p>
    <w:p w:rsidRPr="00F91AEC" w:rsidR="00822AD3" w:rsidP="00F91AEC" w:rsidRDefault="00EA48D8" w14:paraId="1C4A58E5" w14:textId="4EDB11DD">
      <w:pPr>
        <w:pStyle w:val="Standard"/>
        <w:keepNext/>
      </w:pPr>
      <w:r>
        <w:rPr>
          <w:rFonts w:eastAsia="Book Antiqua" w:cs="Book Antiqua"/>
          <w:szCs w:val="26"/>
        </w:rPr>
        <w:t>In summa</w:t>
      </w:r>
      <w:r w:rsidR="00E74547">
        <w:rPr>
          <w:rFonts w:eastAsia="Book Antiqua" w:cs="Book Antiqua"/>
          <w:szCs w:val="26"/>
        </w:rPr>
        <w:t>ry, t</w:t>
      </w:r>
      <w:r w:rsidR="00147F6A">
        <w:rPr>
          <w:rFonts w:eastAsia="Book Antiqua" w:cs="Book Antiqua"/>
          <w:szCs w:val="26"/>
        </w:rPr>
        <w:t>hat Settlement Agreement</w:t>
      </w:r>
      <w:r w:rsidRPr="00657364" w:rsidR="004C7F8A">
        <w:rPr>
          <w:rFonts w:eastAsia="Book Antiqua" w:cs="Book Antiqua"/>
          <w:szCs w:val="26"/>
        </w:rPr>
        <w:t xml:space="preserve"> provides</w:t>
      </w:r>
      <w:r w:rsidR="00F91AEC">
        <w:rPr>
          <w:rFonts w:eastAsia="Book Antiqua" w:cs="Book Antiqua"/>
          <w:szCs w:val="26"/>
        </w:rPr>
        <w:t xml:space="preserve"> </w:t>
      </w:r>
      <w:r w:rsidRPr="009756FE" w:rsidR="00822AD3">
        <w:rPr>
          <w:color w:val="000000" w:themeColor="text1"/>
          <w:szCs w:val="26"/>
        </w:rPr>
        <w:t>as follows:</w:t>
      </w:r>
      <w:r w:rsidRPr="009756FE" w:rsidR="00822AD3">
        <w:rPr>
          <w:rStyle w:val="FootnoteReference"/>
          <w:szCs w:val="26"/>
        </w:rPr>
        <w:t xml:space="preserve"> </w:t>
      </w:r>
    </w:p>
    <w:p w:rsidRPr="009756FE" w:rsidR="00822AD3" w:rsidP="008E4DD9" w:rsidRDefault="00822AD3" w14:paraId="6B4112D8" w14:textId="31B357B7">
      <w:pPr>
        <w:pStyle w:val="ListNum"/>
      </w:pPr>
      <w:r w:rsidRPr="0085303F">
        <w:rPr>
          <w:b/>
          <w:bCs/>
          <w:i/>
          <w:iCs/>
        </w:rPr>
        <w:t>Adopted Expenses</w:t>
      </w:r>
      <w:r>
        <w:rPr>
          <w:i/>
          <w:iCs/>
        </w:rPr>
        <w:t>.</w:t>
      </w:r>
      <w:r w:rsidRPr="009756FE">
        <w:t xml:space="preserve"> PG&amp;E’s adopted 2024-2026 expense forecast for the </w:t>
      </w:r>
      <w:r w:rsidRPr="475A0C90" w:rsidR="005112A9">
        <w:rPr>
          <w:rFonts w:eastAsia="Book Antiqua" w:cs="Book Antiqua"/>
          <w:szCs w:val="26"/>
        </w:rPr>
        <w:t xml:space="preserve">Gas Advanced Metering Infrastructure </w:t>
      </w:r>
      <w:r w:rsidRPr="00657364" w:rsidR="005112A9">
        <w:rPr>
          <w:rFonts w:eastAsia="Book Antiqua" w:cs="Book Antiqua"/>
          <w:szCs w:val="26"/>
        </w:rPr>
        <w:t>Replacement Program</w:t>
      </w:r>
      <w:r w:rsidRPr="009756FE" w:rsidDel="005112A9" w:rsidR="005112A9">
        <w:t xml:space="preserve"> </w:t>
      </w:r>
      <w:r w:rsidRPr="009756FE">
        <w:t>is $4</w:t>
      </w:r>
      <w:r>
        <w:t> </w:t>
      </w:r>
      <w:r w:rsidRPr="009756FE">
        <w:t>million.</w:t>
      </w:r>
    </w:p>
    <w:p w:rsidRPr="009756FE" w:rsidR="00822AD3" w:rsidP="008E4DD9" w:rsidRDefault="00822AD3" w14:paraId="3A7CD783" w14:textId="7EC4373E">
      <w:pPr>
        <w:pStyle w:val="ListNum"/>
      </w:pPr>
      <w:r w:rsidRPr="0085303F">
        <w:rPr>
          <w:b/>
          <w:bCs/>
          <w:i/>
          <w:iCs/>
          <w:color w:val="000000" w:themeColor="text1"/>
        </w:rPr>
        <w:t>Adopted Capital Expenditures</w:t>
      </w:r>
      <w:r>
        <w:rPr>
          <w:i/>
          <w:iCs/>
          <w:color w:val="000000" w:themeColor="text1"/>
        </w:rPr>
        <w:t>.</w:t>
      </w:r>
      <w:r w:rsidRPr="009756FE">
        <w:rPr>
          <w:color w:val="000000" w:themeColor="text1"/>
        </w:rPr>
        <w:t xml:space="preserve"> </w:t>
      </w:r>
      <w:r w:rsidRPr="009756FE">
        <w:t>PG&amp;E’s adopted 202</w:t>
      </w:r>
      <w:r>
        <w:t>3</w:t>
      </w:r>
      <w:r w:rsidRPr="009756FE">
        <w:t>-2026 capital expenditure expense forecast is $420 million.</w:t>
      </w:r>
    </w:p>
    <w:p w:rsidRPr="009756FE" w:rsidR="00822AD3" w:rsidP="008E4DD9" w:rsidRDefault="00822AD3" w14:paraId="490B3EB3" w14:textId="18320009">
      <w:pPr>
        <w:pStyle w:val="ListNum"/>
      </w:pPr>
      <w:r w:rsidRPr="0085303F">
        <w:rPr>
          <w:b/>
          <w:bCs/>
          <w:i/>
          <w:iCs/>
          <w:color w:val="000000" w:themeColor="text1"/>
        </w:rPr>
        <w:t>Adopted Revenue Requirements</w:t>
      </w:r>
      <w:r>
        <w:rPr>
          <w:color w:val="000000" w:themeColor="text1"/>
        </w:rPr>
        <w:t>.</w:t>
      </w:r>
      <w:r w:rsidRPr="009756FE">
        <w:rPr>
          <w:color w:val="000000" w:themeColor="text1"/>
        </w:rPr>
        <w:t xml:space="preserve"> </w:t>
      </w:r>
      <w:r w:rsidRPr="009756FE">
        <w:t>The adopted revenue requirement for 2023-2026 is a total of $88,594,500.</w:t>
      </w:r>
    </w:p>
    <w:p w:rsidRPr="009756FE" w:rsidR="00822AD3" w:rsidP="008E4DD9" w:rsidRDefault="00822AD3" w14:paraId="4F713C4F" w14:textId="086DCE4C">
      <w:pPr>
        <w:pStyle w:val="ListNum"/>
      </w:pPr>
      <w:r w:rsidRPr="0085303F">
        <w:rPr>
          <w:b/>
          <w:bCs/>
          <w:i/>
          <w:iCs/>
          <w:color w:val="000000" w:themeColor="text1"/>
        </w:rPr>
        <w:t>Cost Recovery</w:t>
      </w:r>
      <w:r>
        <w:rPr>
          <w:color w:val="000000" w:themeColor="text1"/>
        </w:rPr>
        <w:t>.</w:t>
      </w:r>
      <w:r w:rsidRPr="009756FE">
        <w:rPr>
          <w:color w:val="000000" w:themeColor="text1"/>
        </w:rPr>
        <w:t xml:space="preserve"> </w:t>
      </w:r>
      <w:r w:rsidRPr="009756FE">
        <w:t xml:space="preserve">PG&amp;E </w:t>
      </w:r>
      <w:r w:rsidR="00A97A68">
        <w:t>may</w:t>
      </w:r>
      <w:r w:rsidRPr="009756FE">
        <w:t xml:space="preserve"> use its existing revenue adjustment mechanisms to recover the $88,594,500</w:t>
      </w:r>
      <w:r>
        <w:t xml:space="preserve"> </w:t>
      </w:r>
      <w:r w:rsidRPr="009756FE">
        <w:t>adopted revenue requirements.</w:t>
      </w:r>
    </w:p>
    <w:p w:rsidRPr="009756FE" w:rsidR="00822AD3" w:rsidP="008E4DD9" w:rsidRDefault="00822AD3" w14:paraId="46237006" w14:textId="17434C49">
      <w:pPr>
        <w:pStyle w:val="ListNum"/>
      </w:pPr>
      <w:r w:rsidRPr="0085303F">
        <w:rPr>
          <w:b/>
          <w:bCs/>
          <w:i/>
          <w:iCs/>
          <w:color w:val="000000" w:themeColor="text1"/>
        </w:rPr>
        <w:t>Changes to Rates</w:t>
      </w:r>
      <w:r>
        <w:rPr>
          <w:color w:val="000000" w:themeColor="text1"/>
        </w:rPr>
        <w:t>.</w:t>
      </w:r>
      <w:r w:rsidRPr="009756FE">
        <w:rPr>
          <w:color w:val="000000" w:themeColor="text1"/>
        </w:rPr>
        <w:t xml:space="preserve"> </w:t>
      </w:r>
      <w:r w:rsidRPr="009756FE">
        <w:t xml:space="preserve">PG&amp;E </w:t>
      </w:r>
      <w:r w:rsidR="00A97A68">
        <w:t>may</w:t>
      </w:r>
      <w:r w:rsidRPr="009756FE">
        <w:t xml:space="preserve"> recover all costs recorded to the </w:t>
      </w:r>
      <w:r w:rsidRPr="006F240B" w:rsidR="00AA4A22">
        <w:t>Comprehensive Gas Advanced Metering Infrastructure Memorandum Account, effective March 14, 2024</w:t>
      </w:r>
      <w:r w:rsidR="00AA4A22">
        <w:t>,</w:t>
      </w:r>
      <w:r w:rsidRPr="009756FE">
        <w:t xml:space="preserve"> through the next available rate change or the next Annual Electric True-Up and Annual Gas True-Up advice letters</w:t>
      </w:r>
      <w:r w:rsidR="008801DC">
        <w:t>, following issuance of this decision</w:t>
      </w:r>
      <w:r w:rsidRPr="009756FE">
        <w:t>.</w:t>
      </w:r>
    </w:p>
    <w:p w:rsidRPr="009756FE" w:rsidR="00822AD3" w:rsidP="008E4DD9" w:rsidRDefault="00822AD3" w14:paraId="588D8167" w14:textId="75400143">
      <w:pPr>
        <w:pStyle w:val="ListNum"/>
      </w:pPr>
      <w:r w:rsidRPr="0085303F">
        <w:rPr>
          <w:b/>
          <w:bCs/>
          <w:i/>
          <w:iCs/>
        </w:rPr>
        <w:t xml:space="preserve">PG&amp;E’s Proposed </w:t>
      </w:r>
      <w:r w:rsidRPr="003B10B8" w:rsidR="003B10B8">
        <w:rPr>
          <w:b/>
          <w:bCs/>
          <w:i/>
          <w:iCs/>
        </w:rPr>
        <w:t xml:space="preserve">Gas Advanced Metering Infrastructure </w:t>
      </w:r>
      <w:r w:rsidRPr="0085303F">
        <w:rPr>
          <w:b/>
          <w:bCs/>
          <w:i/>
          <w:iCs/>
        </w:rPr>
        <w:t>Technology Upgrade</w:t>
      </w:r>
      <w:r>
        <w:t>.</w:t>
      </w:r>
      <w:r w:rsidRPr="009756FE">
        <w:t xml:space="preserve"> </w:t>
      </w:r>
    </w:p>
    <w:p w:rsidR="00822AD3" w:rsidP="00822AD3" w:rsidRDefault="00822AD3" w14:paraId="47AA237C" w14:textId="5ACA830D">
      <w:pPr>
        <w:pStyle w:val="ListBullet"/>
        <w:ind w:left="1800"/>
        <w:rPr>
          <w:color w:val="000000" w:themeColor="text1"/>
        </w:rPr>
      </w:pPr>
      <w:r w:rsidRPr="009756FE">
        <w:t xml:space="preserve">PG&amp;E </w:t>
      </w:r>
      <w:r w:rsidR="00B326CC">
        <w:t>must</w:t>
      </w:r>
      <w:r>
        <w:t xml:space="preserve"> c</w:t>
      </w:r>
      <w:r w:rsidRPr="009756FE">
        <w:t xml:space="preserve">omplete the 2023-2026 scope of work it had forecast in its </w:t>
      </w:r>
      <w:r w:rsidRPr="475A0C90" w:rsidR="003B10B8">
        <w:rPr>
          <w:rFonts w:eastAsia="Book Antiqua" w:cs="Book Antiqua"/>
          <w:szCs w:val="26"/>
        </w:rPr>
        <w:t>Gas Advanced Metering Infrastructure</w:t>
      </w:r>
      <w:r w:rsidRPr="009756FE">
        <w:t xml:space="preserve"> 2.0 Technology Upgrade within the </w:t>
      </w:r>
      <w:r w:rsidRPr="009756FE">
        <w:lastRenderedPageBreak/>
        <w:t>$42</w:t>
      </w:r>
      <w:r w:rsidRPr="009756FE">
        <w:rPr>
          <w:color w:val="000000" w:themeColor="text1"/>
        </w:rPr>
        <w:t>0</w:t>
      </w:r>
      <w:r>
        <w:rPr>
          <w:color w:val="000000" w:themeColor="text1"/>
        </w:rPr>
        <w:t xml:space="preserve"> million </w:t>
      </w:r>
      <w:r w:rsidRPr="009756FE">
        <w:rPr>
          <w:color w:val="000000" w:themeColor="text1"/>
        </w:rPr>
        <w:t>authorized capital expenditures agreed upon in the Settlement</w:t>
      </w:r>
      <w:r w:rsidR="00E85F18">
        <w:rPr>
          <w:color w:val="000000" w:themeColor="text1"/>
        </w:rPr>
        <w:t xml:space="preserve"> Agreement</w:t>
      </w:r>
      <w:r w:rsidR="00B25F7F">
        <w:rPr>
          <w:color w:val="000000" w:themeColor="text1"/>
        </w:rPr>
        <w:t>.</w:t>
      </w:r>
      <w:r w:rsidRPr="009756FE">
        <w:rPr>
          <w:color w:val="000000" w:themeColor="text1"/>
        </w:rPr>
        <w:t xml:space="preserve"> </w:t>
      </w:r>
    </w:p>
    <w:p w:rsidR="00822AD3" w:rsidP="00822AD3" w:rsidRDefault="00822AD3" w14:paraId="6520286E" w14:textId="1C05FBB8">
      <w:pPr>
        <w:pStyle w:val="ListBullet"/>
        <w:ind w:left="1800"/>
        <w:rPr>
          <w:color w:val="000000" w:themeColor="text1"/>
        </w:rPr>
      </w:pPr>
      <w:r w:rsidRPr="009756FE">
        <w:t xml:space="preserve">PG&amp;E </w:t>
      </w:r>
      <w:r w:rsidR="0068323E">
        <w:t>shall</w:t>
      </w:r>
      <w:r w:rsidRPr="00FD2949">
        <w:rPr>
          <w:color w:val="000000" w:themeColor="text1"/>
        </w:rPr>
        <w:t xml:space="preserve"> not include in its 2027 General Rate Case or another application any capital expenditures for 2027 and beyond for work it had forecast in </w:t>
      </w:r>
      <w:r>
        <w:rPr>
          <w:color w:val="000000" w:themeColor="text1"/>
        </w:rPr>
        <w:t>A</w:t>
      </w:r>
      <w:r w:rsidR="0068323E">
        <w:rPr>
          <w:color w:val="000000" w:themeColor="text1"/>
        </w:rPr>
        <w:t xml:space="preserve">pplication </w:t>
      </w:r>
      <w:r>
        <w:rPr>
          <w:color w:val="000000" w:themeColor="text1"/>
        </w:rPr>
        <w:t xml:space="preserve">24-03-011 for the </w:t>
      </w:r>
      <w:r w:rsidR="00B25F7F">
        <w:rPr>
          <w:color w:val="000000" w:themeColor="text1"/>
        </w:rPr>
        <w:t>u</w:t>
      </w:r>
      <w:r>
        <w:rPr>
          <w:color w:val="000000" w:themeColor="text1"/>
        </w:rPr>
        <w:t>pgrade</w:t>
      </w:r>
      <w:r w:rsidRPr="00FD2949">
        <w:rPr>
          <w:color w:val="000000" w:themeColor="text1"/>
        </w:rPr>
        <w:t>.</w:t>
      </w:r>
    </w:p>
    <w:p w:rsidRPr="009756FE" w:rsidR="00822AD3" w:rsidP="00822AD3" w:rsidRDefault="00822AD3" w14:paraId="1DBC02BE" w14:textId="026052F3">
      <w:pPr>
        <w:pStyle w:val="ListBullet"/>
        <w:ind w:left="1800"/>
      </w:pPr>
      <w:r w:rsidRPr="009756FE">
        <w:t xml:space="preserve">The 2023-2026 capital additions for the </w:t>
      </w:r>
      <w:r w:rsidR="00E85F18">
        <w:t>u</w:t>
      </w:r>
      <w:r w:rsidRPr="009756FE">
        <w:t xml:space="preserve">pgrade </w:t>
      </w:r>
      <w:r w:rsidR="0068323E">
        <w:t>must</w:t>
      </w:r>
      <w:r w:rsidRPr="009756FE">
        <w:t xml:space="preserve"> not exceed the $420</w:t>
      </w:r>
      <w:r>
        <w:t xml:space="preserve"> million </w:t>
      </w:r>
      <w:r w:rsidRPr="009756FE">
        <w:t xml:space="preserve">agreed to in the </w:t>
      </w:r>
      <w:r w:rsidRPr="009756FE" w:rsidR="00BC3FD1">
        <w:rPr>
          <w:color w:val="000000" w:themeColor="text1"/>
        </w:rPr>
        <w:t>Settlement</w:t>
      </w:r>
      <w:r w:rsidR="00BC3FD1">
        <w:rPr>
          <w:color w:val="000000" w:themeColor="text1"/>
        </w:rPr>
        <w:t xml:space="preserve"> Agreement</w:t>
      </w:r>
      <w:r w:rsidRPr="009756FE" w:rsidR="00BC3FD1">
        <w:t xml:space="preserve"> </w:t>
      </w:r>
      <w:r w:rsidRPr="009756FE">
        <w:t xml:space="preserve">and can be </w:t>
      </w:r>
      <w:r w:rsidRPr="003D3003">
        <w:rPr>
          <w:color w:val="000000" w:themeColor="text1"/>
        </w:rPr>
        <w:t>included</w:t>
      </w:r>
      <w:r w:rsidRPr="009756FE">
        <w:t xml:space="preserve"> in the rate base in PG&amp;E’s 2027 General Rate Case</w:t>
      </w:r>
      <w:r w:rsidR="002C6DB8">
        <w:t>.</w:t>
      </w:r>
      <w:r w:rsidRPr="009756FE">
        <w:t xml:space="preserve"> </w:t>
      </w:r>
    </w:p>
    <w:p w:rsidRPr="00822AD3" w:rsidR="00BE5C43" w:rsidP="00822AD3" w:rsidRDefault="00822AD3" w14:paraId="65C6F635" w14:textId="773B5598">
      <w:pPr>
        <w:pStyle w:val="ListBullet"/>
        <w:spacing w:before="180"/>
        <w:ind w:left="1800"/>
      </w:pPr>
      <w:r w:rsidRPr="009756FE">
        <w:t>PG&amp;E may forecast approximately $7</w:t>
      </w:r>
      <w:r>
        <w:t xml:space="preserve"> million </w:t>
      </w:r>
      <w:r w:rsidRPr="009756FE">
        <w:t xml:space="preserve">in additional </w:t>
      </w:r>
      <w:r w:rsidRPr="004A537A">
        <w:rPr>
          <w:color w:val="000000" w:themeColor="text1"/>
        </w:rPr>
        <w:t>capital</w:t>
      </w:r>
      <w:r w:rsidRPr="009756FE">
        <w:t xml:space="preserve"> expenditures for 2027 and beyond in its 2027 </w:t>
      </w:r>
      <w:r w:rsidRPr="009756FE" w:rsidR="00061FFB">
        <w:t xml:space="preserve">General Rate Case </w:t>
      </w:r>
      <w:r w:rsidRPr="009756FE">
        <w:t xml:space="preserve">to complete the </w:t>
      </w:r>
      <w:r w:rsidR="00061FFB">
        <w:t>u</w:t>
      </w:r>
      <w:r w:rsidRPr="009756FE">
        <w:t xml:space="preserve">pgrade, and </w:t>
      </w:r>
      <w:r>
        <w:t>parties</w:t>
      </w:r>
      <w:r w:rsidRPr="009756FE">
        <w:t xml:space="preserve"> are free to object to PG&amp;E’s forecast for 2027 and beyond.</w:t>
      </w:r>
      <w:r>
        <w:t xml:space="preserve"> </w:t>
      </w:r>
    </w:p>
    <w:p w:rsidR="00BE5C43" w:rsidP="475A0C90" w:rsidRDefault="7E0B36DA" w14:paraId="631E16A4" w14:textId="20E5D5AB">
      <w:pPr>
        <w:pStyle w:val="Standard"/>
        <w:rPr>
          <w:rFonts w:cs="Arial"/>
        </w:rPr>
      </w:pPr>
      <w:r>
        <w:t>This proceeding</w:t>
      </w:r>
      <w:r w:rsidR="00657364">
        <w:t xml:space="preserve"> is closed</w:t>
      </w:r>
      <w:r w:rsidRPr="475A0C90">
        <w:rPr>
          <w:rFonts w:cs="Arial"/>
        </w:rPr>
        <w:t>.</w:t>
      </w:r>
    </w:p>
    <w:p w:rsidRPr="005D4F3D" w:rsidR="008620CF" w:rsidP="002B5094" w:rsidRDefault="7E0B36DA" w14:paraId="22988B1E" w14:textId="7B2945C1">
      <w:pPr>
        <w:pStyle w:val="Heading1"/>
        <w:numPr>
          <w:ilvl w:val="0"/>
          <w:numId w:val="5"/>
        </w:numPr>
      </w:pPr>
      <w:bookmarkStart w:name="_Toc212128376" w:id="10"/>
      <w:bookmarkStart w:name="_Toc215555399" w:id="11"/>
      <w:r>
        <w:t>Background</w:t>
      </w:r>
      <w:r w:rsidR="00C22206">
        <w:rPr>
          <w:rStyle w:val="FootnoteReference"/>
        </w:rPr>
        <w:footnoteReference w:id="2"/>
      </w:r>
      <w:bookmarkStart w:name="_Toc212128377" w:id="12"/>
      <w:bookmarkEnd w:id="10"/>
      <w:bookmarkEnd w:id="11"/>
    </w:p>
    <w:p w:rsidRPr="006E21B3" w:rsidR="00DD38FA" w:rsidP="00E34772" w:rsidRDefault="00901F4F" w14:paraId="76082F83" w14:textId="01C24DD5">
      <w:pPr>
        <w:pStyle w:val="Heading2"/>
        <w:rPr>
          <w:b w:val="0"/>
        </w:rPr>
      </w:pPr>
      <w:bookmarkStart w:name="_Toc215555400" w:id="13"/>
      <w:r>
        <w:t>Factual Background</w:t>
      </w:r>
      <w:bookmarkEnd w:id="12"/>
      <w:bookmarkEnd w:id="13"/>
    </w:p>
    <w:p w:rsidR="00BF1A61" w:rsidP="00E34772" w:rsidRDefault="02B51255" w14:paraId="0CD21195" w14:textId="781C5964">
      <w:pPr>
        <w:pStyle w:val="Standard"/>
      </w:pPr>
      <w:r>
        <w:t xml:space="preserve">Pacific Gas and Electric Company’s </w:t>
      </w:r>
      <w:r w:rsidR="11DABEAB">
        <w:t xml:space="preserve">(PG&amp;E’s) </w:t>
      </w:r>
      <w:r w:rsidR="1FEE6F9F">
        <w:t xml:space="preserve">existing </w:t>
      </w:r>
      <w:r>
        <w:t xml:space="preserve">Gas Advanced Metering Infrastructure </w:t>
      </w:r>
      <w:r w:rsidR="0147039E">
        <w:t xml:space="preserve">system </w:t>
      </w:r>
      <w:r>
        <w:t>(</w:t>
      </w:r>
      <w:r w:rsidR="1F52CA1D">
        <w:t xml:space="preserve">Gas </w:t>
      </w:r>
      <w:r>
        <w:t>AMI</w:t>
      </w:r>
      <w:r w:rsidR="1F52CA1D">
        <w:t xml:space="preserve"> </w:t>
      </w:r>
      <w:r w:rsidR="49E0F9E2">
        <w:t xml:space="preserve">1.0 </w:t>
      </w:r>
      <w:r w:rsidR="1F52CA1D">
        <w:t>or GAMI</w:t>
      </w:r>
      <w:r>
        <w:t>)</w:t>
      </w:r>
      <w:r w:rsidR="4F27A41E">
        <w:t xml:space="preserve">, is a one-way communication system </w:t>
      </w:r>
      <w:r w:rsidR="0F46CBBC">
        <w:t>that uses battery-operated gas modules (Modules</w:t>
      </w:r>
      <w:r w:rsidR="002731FB">
        <w:t xml:space="preserve"> or Gas Modules</w:t>
      </w:r>
      <w:r w:rsidR="0F46CBBC">
        <w:t>)</w:t>
      </w:r>
      <w:r w:rsidR="00A97DF5">
        <w:t>,</w:t>
      </w:r>
      <w:r w:rsidR="0F46CBBC">
        <w:t xml:space="preserve"> </w:t>
      </w:r>
      <w:r w:rsidR="1775B61D">
        <w:t xml:space="preserve">installed externally on customers’ gas meters </w:t>
      </w:r>
      <w:r w:rsidR="4F27A41E">
        <w:t>between 2006 and 2013</w:t>
      </w:r>
      <w:r w:rsidR="00A97DF5">
        <w:t>,</w:t>
      </w:r>
      <w:r w:rsidR="4F27A41E">
        <w:t xml:space="preserve"> to securely and automatically transmit customer gas usage to PG&amp;E’s billing system.</w:t>
      </w:r>
      <w:r w:rsidR="004D32CD">
        <w:rPr>
          <w:rStyle w:val="FootnoteReference"/>
        </w:rPr>
        <w:footnoteReference w:id="3"/>
      </w:r>
      <w:r>
        <w:t xml:space="preserve"> </w:t>
      </w:r>
      <w:r w:rsidR="4F27A41E">
        <w:t>The existing Gas AMI</w:t>
      </w:r>
      <w:r w:rsidR="2C465939">
        <w:t xml:space="preserve"> 1.0</w:t>
      </w:r>
      <w:r w:rsidR="4F27A41E">
        <w:t xml:space="preserve"> system is reaching the end of its useful life, with some Modules failing</w:t>
      </w:r>
      <w:r w:rsidR="008620CF">
        <w:t xml:space="preserve"> prior to their expected </w:t>
      </w:r>
      <w:r w:rsidR="00E70A66">
        <w:t>15</w:t>
      </w:r>
      <w:r w:rsidR="005D5700">
        <w:t>-year life expectancy</w:t>
      </w:r>
      <w:r w:rsidR="0DEB6770">
        <w:t>.</w:t>
      </w:r>
      <w:r w:rsidR="4F27A41E">
        <w:t xml:space="preserve"> </w:t>
      </w:r>
    </w:p>
    <w:p w:rsidR="00BF1A61" w:rsidP="475A0C90" w:rsidRDefault="5CDB8888" w14:paraId="355C6BFA" w14:textId="7E6CFABD">
      <w:pPr>
        <w:pStyle w:val="Standard"/>
      </w:pPr>
      <w:r>
        <w:lastRenderedPageBreak/>
        <w:t>Previously, o</w:t>
      </w:r>
      <w:r w:rsidRPr="475A0C90">
        <w:rPr>
          <w:rFonts w:eastAsia="Book Antiqua" w:cs="Book Antiqua"/>
          <w:szCs w:val="26"/>
        </w:rPr>
        <w:t xml:space="preserve">n June 30, 2021, PG&amp;E filed </w:t>
      </w:r>
      <w:r w:rsidR="0034556F">
        <w:rPr>
          <w:rFonts w:eastAsia="Book Antiqua" w:cs="Book Antiqua"/>
          <w:szCs w:val="26"/>
        </w:rPr>
        <w:t>A</w:t>
      </w:r>
      <w:r w:rsidRPr="475A0C90" w:rsidR="36DC5962">
        <w:rPr>
          <w:rFonts w:eastAsia="Book Antiqua" w:cs="Book Antiqua"/>
          <w:szCs w:val="26"/>
        </w:rPr>
        <w:t>pplication (</w:t>
      </w:r>
      <w:r w:rsidR="0034556F">
        <w:rPr>
          <w:rFonts w:eastAsia="Book Antiqua" w:cs="Book Antiqua"/>
          <w:szCs w:val="26"/>
        </w:rPr>
        <w:t>Application</w:t>
      </w:r>
      <w:r w:rsidR="002E5261">
        <w:rPr>
          <w:rFonts w:eastAsia="Book Antiqua" w:cs="Book Antiqua"/>
          <w:szCs w:val="26"/>
        </w:rPr>
        <w:t xml:space="preserve"> or </w:t>
      </w:r>
      <w:r w:rsidR="005F16F7">
        <w:rPr>
          <w:rFonts w:eastAsia="Book Antiqua" w:cs="Book Antiqua"/>
          <w:szCs w:val="26"/>
        </w:rPr>
        <w:t>(</w:t>
      </w:r>
      <w:r w:rsidR="002E5261">
        <w:rPr>
          <w:rFonts w:eastAsia="Book Antiqua" w:cs="Book Antiqua"/>
          <w:szCs w:val="26"/>
        </w:rPr>
        <w:t>A.</w:t>
      </w:r>
      <w:r w:rsidR="005F16F7">
        <w:rPr>
          <w:rFonts w:eastAsia="Book Antiqua" w:cs="Book Antiqua"/>
          <w:szCs w:val="26"/>
        </w:rPr>
        <w:t>)</w:t>
      </w:r>
      <w:r w:rsidRPr="475A0C90" w:rsidR="525BBBBE">
        <w:rPr>
          <w:rFonts w:eastAsia="Book Antiqua" w:cs="Book Antiqua"/>
          <w:szCs w:val="26"/>
        </w:rPr>
        <w:t>)</w:t>
      </w:r>
      <w:r w:rsidR="002E5261">
        <w:rPr>
          <w:rFonts w:eastAsia="Book Antiqua" w:cs="Book Antiqua"/>
          <w:szCs w:val="26"/>
        </w:rPr>
        <w:t> </w:t>
      </w:r>
      <w:r w:rsidRPr="475A0C90">
        <w:rPr>
          <w:rFonts w:eastAsia="Book Antiqua" w:cs="Book Antiqua"/>
          <w:szCs w:val="26"/>
        </w:rPr>
        <w:t>21-06-021</w:t>
      </w:r>
      <w:r w:rsidRPr="475A0C90" w:rsidR="07B71D2A">
        <w:rPr>
          <w:rFonts w:eastAsia="Book Antiqua" w:cs="Book Antiqua"/>
          <w:szCs w:val="26"/>
        </w:rPr>
        <w:t xml:space="preserve"> with the </w:t>
      </w:r>
      <w:r w:rsidR="00F9643C">
        <w:t>California Public Utilities Commission</w:t>
      </w:r>
      <w:r w:rsidDel="00425A64" w:rsidR="00F9643C">
        <w:t xml:space="preserve"> </w:t>
      </w:r>
      <w:r w:rsidR="00F9643C">
        <w:t>(</w:t>
      </w:r>
      <w:r w:rsidR="07B71D2A">
        <w:t>Commission</w:t>
      </w:r>
      <w:r w:rsidR="00F9643C">
        <w:t>)</w:t>
      </w:r>
      <w:r w:rsidRPr="475A0C90">
        <w:rPr>
          <w:rFonts w:eastAsia="Book Antiqua" w:cs="Book Antiqua"/>
          <w:szCs w:val="26"/>
        </w:rPr>
        <w:t xml:space="preserve">, initiating its Test Year (TY) 2023 General Rate Case (GRC) for years 2023-2026. PG&amp;E requested approval of funding to: (1) continue to replace Gas Modules as they fail (referred to in the TY 2023 GRC as “Corrective Maintenance”); and (2) shift to replacing Gas Modules in a programmatic manner </w:t>
      </w:r>
      <w:r w:rsidRPr="475A0C90">
        <w:rPr>
          <w:rFonts w:eastAsia="Book Antiqua" w:cs="Book Antiqua"/>
          <w:i/>
          <w:iCs/>
          <w:szCs w:val="26"/>
        </w:rPr>
        <w:t>prior</w:t>
      </w:r>
      <w:r w:rsidRPr="475A0C90">
        <w:rPr>
          <w:rFonts w:eastAsia="Book Antiqua" w:cs="Book Antiqua"/>
          <w:szCs w:val="26"/>
        </w:rPr>
        <w:t xml:space="preserve"> to failure, beginning in 2023 (referred to in the TY 2023 GRC as “Lifecycle Replacement” or “Proactive Replacement”)</w:t>
      </w:r>
      <w:r w:rsidR="00FE02C3">
        <w:t>.</w:t>
      </w:r>
      <w:r w:rsidR="00FE02C3">
        <w:rPr>
          <w:rStyle w:val="FootnoteReference"/>
        </w:rPr>
        <w:footnoteReference w:id="4"/>
      </w:r>
      <w:r w:rsidRPr="475A0C90">
        <w:rPr>
          <w:rFonts w:eastAsia="Book Antiqua" w:cs="Book Antiqua"/>
          <w:szCs w:val="26"/>
        </w:rPr>
        <w:t xml:space="preserve"> PG&amp;E forecasted approximately $36.5</w:t>
      </w:r>
      <w:r w:rsidR="00920CD1">
        <w:rPr>
          <w:rFonts w:eastAsia="Book Antiqua" w:cs="Book Antiqua"/>
          <w:szCs w:val="26"/>
        </w:rPr>
        <w:t xml:space="preserve"> million </w:t>
      </w:r>
      <w:r w:rsidRPr="475A0C90">
        <w:rPr>
          <w:rFonts w:eastAsia="Book Antiqua" w:cs="Book Antiqua"/>
          <w:szCs w:val="26"/>
        </w:rPr>
        <w:t>in expenses in 2023-2026, and approximately $743.9</w:t>
      </w:r>
      <w:r w:rsidR="00920CD1">
        <w:rPr>
          <w:rFonts w:eastAsia="Book Antiqua" w:cs="Book Antiqua"/>
          <w:szCs w:val="26"/>
        </w:rPr>
        <w:t xml:space="preserve"> million </w:t>
      </w:r>
      <w:r w:rsidRPr="475A0C90">
        <w:rPr>
          <w:rFonts w:eastAsia="Book Antiqua" w:cs="Book Antiqua"/>
          <w:szCs w:val="26"/>
        </w:rPr>
        <w:t>in capital expenditures in 2023-2026 to replace Gas Modules under the Corrective Maintenance ($263.4</w:t>
      </w:r>
      <w:r w:rsidR="002E5261">
        <w:rPr>
          <w:rFonts w:eastAsia="Book Antiqua" w:cs="Book Antiqua"/>
          <w:szCs w:val="26"/>
        </w:rPr>
        <w:t> </w:t>
      </w:r>
      <w:r w:rsidRPr="475A0C90">
        <w:rPr>
          <w:rFonts w:eastAsia="Book Antiqua" w:cs="Book Antiqua"/>
          <w:szCs w:val="26"/>
        </w:rPr>
        <w:t>million) and Lifecycle Replacement ($480.5 million) programs.</w:t>
      </w:r>
      <w:r w:rsidRPr="475A0C90">
        <w:t xml:space="preserve"> </w:t>
      </w:r>
    </w:p>
    <w:p w:rsidR="00BF1A61" w:rsidRDefault="23428C5E" w14:paraId="5BCF4758" w14:textId="778FE6CA">
      <w:pPr>
        <w:pStyle w:val="Standard"/>
      </w:pPr>
      <w:r w:rsidRPr="475A0C90">
        <w:rPr>
          <w:rFonts w:eastAsia="Book Antiqua" w:cs="Book Antiqua"/>
          <w:szCs w:val="26"/>
        </w:rPr>
        <w:t xml:space="preserve"> On November 17, 2023, the </w:t>
      </w:r>
      <w:r>
        <w:t>Commission</w:t>
      </w:r>
      <w:r w:rsidRPr="475A0C90">
        <w:rPr>
          <w:rFonts w:eastAsia="Book Antiqua" w:cs="Book Antiqua"/>
          <w:szCs w:val="26"/>
        </w:rPr>
        <w:t xml:space="preserve"> issued </w:t>
      </w:r>
      <w:r w:rsidR="002E5261">
        <w:rPr>
          <w:rFonts w:eastAsia="Book Antiqua" w:cs="Book Antiqua"/>
          <w:szCs w:val="26"/>
        </w:rPr>
        <w:t>D.</w:t>
      </w:r>
      <w:r w:rsidRPr="475A0C90">
        <w:rPr>
          <w:rFonts w:eastAsia="Book Antiqua" w:cs="Book Antiqua"/>
          <w:szCs w:val="26"/>
        </w:rPr>
        <w:t>23</w:t>
      </w:r>
      <w:r w:rsidR="002E5261">
        <w:rPr>
          <w:rFonts w:eastAsia="Book Antiqua" w:cs="Book Antiqua"/>
          <w:szCs w:val="26"/>
        </w:rPr>
        <w:noBreakHyphen/>
      </w:r>
      <w:r w:rsidRPr="475A0C90">
        <w:rPr>
          <w:rFonts w:eastAsia="Book Antiqua" w:cs="Book Antiqua"/>
          <w:szCs w:val="26"/>
        </w:rPr>
        <w:t>11</w:t>
      </w:r>
      <w:r w:rsidR="002E5261">
        <w:rPr>
          <w:rFonts w:eastAsia="Book Antiqua" w:cs="Book Antiqua"/>
          <w:szCs w:val="26"/>
        </w:rPr>
        <w:noBreakHyphen/>
      </w:r>
      <w:r w:rsidRPr="475A0C90">
        <w:rPr>
          <w:rFonts w:eastAsia="Book Antiqua" w:cs="Book Antiqua"/>
          <w:szCs w:val="26"/>
        </w:rPr>
        <w:t xml:space="preserve">069 on PG&amp;E’s </w:t>
      </w:r>
      <w:r w:rsidRPr="475A0C90" w:rsidR="78658410">
        <w:rPr>
          <w:rFonts w:eastAsia="Book Antiqua" w:cs="Book Antiqua"/>
          <w:szCs w:val="26"/>
        </w:rPr>
        <w:t>TY 2023 GRC</w:t>
      </w:r>
      <w:r w:rsidRPr="475A0C90" w:rsidR="78658410">
        <w:t xml:space="preserve"> </w:t>
      </w:r>
      <w:r w:rsidRPr="475A0C90">
        <w:rPr>
          <w:rFonts w:eastAsia="Book Antiqua" w:cs="Book Antiqua"/>
          <w:szCs w:val="26"/>
        </w:rPr>
        <w:t>application.</w:t>
      </w:r>
      <w:r w:rsidR="20E8C041">
        <w:t xml:space="preserve"> </w:t>
      </w:r>
      <w:r w:rsidR="119436FD">
        <w:t>We recognized in that decision that</w:t>
      </w:r>
      <w:r w:rsidR="00661DDA">
        <w:t xml:space="preserve"> the</w:t>
      </w:r>
      <w:r w:rsidR="119436FD">
        <w:t xml:space="preserve"> </w:t>
      </w:r>
      <w:r w:rsidR="2842468B">
        <w:t>Public Advocates Office at the California Public Utilities Commission</w:t>
      </w:r>
      <w:r w:rsidR="119436FD">
        <w:t xml:space="preserve"> </w:t>
      </w:r>
      <w:r w:rsidR="7124E3EB">
        <w:t xml:space="preserve">(Cal Advocates) </w:t>
      </w:r>
      <w:r w:rsidR="119436FD">
        <w:t xml:space="preserve">and </w:t>
      </w:r>
      <w:r w:rsidR="5E29280F">
        <w:t xml:space="preserve">The Utility Reform Network (TURN) </w:t>
      </w:r>
      <w:r w:rsidR="119436FD">
        <w:t xml:space="preserve">had recommended removing costs associated with replacing </w:t>
      </w:r>
      <w:r w:rsidR="11331C95">
        <w:t>G</w:t>
      </w:r>
      <w:r w:rsidR="119436FD">
        <w:t xml:space="preserve">AMI </w:t>
      </w:r>
      <w:r w:rsidR="022D3DCF">
        <w:t>M</w:t>
      </w:r>
      <w:r w:rsidR="119436FD">
        <w:t xml:space="preserve">odules from PG&amp;E’s forecast, including the cost of replacing all the </w:t>
      </w:r>
      <w:r w:rsidR="0E9B3EEB">
        <w:t>M</w:t>
      </w:r>
      <w:r w:rsidR="119436FD">
        <w:t>odules that failed prematurely</w:t>
      </w:r>
      <w:r w:rsidR="2C02F063">
        <w:t>. In that proceeding</w:t>
      </w:r>
      <w:r w:rsidR="119436FD">
        <w:t xml:space="preserve">, </w:t>
      </w:r>
      <w:r w:rsidR="5BCB4DA4">
        <w:t xml:space="preserve">TURN </w:t>
      </w:r>
      <w:r w:rsidR="119436FD">
        <w:t>argu</w:t>
      </w:r>
      <w:r w:rsidR="3C79FF4E">
        <w:t>ed</w:t>
      </w:r>
      <w:r w:rsidR="119436FD">
        <w:t xml:space="preserve"> that it </w:t>
      </w:r>
      <w:r w:rsidR="2FC1CF2D">
        <w:t xml:space="preserve">was </w:t>
      </w:r>
      <w:r w:rsidR="119436FD">
        <w:t>unreasonable for ratepayers to cover the full cost associated with replacement or repairs until PG&amp;E present</w:t>
      </w:r>
      <w:r w:rsidR="11DD769E">
        <w:t>ed</w:t>
      </w:r>
      <w:r w:rsidR="119436FD">
        <w:t xml:space="preserve"> a proposal that share</w:t>
      </w:r>
      <w:r w:rsidR="3CF6B7E4">
        <w:t>d</w:t>
      </w:r>
      <w:r w:rsidR="119436FD">
        <w:t xml:space="preserve"> cost</w:t>
      </w:r>
      <w:r w:rsidR="477311AF">
        <w:t>s</w:t>
      </w:r>
      <w:r w:rsidR="119436FD">
        <w:t xml:space="preserve"> between ratepayers and shareholders and, in addition, provide</w:t>
      </w:r>
      <w:r w:rsidR="39EAD2E6">
        <w:t>d</w:t>
      </w:r>
      <w:r w:rsidR="119436FD">
        <w:t xml:space="preserve"> evidence on the degree of its responsibility for the earlier-than-expected failures of </w:t>
      </w:r>
      <w:r w:rsidR="5B6FF26E">
        <w:t>G</w:t>
      </w:r>
      <w:r w:rsidR="119436FD">
        <w:t xml:space="preserve">AMI </w:t>
      </w:r>
      <w:r w:rsidR="582EBC6B">
        <w:t xml:space="preserve">1.0 </w:t>
      </w:r>
      <w:r w:rsidR="119436FD">
        <w:t>equipment.</w:t>
      </w:r>
      <w:r w:rsidRPr="475A0C90" w:rsidR="007D76A7">
        <w:rPr>
          <w:rStyle w:val="FootnoteReference"/>
        </w:rPr>
        <w:footnoteReference w:id="5"/>
      </w:r>
    </w:p>
    <w:p w:rsidR="00BF1A61" w:rsidP="475A0C90" w:rsidRDefault="20E8C041" w14:paraId="0F8E6729" w14:textId="79537BBC">
      <w:pPr>
        <w:pStyle w:val="Standard"/>
      </w:pPr>
      <w:r>
        <w:lastRenderedPageBreak/>
        <w:t xml:space="preserve">In </w:t>
      </w:r>
      <w:r w:rsidR="2DDAD190">
        <w:t>D.23-11-069</w:t>
      </w:r>
      <w:r w:rsidR="08E769BF">
        <w:t xml:space="preserve">, </w:t>
      </w:r>
      <w:r w:rsidR="00C91963">
        <w:rPr>
          <w:rFonts w:eastAsia="Book Antiqua" w:cs="Book Antiqua"/>
          <w:szCs w:val="26"/>
        </w:rPr>
        <w:t>the Commission</w:t>
      </w:r>
      <w:r w:rsidRPr="475A0C90" w:rsidR="09609A26">
        <w:rPr>
          <w:rFonts w:eastAsia="Book Antiqua" w:cs="Book Antiqua"/>
          <w:szCs w:val="26"/>
        </w:rPr>
        <w:t xml:space="preserve"> adopted a forecast of $0 for Module</w:t>
      </w:r>
      <w:r w:rsidRPr="475A0C90" w:rsidR="3F16DFEC">
        <w:rPr>
          <w:rFonts w:eastAsia="Book Antiqua" w:cs="Book Antiqua"/>
          <w:szCs w:val="26"/>
        </w:rPr>
        <w:t xml:space="preserve"> replacement </w:t>
      </w:r>
      <w:r w:rsidRPr="475A0C90" w:rsidR="09609A26">
        <w:rPr>
          <w:rFonts w:eastAsia="Book Antiqua" w:cs="Book Antiqua"/>
          <w:szCs w:val="26"/>
        </w:rPr>
        <w:t xml:space="preserve">because PG&amp;E (1) did not adequately substantiate its request and (2) failed to propose a reasonable allocation of replacement costs between ratepayers and shareholders that accounted for the utility’s errors in its GAMI </w:t>
      </w:r>
      <w:r w:rsidR="008D38A3">
        <w:rPr>
          <w:rFonts w:eastAsia="Book Antiqua" w:cs="Book Antiqua"/>
          <w:szCs w:val="26"/>
        </w:rPr>
        <w:t>M</w:t>
      </w:r>
      <w:r w:rsidRPr="475A0C90" w:rsidR="09609A26">
        <w:rPr>
          <w:rFonts w:eastAsia="Book Antiqua" w:cs="Book Antiqua"/>
          <w:szCs w:val="26"/>
        </w:rPr>
        <w:t>odule business plan</w:t>
      </w:r>
      <w:r w:rsidRPr="003B32E3" w:rsidR="09609A26">
        <w:rPr>
          <w:rFonts w:eastAsia="Book Antiqua" w:cs="Book Antiqua"/>
          <w:szCs w:val="26"/>
        </w:rPr>
        <w:t>.</w:t>
      </w:r>
      <w:r w:rsidRPr="006E21B3" w:rsidR="006C2584">
        <w:rPr>
          <w:rStyle w:val="FootnoteReference"/>
        </w:rPr>
        <w:footnoteReference w:id="6"/>
      </w:r>
      <w:r w:rsidRPr="475A0C90" w:rsidR="09609A26">
        <w:t xml:space="preserve"> </w:t>
      </w:r>
      <w:r w:rsidRPr="475A0C90" w:rsidR="29906A30">
        <w:t xml:space="preserve">However, </w:t>
      </w:r>
      <w:r w:rsidR="00F65574">
        <w:t>the decision</w:t>
      </w:r>
      <w:r w:rsidRPr="475A0C90" w:rsidR="29906A30">
        <w:rPr>
          <w:rFonts w:eastAsia="Book Antiqua" w:cs="Book Antiqua"/>
          <w:szCs w:val="26"/>
        </w:rPr>
        <w:t xml:space="preserve"> allowed PG&amp;E to file a separate application in the future to seek recovery for the Comprehensive GAMI Replacement Program</w:t>
      </w:r>
      <w:r w:rsidRPr="475A0C90" w:rsidR="27C043BD">
        <w:rPr>
          <w:rFonts w:eastAsia="Book Antiqua" w:cs="Book Antiqua"/>
          <w:szCs w:val="26"/>
        </w:rPr>
        <w:t xml:space="preserve"> for years 2023 through 2026</w:t>
      </w:r>
      <w:r w:rsidRPr="475A0C90" w:rsidR="29906A30">
        <w:rPr>
          <w:rFonts w:eastAsia="Book Antiqua" w:cs="Book Antiqua"/>
          <w:szCs w:val="26"/>
        </w:rPr>
        <w:t>.</w:t>
      </w:r>
      <w:r w:rsidR="00DC1D38">
        <w:rPr>
          <w:rStyle w:val="FootnoteReference"/>
          <w:rFonts w:eastAsia="Book Antiqua" w:cs="Book Antiqua"/>
          <w:szCs w:val="26"/>
        </w:rPr>
        <w:footnoteReference w:id="7"/>
      </w:r>
      <w:r w:rsidRPr="475A0C90" w:rsidR="52319F6C">
        <w:t xml:space="preserve"> </w:t>
      </w:r>
    </w:p>
    <w:p w:rsidR="4A5BEF1F" w:rsidP="006E21B3" w:rsidRDefault="4A5BEF1F" w14:paraId="6CE681C5" w14:textId="6F36C560">
      <w:pPr>
        <w:pStyle w:val="Heading2"/>
      </w:pPr>
      <w:bookmarkStart w:name="_Toc212128378" w:id="14"/>
      <w:bookmarkStart w:name="_Toc215555401" w:id="15"/>
      <w:r>
        <w:t>Procedural Background</w:t>
      </w:r>
      <w:bookmarkEnd w:id="14"/>
      <w:bookmarkEnd w:id="15"/>
    </w:p>
    <w:p w:rsidR="002C5BEB" w:rsidP="475A0C90" w:rsidRDefault="44F8D465" w14:paraId="24EFEE06" w14:textId="12BEE073">
      <w:pPr>
        <w:pStyle w:val="Standard"/>
      </w:pPr>
      <w:r>
        <w:t>Pursuant to D.23-11-069, o</w:t>
      </w:r>
      <w:r w:rsidRPr="475A0C90">
        <w:rPr>
          <w:rFonts w:eastAsia="Book Antiqua" w:cs="Book Antiqua"/>
          <w:szCs w:val="26"/>
        </w:rPr>
        <w:t>n March 14, 2024, PG&amp;E filed A.24-03-011</w:t>
      </w:r>
      <w:r w:rsidR="002C5BEB">
        <w:rPr>
          <w:rFonts w:eastAsia="Book Antiqua" w:cs="Book Antiqua"/>
          <w:szCs w:val="26"/>
        </w:rPr>
        <w:t>,</w:t>
      </w:r>
      <w:r w:rsidR="002E5261">
        <w:rPr>
          <w:rFonts w:eastAsia="Book Antiqua" w:cs="Book Antiqua"/>
          <w:szCs w:val="26"/>
        </w:rPr>
        <w:t xml:space="preserve"> </w:t>
      </w:r>
      <w:r w:rsidRPr="475A0C90">
        <w:rPr>
          <w:rFonts w:eastAsia="Book Antiqua" w:cs="Book Antiqua"/>
          <w:szCs w:val="26"/>
        </w:rPr>
        <w:t>seeking</w:t>
      </w:r>
      <w:r w:rsidRPr="475A0C90">
        <w:rPr>
          <w:rFonts w:eastAsia="Book Antiqua" w:cs="Book Antiqua"/>
          <w:b/>
          <w:bCs/>
          <w:szCs w:val="26"/>
        </w:rPr>
        <w:t xml:space="preserve"> </w:t>
      </w:r>
      <w:r w:rsidRPr="00543324" w:rsidR="00543324">
        <w:rPr>
          <w:rFonts w:eastAsia="Book Antiqua" w:cs="Book Antiqua"/>
          <w:szCs w:val="26"/>
        </w:rPr>
        <w:t>authorization</w:t>
      </w:r>
      <w:r w:rsidR="00543324">
        <w:rPr>
          <w:rFonts w:eastAsia="Book Antiqua" w:cs="Book Antiqua"/>
          <w:b/>
          <w:bCs/>
          <w:szCs w:val="26"/>
        </w:rPr>
        <w:t xml:space="preserve"> </w:t>
      </w:r>
      <w:r w:rsidRPr="475A0C90">
        <w:rPr>
          <w:rFonts w:eastAsia="Book Antiqua" w:cs="Book Antiqua"/>
          <w:szCs w:val="26"/>
        </w:rPr>
        <w:t xml:space="preserve">to recover </w:t>
      </w:r>
      <w:r w:rsidR="00AF061C">
        <w:rPr>
          <w:rFonts w:eastAsia="Book Antiqua" w:cs="Book Antiqua"/>
          <w:szCs w:val="26"/>
        </w:rPr>
        <w:t xml:space="preserve">the costs for </w:t>
      </w:r>
      <w:r w:rsidRPr="475A0C90">
        <w:rPr>
          <w:rFonts w:eastAsia="Book Antiqua" w:cs="Book Antiqua"/>
          <w:szCs w:val="26"/>
        </w:rPr>
        <w:t>year 2023 through 2026 for its Comprehensive GAMI Replacement Program</w:t>
      </w:r>
      <w:r w:rsidR="000F7535">
        <w:rPr>
          <w:rFonts w:eastAsia="Book Antiqua" w:cs="Book Antiqua"/>
          <w:szCs w:val="26"/>
        </w:rPr>
        <w:t xml:space="preserve"> </w:t>
      </w:r>
      <w:r w:rsidR="002C5BEB">
        <w:rPr>
          <w:rFonts w:eastAsia="Book Antiqua" w:cs="Book Antiqua"/>
          <w:szCs w:val="26"/>
        </w:rPr>
        <w:t>through</w:t>
      </w:r>
      <w:r w:rsidR="000F7535">
        <w:rPr>
          <w:rFonts w:eastAsia="Book Antiqua" w:cs="Book Antiqua"/>
          <w:szCs w:val="26"/>
        </w:rPr>
        <w:t xml:space="preserve"> a total requested revenue requirement of </w:t>
      </w:r>
      <w:r w:rsidR="00467ED7">
        <w:rPr>
          <w:rFonts w:eastAsia="Book Antiqua" w:cs="Book Antiqua"/>
          <w:szCs w:val="26"/>
        </w:rPr>
        <w:t>$143.3 million.</w:t>
      </w:r>
      <w:r w:rsidR="00467ED7">
        <w:rPr>
          <w:rStyle w:val="FootnoteReference"/>
          <w:rFonts w:eastAsia="Book Antiqua" w:cs="Book Antiqua"/>
          <w:szCs w:val="26"/>
        </w:rPr>
        <w:footnoteReference w:id="8"/>
      </w:r>
      <w:r w:rsidR="00467ED7">
        <w:rPr>
          <w:rFonts w:eastAsia="Book Antiqua" w:cs="Book Antiqua"/>
          <w:szCs w:val="26"/>
        </w:rPr>
        <w:t xml:space="preserve"> </w:t>
      </w:r>
      <w:r w:rsidRPr="475A0C90">
        <w:rPr>
          <w:rFonts w:eastAsia="Book Antiqua" w:cs="Book Antiqua"/>
          <w:szCs w:val="26"/>
        </w:rPr>
        <w:t xml:space="preserve"> PG&amp;E requests that the Commission: (1) approve PG&amp;E’s 2023-2026 expense and capital forecasts for its GAMI Replacement Program; (2) adopt and authorize PG&amp;E to reflect in rates its proposed 2023-2026 revenue requirement for PG&amp;E’s GAMI Replacement Program; and (3) adopt PG&amp;E’s cost recovery proposal to recover the costs of its GAMI Replacement Program.</w:t>
      </w:r>
      <w:r>
        <w:t xml:space="preserve"> Operationally, PG&amp;E requests funding to replace the GAMI 1.0 Modules and upgrade the system. </w:t>
      </w:r>
    </w:p>
    <w:p w:rsidR="44F8D465" w:rsidP="475A0C90" w:rsidRDefault="44F8D465" w14:paraId="42107DF4" w14:textId="28669108">
      <w:pPr>
        <w:pStyle w:val="Standard"/>
      </w:pPr>
      <w:r>
        <w:t xml:space="preserve">The Application includes 2023-2026 expense and capital expenditure forecasts, revenue requirements, a GAMI Replacement Program cost recovery </w:t>
      </w:r>
      <w:r>
        <w:lastRenderedPageBreak/>
        <w:t xml:space="preserve">proposal, proposed changes in rates, and evidence </w:t>
      </w:r>
      <w:r w:rsidR="00190F50">
        <w:t xml:space="preserve">in support of its position </w:t>
      </w:r>
      <w:r>
        <w:t>that it has acted prudently in installing and maintaining the GAMI 1.0 system.</w:t>
      </w:r>
      <w:r w:rsidR="00A54A2F">
        <w:t xml:space="preserve"> </w:t>
      </w:r>
      <w:r w:rsidR="00B6138F">
        <w:t xml:space="preserve">In </w:t>
      </w:r>
      <w:r w:rsidR="009E43EC">
        <w:t xml:space="preserve">its </w:t>
      </w:r>
      <w:r w:rsidR="00423EB0">
        <w:t>Application</w:t>
      </w:r>
      <w:r w:rsidR="009E43EC">
        <w:t xml:space="preserve">, PG&amp;E </w:t>
      </w:r>
      <w:r w:rsidR="0011363F">
        <w:t>seeks</w:t>
      </w:r>
      <w:r w:rsidR="00674D6B">
        <w:t xml:space="preserve"> </w:t>
      </w:r>
      <w:r w:rsidR="002733E7">
        <w:t xml:space="preserve">to recover </w:t>
      </w:r>
      <w:r w:rsidR="00700E4A">
        <w:t xml:space="preserve">for </w:t>
      </w:r>
      <w:r w:rsidR="002733E7">
        <w:t xml:space="preserve">2023-2026 </w:t>
      </w:r>
      <w:r w:rsidR="00764FE5">
        <w:t>expense revenue</w:t>
      </w:r>
      <w:r w:rsidR="00773E19">
        <w:t xml:space="preserve"> </w:t>
      </w:r>
      <w:r w:rsidR="00A34AAF">
        <w:t xml:space="preserve">forecast </w:t>
      </w:r>
      <w:r w:rsidR="00773E19">
        <w:t>of $11,173</w:t>
      </w:r>
      <w:r w:rsidR="007D6DFC">
        <w:t>,</w:t>
      </w:r>
      <w:r w:rsidR="00AC5FCD">
        <w:t>000</w:t>
      </w:r>
      <w:r w:rsidR="00773E19">
        <w:t xml:space="preserve"> and capital expenditure</w:t>
      </w:r>
      <w:r w:rsidR="00A34AAF">
        <w:t xml:space="preserve"> forecast</w:t>
      </w:r>
      <w:r w:rsidR="00773E19">
        <w:t xml:space="preserve"> of $485,058</w:t>
      </w:r>
      <w:r w:rsidR="00BB701B">
        <w:t>,</w:t>
      </w:r>
      <w:r w:rsidR="00AC5FCD">
        <w:t>000</w:t>
      </w:r>
      <w:r w:rsidR="00BB701B">
        <w:t xml:space="preserve"> for a total </w:t>
      </w:r>
      <w:r w:rsidR="00423EB0">
        <w:t xml:space="preserve"> </w:t>
      </w:r>
      <w:r w:rsidRPr="475A0C90" w:rsidR="00BB701B">
        <w:rPr>
          <w:rFonts w:eastAsia="Book Antiqua" w:cs="Book Antiqua"/>
          <w:szCs w:val="26"/>
        </w:rPr>
        <w:t>Comprehensive GAMI Replacement Program</w:t>
      </w:r>
      <w:r w:rsidR="00BB701B">
        <w:rPr>
          <w:rFonts w:eastAsia="Book Antiqua" w:cs="Book Antiqua"/>
          <w:szCs w:val="26"/>
        </w:rPr>
        <w:t xml:space="preserve"> forecast of </w:t>
      </w:r>
      <w:r w:rsidR="00477C4D">
        <w:rPr>
          <w:rFonts w:eastAsia="Book Antiqua" w:cs="Book Antiqua"/>
          <w:szCs w:val="26"/>
        </w:rPr>
        <w:t>$</w:t>
      </w:r>
      <w:r w:rsidR="002578DB">
        <w:rPr>
          <w:rFonts w:eastAsia="Book Antiqua" w:cs="Book Antiqua"/>
          <w:szCs w:val="26"/>
        </w:rPr>
        <w:t>496,231</w:t>
      </w:r>
      <w:r w:rsidR="00AC5FCD">
        <w:rPr>
          <w:rFonts w:eastAsia="Book Antiqua" w:cs="Book Antiqua"/>
          <w:szCs w:val="26"/>
        </w:rPr>
        <w:t>,000.</w:t>
      </w:r>
      <w:r w:rsidR="001C7435">
        <w:t xml:space="preserve"> </w:t>
      </w:r>
    </w:p>
    <w:p w:rsidR="7B770139" w:rsidP="00E34772" w:rsidRDefault="7B770139" w14:paraId="0590341A" w14:textId="233FBF23">
      <w:pPr>
        <w:pStyle w:val="Standard"/>
        <w:rPr>
          <w:rFonts w:eastAsia="Book Antiqua" w:cs="Book Antiqua"/>
          <w:szCs w:val="26"/>
        </w:rPr>
      </w:pPr>
      <w:r w:rsidRPr="475A0C90">
        <w:rPr>
          <w:rFonts w:eastAsia="Book Antiqua" w:cs="Book Antiqua"/>
          <w:szCs w:val="26"/>
        </w:rPr>
        <w:t xml:space="preserve">Cal Advocates and TURN filed timely protests to the Application. Small Business Utility Advocates (SBUA) filed a </w:t>
      </w:r>
      <w:r w:rsidRPr="475A0C90" w:rsidR="004730A4">
        <w:rPr>
          <w:rFonts w:eastAsia="Book Antiqua" w:cs="Book Antiqua"/>
          <w:szCs w:val="26"/>
        </w:rPr>
        <w:t xml:space="preserve">timely </w:t>
      </w:r>
      <w:r w:rsidRPr="475A0C90">
        <w:rPr>
          <w:rFonts w:eastAsia="Book Antiqua" w:cs="Book Antiqua"/>
          <w:szCs w:val="26"/>
        </w:rPr>
        <w:t>response. Southern California Edison Company (SCE) sought and was granted party status.</w:t>
      </w:r>
    </w:p>
    <w:p w:rsidR="5D6B4F55" w:rsidP="00E34772" w:rsidRDefault="5D6B4F55" w14:paraId="58E10748" w14:textId="17F04B1A">
      <w:pPr>
        <w:pStyle w:val="Standard"/>
        <w:rPr>
          <w:rFonts w:eastAsia="Book Antiqua" w:cs="Book Antiqua"/>
          <w:szCs w:val="26"/>
        </w:rPr>
      </w:pPr>
      <w:r w:rsidRPr="475A0C90">
        <w:rPr>
          <w:rFonts w:eastAsia="Book Antiqua" w:cs="Book Antiqua"/>
          <w:szCs w:val="26"/>
        </w:rPr>
        <w:t xml:space="preserve">On April 5, 2024, PG&amp;E filed a Motion to Establish </w:t>
      </w:r>
      <w:r w:rsidRPr="475A0C90" w:rsidR="00E94C5C">
        <w:rPr>
          <w:rFonts w:eastAsia="Book Antiqua" w:cs="Book Antiqua"/>
          <w:szCs w:val="26"/>
        </w:rPr>
        <w:t xml:space="preserve">GAMI </w:t>
      </w:r>
      <w:r w:rsidRPr="475A0C90">
        <w:rPr>
          <w:rFonts w:eastAsia="Book Antiqua" w:cs="Book Antiqua"/>
          <w:szCs w:val="26"/>
        </w:rPr>
        <w:t>Memorandum Accounts (</w:t>
      </w:r>
      <w:r>
        <w:t xml:space="preserve">GAMIMA </w:t>
      </w:r>
      <w:r w:rsidRPr="475A0C90">
        <w:rPr>
          <w:rFonts w:eastAsia="Book Antiqua" w:cs="Book Antiqua"/>
          <w:szCs w:val="26"/>
        </w:rPr>
        <w:t xml:space="preserve">Motion). Cal Advocates and TURN filed oppositions to the </w:t>
      </w:r>
      <w:r w:rsidR="33695943">
        <w:t xml:space="preserve">GAMIMA </w:t>
      </w:r>
      <w:r w:rsidRPr="475A0C90">
        <w:rPr>
          <w:rFonts w:eastAsia="Book Antiqua" w:cs="Book Antiqua"/>
          <w:szCs w:val="26"/>
        </w:rPr>
        <w:t xml:space="preserve">Motion on April 22, 2024. PG&amp;E filed a Reply to Protests and Responses (Reply) on April 29, 2024, addressing oppositions to the </w:t>
      </w:r>
      <w:r w:rsidR="7D582A63">
        <w:t xml:space="preserve">GAMIMA </w:t>
      </w:r>
      <w:r w:rsidRPr="475A0C90">
        <w:rPr>
          <w:rFonts w:eastAsia="Book Antiqua" w:cs="Book Antiqua"/>
          <w:szCs w:val="26"/>
        </w:rPr>
        <w:t xml:space="preserve">Motion. </w:t>
      </w:r>
    </w:p>
    <w:p w:rsidR="33C46F4C" w:rsidP="00E34772" w:rsidRDefault="33C46F4C" w14:paraId="547D4B47" w14:textId="68FD2A21">
      <w:pPr>
        <w:pStyle w:val="Standard"/>
        <w:rPr>
          <w:rFonts w:eastAsia="Book Antiqua" w:cs="Book Antiqua"/>
          <w:szCs w:val="26"/>
        </w:rPr>
      </w:pPr>
      <w:r w:rsidRPr="475A0C90">
        <w:rPr>
          <w:rFonts w:eastAsia="Book Antiqua" w:cs="Book Antiqua"/>
          <w:szCs w:val="26"/>
        </w:rPr>
        <w:t xml:space="preserve">On June 25, 2024, </w:t>
      </w:r>
      <w:r w:rsidRPr="475A0C90" w:rsidR="11B30143">
        <w:rPr>
          <w:rFonts w:eastAsia="Book Antiqua" w:cs="Book Antiqua"/>
          <w:szCs w:val="26"/>
        </w:rPr>
        <w:t>all</w:t>
      </w:r>
      <w:r w:rsidRPr="475A0C90" w:rsidR="4643D597">
        <w:rPr>
          <w:rFonts w:eastAsia="Book Antiqua" w:cs="Book Antiqua"/>
          <w:szCs w:val="26"/>
        </w:rPr>
        <w:t xml:space="preserve"> </w:t>
      </w:r>
      <w:r w:rsidR="009131A9">
        <w:rPr>
          <w:rFonts w:eastAsia="Book Antiqua" w:cs="Book Antiqua"/>
          <w:szCs w:val="26"/>
        </w:rPr>
        <w:t>Parties</w:t>
      </w:r>
      <w:r w:rsidRPr="475A0C90">
        <w:rPr>
          <w:rFonts w:eastAsia="Book Antiqua" w:cs="Book Antiqua"/>
          <w:szCs w:val="26"/>
        </w:rPr>
        <w:t xml:space="preserve"> </w:t>
      </w:r>
      <w:r w:rsidRPr="475A0C90" w:rsidR="4AC9CB28">
        <w:rPr>
          <w:rFonts w:eastAsia="Book Antiqua" w:cs="Book Antiqua"/>
          <w:szCs w:val="26"/>
        </w:rPr>
        <w:t xml:space="preserve">to this proceeding </w:t>
      </w:r>
      <w:r w:rsidRPr="475A0C90">
        <w:rPr>
          <w:rFonts w:eastAsia="Book Antiqua" w:cs="Book Antiqua"/>
          <w:szCs w:val="26"/>
        </w:rPr>
        <w:t xml:space="preserve">filed a Joint Prehearing Conference Statement. </w:t>
      </w:r>
      <w:r w:rsidRPr="475A0C90" w:rsidR="6C3CE147">
        <w:rPr>
          <w:rFonts w:eastAsia="Book Antiqua" w:cs="Book Antiqua"/>
          <w:szCs w:val="26"/>
        </w:rPr>
        <w:t xml:space="preserve">The assigned </w:t>
      </w:r>
      <w:r w:rsidRPr="475A0C90">
        <w:rPr>
          <w:rFonts w:eastAsia="Book Antiqua" w:cs="Book Antiqua"/>
          <w:szCs w:val="26"/>
        </w:rPr>
        <w:t>A</w:t>
      </w:r>
      <w:r w:rsidRPr="475A0C90" w:rsidR="04296E35">
        <w:rPr>
          <w:rFonts w:eastAsia="Book Antiqua" w:cs="Book Antiqua"/>
          <w:szCs w:val="26"/>
        </w:rPr>
        <w:t>dministrative Law Judge (ALJ) held a</w:t>
      </w:r>
      <w:r w:rsidRPr="475A0C90">
        <w:rPr>
          <w:rFonts w:eastAsia="Book Antiqua" w:cs="Book Antiqua"/>
          <w:szCs w:val="26"/>
        </w:rPr>
        <w:t xml:space="preserve"> prehearing conference (PHC) on July 2, 2024, to address issues of law and fact, determine the need for hearing, set the schedule for resolving the proceeding, and address other matters as necessary. </w:t>
      </w:r>
      <w:r w:rsidR="00BC1BF8">
        <w:rPr>
          <w:rFonts w:eastAsia="Book Antiqua" w:cs="Book Antiqua"/>
          <w:szCs w:val="26"/>
        </w:rPr>
        <w:t>Assigned Commissioner Mat</w:t>
      </w:r>
      <w:r w:rsidR="003E7CEB">
        <w:rPr>
          <w:rFonts w:eastAsia="Book Antiqua" w:cs="Book Antiqua"/>
          <w:szCs w:val="26"/>
        </w:rPr>
        <w:t>t</w:t>
      </w:r>
      <w:r w:rsidR="00BC1BF8">
        <w:rPr>
          <w:rFonts w:eastAsia="Book Antiqua" w:cs="Book Antiqua"/>
          <w:szCs w:val="26"/>
        </w:rPr>
        <w:t xml:space="preserve">hew Baker </w:t>
      </w:r>
      <w:r w:rsidR="003E7CEB">
        <w:rPr>
          <w:rFonts w:eastAsia="Book Antiqua" w:cs="Book Antiqua"/>
          <w:szCs w:val="26"/>
        </w:rPr>
        <w:t xml:space="preserve">made remarks </w:t>
      </w:r>
      <w:r w:rsidR="00BA59DE">
        <w:rPr>
          <w:rFonts w:eastAsia="Book Antiqua" w:cs="Book Antiqua"/>
          <w:szCs w:val="26"/>
        </w:rPr>
        <w:t>during the PHC</w:t>
      </w:r>
      <w:r w:rsidR="00482EA7">
        <w:rPr>
          <w:rFonts w:eastAsia="Book Antiqua" w:cs="Book Antiqua"/>
          <w:szCs w:val="26"/>
        </w:rPr>
        <w:t xml:space="preserve">, </w:t>
      </w:r>
      <w:r w:rsidR="00765BD3">
        <w:rPr>
          <w:rFonts w:eastAsia="Book Antiqua" w:cs="Book Antiqua"/>
          <w:szCs w:val="26"/>
        </w:rPr>
        <w:t xml:space="preserve">encouraging the parties to </w:t>
      </w:r>
      <w:r w:rsidR="00DC65C4">
        <w:rPr>
          <w:rFonts w:eastAsia="Book Antiqua" w:cs="Book Antiqua"/>
          <w:szCs w:val="26"/>
        </w:rPr>
        <w:t xml:space="preserve">explore a settlement </w:t>
      </w:r>
      <w:r w:rsidR="00FD2A61">
        <w:rPr>
          <w:rFonts w:eastAsia="Book Antiqua" w:cs="Book Antiqua"/>
          <w:szCs w:val="26"/>
        </w:rPr>
        <w:t>as the most efficient manner to achieve a</w:t>
      </w:r>
      <w:r w:rsidR="00415D45">
        <w:rPr>
          <w:rFonts w:eastAsia="Book Antiqua" w:cs="Book Antiqua"/>
          <w:szCs w:val="26"/>
        </w:rPr>
        <w:t>n outcome in the</w:t>
      </w:r>
      <w:r w:rsidR="00FD2A61">
        <w:rPr>
          <w:rFonts w:eastAsia="Book Antiqua" w:cs="Book Antiqua"/>
          <w:szCs w:val="26"/>
        </w:rPr>
        <w:t xml:space="preserve"> public interest.</w:t>
      </w:r>
      <w:r w:rsidR="00FE31AE">
        <w:rPr>
          <w:rStyle w:val="FootnoteReference"/>
          <w:rFonts w:eastAsia="Book Antiqua" w:cs="Book Antiqua"/>
          <w:szCs w:val="26"/>
        </w:rPr>
        <w:footnoteReference w:id="9"/>
      </w:r>
      <w:r w:rsidR="00FD2A61">
        <w:rPr>
          <w:rFonts w:eastAsia="Book Antiqua" w:cs="Book Antiqua"/>
          <w:szCs w:val="26"/>
        </w:rPr>
        <w:t xml:space="preserve"> </w:t>
      </w:r>
      <w:r w:rsidR="00E71685">
        <w:rPr>
          <w:rFonts w:eastAsia="Book Antiqua" w:cs="Book Antiqua"/>
          <w:szCs w:val="26"/>
        </w:rPr>
        <w:t xml:space="preserve">In addition, </w:t>
      </w:r>
      <w:r w:rsidR="00BA59DE">
        <w:rPr>
          <w:rFonts w:eastAsia="Book Antiqua" w:cs="Book Antiqua"/>
          <w:szCs w:val="26"/>
        </w:rPr>
        <w:t>a</w:t>
      </w:r>
      <w:r w:rsidRPr="475A0C90">
        <w:rPr>
          <w:rFonts w:eastAsia="Book Antiqua" w:cs="Book Antiqua"/>
          <w:szCs w:val="26"/>
        </w:rPr>
        <w:t xml:space="preserve">t the PHC, PG&amp;E, Cal Advocates, and TURN (the Requesting Parties) jointly presented an agreement resolving TURN and Cal Advocates’ opposition to the </w:t>
      </w:r>
      <w:r w:rsidR="16F11946">
        <w:t xml:space="preserve">GAMIMA </w:t>
      </w:r>
      <w:r w:rsidRPr="475A0C90">
        <w:rPr>
          <w:rFonts w:eastAsia="Book Antiqua" w:cs="Book Antiqua"/>
          <w:szCs w:val="26"/>
        </w:rPr>
        <w:t xml:space="preserve">Motion. Neither SBUA nor SCE opposed the </w:t>
      </w:r>
      <w:r w:rsidR="00DA55C7">
        <w:t xml:space="preserve">GAMIMA </w:t>
      </w:r>
      <w:r w:rsidRPr="475A0C90">
        <w:rPr>
          <w:rFonts w:eastAsia="Book Antiqua" w:cs="Book Antiqua"/>
          <w:szCs w:val="26"/>
        </w:rPr>
        <w:t>Motion or the Requesting Parties’ agreement.</w:t>
      </w:r>
    </w:p>
    <w:p w:rsidR="33C46F4C" w:rsidP="00E34772" w:rsidRDefault="00115C82" w14:paraId="4893449B" w14:textId="2D61CD73">
      <w:pPr>
        <w:pStyle w:val="Standard"/>
        <w:rPr>
          <w:rFonts w:eastAsia="Book Antiqua" w:cs="Book Antiqua"/>
          <w:szCs w:val="26"/>
        </w:rPr>
      </w:pPr>
      <w:r>
        <w:rPr>
          <w:rFonts w:eastAsia="Book Antiqua" w:cs="Book Antiqua"/>
          <w:szCs w:val="26"/>
        </w:rPr>
        <w:lastRenderedPageBreak/>
        <w:t>O</w:t>
      </w:r>
      <w:r w:rsidRPr="475A0C90" w:rsidR="33C46F4C">
        <w:rPr>
          <w:rFonts w:eastAsia="Book Antiqua" w:cs="Book Antiqua"/>
          <w:szCs w:val="26"/>
        </w:rPr>
        <w:t xml:space="preserve">n October 10, 2024, assigned Commissioner Baker issued </w:t>
      </w:r>
      <w:r w:rsidR="0021005A">
        <w:rPr>
          <w:rFonts w:eastAsia="Book Antiqua" w:cs="Book Antiqua"/>
          <w:szCs w:val="26"/>
        </w:rPr>
        <w:t>a</w:t>
      </w:r>
      <w:r w:rsidRPr="475A0C90" w:rsidR="0021005A">
        <w:rPr>
          <w:rFonts w:eastAsia="Book Antiqua" w:cs="Book Antiqua"/>
          <w:szCs w:val="26"/>
        </w:rPr>
        <w:t xml:space="preserve"> </w:t>
      </w:r>
      <w:r w:rsidRPr="475A0C90" w:rsidR="33C46F4C">
        <w:rPr>
          <w:rFonts w:eastAsia="Book Antiqua" w:cs="Book Antiqua"/>
          <w:szCs w:val="26"/>
        </w:rPr>
        <w:t>Scoping Memo and Ruling</w:t>
      </w:r>
      <w:r w:rsidRPr="475A0C90" w:rsidR="59D99C2D">
        <w:rPr>
          <w:rFonts w:eastAsia="Book Antiqua" w:cs="Book Antiqua"/>
          <w:szCs w:val="26"/>
        </w:rPr>
        <w:t xml:space="preserve"> (Scoping Memo)</w:t>
      </w:r>
      <w:r w:rsidRPr="475A0C90" w:rsidR="33C46F4C">
        <w:rPr>
          <w:rFonts w:eastAsia="Book Antiqua" w:cs="Book Antiqua"/>
          <w:szCs w:val="26"/>
        </w:rPr>
        <w:t>.</w:t>
      </w:r>
      <w:r w:rsidR="00531E35">
        <w:rPr>
          <w:rFonts w:eastAsia="Book Antiqua" w:cs="Book Antiqua"/>
          <w:szCs w:val="26"/>
        </w:rPr>
        <w:t xml:space="preserve"> That Scoping Memo identified </w:t>
      </w:r>
      <w:r w:rsidR="00E9742D">
        <w:rPr>
          <w:rFonts w:eastAsia="Book Antiqua" w:cs="Book Antiqua"/>
          <w:szCs w:val="26"/>
        </w:rPr>
        <w:t>11</w:t>
      </w:r>
      <w:r w:rsidR="002E5261">
        <w:rPr>
          <w:rFonts w:eastAsia="Book Antiqua" w:cs="Book Antiqua"/>
          <w:szCs w:val="26"/>
        </w:rPr>
        <w:t> </w:t>
      </w:r>
      <w:r w:rsidR="00E9742D">
        <w:rPr>
          <w:rFonts w:eastAsia="Book Antiqua" w:cs="Book Antiqua"/>
          <w:szCs w:val="26"/>
        </w:rPr>
        <w:t>issues to be determined by the Commission in this proceeding.</w:t>
      </w:r>
    </w:p>
    <w:p w:rsidR="4A5BEF1F" w:rsidP="475A0C90" w:rsidRDefault="4A5BEF1F" w14:paraId="0A763551" w14:textId="3352BA5F">
      <w:pPr>
        <w:pStyle w:val="Standard"/>
      </w:pPr>
      <w:r>
        <w:t xml:space="preserve">On November 14, 2024, the Commission issued D.24-11-010, granting PG&amp;E’s April 5, 2024 GAMIMA Motion and authorizing PG&amp;E to establish a new </w:t>
      </w:r>
      <w:r w:rsidR="0037631D">
        <w:t>c</w:t>
      </w:r>
      <w:r>
        <w:t>omprehensive GAMI Memorandum Account to track and record PG&amp;E’s actual revenue requirements for costs, effective March 14, 2024.</w:t>
      </w:r>
      <w:r w:rsidRPr="475A0C90">
        <w:rPr>
          <w:rStyle w:val="FootnoteReference"/>
        </w:rPr>
        <w:footnoteReference w:id="10"/>
      </w:r>
      <w:r>
        <w:t xml:space="preserve"> D.24-11-010 did </w:t>
      </w:r>
      <w:r w:rsidRPr="006E21B3">
        <w:t>not</w:t>
      </w:r>
      <w:r>
        <w:t xml:space="preserve"> authorize PG&amp;E to </w:t>
      </w:r>
      <w:r w:rsidRPr="006E21B3">
        <w:t>recover</w:t>
      </w:r>
      <w:r w:rsidRPr="004D7176">
        <w:t xml:space="preserve"> </w:t>
      </w:r>
      <w:r>
        <w:t xml:space="preserve">costs recorded in the </w:t>
      </w:r>
      <w:r w:rsidR="0063023F">
        <w:t>new m</w:t>
      </w:r>
      <w:r>
        <w:t xml:space="preserve">emorandum </w:t>
      </w:r>
      <w:r w:rsidR="0063023F">
        <w:t>a</w:t>
      </w:r>
      <w:r>
        <w:t>ccount</w:t>
      </w:r>
      <w:r w:rsidR="00A76CA5">
        <w:t>.</w:t>
      </w:r>
      <w:r w:rsidRPr="475A0C90">
        <w:rPr>
          <w:vertAlign w:val="superscript"/>
        </w:rPr>
        <w:footnoteReference w:id="11"/>
      </w:r>
      <w:r>
        <w:t xml:space="preserve"> </w:t>
      </w:r>
    </w:p>
    <w:p w:rsidR="00D847EF" w:rsidP="475A0C90" w:rsidRDefault="005E78A0" w14:paraId="1D2FF89F" w14:textId="7B826439">
      <w:pPr>
        <w:pStyle w:val="Standard"/>
      </w:pPr>
      <w:r>
        <w:t>On December 9, 2024, Cal Advocates, TURN, and SBUA submitted testimony</w:t>
      </w:r>
      <w:r w:rsidR="00257890">
        <w:t xml:space="preserve">. </w:t>
      </w:r>
      <w:r w:rsidR="00E00776">
        <w:t>Cal Advocates and SBUA</w:t>
      </w:r>
      <w:r w:rsidR="00E61BFA">
        <w:t xml:space="preserve"> recommend</w:t>
      </w:r>
      <w:r w:rsidR="00CE378A">
        <w:t>ed</w:t>
      </w:r>
      <w:r w:rsidR="00E61BFA">
        <w:t xml:space="preserve"> adjustments to PG&amp;E’s expense and capital expenditure forecasts.</w:t>
      </w:r>
      <w:r w:rsidR="00B951E4">
        <w:rPr>
          <w:rStyle w:val="FootnoteReference"/>
        </w:rPr>
        <w:footnoteReference w:id="12"/>
      </w:r>
      <w:r w:rsidR="00E61BFA">
        <w:t xml:space="preserve"> </w:t>
      </w:r>
      <w:r w:rsidR="00371E32">
        <w:t xml:space="preserve">TURN </w:t>
      </w:r>
      <w:r w:rsidR="0030772A">
        <w:t xml:space="preserve">primarily recommended denial of the Application in favor of </w:t>
      </w:r>
      <w:r w:rsidR="002625C1">
        <w:t>determination of the causes and responsibility of PG&amp;E for the Module failures.</w:t>
      </w:r>
      <w:r w:rsidR="00C11C68">
        <w:rPr>
          <w:rStyle w:val="FootnoteReference"/>
        </w:rPr>
        <w:footnoteReference w:id="13"/>
      </w:r>
      <w:r w:rsidR="004B4004">
        <w:t xml:space="preserve"> </w:t>
      </w:r>
    </w:p>
    <w:p w:rsidR="005E78A0" w:rsidP="475A0C90" w:rsidRDefault="004B4004" w14:paraId="3E747C2D" w14:textId="544BE667">
      <w:pPr>
        <w:pStyle w:val="Standard"/>
      </w:pPr>
      <w:r>
        <w:t>On January 13, 2025, PG&amp;E submitted Rebuttal Testimony</w:t>
      </w:r>
      <w:r w:rsidR="0007534A">
        <w:t xml:space="preserve"> that updated its requested revenue requirements</w:t>
      </w:r>
      <w:r>
        <w:t>.</w:t>
      </w:r>
      <w:r w:rsidR="007E4FFE">
        <w:rPr>
          <w:rStyle w:val="FootnoteReference"/>
        </w:rPr>
        <w:footnoteReference w:id="14"/>
      </w:r>
      <w:r w:rsidR="00D847EF">
        <w:t xml:space="preserve"> PG&amp;E filed an Errata to its Rebuttal Testimony on </w:t>
      </w:r>
      <w:r w:rsidR="00705B17">
        <w:t>February 19, 2025 to correct an error in its removal cost accounting</w:t>
      </w:r>
      <w:r w:rsidR="00586D8B">
        <w:t xml:space="preserve"> and reduced its revenue requirement request.</w:t>
      </w:r>
      <w:r w:rsidR="00586D8B">
        <w:rPr>
          <w:rStyle w:val="FootnoteReference"/>
        </w:rPr>
        <w:footnoteReference w:id="15"/>
      </w:r>
    </w:p>
    <w:p w:rsidR="4A5BEF1F" w:rsidP="475A0C90" w:rsidRDefault="4A5BEF1F" w14:paraId="58AA997F" w14:textId="188DE35A">
      <w:pPr>
        <w:pStyle w:val="Standard"/>
        <w:rPr>
          <w:strike/>
        </w:rPr>
      </w:pPr>
      <w:r>
        <w:lastRenderedPageBreak/>
        <w:t xml:space="preserve">On January 17, 2025, all Parties filed a Joint Status Report on their settlement discussions and reported that they met on January 16, 2025, to discuss a potential settlement of this proceeding and that no settlement agreements had been reached to that date. </w:t>
      </w:r>
    </w:p>
    <w:p w:rsidR="4A5BEF1F" w:rsidP="475A0C90" w:rsidRDefault="4A5BEF1F" w14:paraId="4C5BC255" w14:textId="42F628CD">
      <w:pPr>
        <w:pStyle w:val="Standard"/>
      </w:pPr>
      <w:r>
        <w:t>On March 7, 2025, all Parties held a formal Settlement Conference after notice to the service list as required by Rule 12.1</w:t>
      </w:r>
      <w:r w:rsidR="00C209BB">
        <w:t xml:space="preserve"> of the Commission’s Rules of Practice and Procedure</w:t>
      </w:r>
      <w:r w:rsidR="002E5261">
        <w:t xml:space="preserve"> (Rule or Rules)</w:t>
      </w:r>
      <w:r>
        <w:t>.</w:t>
      </w:r>
      <w:r w:rsidR="00C209BB">
        <w:rPr>
          <w:rStyle w:val="FootnoteReference"/>
        </w:rPr>
        <w:footnoteReference w:id="16"/>
      </w:r>
    </w:p>
    <w:p w:rsidR="4A5BEF1F" w:rsidRDefault="4A5BEF1F" w14:paraId="251276DB" w14:textId="650E910C">
      <w:pPr>
        <w:pStyle w:val="Standard"/>
      </w:pPr>
      <w:r>
        <w:t xml:space="preserve">On March 14, 2025, </w:t>
      </w:r>
      <w:r w:rsidRPr="475A0C90" w:rsidR="1E246003">
        <w:rPr>
          <w:rFonts w:eastAsia="Calibri"/>
          <w:color w:val="000000" w:themeColor="text1"/>
          <w:szCs w:val="26"/>
        </w:rPr>
        <w:t xml:space="preserve">PG&amp;E, </w:t>
      </w:r>
      <w:r w:rsidR="4620343A">
        <w:t xml:space="preserve">Cal Advocates, TURN, and </w:t>
      </w:r>
      <w:r w:rsidR="209A314B">
        <w:t xml:space="preserve">SBUA </w:t>
      </w:r>
      <w:r w:rsidR="657FF693">
        <w:t xml:space="preserve">(Settling Parties) </w:t>
      </w:r>
      <w:r w:rsidR="209A314B">
        <w:t>filed the</w:t>
      </w:r>
      <w:r w:rsidRPr="475A0C90" w:rsidR="1E246003">
        <w:rPr>
          <w:rFonts w:eastAsia="Calibri"/>
          <w:color w:val="000000" w:themeColor="text1"/>
          <w:szCs w:val="26"/>
        </w:rPr>
        <w:t xml:space="preserve"> </w:t>
      </w:r>
      <w:r w:rsidRPr="475A0C90" w:rsidR="7A81BB2D">
        <w:rPr>
          <w:rFonts w:eastAsia="Calibri"/>
          <w:color w:val="000000" w:themeColor="text1"/>
          <w:szCs w:val="26"/>
        </w:rPr>
        <w:t xml:space="preserve">present </w:t>
      </w:r>
      <w:r w:rsidRPr="475A0C90" w:rsidR="1E246003">
        <w:rPr>
          <w:rFonts w:eastAsia="Calibri"/>
          <w:color w:val="000000" w:themeColor="text1"/>
          <w:szCs w:val="26"/>
        </w:rPr>
        <w:t>Joint Motion for Adoption of Settlement Agreement</w:t>
      </w:r>
      <w:r w:rsidRPr="475A0C90" w:rsidR="6D5A0B1E">
        <w:rPr>
          <w:rFonts w:eastAsia="Calibri"/>
          <w:color w:val="000000" w:themeColor="text1"/>
          <w:szCs w:val="26"/>
        </w:rPr>
        <w:t xml:space="preserve"> (Motion)</w:t>
      </w:r>
      <w:r w:rsidRPr="475A0C90" w:rsidR="532D1054">
        <w:rPr>
          <w:rFonts w:eastAsia="Calibri"/>
          <w:color w:val="000000" w:themeColor="text1"/>
          <w:szCs w:val="26"/>
        </w:rPr>
        <w:t xml:space="preserve">, </w:t>
      </w:r>
      <w:r w:rsidR="3C32E5DE">
        <w:t xml:space="preserve">with </w:t>
      </w:r>
      <w:r w:rsidRPr="475A0C90" w:rsidR="532D1054">
        <w:rPr>
          <w:rFonts w:eastAsia="Calibri"/>
          <w:color w:val="000000" w:themeColor="text1"/>
          <w:szCs w:val="26"/>
        </w:rPr>
        <w:t>a proposed settlement agreement (Settlement Agreement)</w:t>
      </w:r>
      <w:r w:rsidR="004F7197">
        <w:rPr>
          <w:rFonts w:eastAsia="Calibri"/>
          <w:color w:val="000000" w:themeColor="text1"/>
          <w:szCs w:val="26"/>
        </w:rPr>
        <w:t>,</w:t>
      </w:r>
      <w:r w:rsidRPr="475A0C90" w:rsidR="50CEFF6E">
        <w:rPr>
          <w:rFonts w:eastAsia="Calibri"/>
          <w:color w:val="000000" w:themeColor="text1"/>
          <w:szCs w:val="26"/>
        </w:rPr>
        <w:t xml:space="preserve"> attached </w:t>
      </w:r>
      <w:r w:rsidR="0085481A">
        <w:rPr>
          <w:rFonts w:eastAsia="Calibri"/>
          <w:color w:val="000000" w:themeColor="text1"/>
          <w:szCs w:val="26"/>
        </w:rPr>
        <w:t>as</w:t>
      </w:r>
      <w:r w:rsidRPr="475A0C90" w:rsidR="50CEFF6E">
        <w:rPr>
          <w:rFonts w:eastAsia="Calibri"/>
          <w:color w:val="000000" w:themeColor="text1"/>
          <w:szCs w:val="26"/>
        </w:rPr>
        <w:t xml:space="preserve"> Appendix </w:t>
      </w:r>
      <w:r w:rsidR="00661DDA">
        <w:rPr>
          <w:rFonts w:eastAsia="Calibri"/>
          <w:color w:val="000000" w:themeColor="text1"/>
          <w:szCs w:val="26"/>
        </w:rPr>
        <w:t>A</w:t>
      </w:r>
      <w:r w:rsidRPr="475A0C90" w:rsidR="50CEFF6E">
        <w:rPr>
          <w:rFonts w:eastAsia="Calibri"/>
          <w:color w:val="000000" w:themeColor="text1"/>
          <w:szCs w:val="26"/>
        </w:rPr>
        <w:t xml:space="preserve"> to this decision</w:t>
      </w:r>
      <w:r w:rsidRPr="475A0C90" w:rsidR="532D1054">
        <w:rPr>
          <w:rFonts w:eastAsia="Calibri"/>
          <w:color w:val="000000" w:themeColor="text1"/>
          <w:szCs w:val="26"/>
        </w:rPr>
        <w:t xml:space="preserve">, </w:t>
      </w:r>
      <w:r w:rsidRPr="475A0C90" w:rsidR="2B38CF86">
        <w:rPr>
          <w:rFonts w:eastAsia="Calibri"/>
          <w:color w:val="000000" w:themeColor="text1"/>
          <w:szCs w:val="26"/>
        </w:rPr>
        <w:t xml:space="preserve">that we </w:t>
      </w:r>
      <w:r w:rsidRPr="475A0C90" w:rsidR="532D1054">
        <w:rPr>
          <w:rFonts w:eastAsia="Calibri"/>
          <w:color w:val="000000" w:themeColor="text1"/>
          <w:szCs w:val="26"/>
        </w:rPr>
        <w:t>consider here</w:t>
      </w:r>
      <w:r w:rsidRPr="475A0C90" w:rsidR="1E246003">
        <w:rPr>
          <w:rFonts w:eastAsia="Calibri"/>
          <w:color w:val="000000" w:themeColor="text1"/>
          <w:szCs w:val="26"/>
        </w:rPr>
        <w:t>.</w:t>
      </w:r>
      <w:r>
        <w:t xml:space="preserve"> </w:t>
      </w:r>
      <w:r w:rsidR="19E8BE6D">
        <w:t xml:space="preserve">SCE did not </w:t>
      </w:r>
      <w:r w:rsidR="00167CCB">
        <w:t xml:space="preserve">join in the Motion or the Settlement Agreement, </w:t>
      </w:r>
      <w:r w:rsidR="00EE5B17">
        <w:t xml:space="preserve">and did not </w:t>
      </w:r>
      <w:r w:rsidR="19E8BE6D">
        <w:t>file an</w:t>
      </w:r>
      <w:r w:rsidR="00EE5B17">
        <w:t>y</w:t>
      </w:r>
      <w:r w:rsidR="19E8BE6D">
        <w:t xml:space="preserve"> opposition </w:t>
      </w:r>
      <w:r w:rsidR="44CD26A1">
        <w:t xml:space="preserve">or otherwise contest </w:t>
      </w:r>
      <w:r w:rsidR="19E8BE6D">
        <w:t>the Motion.</w:t>
      </w:r>
    </w:p>
    <w:p w:rsidR="00872025" w:rsidP="00570E5D" w:rsidRDefault="729F25A9" w14:paraId="0FB551C4" w14:textId="2F873270">
      <w:pPr>
        <w:pStyle w:val="Standard"/>
      </w:pPr>
      <w:r>
        <w:t>On July 10, 2025</w:t>
      </w:r>
      <w:r w:rsidR="7F937F49">
        <w:t>,</w:t>
      </w:r>
      <w:r>
        <w:t xml:space="preserve"> the assigned ALJ</w:t>
      </w:r>
      <w:r w:rsidR="18F0769A">
        <w:t xml:space="preserve"> issued a r</w:t>
      </w:r>
      <w:r w:rsidRPr="6BB3F5E3">
        <w:rPr>
          <w:rFonts w:eastAsia="Calibri"/>
          <w:color w:val="000000" w:themeColor="text1"/>
          <w:szCs w:val="26"/>
        </w:rPr>
        <w:t>uling</w:t>
      </w:r>
      <w:r w:rsidR="00872025">
        <w:t xml:space="preserve">, ordering the Settling Parties to address Scoping Memo </w:t>
      </w:r>
      <w:r w:rsidR="00E938E9">
        <w:t>Issues</w:t>
      </w:r>
      <w:r w:rsidR="00872025">
        <w:t xml:space="preserve"> 10 and 11, concerning public health and safety issues, and impacts on environmental and social justice communities respectively. </w:t>
      </w:r>
      <w:r w:rsidR="001263A3">
        <w:t xml:space="preserve">The </w:t>
      </w:r>
      <w:r w:rsidR="00184E19">
        <w:t xml:space="preserve">Settling Parties </w:t>
      </w:r>
      <w:r w:rsidR="001263A3">
        <w:t xml:space="preserve">filed </w:t>
      </w:r>
      <w:r w:rsidR="00184E19">
        <w:t>a</w:t>
      </w:r>
      <w:r w:rsidRPr="008E210F" w:rsidR="00872025">
        <w:t xml:space="preserve"> Joint Supplemental Statement </w:t>
      </w:r>
      <w:r w:rsidR="00184E19">
        <w:t xml:space="preserve">on </w:t>
      </w:r>
      <w:r w:rsidRPr="008E210F" w:rsidR="00872025">
        <w:t>July 23, 2025</w:t>
      </w:r>
      <w:r w:rsidR="00872025">
        <w:t>.</w:t>
      </w:r>
    </w:p>
    <w:p w:rsidR="00A25360" w:rsidP="00570E5D" w:rsidRDefault="00A25360" w14:paraId="24863ACF" w14:textId="5C9CCEA1">
      <w:pPr>
        <w:pStyle w:val="Standard"/>
      </w:pPr>
      <w:r>
        <w:t xml:space="preserve">On </w:t>
      </w:r>
      <w:r w:rsidR="00FD2E47">
        <w:t>September 5, 2025, the Commission issued D.25-08-</w:t>
      </w:r>
      <w:r w:rsidR="006226EA">
        <w:t>041</w:t>
      </w:r>
      <w:r w:rsidR="00075BB7">
        <w:t>. That decision e</w:t>
      </w:r>
      <w:r w:rsidR="006226EA">
        <w:t>xtend</w:t>
      </w:r>
      <w:r w:rsidR="00075BB7">
        <w:t>ed</w:t>
      </w:r>
      <w:r w:rsidR="006226EA">
        <w:t xml:space="preserve"> the statutory deadline </w:t>
      </w:r>
      <w:r w:rsidR="00C57934">
        <w:t xml:space="preserve">to complete this proceeding </w:t>
      </w:r>
      <w:r w:rsidR="00B46DD7">
        <w:t xml:space="preserve">from September </w:t>
      </w:r>
      <w:r w:rsidR="00075BB7">
        <w:t xml:space="preserve">14, 2025 </w:t>
      </w:r>
      <w:r w:rsidR="00C57934">
        <w:t>to March 31, 2026.</w:t>
      </w:r>
    </w:p>
    <w:p w:rsidRPr="00327159" w:rsidR="475A0C90" w:rsidP="00327159" w:rsidRDefault="00872025" w14:paraId="4DE673F5" w14:textId="49437140">
      <w:pPr>
        <w:pStyle w:val="Standard"/>
        <w:rPr>
          <w:rFonts w:eastAsia="Calibri"/>
          <w:color w:val="000000" w:themeColor="text1"/>
          <w:szCs w:val="26"/>
        </w:rPr>
      </w:pPr>
      <w:r>
        <w:t xml:space="preserve">The ALJ issued a second ruling on </w:t>
      </w:r>
      <w:r w:rsidR="00FD39EB">
        <w:t>October 17, 2025</w:t>
      </w:r>
      <w:r>
        <w:t xml:space="preserve">, ordering the Settling Parties to address aspects of Scoping Memo </w:t>
      </w:r>
      <w:r w:rsidR="00E938E9">
        <w:t>Issues</w:t>
      </w:r>
      <w:r>
        <w:t xml:space="preserve"> 7, 8, and 9. </w:t>
      </w:r>
      <w:r w:rsidR="00BE0F34">
        <w:t>The Settling Parties filed a</w:t>
      </w:r>
      <w:r w:rsidRPr="008E210F" w:rsidR="00BE0F34">
        <w:t xml:space="preserve"> </w:t>
      </w:r>
      <w:r w:rsidR="00BE0F34">
        <w:t xml:space="preserve">Second </w:t>
      </w:r>
      <w:r w:rsidRPr="008E210F" w:rsidR="00BE0F34">
        <w:t xml:space="preserve">Joint Supplemental Statement </w:t>
      </w:r>
      <w:r w:rsidR="00BE0F34">
        <w:t xml:space="preserve">on </w:t>
      </w:r>
      <w:r w:rsidR="00FD39EB">
        <w:t xml:space="preserve">October </w:t>
      </w:r>
      <w:r w:rsidR="00AA3945">
        <w:t>27, 2025</w:t>
      </w:r>
      <w:r w:rsidR="00BE0F34">
        <w:t>.</w:t>
      </w:r>
      <w:r>
        <w:t xml:space="preserve"> </w:t>
      </w:r>
    </w:p>
    <w:p w:rsidRPr="00234F59" w:rsidR="00364E97" w:rsidP="006E21B3" w:rsidRDefault="00364E97" w14:paraId="34453E4A" w14:textId="1EEDC2FC">
      <w:pPr>
        <w:pStyle w:val="Heading2"/>
      </w:pPr>
      <w:bookmarkStart w:name="_Toc212128379" w:id="16"/>
      <w:bookmarkStart w:name="_Toc215555402" w:id="17"/>
      <w:r w:rsidRPr="00234F59">
        <w:lastRenderedPageBreak/>
        <w:t>Submission Date</w:t>
      </w:r>
      <w:bookmarkEnd w:id="16"/>
      <w:bookmarkEnd w:id="17"/>
    </w:p>
    <w:p w:rsidRPr="00234F59" w:rsidR="00364E97" w:rsidRDefault="3F26B0B7" w14:paraId="09D75AA3" w14:textId="0675D84E">
      <w:pPr>
        <w:pStyle w:val="Standard"/>
      </w:pPr>
      <w:r>
        <w:t xml:space="preserve">This matter was submitted on </w:t>
      </w:r>
      <w:r w:rsidRPr="00AA3945" w:rsidR="00AA3945">
        <w:t xml:space="preserve"> </w:t>
      </w:r>
      <w:r w:rsidR="00AA3945">
        <w:t>October 27, 2025</w:t>
      </w:r>
      <w:r w:rsidR="68E7BCFF">
        <w:t xml:space="preserve">, </w:t>
      </w:r>
      <w:r w:rsidR="0AD4320C">
        <w:t xml:space="preserve">upon </w:t>
      </w:r>
      <w:r w:rsidR="68E7BCFF">
        <w:t>the filing of the</w:t>
      </w:r>
      <w:r w:rsidR="05EFAFDE">
        <w:t xml:space="preserve"> </w:t>
      </w:r>
      <w:r w:rsidRPr="6BB3F5E3" w:rsidR="05EFAFDE">
        <w:rPr>
          <w:rFonts w:eastAsia="Calibri"/>
          <w:color w:val="000000" w:themeColor="text1"/>
          <w:szCs w:val="26"/>
        </w:rPr>
        <w:t>Settling Parties’</w:t>
      </w:r>
      <w:r w:rsidR="68E7BCFF">
        <w:t xml:space="preserve"> </w:t>
      </w:r>
      <w:r w:rsidR="002630B8">
        <w:t xml:space="preserve">Second </w:t>
      </w:r>
      <w:r w:rsidR="5B7FB092">
        <w:t>J</w:t>
      </w:r>
      <w:r w:rsidRPr="6BB3F5E3" w:rsidR="7488B2A8">
        <w:rPr>
          <w:rFonts w:eastAsia="Calibri"/>
          <w:color w:val="000000" w:themeColor="text1"/>
          <w:szCs w:val="26"/>
        </w:rPr>
        <w:t>oint</w:t>
      </w:r>
      <w:r w:rsidRPr="6BB3F5E3" w:rsidR="6F39142B">
        <w:rPr>
          <w:rFonts w:eastAsia="Calibri"/>
          <w:color w:val="000000" w:themeColor="text1"/>
          <w:szCs w:val="26"/>
        </w:rPr>
        <w:t xml:space="preserve"> Supplemental S</w:t>
      </w:r>
      <w:r w:rsidRPr="6BB3F5E3" w:rsidR="7488B2A8">
        <w:rPr>
          <w:rFonts w:eastAsia="Calibri"/>
          <w:color w:val="000000" w:themeColor="text1"/>
          <w:szCs w:val="26"/>
        </w:rPr>
        <w:t xml:space="preserve">tatement </w:t>
      </w:r>
      <w:r w:rsidR="0006571D">
        <w:rPr>
          <w:rFonts w:eastAsia="Calibri"/>
          <w:color w:val="000000" w:themeColor="text1"/>
          <w:szCs w:val="26"/>
        </w:rPr>
        <w:t>supporting</w:t>
      </w:r>
      <w:r w:rsidRPr="6BB3F5E3" w:rsidR="7488B2A8">
        <w:rPr>
          <w:rFonts w:eastAsia="Calibri"/>
          <w:color w:val="000000" w:themeColor="text1"/>
          <w:szCs w:val="26"/>
        </w:rPr>
        <w:t xml:space="preserve"> the Motion</w:t>
      </w:r>
      <w:r w:rsidR="68E7BCFF">
        <w:t>.</w:t>
      </w:r>
      <w:bookmarkStart w:name="_Hlk201413878" w:id="18"/>
    </w:p>
    <w:p w:rsidRPr="00C8002C" w:rsidR="00C8002C" w:rsidP="00A43AFB" w:rsidRDefault="00C373EE" w14:paraId="25AB5B1F" w14:textId="7F1AC4CD">
      <w:pPr>
        <w:pStyle w:val="Heading1"/>
      </w:pPr>
      <w:bookmarkStart w:name="_Toc212128380" w:id="19"/>
      <w:bookmarkStart w:name="_Toc215555403" w:id="20"/>
      <w:r w:rsidRPr="00234F59">
        <w:t>Jurisdiction and Burden of Proof</w:t>
      </w:r>
      <w:bookmarkEnd w:id="18"/>
      <w:bookmarkEnd w:id="19"/>
      <w:bookmarkEnd w:id="20"/>
    </w:p>
    <w:p w:rsidR="00E47F7C" w:rsidP="00E47F7C" w:rsidRDefault="2B8E4B2F" w14:paraId="3D33C81D" w14:textId="71F7EBFE">
      <w:pPr>
        <w:pStyle w:val="Standard"/>
      </w:pPr>
      <w:r w:rsidRPr="475A0C90">
        <w:t>The Commission has jurisdiction over the activities of public utilities.</w:t>
      </w:r>
      <w:r w:rsidRPr="475A0C90" w:rsidR="00C373EE">
        <w:rPr>
          <w:rStyle w:val="FootnoteReference"/>
        </w:rPr>
        <w:footnoteReference w:id="17"/>
      </w:r>
      <w:r w:rsidRPr="475A0C90">
        <w:t xml:space="preserve">  PG&amp;E has operated as a public utility providing electric and gas services in California since 1905. PG&amp;E is therefore a</w:t>
      </w:r>
      <w:r w:rsidRPr="475A0C90" w:rsidR="5E7C344A">
        <w:t xml:space="preserve"> public </w:t>
      </w:r>
      <w:r w:rsidRPr="475A0C90">
        <w:t>utility subject to the Commission’s jurisdiction.</w:t>
      </w:r>
    </w:p>
    <w:p w:rsidRPr="00351BD1" w:rsidR="00F3342A" w:rsidP="00F3342A" w:rsidRDefault="00F3342A" w14:paraId="5B413746" w14:textId="7EAF5503">
      <w:pPr>
        <w:pStyle w:val="Standard"/>
        <w:rPr>
          <w:rStyle w:val="Hyperlink"/>
          <w:rFonts w:eastAsia="Book Antiqua" w:cs="Book Antiqua"/>
          <w:color w:val="0563C1"/>
          <w:szCs w:val="26"/>
          <w:vertAlign w:val="superscript"/>
        </w:rPr>
      </w:pPr>
      <w:r w:rsidRPr="00A37B33">
        <w:t xml:space="preserve">In this proceeding, the Settling Parties </w:t>
      </w:r>
      <w:r w:rsidR="00DF3F58">
        <w:t>(PG&amp;E</w:t>
      </w:r>
      <w:r w:rsidR="00D91345">
        <w:t xml:space="preserve">, Cal Advocates, TURN, and SBUA) </w:t>
      </w:r>
      <w:r w:rsidRPr="00A37B33">
        <w:t xml:space="preserve">filed their </w:t>
      </w:r>
      <w:r w:rsidRPr="00A37B33" w:rsidR="00E80248">
        <w:t>joint</w:t>
      </w:r>
      <w:r w:rsidR="00E80248">
        <w:t xml:space="preserve"> </w:t>
      </w:r>
      <w:r w:rsidRPr="00A37B33">
        <w:t xml:space="preserve">Motion requesting that the Commission approve and adopt a </w:t>
      </w:r>
      <w:r w:rsidRPr="00A37B33">
        <w:rPr>
          <w:rFonts w:eastAsia="Book Antiqua" w:cs="Book Antiqua"/>
          <w:szCs w:val="26"/>
        </w:rPr>
        <w:t>formal proposed</w:t>
      </w:r>
      <w:r w:rsidRPr="00A37B33">
        <w:t xml:space="preserve"> Settlement Agreement. </w:t>
      </w:r>
      <w:r w:rsidRPr="00A37B33" w:rsidR="00C915FE">
        <w:rPr>
          <w:rFonts w:eastAsia="Book Antiqua" w:cs="Book Antiqua"/>
          <w:szCs w:val="26"/>
        </w:rPr>
        <w:t xml:space="preserve">Rule 12.1(d) </w:t>
      </w:r>
      <w:r w:rsidRPr="00A37B33">
        <w:rPr>
          <w:rFonts w:eastAsia="Book Antiqua" w:cs="Book Antiqua"/>
          <w:szCs w:val="26"/>
        </w:rPr>
        <w:t xml:space="preserve"> </w:t>
      </w:r>
      <w:r w:rsidRPr="00A37B33" w:rsidR="00177A90">
        <w:rPr>
          <w:rFonts w:eastAsia="Book Antiqua" w:cs="Book Antiqua"/>
          <w:szCs w:val="26"/>
        </w:rPr>
        <w:t xml:space="preserve">provides that a proposed settlement </w:t>
      </w:r>
      <w:r w:rsidRPr="00A37B33">
        <w:rPr>
          <w:rFonts w:eastAsia="Book Antiqua" w:cs="Book Antiqua"/>
          <w:szCs w:val="26"/>
        </w:rPr>
        <w:t xml:space="preserve">may be approved if the Commission finds it </w:t>
      </w:r>
      <w:r w:rsidRPr="00A37B33" w:rsidR="00597BFA">
        <w:rPr>
          <w:rFonts w:eastAsia="Book Antiqua" w:cs="Book Antiqua"/>
          <w:szCs w:val="26"/>
        </w:rPr>
        <w:t>to be</w:t>
      </w:r>
      <w:r w:rsidRPr="00A37B33">
        <w:rPr>
          <w:rFonts w:eastAsia="Book Antiqua" w:cs="Book Antiqua"/>
          <w:szCs w:val="26"/>
        </w:rPr>
        <w:t xml:space="preserve"> (1) reasonable in light of the whole record, (2) consistent with the law, and (3) in the public interest.</w:t>
      </w:r>
      <w:r w:rsidRPr="00A37B33" w:rsidR="00DB60E4">
        <w:rPr>
          <w:rStyle w:val="FootnoteReference"/>
          <w:rFonts w:eastAsia="Book Antiqua" w:cs="Book Antiqua"/>
          <w:szCs w:val="26"/>
        </w:rPr>
        <w:footnoteReference w:id="18"/>
      </w:r>
      <w:r w:rsidRPr="00A37B33" w:rsidDel="00DB60E4" w:rsidR="00DB60E4">
        <w:t xml:space="preserve"> </w:t>
      </w:r>
      <w:r w:rsidR="004D74D6">
        <w:t>T</w:t>
      </w:r>
      <w:r w:rsidRPr="00A37B33" w:rsidR="0088217B">
        <w:t>he Settling Parties bear the burden of pro</w:t>
      </w:r>
      <w:r w:rsidRPr="00A37B33" w:rsidR="00A37B33">
        <w:t>of</w:t>
      </w:r>
      <w:r w:rsidRPr="00A37B33" w:rsidR="0088217B">
        <w:t xml:space="preserve"> by </w:t>
      </w:r>
      <w:r w:rsidRPr="00A37B33" w:rsidR="00772A4D">
        <w:t>a</w:t>
      </w:r>
      <w:r w:rsidRPr="00A37B33" w:rsidR="0088217B">
        <w:t xml:space="preserve"> preponderance of evidence.</w:t>
      </w:r>
    </w:p>
    <w:p w:rsidR="000A17EF" w:rsidP="00A43AFB" w:rsidRDefault="005D5E57" w14:paraId="72A95E0C" w14:textId="60EAD569">
      <w:pPr>
        <w:pStyle w:val="Heading1"/>
      </w:pPr>
      <w:bookmarkStart w:name="_Toc212128381" w:id="21"/>
      <w:bookmarkStart w:name="_Hlk198654294" w:id="22"/>
      <w:bookmarkStart w:name="_Toc215555404" w:id="23"/>
      <w:r>
        <w:t>Issues</w:t>
      </w:r>
      <w:r w:rsidR="000A17EF">
        <w:t xml:space="preserve"> </w:t>
      </w:r>
      <w:r w:rsidR="009C4784">
        <w:t>Before the Commission</w:t>
      </w:r>
      <w:bookmarkEnd w:id="21"/>
      <w:bookmarkEnd w:id="23"/>
    </w:p>
    <w:p w:rsidRPr="00C755D4" w:rsidR="005D5E57" w:rsidRDefault="0EE658A9" w14:paraId="069FD077" w14:textId="56B88CA2">
      <w:pPr>
        <w:pStyle w:val="Standard"/>
      </w:pPr>
      <w:r>
        <w:t xml:space="preserve">The </w:t>
      </w:r>
      <w:r w:rsidR="0F11F39B">
        <w:t xml:space="preserve">October 10, 2024, Scoping Memo identified the following issues to be determined or otherwise considered in </w:t>
      </w:r>
      <w:r w:rsidR="00BF6AD5">
        <w:t>this</w:t>
      </w:r>
      <w:r w:rsidR="0F11F39B">
        <w:t xml:space="preserve"> proceeding:</w:t>
      </w:r>
    </w:p>
    <w:p w:rsidR="475A0C90" w:rsidP="005C1AD3" w:rsidRDefault="0F11F39B" w14:paraId="016B0761" w14:textId="49735E0D">
      <w:pPr>
        <w:pStyle w:val="ListNum"/>
      </w:pPr>
      <w:bookmarkStart w:name="_Hlk202095885" w:id="24"/>
      <w:r>
        <w:t xml:space="preserve">Whether the </w:t>
      </w:r>
      <w:r w:rsidR="20E18CD2">
        <w:t>Co</w:t>
      </w:r>
      <w:r w:rsidR="5CD01EF5">
        <w:t>m</w:t>
      </w:r>
      <w:r>
        <w:t xml:space="preserve">mission should grant PG&amp;E’s motion to establish one or more Comprehensive Gas Advanced </w:t>
      </w:r>
      <w:r w:rsidR="00196520">
        <w:t xml:space="preserve">Metering Infrastructure Memorandum Account </w:t>
      </w:r>
      <w:r>
        <w:t xml:space="preserve">(GAMIMAs) to track and record PG&amp;E’s actual revenue requirements, and, if so, what is the effective date for each GAMIMA; </w:t>
      </w:r>
    </w:p>
    <w:p w:rsidRPr="00C755D4" w:rsidR="005D5E57" w:rsidP="005C1AD3" w:rsidRDefault="0F11F39B" w14:paraId="5EDE1963" w14:textId="05643D37">
      <w:pPr>
        <w:pStyle w:val="ListNum"/>
      </w:pPr>
      <w:r>
        <w:lastRenderedPageBreak/>
        <w:t xml:space="preserve">Whether PG&amp;E’s 2023-2026 expense and capital forecasts for its </w:t>
      </w:r>
      <w:r w:rsidR="5CD01EF5">
        <w:t>GAMI</w:t>
      </w:r>
      <w:r>
        <w:t xml:space="preserve"> Replacement Program are reasonable; </w:t>
      </w:r>
    </w:p>
    <w:p w:rsidRPr="00C755D4" w:rsidR="005D5E57" w:rsidP="005C1AD3" w:rsidRDefault="0F11F39B" w14:paraId="0980DE6F" w14:textId="3B6BDEDD">
      <w:pPr>
        <w:pStyle w:val="ListNum"/>
      </w:pPr>
      <w:r>
        <w:t xml:space="preserve">Whether the proposed 2023-2026 revenue requirement for PG&amp;E’s </w:t>
      </w:r>
      <w:r w:rsidR="5CD01EF5">
        <w:t>GAMI</w:t>
      </w:r>
      <w:r>
        <w:t xml:space="preserve"> Replacement Program is just and reasonable; </w:t>
      </w:r>
    </w:p>
    <w:p w:rsidRPr="00C755D4" w:rsidR="005D5E57" w:rsidP="005C1AD3" w:rsidRDefault="0F11F39B" w14:paraId="2FE1F848" w14:textId="77777777">
      <w:pPr>
        <w:pStyle w:val="ListNum"/>
      </w:pPr>
      <w:r>
        <w:t xml:space="preserve">Whether the Commission should authorize PG&amp;E to reflect the proposed 2023-2026 revenue requirement for PG&amp;E’s GAMI Replacement Program in rates; </w:t>
      </w:r>
    </w:p>
    <w:p w:rsidRPr="00C755D4" w:rsidR="005D5E57" w:rsidP="005C1AD3" w:rsidRDefault="0F11F39B" w14:paraId="0AFE9F3A" w14:textId="77777777">
      <w:pPr>
        <w:pStyle w:val="ListNum"/>
      </w:pPr>
      <w:r>
        <w:t xml:space="preserve">Whether PG&amp;E’s cost recovery proposal to recover the costs of its GAMI Replacement Program should be adopted; </w:t>
      </w:r>
    </w:p>
    <w:p w:rsidRPr="00C755D4" w:rsidR="005D5E57" w:rsidP="005C1AD3" w:rsidRDefault="0F11F39B" w14:paraId="652F28F8" w14:textId="77777777">
      <w:pPr>
        <w:pStyle w:val="ListNum"/>
      </w:pPr>
      <w:r>
        <w:t xml:space="preserve">Whether PG&amp;E’s proposed GAMI System Upgrade is likely to be cost-effective such that the costs are reasonable and should be recovered in rates; </w:t>
      </w:r>
    </w:p>
    <w:p w:rsidRPr="00C755D4" w:rsidR="005D5E57" w:rsidP="005C1AD3" w:rsidRDefault="0F11F39B" w14:paraId="5D439513" w14:textId="39D8A70C">
      <w:pPr>
        <w:pStyle w:val="ListNum"/>
      </w:pPr>
      <w:r>
        <w:t xml:space="preserve">Whether the installation and/or maintenance of PG&amp;E’s first--generation </w:t>
      </w:r>
      <w:r w:rsidR="5CD01EF5">
        <w:t>GAMI</w:t>
      </w:r>
      <w:r>
        <w:t xml:space="preserve"> 1.0 system is tied to any failure, error, or noncompliance on PG&amp;E’s part; </w:t>
      </w:r>
    </w:p>
    <w:p w:rsidRPr="00C755D4" w:rsidR="005D5E57" w:rsidP="005C1AD3" w:rsidRDefault="0F11F39B" w14:paraId="04BAD1B9" w14:textId="77777777">
      <w:pPr>
        <w:pStyle w:val="ListNum"/>
      </w:pPr>
      <w:r>
        <w:t xml:space="preserve">Whether PG&amp;E’s GAMI Replacement Program costs should be allocated between ratepayers and shareholders; </w:t>
      </w:r>
    </w:p>
    <w:p w:rsidRPr="00C755D4" w:rsidR="005D5E57" w:rsidP="005C1AD3" w:rsidRDefault="0F11F39B" w14:paraId="0E0C5531" w14:textId="14093C59">
      <w:pPr>
        <w:pStyle w:val="ListNum"/>
      </w:pPr>
      <w:r>
        <w:t xml:space="preserve">What is the appropriate ratemaking and cost recovery treatment for any remaining investment in PG&amp;E’s removed </w:t>
      </w:r>
      <w:r w:rsidR="5CD01EF5">
        <w:t>GAMI</w:t>
      </w:r>
      <w:r>
        <w:t xml:space="preserve"> 1.0 modules; </w:t>
      </w:r>
    </w:p>
    <w:p w:rsidRPr="00C755D4" w:rsidR="005D5E57" w:rsidP="005C1AD3" w:rsidRDefault="0F11F39B" w14:paraId="062D62B4" w14:textId="2D4D8799">
      <w:pPr>
        <w:pStyle w:val="ListNum"/>
        <w:ind w:hanging="450"/>
      </w:pPr>
      <w:r>
        <w:t>Whether there exist any other public health or safety issues related to this proceeding that must be addressed in this proceeding; and</w:t>
      </w:r>
    </w:p>
    <w:p w:rsidR="008B4AE4" w:rsidP="005C1AD3" w:rsidRDefault="0F11F39B" w14:paraId="46C3EB5A" w14:textId="6C953318">
      <w:pPr>
        <w:pStyle w:val="ListNum"/>
        <w:ind w:hanging="450"/>
      </w:pPr>
      <w:r w:rsidRPr="475A0C90">
        <w:t>Whether there are impacts on environmental and social justice communities, including the extent to which PG&amp;E’s proposed GAMI Replacement Program impacts the achievement of any of the nine goals of the Commission’s Environmental and Social Justice Action Plan.</w:t>
      </w:r>
      <w:r w:rsidR="00615ED7">
        <w:rPr>
          <w:rStyle w:val="FootnoteReference"/>
        </w:rPr>
        <w:footnoteReference w:id="19"/>
      </w:r>
    </w:p>
    <w:bookmarkEnd w:id="24"/>
    <w:p w:rsidR="7E0D19BF" w:rsidP="00E34772" w:rsidRDefault="7E0D19BF" w14:paraId="73FD5A2F" w14:textId="100951C8">
      <w:pPr>
        <w:pStyle w:val="Standard"/>
        <w:spacing w:before="180"/>
      </w:pPr>
      <w:r>
        <w:t xml:space="preserve">In this proceeding, </w:t>
      </w:r>
      <w:r w:rsidR="570CD196">
        <w:t xml:space="preserve">the Commission resolved </w:t>
      </w:r>
      <w:r w:rsidR="0127C430">
        <w:t xml:space="preserve">Scoping Memo </w:t>
      </w:r>
      <w:r w:rsidR="00E938E9">
        <w:t>Issue</w:t>
      </w:r>
      <w:r w:rsidR="570CD196">
        <w:t xml:space="preserve"> 1 above through D.24-11-010, granting PG&amp;E’s April 5, 2024 GAMIMA Motion and authorizing PG&amp;E to establish a new Comprehensive GAMI Memorandum Account to track and record PG&amp;E’s actual revenue requirements for costs, effective March 14, 2024. </w:t>
      </w:r>
    </w:p>
    <w:p w:rsidR="0C62A2A6" w:rsidP="006E21B3" w:rsidRDefault="06719CB9" w14:paraId="7E215E00" w14:textId="0179D4BC">
      <w:pPr>
        <w:pStyle w:val="Standard"/>
      </w:pPr>
      <w:r>
        <w:lastRenderedPageBreak/>
        <w:t xml:space="preserve">Scoping Memo </w:t>
      </w:r>
      <w:r w:rsidR="00E938E9">
        <w:t>Issues</w:t>
      </w:r>
      <w:r>
        <w:t xml:space="preserve"> 2 through 11 </w:t>
      </w:r>
      <w:r w:rsidR="246382B1">
        <w:t xml:space="preserve">remain to be resolved </w:t>
      </w:r>
      <w:r w:rsidR="00EA27EF">
        <w:t>in this decision</w:t>
      </w:r>
      <w:r>
        <w:t xml:space="preserve">, </w:t>
      </w:r>
      <w:r w:rsidR="005E019D">
        <w:t xml:space="preserve">including </w:t>
      </w:r>
      <w:r w:rsidR="00EA27EF">
        <w:t xml:space="preserve">consideration of </w:t>
      </w:r>
      <w:r>
        <w:t xml:space="preserve">the </w:t>
      </w:r>
      <w:r w:rsidR="7E0D19BF">
        <w:t>Settling Parties</w:t>
      </w:r>
      <w:r w:rsidR="59E06C91">
        <w:t xml:space="preserve">’ </w:t>
      </w:r>
      <w:r w:rsidR="7E0D19BF">
        <w:t xml:space="preserve">Motion requesting that the Commission approve and adopt a </w:t>
      </w:r>
      <w:r w:rsidRPr="6BB3F5E3" w:rsidR="7E0D19BF">
        <w:rPr>
          <w:rFonts w:eastAsia="Book Antiqua" w:cs="Book Antiqua"/>
          <w:szCs w:val="26"/>
        </w:rPr>
        <w:t>formal proposed</w:t>
      </w:r>
      <w:r w:rsidR="7E0D19BF">
        <w:t xml:space="preserve"> Settlement Agreement</w:t>
      </w:r>
      <w:r w:rsidR="798F8EB3">
        <w:t>,</w:t>
      </w:r>
      <w:r w:rsidR="3D80D2A2">
        <w:t xml:space="preserve"> and</w:t>
      </w:r>
      <w:r w:rsidR="01199DE2">
        <w:t xml:space="preserve"> the</w:t>
      </w:r>
      <w:r w:rsidR="3D80D2A2">
        <w:t xml:space="preserve"> </w:t>
      </w:r>
      <w:r w:rsidRPr="6BB3F5E3" w:rsidR="3C6ACEB2">
        <w:rPr>
          <w:rFonts w:eastAsia="Calibri"/>
          <w:color w:val="000000" w:themeColor="text1"/>
          <w:szCs w:val="26"/>
        </w:rPr>
        <w:t xml:space="preserve">Settling Parties’ </w:t>
      </w:r>
      <w:r w:rsidR="521FA5EF">
        <w:t>J</w:t>
      </w:r>
      <w:r w:rsidRPr="6BB3F5E3" w:rsidR="3D80D2A2">
        <w:rPr>
          <w:rFonts w:eastAsia="Calibri"/>
          <w:color w:val="000000" w:themeColor="text1"/>
          <w:szCs w:val="26"/>
        </w:rPr>
        <w:t xml:space="preserve">oint </w:t>
      </w:r>
      <w:r w:rsidRPr="6BB3F5E3" w:rsidR="61A7F9FD">
        <w:rPr>
          <w:rFonts w:eastAsia="Calibri"/>
          <w:color w:val="000000" w:themeColor="text1"/>
          <w:szCs w:val="26"/>
        </w:rPr>
        <w:t>Supplemental S</w:t>
      </w:r>
      <w:r w:rsidRPr="6BB3F5E3" w:rsidR="3D80D2A2">
        <w:rPr>
          <w:rFonts w:eastAsia="Calibri"/>
          <w:color w:val="000000" w:themeColor="text1"/>
          <w:szCs w:val="26"/>
        </w:rPr>
        <w:t>tatement</w:t>
      </w:r>
      <w:r w:rsidR="00585BDC">
        <w:rPr>
          <w:rFonts w:eastAsia="Calibri"/>
          <w:color w:val="000000" w:themeColor="text1"/>
          <w:szCs w:val="26"/>
        </w:rPr>
        <w:t>s</w:t>
      </w:r>
      <w:r w:rsidRPr="6BB3F5E3" w:rsidR="3D80D2A2">
        <w:rPr>
          <w:rFonts w:eastAsia="Calibri"/>
          <w:color w:val="000000" w:themeColor="text1"/>
          <w:szCs w:val="26"/>
        </w:rPr>
        <w:t xml:space="preserve"> presenting </w:t>
      </w:r>
      <w:r w:rsidR="046FB5D6">
        <w:t xml:space="preserve">additional </w:t>
      </w:r>
      <w:r w:rsidRPr="6BB3F5E3" w:rsidR="3D80D2A2">
        <w:rPr>
          <w:rFonts w:eastAsia="Calibri"/>
          <w:color w:val="000000" w:themeColor="text1"/>
          <w:szCs w:val="26"/>
        </w:rPr>
        <w:t>information regarding the Motion</w:t>
      </w:r>
      <w:r w:rsidR="00061A42">
        <w:rPr>
          <w:rFonts w:eastAsia="Calibri"/>
          <w:color w:val="000000" w:themeColor="text1"/>
          <w:szCs w:val="26"/>
        </w:rPr>
        <w:t xml:space="preserve"> requested by the ALJ</w:t>
      </w:r>
      <w:r w:rsidR="7E0D19BF">
        <w:t>.</w:t>
      </w:r>
    </w:p>
    <w:p w:rsidR="00C8002C" w:rsidP="00C76678" w:rsidRDefault="005B29A1" w14:paraId="77D1A24A" w14:textId="2B9A9E29">
      <w:pPr>
        <w:pStyle w:val="Heading1"/>
        <w:rPr>
          <w:color w:val="000000" w:themeColor="text1"/>
        </w:rPr>
      </w:pPr>
      <w:bookmarkStart w:name="_Toc212128382" w:id="25"/>
      <w:bookmarkStart w:name="_Toc215555405" w:id="26"/>
      <w:r>
        <w:t>Sett</w:t>
      </w:r>
      <w:r w:rsidR="00956D4B">
        <w:t>l</w:t>
      </w:r>
      <w:r>
        <w:t xml:space="preserve">ing </w:t>
      </w:r>
      <w:r w:rsidRPr="7EC17AD4" w:rsidR="004A5464">
        <w:rPr>
          <w:color w:val="000000" w:themeColor="text1"/>
        </w:rPr>
        <w:t>Part</w:t>
      </w:r>
      <w:r>
        <w:rPr>
          <w:color w:val="000000" w:themeColor="text1"/>
        </w:rPr>
        <w:t>ies’</w:t>
      </w:r>
      <w:r w:rsidRPr="7EC17AD4" w:rsidR="004A5464">
        <w:rPr>
          <w:color w:val="000000" w:themeColor="text1"/>
        </w:rPr>
        <w:t xml:space="preserve"> Positions</w:t>
      </w:r>
      <w:bookmarkEnd w:id="25"/>
      <w:bookmarkEnd w:id="26"/>
    </w:p>
    <w:p w:rsidRPr="006E21B3" w:rsidR="00B135CB" w:rsidP="006E21B3" w:rsidRDefault="00B112D4" w14:paraId="1AD94483" w14:textId="3EE93C42">
      <w:pPr>
        <w:pStyle w:val="Standard"/>
      </w:pPr>
      <w:r w:rsidRPr="00D67694">
        <w:t xml:space="preserve">Cal Advocates </w:t>
      </w:r>
      <w:r>
        <w:t xml:space="preserve">and </w:t>
      </w:r>
      <w:r w:rsidRPr="00D67694" w:rsidR="00D67694">
        <w:t>TURN</w:t>
      </w:r>
      <w:r>
        <w:t xml:space="preserve"> advocated on behalf of </w:t>
      </w:r>
      <w:r w:rsidR="00221200">
        <w:t xml:space="preserve">PG&amp;E’s residential ratepayers, while SBUA represented </w:t>
      </w:r>
      <w:r w:rsidR="005852F3">
        <w:t xml:space="preserve">the interests of </w:t>
      </w:r>
      <w:r w:rsidR="0040238D">
        <w:t xml:space="preserve">PG&amp;E’s </w:t>
      </w:r>
      <w:r w:rsidR="005852F3">
        <w:t>small business ratepayers.</w:t>
      </w:r>
      <w:r w:rsidR="0040238D">
        <w:rPr>
          <w:rStyle w:val="FootnoteReference"/>
        </w:rPr>
        <w:footnoteReference w:id="20"/>
      </w:r>
      <w:r w:rsidRPr="00D67694" w:rsidR="00D67694">
        <w:t xml:space="preserve"> </w:t>
      </w:r>
      <w:r w:rsidR="00963A53">
        <w:t xml:space="preserve">Those ratepayer advocates </w:t>
      </w:r>
      <w:r w:rsidR="00CE4BB5">
        <w:t>raised various issues with</w:t>
      </w:r>
      <w:r w:rsidRPr="00D67694" w:rsidR="00D67694">
        <w:t xml:space="preserve"> </w:t>
      </w:r>
      <w:r w:rsidR="00AF5E00">
        <w:t xml:space="preserve">the </w:t>
      </w:r>
      <w:r w:rsidRPr="00D67694" w:rsidR="00D67694">
        <w:t>Application through their respective Responses and Protests</w:t>
      </w:r>
      <w:r w:rsidR="00D67694">
        <w:t xml:space="preserve">. </w:t>
      </w:r>
      <w:r w:rsidR="0039252D">
        <w:t>Below, w</w:t>
      </w:r>
      <w:r w:rsidR="00F1475F">
        <w:t xml:space="preserve">e </w:t>
      </w:r>
      <w:r w:rsidR="00A107B1">
        <w:t xml:space="preserve">summarize </w:t>
      </w:r>
      <w:r w:rsidR="00D461A1">
        <w:t xml:space="preserve">the record </w:t>
      </w:r>
      <w:r w:rsidR="00400C0B">
        <w:t>regarding</w:t>
      </w:r>
      <w:r w:rsidR="00D461A1">
        <w:t xml:space="preserve"> </w:t>
      </w:r>
      <w:r w:rsidR="00D96EEA">
        <w:t xml:space="preserve">the </w:t>
      </w:r>
      <w:r w:rsidR="009131A9">
        <w:t>Parties</w:t>
      </w:r>
      <w:r w:rsidR="00D461A1">
        <w:t xml:space="preserve">’ positions </w:t>
      </w:r>
      <w:r w:rsidR="00B871D1">
        <w:t>on</w:t>
      </w:r>
      <w:r w:rsidR="00DF2086">
        <w:t xml:space="preserve"> contested </w:t>
      </w:r>
      <w:r w:rsidR="00B871D1">
        <w:t xml:space="preserve">and other scoped </w:t>
      </w:r>
      <w:r w:rsidR="00DF2086">
        <w:t>issues.</w:t>
      </w:r>
    </w:p>
    <w:p w:rsidRPr="00994F0A" w:rsidR="00A04D48" w:rsidP="006E21B3" w:rsidRDefault="00A04D48" w14:paraId="66A5079A" w14:textId="04DF0645">
      <w:pPr>
        <w:pStyle w:val="Heading2"/>
      </w:pPr>
      <w:bookmarkStart w:name="_Toc212128383" w:id="27"/>
      <w:bookmarkStart w:name="_Hlk198656517" w:id="28"/>
      <w:bookmarkStart w:name="_Toc215555406" w:id="29"/>
      <w:r w:rsidRPr="00A04D48">
        <w:t>SBUA</w:t>
      </w:r>
      <w:r>
        <w:t xml:space="preserve"> </w:t>
      </w:r>
      <w:r w:rsidRPr="00A04D48">
        <w:t>Response</w:t>
      </w:r>
      <w:bookmarkEnd w:id="27"/>
      <w:bookmarkEnd w:id="28"/>
      <w:bookmarkEnd w:id="29"/>
    </w:p>
    <w:p w:rsidRPr="00994F0A" w:rsidR="00994F0A" w:rsidP="00994F0A" w:rsidRDefault="4CD26CE1" w14:paraId="099DCE30" w14:textId="40E727B0">
      <w:pPr>
        <w:pStyle w:val="Standard"/>
      </w:pPr>
      <w:r w:rsidRPr="475A0C90">
        <w:t xml:space="preserve">On April 15, 2024, SBUA filed a Response to PG&amp;E’s Application. SBUA’s Response raised no objections, but rather gave notice that it intended to (1) analyze and evaluate the Application and submit testimony on such topics as whether PG&amp;E has fully addressed the intervenors’ critiques in its 2023 General Rate Case (A.21-06-021) about its </w:t>
      </w:r>
      <w:r w:rsidRPr="475A0C90" w:rsidR="5CD01EF5">
        <w:t>GAMI</w:t>
      </w:r>
      <w:r w:rsidRPr="475A0C90">
        <w:t xml:space="preserve"> Replacement Program and the related recovery costs</w:t>
      </w:r>
      <w:r w:rsidR="00360698">
        <w:t>;</w:t>
      </w:r>
      <w:r w:rsidRPr="475A0C90">
        <w:t xml:space="preserve"> (2) evaluate the Application and supporting documentation to ensur</w:t>
      </w:r>
      <w:r w:rsidR="00360698">
        <w:t>e</w:t>
      </w:r>
      <w:r w:rsidRPr="475A0C90">
        <w:t xml:space="preserve"> the reasonableness and cost-effectiveness of PG&amp;E’s proposed </w:t>
      </w:r>
      <w:r w:rsidRPr="475A0C90" w:rsidR="5CD01EF5">
        <w:t>GAMI</w:t>
      </w:r>
      <w:r w:rsidRPr="475A0C90">
        <w:t xml:space="preserve"> replacement program costs</w:t>
      </w:r>
      <w:r w:rsidR="00360698">
        <w:t>;</w:t>
      </w:r>
      <w:r w:rsidRPr="475A0C90">
        <w:t xml:space="preserve"> and (3) evaluate PG&amp;E’s argument that its proposed long-term </w:t>
      </w:r>
      <w:r w:rsidRPr="475A0C90" w:rsidR="5CD01EF5">
        <w:t>GAMI</w:t>
      </w:r>
      <w:r w:rsidRPr="475A0C90">
        <w:t xml:space="preserve"> investment is prudent in light of California</w:t>
      </w:r>
      <w:r w:rsidR="00254434">
        <w:t>’</w:t>
      </w:r>
      <w:r w:rsidRPr="475A0C90">
        <w:t>s electrification goals and expected gas demand declines.</w:t>
      </w:r>
      <w:r w:rsidRPr="475A0C90" w:rsidR="00994F0A">
        <w:rPr>
          <w:vertAlign w:val="superscript"/>
        </w:rPr>
        <w:footnoteReference w:id="21"/>
      </w:r>
    </w:p>
    <w:p w:rsidRPr="00994F0A" w:rsidR="00994F0A" w:rsidP="001C3406" w:rsidRDefault="00994F0A" w14:paraId="05FBB094" w14:textId="01C3BBE9">
      <w:pPr>
        <w:pStyle w:val="Heading2"/>
      </w:pPr>
      <w:bookmarkStart w:name="_Toc212128384" w:id="30"/>
      <w:bookmarkStart w:name="_Toc215555407" w:id="31"/>
      <w:r w:rsidRPr="00994F0A">
        <w:lastRenderedPageBreak/>
        <w:t>TURN Protest</w:t>
      </w:r>
      <w:bookmarkEnd w:id="30"/>
      <w:bookmarkEnd w:id="31"/>
    </w:p>
    <w:p w:rsidRPr="00994F0A" w:rsidR="00994F0A" w:rsidP="00994F0A" w:rsidRDefault="4CD26CE1" w14:paraId="23B1C687" w14:textId="2A3DB98D">
      <w:pPr>
        <w:pStyle w:val="Standard"/>
      </w:pPr>
      <w:r w:rsidRPr="475A0C90">
        <w:t xml:space="preserve">On April 19, 2024, TURN filed a Protest to PG&amp;E’s Application. TURN noted that PG&amp;E’s Application for the </w:t>
      </w:r>
      <w:r w:rsidRPr="475A0C90" w:rsidR="5CD01EF5">
        <w:t>GAMI</w:t>
      </w:r>
      <w:r w:rsidRPr="475A0C90">
        <w:t xml:space="preserve"> Replacement Program (</w:t>
      </w:r>
      <w:r w:rsidRPr="475A0C90" w:rsidR="5CD01EF5">
        <w:t>GAMI</w:t>
      </w:r>
      <w:r w:rsidR="00661DDA">
        <w:t> </w:t>
      </w:r>
      <w:r w:rsidRPr="006F35FE">
        <w:t>2.0</w:t>
      </w:r>
      <w:r w:rsidRPr="475A0C90">
        <w:t>) will continue through 2030, asking for a review addressing costs and resulting revenue requirement through 2026 and deferring 2027-2030 costs to Test Year 2027 G</w:t>
      </w:r>
      <w:r w:rsidRPr="475A0C90" w:rsidR="4C497219">
        <w:t xml:space="preserve">eneral </w:t>
      </w:r>
      <w:r w:rsidRPr="475A0C90">
        <w:t>R</w:t>
      </w:r>
      <w:r w:rsidRPr="475A0C90" w:rsidR="4C497219">
        <w:t xml:space="preserve">ate </w:t>
      </w:r>
      <w:r w:rsidRPr="475A0C90">
        <w:t>C</w:t>
      </w:r>
      <w:r w:rsidRPr="475A0C90" w:rsidR="4C497219">
        <w:t>ase</w:t>
      </w:r>
      <w:r w:rsidRPr="475A0C90">
        <w:t>. TURN urged the Commission to reject that approach</w:t>
      </w:r>
      <w:r w:rsidR="006F35FE">
        <w:t>,</w:t>
      </w:r>
      <w:r w:rsidRPr="475A0C90">
        <w:t xml:space="preserve"> direct PG&amp;E to make a single showing covering the entirety of the proposed program, and direct PG&amp;E to supplement its </w:t>
      </w:r>
      <w:r w:rsidR="0095785D">
        <w:t>A</w:t>
      </w:r>
      <w:r w:rsidRPr="475A0C90">
        <w:t>pplication so that PG&amp;E’s best forecast of costs and benefits for each element of the entire program are considered.</w:t>
      </w:r>
      <w:r w:rsidRPr="475A0C90" w:rsidR="00994F0A">
        <w:rPr>
          <w:vertAlign w:val="superscript"/>
        </w:rPr>
        <w:footnoteReference w:id="22"/>
      </w:r>
    </w:p>
    <w:p w:rsidRPr="00994F0A" w:rsidR="00994F0A" w:rsidP="00994F0A" w:rsidRDefault="4CD26CE1" w14:paraId="7619FBB0" w14:textId="5ED5387F">
      <w:pPr>
        <w:pStyle w:val="Standard"/>
        <w:rPr>
          <w:szCs w:val="26"/>
        </w:rPr>
      </w:pPr>
      <w:r w:rsidRPr="475A0C90">
        <w:t>TURN expressed concern about an increased “stranded investment” to the extent California’s electrification efforts render gas metering and billing advances unnecessary or less relevant</w:t>
      </w:r>
      <w:r w:rsidRPr="475A0C90" w:rsidR="52BA34D3">
        <w:t xml:space="preserve">. </w:t>
      </w:r>
      <w:r w:rsidRPr="475A0C90" w:rsidR="0025170F">
        <w:t>Instead,</w:t>
      </w:r>
      <w:r w:rsidRPr="475A0C90" w:rsidR="52BA34D3">
        <w:t xml:space="preserve"> it</w:t>
      </w:r>
      <w:r w:rsidRPr="475A0C90">
        <w:t xml:space="preserve"> urged the Commission to examine the appropriateness of committing to a </w:t>
      </w:r>
      <w:r w:rsidRPr="475A0C90" w:rsidR="5CD01EF5">
        <w:t>GAMI</w:t>
      </w:r>
      <w:r w:rsidRPr="475A0C90">
        <w:t xml:space="preserve"> 2.0 approach and its attendant costs, particularly the need to minimize rather than add to the stranded cost risk going forward.</w:t>
      </w:r>
      <w:bookmarkStart w:name="_Hlk200642011" w:id="32"/>
      <w:r w:rsidRPr="475A0C90" w:rsidR="00994F0A">
        <w:rPr>
          <w:vertAlign w:val="superscript"/>
        </w:rPr>
        <w:footnoteReference w:id="23"/>
      </w:r>
      <w:bookmarkEnd w:id="32"/>
    </w:p>
    <w:p w:rsidRPr="00994F0A" w:rsidR="00994F0A" w:rsidP="00994F0A" w:rsidRDefault="4CD26CE1" w14:paraId="5DD97630" w14:textId="6D565C9F">
      <w:pPr>
        <w:pStyle w:val="Standard"/>
      </w:pPr>
      <w:r w:rsidRPr="475A0C90">
        <w:t xml:space="preserve">TURN stated that the Commission should direct PG&amp;E to prepare and present supplemental testimony that would compare the authorized forecasts of costs and benefits for the </w:t>
      </w:r>
      <w:r w:rsidRPr="475A0C90" w:rsidR="5CD01EF5">
        <w:t>GAMI</w:t>
      </w:r>
      <w:r w:rsidRPr="475A0C90">
        <w:t xml:space="preserve"> Replacement Program as addressed in </w:t>
      </w:r>
      <w:r w:rsidRPr="475A0C90" w:rsidR="34EFBCC4">
        <w:t>D.</w:t>
      </w:r>
      <w:r w:rsidRPr="475A0C90">
        <w:t>06</w:t>
      </w:r>
      <w:r w:rsidR="00FD2949">
        <w:noBreakHyphen/>
      </w:r>
      <w:r w:rsidRPr="475A0C90">
        <w:t>07</w:t>
      </w:r>
      <w:r w:rsidR="00FD2949">
        <w:noBreakHyphen/>
      </w:r>
      <w:r w:rsidRPr="475A0C90">
        <w:t>027 with the actual recorded costs and benefits,</w:t>
      </w:r>
      <w:r w:rsidRPr="475A0C90" w:rsidR="00994F0A">
        <w:rPr>
          <w:vertAlign w:val="superscript"/>
        </w:rPr>
        <w:footnoteReference w:id="24"/>
      </w:r>
      <w:r w:rsidRPr="475A0C90">
        <w:t xml:space="preserve"> and stated that </w:t>
      </w:r>
      <w:r w:rsidRPr="475A0C90" w:rsidR="4C497219">
        <w:t>t</w:t>
      </w:r>
      <w:r w:rsidRPr="475A0C90">
        <w:t xml:space="preserve">he Commission should include in the scope of this proceeding the appropriate </w:t>
      </w:r>
      <w:r w:rsidRPr="475A0C90">
        <w:lastRenderedPageBreak/>
        <w:t xml:space="preserve">ratemaking treatment for the remaining investment in the removed </w:t>
      </w:r>
      <w:r w:rsidRPr="475A0C90" w:rsidR="5CD01EF5">
        <w:t>GAMI</w:t>
      </w:r>
      <w:r w:rsidRPr="475A0C90">
        <w:t xml:space="preserve"> 1.0 Modules.</w:t>
      </w:r>
      <w:r w:rsidRPr="475A0C90" w:rsidR="00994F0A">
        <w:rPr>
          <w:vertAlign w:val="superscript"/>
        </w:rPr>
        <w:footnoteReference w:id="25"/>
      </w:r>
    </w:p>
    <w:p w:rsidRPr="00994F0A" w:rsidR="00994F0A" w:rsidP="00994F0A" w:rsidRDefault="4CD26CE1" w14:paraId="7A97F4F6" w14:textId="4EE7A819">
      <w:pPr>
        <w:pStyle w:val="Standard"/>
        <w:rPr>
          <w:szCs w:val="26"/>
        </w:rPr>
      </w:pPr>
      <w:r w:rsidRPr="475A0C90">
        <w:t xml:space="preserve">TURN also raised </w:t>
      </w:r>
      <w:r w:rsidR="00BB7F93">
        <w:t>the issue</w:t>
      </w:r>
      <w:r w:rsidRPr="475A0C90">
        <w:t xml:space="preserve"> whether PG&amp;E’s installation and maintenance of the first-generation </w:t>
      </w:r>
      <w:r w:rsidRPr="475A0C90" w:rsidR="5CD01EF5">
        <w:t>GAMI</w:t>
      </w:r>
      <w:r w:rsidRPr="475A0C90">
        <w:t xml:space="preserve"> 1.0 system was tied in any way to error or noncompliance on PG&amp;E’s part,</w:t>
      </w:r>
      <w:r w:rsidRPr="475A0C90" w:rsidR="00994F0A">
        <w:rPr>
          <w:vertAlign w:val="superscript"/>
        </w:rPr>
        <w:footnoteReference w:id="26"/>
      </w:r>
      <w:r w:rsidRPr="475A0C90">
        <w:t xml:space="preserve"> and expressed concern that PG&amp;E’s </w:t>
      </w:r>
      <w:r w:rsidR="00D9005D">
        <w:t>A</w:t>
      </w:r>
      <w:r w:rsidRPr="475A0C90">
        <w:t xml:space="preserve">pplication </w:t>
      </w:r>
      <w:r w:rsidR="002261FD">
        <w:t>presented</w:t>
      </w:r>
      <w:r w:rsidRPr="475A0C90">
        <w:t xml:space="preserve"> retroactive ratemaking issues.</w:t>
      </w:r>
      <w:r w:rsidRPr="475A0C90" w:rsidR="00994F0A">
        <w:rPr>
          <w:vertAlign w:val="superscript"/>
        </w:rPr>
        <w:footnoteReference w:id="27"/>
      </w:r>
    </w:p>
    <w:p w:rsidRPr="00994F0A" w:rsidR="00994F0A" w:rsidP="001C3406" w:rsidRDefault="00994F0A" w14:paraId="329D864B" w14:textId="4D0C7D76">
      <w:pPr>
        <w:pStyle w:val="Heading2"/>
      </w:pPr>
      <w:bookmarkStart w:name="_Toc212128385" w:id="33"/>
      <w:bookmarkStart w:name="_Toc215555408" w:id="34"/>
      <w:r>
        <w:t>Cal</w:t>
      </w:r>
      <w:r w:rsidR="5D71CDA5">
        <w:t xml:space="preserve"> </w:t>
      </w:r>
      <w:r>
        <w:t>Advocates Protest</w:t>
      </w:r>
      <w:bookmarkEnd w:id="33"/>
      <w:bookmarkEnd w:id="34"/>
    </w:p>
    <w:p w:rsidRPr="00994F0A" w:rsidR="00994F0A" w:rsidP="00994F0A" w:rsidRDefault="4CD26CE1" w14:paraId="6035A7B6" w14:textId="12766050">
      <w:pPr>
        <w:pStyle w:val="Standard"/>
      </w:pPr>
      <w:r w:rsidRPr="475A0C90">
        <w:t>On April 19, 2024, Cal</w:t>
      </w:r>
      <w:r w:rsidRPr="475A0C90" w:rsidR="065DB559">
        <w:t xml:space="preserve"> </w:t>
      </w:r>
      <w:r w:rsidRPr="475A0C90">
        <w:t xml:space="preserve">Advocates filed a Protest to PG&amp;E’s Application in which it noted that while D.23-11-069 (1) adopted a forecast of $0 for replacing the </w:t>
      </w:r>
      <w:r w:rsidR="002731FB">
        <w:t>G</w:t>
      </w:r>
      <w:r w:rsidRPr="475A0C90">
        <w:t>as Modules</w:t>
      </w:r>
      <w:r w:rsidRPr="475A0C90">
        <w:rPr>
          <w:b/>
          <w:bCs/>
        </w:rPr>
        <w:t xml:space="preserve"> </w:t>
      </w:r>
      <w:r w:rsidRPr="475A0C90">
        <w:t>due to PG&amp;E’s failure to substantiate the nature of its forecast and propose a reasonable allocation of costs between ratepayers and shareholders, th</w:t>
      </w:r>
      <w:r w:rsidR="00B3625D">
        <w:t>at</w:t>
      </w:r>
      <w:r w:rsidRPr="475A0C90">
        <w:t xml:space="preserve"> decision also authorized PG&amp;E to file a separate application seeking recovery for its </w:t>
      </w:r>
      <w:r w:rsidR="002731FB">
        <w:t>G</w:t>
      </w:r>
      <w:r w:rsidRPr="475A0C90">
        <w:t>as Module Replacement Program.</w:t>
      </w:r>
      <w:r w:rsidRPr="475A0C90" w:rsidR="00994F0A">
        <w:rPr>
          <w:vertAlign w:val="superscript"/>
        </w:rPr>
        <w:footnoteReference w:id="28"/>
      </w:r>
      <w:r w:rsidRPr="475A0C90">
        <w:t xml:space="preserve"> Cal</w:t>
      </w:r>
      <w:r w:rsidR="00FD2949">
        <w:t xml:space="preserve"> </w:t>
      </w:r>
      <w:r w:rsidRPr="475A0C90">
        <w:t xml:space="preserve">Advocates noted that the Commission had not previously authorized PG&amp;E to establish a memorandum account to track and record its actual revenue requirements for the </w:t>
      </w:r>
      <w:r w:rsidRPr="475A0C90" w:rsidR="5CD01EF5">
        <w:t>GAMI</w:t>
      </w:r>
      <w:r w:rsidRPr="475A0C90">
        <w:t xml:space="preserve"> Replacement Program costs and should not authorize the requested memorandum accounts until it confirms that PG&amp;E’s proposed methodology for recording costs reflects adequate line-item detail that will allow evaluation of the reasonableness of those costs and whether those costs were authorized and compliant with relevant Commission orders.</w:t>
      </w:r>
      <w:r w:rsidRPr="475A0C90" w:rsidR="00994F0A">
        <w:rPr>
          <w:vertAlign w:val="superscript"/>
        </w:rPr>
        <w:footnoteReference w:id="29"/>
      </w:r>
    </w:p>
    <w:p w:rsidRPr="00994F0A" w:rsidR="00994F0A" w:rsidP="00994F0A" w:rsidRDefault="4CD26CE1" w14:paraId="056FE15D" w14:textId="62599ABA">
      <w:pPr>
        <w:pStyle w:val="Standard"/>
      </w:pPr>
      <w:r w:rsidRPr="475A0C90">
        <w:lastRenderedPageBreak/>
        <w:t>Cal</w:t>
      </w:r>
      <w:r w:rsidRPr="475A0C90" w:rsidR="7B6F12FB">
        <w:t xml:space="preserve"> </w:t>
      </w:r>
      <w:r w:rsidRPr="475A0C90">
        <w:t>Advocates noted that PG&amp;E assert</w:t>
      </w:r>
      <w:r w:rsidRPr="475A0C90" w:rsidR="7211DC6F">
        <w:t>ed</w:t>
      </w:r>
      <w:r w:rsidRPr="475A0C90">
        <w:t xml:space="preserve"> that its Application provides evidence to demonstrate that the earlier-than-expected failure of the </w:t>
      </w:r>
      <w:r w:rsidRPr="475A0C90" w:rsidR="5CD01EF5">
        <w:t>GAMI</w:t>
      </w:r>
      <w:r w:rsidRPr="475A0C90">
        <w:t xml:space="preserve"> 1.0 System was not a result of an error or noncompliance on the utility’s part</w:t>
      </w:r>
      <w:r w:rsidR="00380F9E">
        <w:t>.</w:t>
      </w:r>
      <w:r w:rsidR="00A9189C">
        <w:rPr>
          <w:rStyle w:val="FootnoteReference"/>
        </w:rPr>
        <w:footnoteReference w:id="30"/>
      </w:r>
      <w:r w:rsidRPr="475A0C90">
        <w:t xml:space="preserve"> </w:t>
      </w:r>
      <w:r w:rsidR="007E3D35">
        <w:t>Cal Advocates</w:t>
      </w:r>
      <w:r w:rsidRPr="475A0C90">
        <w:t xml:space="preserve"> s</w:t>
      </w:r>
      <w:r w:rsidRPr="475A0C90" w:rsidR="7211DC6F">
        <w:t>tated that</w:t>
      </w:r>
      <w:r w:rsidRPr="475A0C90">
        <w:t xml:space="preserve"> it </w:t>
      </w:r>
      <w:r w:rsidR="00BB7F93">
        <w:t>would</w:t>
      </w:r>
      <w:r w:rsidRPr="475A0C90">
        <w:t xml:space="preserve"> examine whether PG&amp;E bears responsibility for </w:t>
      </w:r>
      <w:r w:rsidR="006231CA">
        <w:t>premature</w:t>
      </w:r>
      <w:r w:rsidRPr="475A0C90">
        <w:t xml:space="preserve"> </w:t>
      </w:r>
      <w:r w:rsidR="002731FB">
        <w:t>G</w:t>
      </w:r>
      <w:r w:rsidRPr="475A0C90">
        <w:t xml:space="preserve">as </w:t>
      </w:r>
      <w:r w:rsidR="00AD20EC">
        <w:t>M</w:t>
      </w:r>
      <w:r w:rsidRPr="475A0C90">
        <w:t xml:space="preserve">odule failures and propose a reasonable allocation for sharing costs between </w:t>
      </w:r>
      <w:r w:rsidR="006231CA">
        <w:t>PG&amp;E</w:t>
      </w:r>
      <w:r w:rsidR="00BD02C8">
        <w:t>’s</w:t>
      </w:r>
      <w:r w:rsidR="006231CA">
        <w:t xml:space="preserve"> </w:t>
      </w:r>
      <w:r w:rsidRPr="475A0C90">
        <w:t>ratepayers and shareholders.</w:t>
      </w:r>
      <w:r w:rsidRPr="475A0C90" w:rsidR="00994F0A">
        <w:rPr>
          <w:vertAlign w:val="superscript"/>
        </w:rPr>
        <w:footnoteReference w:id="31"/>
      </w:r>
    </w:p>
    <w:p w:rsidRPr="00994F0A" w:rsidR="00994F0A" w:rsidP="001C3406" w:rsidRDefault="00994F0A" w14:paraId="10DB770E" w14:textId="7E91E5A5">
      <w:pPr>
        <w:pStyle w:val="Heading2"/>
      </w:pPr>
      <w:bookmarkStart w:name="_Toc212128386" w:id="35"/>
      <w:bookmarkStart w:name="_Toc215555409" w:id="36"/>
      <w:r w:rsidRPr="00994F0A">
        <w:t>PG&amp;E Reply to Protests and Responses</w:t>
      </w:r>
      <w:bookmarkEnd w:id="35"/>
      <w:bookmarkEnd w:id="36"/>
    </w:p>
    <w:p w:rsidRPr="00994F0A" w:rsidR="00994F0A" w:rsidP="00994F0A" w:rsidRDefault="00994F0A" w14:paraId="2F7FBF45" w14:textId="05BA9B3E">
      <w:pPr>
        <w:pStyle w:val="Standard"/>
        <w:rPr>
          <w:szCs w:val="26"/>
        </w:rPr>
      </w:pPr>
      <w:r w:rsidRPr="00994F0A">
        <w:rPr>
          <w:szCs w:val="26"/>
        </w:rPr>
        <w:t xml:space="preserve">On April 29, 2024, PG&amp;E filed a Reply to the Intervenors’ several </w:t>
      </w:r>
      <w:r w:rsidR="0053714A">
        <w:rPr>
          <w:szCs w:val="26"/>
        </w:rPr>
        <w:t>p</w:t>
      </w:r>
      <w:r w:rsidRPr="00994F0A">
        <w:rPr>
          <w:szCs w:val="26"/>
        </w:rPr>
        <w:t xml:space="preserve">rotests and </w:t>
      </w:r>
      <w:r w:rsidR="0053714A">
        <w:rPr>
          <w:szCs w:val="26"/>
        </w:rPr>
        <w:t>r</w:t>
      </w:r>
      <w:r w:rsidRPr="00994F0A">
        <w:rPr>
          <w:szCs w:val="26"/>
        </w:rPr>
        <w:t>esponses outlined above</w:t>
      </w:r>
      <w:r w:rsidR="0053714A">
        <w:rPr>
          <w:szCs w:val="26"/>
        </w:rPr>
        <w:t>,</w:t>
      </w:r>
      <w:r w:rsidRPr="00994F0A">
        <w:rPr>
          <w:szCs w:val="26"/>
        </w:rPr>
        <w:t xml:space="preserve"> addressing issues within</w:t>
      </w:r>
      <w:r w:rsidR="00CA4664">
        <w:rPr>
          <w:szCs w:val="26"/>
        </w:rPr>
        <w:t xml:space="preserve"> </w:t>
      </w:r>
      <w:r w:rsidRPr="00994F0A">
        <w:rPr>
          <w:szCs w:val="26"/>
        </w:rPr>
        <w:t>the scope of the proceeding</w:t>
      </w:r>
      <w:r w:rsidR="00B32937">
        <w:rPr>
          <w:szCs w:val="26"/>
        </w:rPr>
        <w:t>,</w:t>
      </w:r>
      <w:r w:rsidR="00CA4664">
        <w:rPr>
          <w:szCs w:val="26"/>
        </w:rPr>
        <w:t xml:space="preserve"> </w:t>
      </w:r>
      <w:r w:rsidRPr="00994F0A">
        <w:rPr>
          <w:szCs w:val="26"/>
        </w:rPr>
        <w:t>repl</w:t>
      </w:r>
      <w:r w:rsidR="00B32937">
        <w:rPr>
          <w:szCs w:val="26"/>
        </w:rPr>
        <w:t>ying</w:t>
      </w:r>
      <w:r w:rsidRPr="00994F0A">
        <w:rPr>
          <w:szCs w:val="26"/>
        </w:rPr>
        <w:t xml:space="preserve"> to the </w:t>
      </w:r>
      <w:r w:rsidR="00767D50">
        <w:rPr>
          <w:szCs w:val="26"/>
        </w:rPr>
        <w:t>intervenor</w:t>
      </w:r>
      <w:r w:rsidR="004B4A15">
        <w:rPr>
          <w:szCs w:val="26"/>
        </w:rPr>
        <w:t>s</w:t>
      </w:r>
      <w:r w:rsidR="00A4374B">
        <w:rPr>
          <w:szCs w:val="26"/>
        </w:rPr>
        <w:t xml:space="preserve"> as</w:t>
      </w:r>
      <w:r w:rsidR="00931AF0">
        <w:rPr>
          <w:color w:val="000000" w:themeColor="text1"/>
          <w:szCs w:val="26"/>
        </w:rPr>
        <w:t xml:space="preserve"> follow</w:t>
      </w:r>
      <w:r w:rsidR="008033C5">
        <w:rPr>
          <w:color w:val="000000" w:themeColor="text1"/>
          <w:szCs w:val="26"/>
        </w:rPr>
        <w:t>s:</w:t>
      </w:r>
      <w:r w:rsidRPr="00036444">
        <w:rPr>
          <w:color w:val="000000" w:themeColor="text1"/>
          <w:szCs w:val="26"/>
        </w:rPr>
        <w:t xml:space="preserve"> </w:t>
      </w:r>
    </w:p>
    <w:p w:rsidRPr="00994F0A" w:rsidR="00994F0A" w:rsidP="003D3003" w:rsidRDefault="4CD26CE1" w14:paraId="52D977F5" w14:textId="0DC64110">
      <w:pPr>
        <w:pStyle w:val="BlockQuote"/>
        <w:rPr>
          <w:szCs w:val="26"/>
        </w:rPr>
      </w:pPr>
      <w:r w:rsidRPr="475A0C90">
        <w:t xml:space="preserve">(1) </w:t>
      </w:r>
      <w:r w:rsidRPr="475A0C90">
        <w:rPr>
          <w:i/>
          <w:iCs/>
        </w:rPr>
        <w:t>Continued Investment in Gas AMI in Light of Electrification Goals</w:t>
      </w:r>
      <w:r w:rsidR="000651AC">
        <w:t>.</w:t>
      </w:r>
      <w:r w:rsidRPr="475A0C90">
        <w:t xml:space="preserve"> PG&amp;E stated it had presented </w:t>
      </w:r>
      <w:r w:rsidR="00E55D24">
        <w:t xml:space="preserve">prepared </w:t>
      </w:r>
      <w:r w:rsidRPr="475A0C90">
        <w:t xml:space="preserve">testimony demonstrating that its proposed investment in </w:t>
      </w:r>
      <w:r w:rsidRPr="475A0C90" w:rsidR="5CD01EF5">
        <w:t>GAMI</w:t>
      </w:r>
      <w:r w:rsidRPr="475A0C90">
        <w:t xml:space="preserve"> is necessary despite California’s electrification goals and the expected corresponding decline in gas demand</w:t>
      </w:r>
      <w:bookmarkStart w:name="_Hlk200701054" w:id="37"/>
      <w:r w:rsidRPr="00994F0A">
        <w:rPr>
          <w:szCs w:val="26"/>
        </w:rPr>
        <w:t>;</w:t>
      </w:r>
      <w:r w:rsidRPr="475A0C90" w:rsidR="00994F0A">
        <w:rPr>
          <w:vertAlign w:val="superscript"/>
        </w:rPr>
        <w:footnoteReference w:id="32"/>
      </w:r>
      <w:bookmarkEnd w:id="37"/>
      <w:r w:rsidRPr="00994F0A">
        <w:rPr>
          <w:szCs w:val="26"/>
        </w:rPr>
        <w:t xml:space="preserve"> </w:t>
      </w:r>
    </w:p>
    <w:p w:rsidRPr="00994F0A" w:rsidR="00994F0A" w:rsidP="003D3003" w:rsidRDefault="4CD26CE1" w14:paraId="7BDBCD30" w14:textId="3323BFAB">
      <w:pPr>
        <w:pStyle w:val="BlockQuote"/>
        <w:rPr>
          <w:szCs w:val="26"/>
        </w:rPr>
      </w:pPr>
      <w:r w:rsidRPr="475A0C90">
        <w:t xml:space="preserve">(2) </w:t>
      </w:r>
      <w:r w:rsidRPr="000651AC">
        <w:rPr>
          <w:i/>
          <w:iCs/>
        </w:rPr>
        <w:t>Reasonableness</w:t>
      </w:r>
      <w:r w:rsidRPr="475A0C90">
        <w:rPr>
          <w:i/>
          <w:iCs/>
        </w:rPr>
        <w:t xml:space="preserve"> of Program Costs</w:t>
      </w:r>
      <w:r w:rsidR="000651AC">
        <w:rPr>
          <w:i/>
          <w:iCs/>
        </w:rPr>
        <w:t>.</w:t>
      </w:r>
      <w:r w:rsidRPr="475A0C90">
        <w:t xml:space="preserve"> PG&amp;E maintains that it has submitted </w:t>
      </w:r>
      <w:r w:rsidR="00E55D24">
        <w:t xml:space="preserve">sufficient </w:t>
      </w:r>
      <w:r w:rsidRPr="475A0C90">
        <w:t>evidence to meet its burden of showing that the costs of the program (including the system upgrade) are reasonable and should be recovered in rates</w:t>
      </w:r>
      <w:bookmarkStart w:name="_Hlk200701189" w:id="38"/>
      <w:r w:rsidRPr="00994F0A">
        <w:rPr>
          <w:szCs w:val="26"/>
        </w:rPr>
        <w:t>;</w:t>
      </w:r>
      <w:r w:rsidRPr="475A0C90" w:rsidR="00994F0A">
        <w:rPr>
          <w:vertAlign w:val="superscript"/>
        </w:rPr>
        <w:footnoteReference w:id="33"/>
      </w:r>
      <w:bookmarkEnd w:id="38"/>
      <w:r w:rsidRPr="00994F0A">
        <w:rPr>
          <w:szCs w:val="26"/>
        </w:rPr>
        <w:t xml:space="preserve"> </w:t>
      </w:r>
    </w:p>
    <w:p w:rsidRPr="001562DB" w:rsidR="00994F0A" w:rsidP="003D3003" w:rsidRDefault="4CD26CE1" w14:paraId="3A5BACD0" w14:textId="205AE571">
      <w:pPr>
        <w:pStyle w:val="BlockQuote"/>
        <w:rPr>
          <w:color w:val="000000" w:themeColor="text1"/>
          <w:szCs w:val="26"/>
        </w:rPr>
      </w:pPr>
      <w:r w:rsidRPr="475A0C90">
        <w:t xml:space="preserve">(3) </w:t>
      </w:r>
      <w:r w:rsidRPr="00C913D8">
        <w:rPr>
          <w:i/>
          <w:iCs/>
        </w:rPr>
        <w:t>Cost Allocation,</w:t>
      </w:r>
      <w:r w:rsidRPr="475A0C90">
        <w:rPr>
          <w:i/>
          <w:iCs/>
        </w:rPr>
        <w:t xml:space="preserve"> Rate Design and Cost Recovery Proposals</w:t>
      </w:r>
      <w:r w:rsidR="00C913D8">
        <w:rPr>
          <w:i/>
          <w:iCs/>
        </w:rPr>
        <w:t>.</w:t>
      </w:r>
      <w:r w:rsidRPr="475A0C90">
        <w:t xml:space="preserve"> PG&amp;E maintained that its proposals for recovering 2023-2026 revenue requirements set forth in </w:t>
      </w:r>
      <w:r w:rsidRPr="475A0C90">
        <w:rPr>
          <w:color w:val="000000" w:themeColor="text1"/>
        </w:rPr>
        <w:t xml:space="preserve">Chapter 6 of </w:t>
      </w:r>
      <w:r w:rsidR="002D4453">
        <w:rPr>
          <w:color w:val="000000" w:themeColor="text1"/>
        </w:rPr>
        <w:t>its p</w:t>
      </w:r>
      <w:r w:rsidRPr="475A0C90">
        <w:rPr>
          <w:color w:val="000000" w:themeColor="text1"/>
        </w:rPr>
        <w:t xml:space="preserve">repared </w:t>
      </w:r>
      <w:r w:rsidR="002D4453">
        <w:rPr>
          <w:color w:val="000000" w:themeColor="text1"/>
        </w:rPr>
        <w:t>t</w:t>
      </w:r>
      <w:r w:rsidRPr="475A0C90">
        <w:rPr>
          <w:color w:val="000000" w:themeColor="text1"/>
        </w:rPr>
        <w:t>estimony are reasonable and appropriate;</w:t>
      </w:r>
      <w:r w:rsidRPr="475A0C90" w:rsidR="00994F0A">
        <w:rPr>
          <w:color w:val="000000" w:themeColor="text1"/>
          <w:vertAlign w:val="superscript"/>
        </w:rPr>
        <w:footnoteReference w:id="34"/>
      </w:r>
    </w:p>
    <w:p w:rsidRPr="00994F0A" w:rsidR="00994F0A" w:rsidP="003D3003" w:rsidRDefault="4CD26CE1" w14:paraId="6A01837F" w14:textId="0BF626F9">
      <w:pPr>
        <w:pStyle w:val="BlockQuote"/>
        <w:rPr>
          <w:szCs w:val="26"/>
        </w:rPr>
      </w:pPr>
      <w:r w:rsidRPr="475A0C90">
        <w:rPr>
          <w:color w:val="000000" w:themeColor="text1"/>
        </w:rPr>
        <w:t xml:space="preserve">(4) </w:t>
      </w:r>
      <w:r w:rsidRPr="00C913D8">
        <w:rPr>
          <w:i/>
          <w:iCs/>
        </w:rPr>
        <w:t>Appropriate</w:t>
      </w:r>
      <w:r w:rsidRPr="00C913D8">
        <w:rPr>
          <w:i/>
          <w:iCs/>
          <w:color w:val="000000" w:themeColor="text1"/>
        </w:rPr>
        <w:t xml:space="preserve"> Ratemaking Treatment for Retired Plant </w:t>
      </w:r>
      <w:r w:rsidRPr="00C913D8">
        <w:rPr>
          <w:i/>
          <w:iCs/>
        </w:rPr>
        <w:t>Investment</w:t>
      </w:r>
      <w:r w:rsidR="00C913D8">
        <w:t>.</w:t>
      </w:r>
      <w:r w:rsidRPr="475A0C90">
        <w:rPr>
          <w:color w:val="000000" w:themeColor="text1"/>
        </w:rPr>
        <w:t xml:space="preserve"> PG&amp;E stated that while it agrees that rate of return is an appropriate issue for this proceeding </w:t>
      </w:r>
      <w:r w:rsidRPr="475A0C90" w:rsidR="2055F28E">
        <w:rPr>
          <w:color w:val="000000" w:themeColor="text1"/>
        </w:rPr>
        <w:t>it did</w:t>
      </w:r>
      <w:r w:rsidRPr="475A0C90">
        <w:rPr>
          <w:color w:val="000000" w:themeColor="text1"/>
        </w:rPr>
        <w:t xml:space="preserve"> not agree that a supplemental </w:t>
      </w:r>
      <w:r w:rsidRPr="475A0C90">
        <w:rPr>
          <w:color w:val="000000" w:themeColor="text1"/>
        </w:rPr>
        <w:lastRenderedPageBreak/>
        <w:t>showing is necessary. PG&amp;E explained its proposal regarding the rate of return on rate base and remaining depreciable life in Chapter</w:t>
      </w:r>
      <w:r w:rsidR="00661DDA">
        <w:rPr>
          <w:color w:val="000000" w:themeColor="text1"/>
        </w:rPr>
        <w:t> </w:t>
      </w:r>
      <w:r w:rsidRPr="475A0C90">
        <w:rPr>
          <w:color w:val="000000" w:themeColor="text1"/>
        </w:rPr>
        <w:t xml:space="preserve">5 of </w:t>
      </w:r>
      <w:r w:rsidR="003016DB">
        <w:rPr>
          <w:color w:val="000000" w:themeColor="text1"/>
        </w:rPr>
        <w:t>its p</w:t>
      </w:r>
      <w:r w:rsidRPr="475A0C90">
        <w:rPr>
          <w:color w:val="000000" w:themeColor="text1"/>
        </w:rPr>
        <w:t xml:space="preserve">repared </w:t>
      </w:r>
      <w:r w:rsidR="003016DB">
        <w:rPr>
          <w:color w:val="000000" w:themeColor="text1"/>
        </w:rPr>
        <w:t>t</w:t>
      </w:r>
      <w:r w:rsidRPr="475A0C90">
        <w:rPr>
          <w:color w:val="000000" w:themeColor="text1"/>
        </w:rPr>
        <w:t>estimony</w:t>
      </w:r>
      <w:r w:rsidR="2055F28E">
        <w:rPr>
          <w:szCs w:val="26"/>
        </w:rPr>
        <w:t>,</w:t>
      </w:r>
      <w:r w:rsidRPr="475A0C90">
        <w:t xml:space="preserve"> and that it used depreciation rates adopted by the Commission in the 2023 GRC and calculated the rate of return consistent with D.23-01-002 (for 2023, 2025 and 2026) and the approved Advice Letter 4813-G/7046-E (for 2024)</w:t>
      </w:r>
      <w:r w:rsidRPr="475A0C90" w:rsidR="2055F28E">
        <w:t>, concluding that n</w:t>
      </w:r>
      <w:r w:rsidRPr="475A0C90">
        <w:t>o reduction to the rate of return is warranted;</w:t>
      </w:r>
      <w:r w:rsidRPr="475A0C90" w:rsidR="00994F0A">
        <w:rPr>
          <w:vertAlign w:val="superscript"/>
        </w:rPr>
        <w:footnoteReference w:id="35"/>
      </w:r>
      <w:r w:rsidRPr="475A0C90">
        <w:t xml:space="preserve"> and </w:t>
      </w:r>
    </w:p>
    <w:p w:rsidR="00994F0A" w:rsidP="003D3003" w:rsidRDefault="4CD26CE1" w14:paraId="03E73F81" w14:textId="2291BE38">
      <w:pPr>
        <w:pStyle w:val="BlockQuote"/>
      </w:pPr>
      <w:r w:rsidRPr="475A0C90">
        <w:t xml:space="preserve">(5) </w:t>
      </w:r>
      <w:r w:rsidRPr="003016DB">
        <w:rPr>
          <w:i/>
          <w:iCs/>
        </w:rPr>
        <w:t>Allocation of Costs to PG&amp;E</w:t>
      </w:r>
      <w:r w:rsidR="003016DB">
        <w:rPr>
          <w:i/>
          <w:iCs/>
        </w:rPr>
        <w:t>.</w:t>
      </w:r>
      <w:r w:rsidRPr="475A0C90">
        <w:t xml:space="preserve"> PG&amp;E stated that it provided evidence that earlier-than-expected </w:t>
      </w:r>
      <w:r w:rsidR="002731FB">
        <w:t>Gas Module</w:t>
      </w:r>
      <w:r w:rsidRPr="475A0C90">
        <w:t xml:space="preserve"> failures were not a result of an error or noncompliance on PG&amp;E’s part.</w:t>
      </w:r>
      <w:r w:rsidRPr="475A0C90" w:rsidR="00994F0A">
        <w:rPr>
          <w:vertAlign w:val="superscript"/>
        </w:rPr>
        <w:footnoteReference w:id="36"/>
      </w:r>
    </w:p>
    <w:p w:rsidR="107D81D4" w:rsidP="006E21B3" w:rsidRDefault="00A261C6" w14:paraId="14C61969" w14:textId="3A866374">
      <w:pPr>
        <w:pStyle w:val="Heading2"/>
      </w:pPr>
      <w:bookmarkStart w:name="_Toc212128387" w:id="39"/>
      <w:bookmarkStart w:name="_Toc215555410" w:id="40"/>
      <w:r>
        <w:t xml:space="preserve">Joint </w:t>
      </w:r>
      <w:r w:rsidR="107D81D4">
        <w:t>Supplemental Information</w:t>
      </w:r>
      <w:bookmarkEnd w:id="39"/>
      <w:bookmarkEnd w:id="40"/>
    </w:p>
    <w:p w:rsidR="75D27301" w:rsidRDefault="000045E2" w14:paraId="5EB91BC8" w14:textId="1932088F">
      <w:pPr>
        <w:pStyle w:val="Standard"/>
      </w:pPr>
      <w:r>
        <w:t xml:space="preserve">The ALJ ruling on </w:t>
      </w:r>
      <w:r w:rsidR="00380ACF">
        <w:t>July 10, 2025</w:t>
      </w:r>
      <w:r w:rsidR="009135AC">
        <w:t>, order</w:t>
      </w:r>
      <w:r w:rsidR="00380ACF">
        <w:t>ed</w:t>
      </w:r>
      <w:r w:rsidR="009135AC">
        <w:t xml:space="preserve"> the Settling Parties to address Scoping Memo </w:t>
      </w:r>
      <w:r w:rsidR="00E938E9">
        <w:t>Issues</w:t>
      </w:r>
      <w:r w:rsidR="009135AC">
        <w:t xml:space="preserve"> 10 and 11, concerning public health and safety issues, and impacts on environmental and social justice communities</w:t>
      </w:r>
      <w:r w:rsidR="00940379">
        <w:t>,</w:t>
      </w:r>
      <w:r w:rsidR="009135AC">
        <w:t xml:space="preserve"> respectively</w:t>
      </w:r>
      <w:r w:rsidR="004F5D9C">
        <w:t>.</w:t>
      </w:r>
      <w:r w:rsidR="009135AC">
        <w:t xml:space="preserve"> </w:t>
      </w:r>
      <w:r w:rsidR="008E210F">
        <w:t xml:space="preserve">In </w:t>
      </w:r>
      <w:r w:rsidRPr="008E210F" w:rsidR="008E210F">
        <w:t xml:space="preserve">their </w:t>
      </w:r>
      <w:r w:rsidRPr="008E210F" w:rsidR="0096177C">
        <w:t>July 23, 2025</w:t>
      </w:r>
      <w:r w:rsidR="0096177C">
        <w:t xml:space="preserve"> </w:t>
      </w:r>
      <w:r w:rsidRPr="008E210F" w:rsidR="008E210F">
        <w:t>Joint Supplemental Statement</w:t>
      </w:r>
      <w:r w:rsidR="008F6D39">
        <w:t>, t</w:t>
      </w:r>
      <w:r w:rsidR="75D27301">
        <w:t xml:space="preserve">he Settling Parties addressed Scoping Memo </w:t>
      </w:r>
      <w:r w:rsidR="00E938E9">
        <w:t>Issues</w:t>
      </w:r>
      <w:r w:rsidR="75D27301">
        <w:t xml:space="preserve"> 10 and 11, </w:t>
      </w:r>
      <w:r w:rsidR="00940379">
        <w:t>arguing</w:t>
      </w:r>
      <w:r w:rsidR="0064644A">
        <w:t xml:space="preserve"> that t</w:t>
      </w:r>
      <w:r w:rsidR="298F6610">
        <w:t xml:space="preserve">hose issues </w:t>
      </w:r>
      <w:r w:rsidR="0064644A">
        <w:t xml:space="preserve">have been </w:t>
      </w:r>
      <w:r w:rsidR="617060F9">
        <w:t xml:space="preserve">resolved by the proposed Settlement Agreement and </w:t>
      </w:r>
      <w:r w:rsidR="298F6610">
        <w:t>are uncontested by any party in this proceeding</w:t>
      </w:r>
      <w:r w:rsidR="75D27301">
        <w:t>.</w:t>
      </w:r>
    </w:p>
    <w:p w:rsidR="00214F60" w:rsidP="00214F60" w:rsidRDefault="00214F60" w14:paraId="56CF42D6" w14:textId="3862A338">
      <w:pPr>
        <w:pStyle w:val="Standard"/>
      </w:pPr>
      <w:r>
        <w:t xml:space="preserve">The ALJ issued a </w:t>
      </w:r>
      <w:r w:rsidR="00574B31">
        <w:t xml:space="preserve">second </w:t>
      </w:r>
      <w:r>
        <w:t xml:space="preserve">ruling on </w:t>
      </w:r>
      <w:r w:rsidR="006B1FBA">
        <w:t>October 17, 2025</w:t>
      </w:r>
      <w:r>
        <w:t xml:space="preserve">, ordering the Settling Parties to address </w:t>
      </w:r>
      <w:r w:rsidR="00454CF1">
        <w:t xml:space="preserve">aspects of </w:t>
      </w:r>
      <w:r>
        <w:t xml:space="preserve">Scoping Memo </w:t>
      </w:r>
      <w:r w:rsidR="00E938E9">
        <w:t>Issues</w:t>
      </w:r>
      <w:r w:rsidRPr="00EF4B11">
        <w:t xml:space="preserve"> 7, 8, and 9</w:t>
      </w:r>
      <w:r>
        <w:t xml:space="preserve">, </w:t>
      </w:r>
      <w:r w:rsidR="00454CF1">
        <w:t>individually</w:t>
      </w:r>
      <w:r>
        <w:t xml:space="preserve">. In </w:t>
      </w:r>
      <w:r w:rsidRPr="008E210F">
        <w:t xml:space="preserve">their </w:t>
      </w:r>
      <w:r w:rsidR="00A43279">
        <w:t>October 27, 2025</w:t>
      </w:r>
      <w:r w:rsidR="002174E6">
        <w:t xml:space="preserve"> </w:t>
      </w:r>
      <w:r w:rsidR="00574B31">
        <w:t xml:space="preserve">Second </w:t>
      </w:r>
      <w:r w:rsidRPr="008E210F">
        <w:t>Joint Supplemental Statement</w:t>
      </w:r>
      <w:r>
        <w:t xml:space="preserve">, the Settling Parties addressed </w:t>
      </w:r>
      <w:r w:rsidR="00574B31">
        <w:t xml:space="preserve">those </w:t>
      </w:r>
      <w:r>
        <w:t>Scoping Memo issue</w:t>
      </w:r>
      <w:r w:rsidR="00574B31">
        <w:t>s</w:t>
      </w:r>
      <w:r>
        <w:t>, arguing that those issues have been resolved by the proposed Settlement Agreement and are uncontested in this proceeding.</w:t>
      </w:r>
    </w:p>
    <w:p w:rsidRPr="00BD6B64" w:rsidR="00610D20" w:rsidP="00610D20" w:rsidRDefault="00610D20" w14:paraId="08F6CB24" w14:textId="665A58A4">
      <w:pPr>
        <w:pStyle w:val="Heading1"/>
      </w:pPr>
      <w:bookmarkStart w:name="_Toc212128388" w:id="41"/>
      <w:bookmarkStart w:name="_Toc215555411" w:id="42"/>
      <w:r w:rsidRPr="00BD6B64">
        <w:lastRenderedPageBreak/>
        <w:t>Settlement Agreement</w:t>
      </w:r>
      <w:r w:rsidR="00C3140E">
        <w:t xml:space="preserve"> Terms</w:t>
      </w:r>
      <w:bookmarkEnd w:id="41"/>
      <w:bookmarkEnd w:id="42"/>
    </w:p>
    <w:p w:rsidRPr="009756FE" w:rsidR="00B772C1" w:rsidP="008D670C" w:rsidRDefault="4A656B13" w14:paraId="17515311" w14:textId="631F6500">
      <w:pPr>
        <w:pStyle w:val="Standard"/>
      </w:pPr>
      <w:r w:rsidRPr="009756FE">
        <w:t xml:space="preserve">After significant and extended </w:t>
      </w:r>
      <w:r w:rsidRPr="009756FE" w:rsidR="0025170F">
        <w:t>negotiation,</w:t>
      </w:r>
      <w:r w:rsidRPr="009756FE">
        <w:t xml:space="preserve"> the Settling Parties filed their Joint Motion on March 14, 2025 for adoption of the Settlement Agreement. The Parties maintain that the Settlement </w:t>
      </w:r>
      <w:r w:rsidR="006F708E">
        <w:t>Agreement presents</w:t>
      </w:r>
      <w:r w:rsidRPr="009756FE">
        <w:t xml:space="preserve"> a cohesive bargain that reflects </w:t>
      </w:r>
      <w:r w:rsidR="00460745">
        <w:t xml:space="preserve">reasonable </w:t>
      </w:r>
      <w:r w:rsidRPr="009756FE">
        <w:t xml:space="preserve">compromises on </w:t>
      </w:r>
      <w:r w:rsidR="00460745">
        <w:t xml:space="preserve">all </w:t>
      </w:r>
      <w:r w:rsidRPr="009756FE">
        <w:t xml:space="preserve">issues addressed in </w:t>
      </w:r>
      <w:r w:rsidRPr="009756FE" w:rsidR="62BD85AC">
        <w:t xml:space="preserve">the </w:t>
      </w:r>
      <w:r w:rsidR="008033C5">
        <w:t xml:space="preserve">proceeding </w:t>
      </w:r>
      <w:r w:rsidRPr="009756FE" w:rsidR="62BD85AC">
        <w:t xml:space="preserve">record, including </w:t>
      </w:r>
      <w:r w:rsidRPr="009756FE" w:rsidR="035AAB07">
        <w:t>all</w:t>
      </w:r>
      <w:r w:rsidRPr="009756FE" w:rsidR="62BD85AC">
        <w:t xml:space="preserve"> </w:t>
      </w:r>
      <w:r w:rsidR="00460745">
        <w:t xml:space="preserve">prepared </w:t>
      </w:r>
      <w:r w:rsidRPr="009756FE">
        <w:t>testimon</w:t>
      </w:r>
      <w:r w:rsidRPr="009756FE" w:rsidR="6F2F4E55">
        <w:t>y</w:t>
      </w:r>
      <w:r w:rsidR="00537C12">
        <w:t>. They contend it is</w:t>
      </w:r>
      <w:r w:rsidRPr="009756FE">
        <w:t xml:space="preserve"> indivisible</w:t>
      </w:r>
      <w:r w:rsidR="00075307">
        <w:t>,</w:t>
      </w:r>
      <w:r w:rsidRPr="009756FE">
        <w:t xml:space="preserve"> with each part interdependent on each and all other parts</w:t>
      </w:r>
      <w:r w:rsidR="00537C12">
        <w:t>,</w:t>
      </w:r>
      <w:r w:rsidRPr="009756FE">
        <w:t xml:space="preserve"> and request the Commission to approve the Settlement </w:t>
      </w:r>
      <w:r w:rsidR="00C5709B">
        <w:t xml:space="preserve">Agreement </w:t>
      </w:r>
      <w:r w:rsidR="003E14D8">
        <w:t>in its entirety</w:t>
      </w:r>
      <w:r w:rsidRPr="009756FE">
        <w:t>.</w:t>
      </w:r>
      <w:r w:rsidRPr="009756FE" w:rsidR="00B772C1">
        <w:rPr>
          <w:vertAlign w:val="superscript"/>
        </w:rPr>
        <w:footnoteReference w:id="37"/>
      </w:r>
    </w:p>
    <w:p w:rsidRPr="009756FE" w:rsidR="00610D20" w:rsidP="003D3003" w:rsidRDefault="00731D5F" w14:paraId="0AD4E6F3" w14:textId="37AED8F4">
      <w:pPr>
        <w:pStyle w:val="Standard"/>
        <w:keepNext/>
        <w:rPr>
          <w:szCs w:val="26"/>
        </w:rPr>
      </w:pPr>
      <w:bookmarkStart w:name="_Hlk204701661" w:id="43"/>
      <w:r>
        <w:rPr>
          <w:color w:val="000000" w:themeColor="text1"/>
          <w:szCs w:val="26"/>
        </w:rPr>
        <w:t>T</w:t>
      </w:r>
      <w:r w:rsidRPr="009756FE" w:rsidR="00610D20">
        <w:rPr>
          <w:color w:val="000000" w:themeColor="text1"/>
          <w:szCs w:val="26"/>
        </w:rPr>
        <w:t xml:space="preserve">he Settlement Agreement resolves </w:t>
      </w:r>
      <w:r w:rsidR="00DF05C6">
        <w:rPr>
          <w:color w:val="000000" w:themeColor="text1"/>
          <w:szCs w:val="26"/>
        </w:rPr>
        <w:t xml:space="preserve">seven </w:t>
      </w:r>
      <w:r w:rsidR="00310B78">
        <w:rPr>
          <w:color w:val="000000" w:themeColor="text1"/>
          <w:szCs w:val="26"/>
        </w:rPr>
        <w:t>key</w:t>
      </w:r>
      <w:r w:rsidRPr="009756FE" w:rsidR="00610D20">
        <w:rPr>
          <w:color w:val="000000" w:themeColor="text1"/>
          <w:szCs w:val="26"/>
        </w:rPr>
        <w:t xml:space="preserve"> issues as follows:</w:t>
      </w:r>
      <w:r w:rsidRPr="009756FE" w:rsidR="00610D20">
        <w:rPr>
          <w:rStyle w:val="FootnoteReference"/>
          <w:szCs w:val="26"/>
        </w:rPr>
        <w:t xml:space="preserve"> </w:t>
      </w:r>
    </w:p>
    <w:p w:rsidRPr="009756FE" w:rsidR="00610D20" w:rsidP="005C1AD3" w:rsidRDefault="5CA528C0" w14:paraId="24ACBEB6" w14:textId="49C5D9B6">
      <w:pPr>
        <w:pStyle w:val="ListNum"/>
      </w:pPr>
      <w:r w:rsidRPr="0085303F">
        <w:rPr>
          <w:b/>
          <w:bCs/>
          <w:i/>
          <w:iCs/>
        </w:rPr>
        <w:t>Adopted Expenses</w:t>
      </w:r>
      <w:r w:rsidR="00B81F7C">
        <w:rPr>
          <w:i/>
          <w:iCs/>
        </w:rPr>
        <w:t>.</w:t>
      </w:r>
      <w:r w:rsidRPr="009756FE">
        <w:t xml:space="preserve"> PG&amp;E’s adopted 2024-2026 expense forecast for the GAMI Replacement Program is $4</w:t>
      </w:r>
      <w:r w:rsidR="003D3003">
        <w:t> </w:t>
      </w:r>
      <w:r w:rsidRPr="009756FE">
        <w:t>million, and the reductions in that forecast are not tied to any particular Major Work Category.</w:t>
      </w:r>
      <w:r w:rsidRPr="009756FE" w:rsidR="00610D20">
        <w:rPr>
          <w:rStyle w:val="FootnoteReference"/>
        </w:rPr>
        <w:footnoteReference w:id="38"/>
      </w:r>
    </w:p>
    <w:p w:rsidRPr="009756FE" w:rsidR="00610D20" w:rsidP="005C1AD3" w:rsidRDefault="5CA528C0" w14:paraId="121D1C12" w14:textId="0B5C3770">
      <w:pPr>
        <w:pStyle w:val="ListNum"/>
      </w:pPr>
      <w:r w:rsidRPr="0085303F">
        <w:rPr>
          <w:b/>
          <w:bCs/>
          <w:i/>
          <w:iCs/>
          <w:color w:val="000000" w:themeColor="text1"/>
        </w:rPr>
        <w:t>Adopted Capital Expenditures</w:t>
      </w:r>
      <w:r w:rsidR="00B81F7C">
        <w:rPr>
          <w:i/>
          <w:iCs/>
          <w:color w:val="000000" w:themeColor="text1"/>
        </w:rPr>
        <w:t>.</w:t>
      </w:r>
      <w:r w:rsidRPr="009756FE">
        <w:rPr>
          <w:color w:val="000000" w:themeColor="text1"/>
        </w:rPr>
        <w:t xml:space="preserve"> </w:t>
      </w:r>
      <w:r w:rsidRPr="009756FE">
        <w:t>PG&amp;E’s adopted 202</w:t>
      </w:r>
      <w:r w:rsidR="00137FB6">
        <w:t>3</w:t>
      </w:r>
      <w:r w:rsidRPr="009756FE">
        <w:t>-2026 capital expenditure expense forecast is $420 million, and the reductions in that forecast are not tied to any particular Major Work Category.</w:t>
      </w:r>
      <w:r w:rsidRPr="009756FE" w:rsidR="00610D20">
        <w:rPr>
          <w:rStyle w:val="FootnoteReference"/>
        </w:rPr>
        <w:footnoteReference w:id="39"/>
      </w:r>
    </w:p>
    <w:p w:rsidRPr="009756FE" w:rsidR="00610D20" w:rsidP="005C1AD3" w:rsidRDefault="5CA528C0" w14:paraId="01CA8AC0" w14:textId="152179E0">
      <w:pPr>
        <w:pStyle w:val="ListNum"/>
      </w:pPr>
      <w:r w:rsidRPr="0085303F">
        <w:rPr>
          <w:b/>
          <w:bCs/>
          <w:i/>
          <w:iCs/>
          <w:color w:val="000000" w:themeColor="text1"/>
        </w:rPr>
        <w:t>Additional Revenue Requirement Adjustment</w:t>
      </w:r>
      <w:r w:rsidR="00B81F7C">
        <w:rPr>
          <w:color w:val="000000" w:themeColor="text1"/>
        </w:rPr>
        <w:t>.</w:t>
      </w:r>
      <w:r w:rsidRPr="009756FE">
        <w:rPr>
          <w:color w:val="000000" w:themeColor="text1"/>
        </w:rPr>
        <w:t xml:space="preserve"> </w:t>
      </w:r>
      <w:r w:rsidRPr="009756FE">
        <w:t>The adopted revenue requirement for 2023-2026 will be reduced by $1.049</w:t>
      </w:r>
      <w:r w:rsidR="00920CD1">
        <w:t xml:space="preserve"> million </w:t>
      </w:r>
      <w:r w:rsidRPr="009756FE">
        <w:t xml:space="preserve">to reflect a previously provided calculation of the </w:t>
      </w:r>
      <w:r w:rsidRPr="00691F8A" w:rsidR="00691F8A">
        <w:rPr>
          <w:w w:val="105"/>
          <w:szCs w:val="26"/>
        </w:rPr>
        <w:t>undepreciated</w:t>
      </w:r>
      <w:r w:rsidR="00691F8A">
        <w:rPr>
          <w:w w:val="105"/>
          <w:szCs w:val="26"/>
        </w:rPr>
        <w:t xml:space="preserve"> portions of the </w:t>
      </w:r>
      <w:r w:rsidR="002731FB">
        <w:rPr>
          <w:w w:val="105"/>
          <w:szCs w:val="26"/>
        </w:rPr>
        <w:t>Gas Module</w:t>
      </w:r>
      <w:r w:rsidR="00691F8A">
        <w:rPr>
          <w:w w:val="105"/>
          <w:szCs w:val="26"/>
        </w:rPr>
        <w:t>s that failed before reaching 15 years of age</w:t>
      </w:r>
      <w:r w:rsidRPr="009756FE">
        <w:t>.</w:t>
      </w:r>
      <w:r w:rsidRPr="009756FE" w:rsidR="00610D20">
        <w:rPr>
          <w:rStyle w:val="FootnoteReference"/>
        </w:rPr>
        <w:footnoteReference w:id="40"/>
      </w:r>
    </w:p>
    <w:p w:rsidRPr="009756FE" w:rsidR="00610D20" w:rsidP="005C1AD3" w:rsidRDefault="5CA528C0" w14:paraId="5239A1AB" w14:textId="2BFA1B2D">
      <w:pPr>
        <w:pStyle w:val="ListNum"/>
      </w:pPr>
      <w:r w:rsidRPr="0085303F">
        <w:rPr>
          <w:b/>
          <w:bCs/>
          <w:i/>
          <w:iCs/>
          <w:color w:val="000000" w:themeColor="text1"/>
        </w:rPr>
        <w:t>Adopted Revenue Requirements</w:t>
      </w:r>
      <w:r w:rsidR="00580DA1">
        <w:rPr>
          <w:color w:val="000000" w:themeColor="text1"/>
        </w:rPr>
        <w:t>.</w:t>
      </w:r>
      <w:r w:rsidRPr="009756FE">
        <w:rPr>
          <w:color w:val="000000" w:themeColor="text1"/>
        </w:rPr>
        <w:t xml:space="preserve"> </w:t>
      </w:r>
      <w:r w:rsidRPr="009756FE">
        <w:t>The adopted revenue requirement for 2023-2026 is a total of $88,594,500.</w:t>
      </w:r>
      <w:r w:rsidRPr="009756FE" w:rsidR="00610D20">
        <w:rPr>
          <w:rStyle w:val="FootnoteReference"/>
        </w:rPr>
        <w:footnoteReference w:id="41"/>
      </w:r>
    </w:p>
    <w:p w:rsidRPr="009756FE" w:rsidR="00610D20" w:rsidP="005C1AD3" w:rsidRDefault="5CA528C0" w14:paraId="07FC06A0" w14:textId="3ED1E128">
      <w:pPr>
        <w:pStyle w:val="ListNum"/>
      </w:pPr>
      <w:r w:rsidRPr="0085303F">
        <w:rPr>
          <w:b/>
          <w:bCs/>
          <w:i/>
          <w:iCs/>
          <w:color w:val="000000" w:themeColor="text1"/>
        </w:rPr>
        <w:lastRenderedPageBreak/>
        <w:t>Cost Recovery</w:t>
      </w:r>
      <w:r w:rsidR="00071440">
        <w:rPr>
          <w:color w:val="000000" w:themeColor="text1"/>
        </w:rPr>
        <w:t>.</w:t>
      </w:r>
      <w:r w:rsidRPr="009756FE">
        <w:rPr>
          <w:color w:val="000000" w:themeColor="text1"/>
        </w:rPr>
        <w:t xml:space="preserve"> </w:t>
      </w:r>
      <w:r w:rsidRPr="009756FE">
        <w:t xml:space="preserve">PG&amp;E will use its existing revenue adjustment mechanisms to recover the </w:t>
      </w:r>
      <w:r w:rsidRPr="009756FE" w:rsidR="00994117">
        <w:t>$88,594,500</w:t>
      </w:r>
      <w:r w:rsidR="00994117">
        <w:t xml:space="preserve"> </w:t>
      </w:r>
      <w:r w:rsidRPr="009756FE">
        <w:t xml:space="preserve">adopted revenue requirements set forth </w:t>
      </w:r>
      <w:r w:rsidR="00994117">
        <w:t>above</w:t>
      </w:r>
      <w:r w:rsidRPr="009756FE">
        <w:t>.</w:t>
      </w:r>
      <w:r w:rsidRPr="009756FE" w:rsidR="00610D20">
        <w:rPr>
          <w:rStyle w:val="FootnoteReference"/>
        </w:rPr>
        <w:footnoteReference w:id="42"/>
      </w:r>
    </w:p>
    <w:p w:rsidRPr="009756FE" w:rsidR="00610D20" w:rsidP="005C1AD3" w:rsidRDefault="5CA528C0" w14:paraId="6A96E903" w14:textId="54FEC93D">
      <w:pPr>
        <w:pStyle w:val="ListNum"/>
      </w:pPr>
      <w:r w:rsidRPr="0085303F">
        <w:rPr>
          <w:b/>
          <w:bCs/>
          <w:i/>
          <w:iCs/>
          <w:color w:val="000000" w:themeColor="text1"/>
        </w:rPr>
        <w:t>Changes to Rates</w:t>
      </w:r>
      <w:r w:rsidR="00071440">
        <w:rPr>
          <w:color w:val="000000" w:themeColor="text1"/>
        </w:rPr>
        <w:t>.</w:t>
      </w:r>
      <w:r w:rsidRPr="009756FE">
        <w:rPr>
          <w:color w:val="000000" w:themeColor="text1"/>
        </w:rPr>
        <w:t xml:space="preserve"> </w:t>
      </w:r>
      <w:r w:rsidRPr="009756FE">
        <w:t>PG&amp;E will recover all costs recorded to the GAMIMA through the next available rate change or the next Annual Electric True-Up (AET) and Annual Gas True-Up (AGT) advice letters should the Commission approve the Settlement Agreement. Should the subsequent AET and AGT advice letters be approved, PG&amp;E will file a Tier 1 advice letter to close the GAMIMA.</w:t>
      </w:r>
      <w:r w:rsidRPr="009756FE" w:rsidR="00610D20">
        <w:rPr>
          <w:rStyle w:val="FootnoteReference"/>
        </w:rPr>
        <w:footnoteReference w:id="43"/>
      </w:r>
    </w:p>
    <w:p w:rsidRPr="009756FE" w:rsidR="00610D20" w:rsidP="005C1AD3" w:rsidRDefault="00610D20" w14:paraId="3A75FD78" w14:textId="4D7B1847">
      <w:pPr>
        <w:pStyle w:val="ListNum"/>
      </w:pPr>
      <w:r w:rsidRPr="0085303F">
        <w:rPr>
          <w:b/>
          <w:bCs/>
          <w:i/>
          <w:iCs/>
        </w:rPr>
        <w:t>PG&amp;E’s Proposed GAMI Technology Upgrade</w:t>
      </w:r>
      <w:r w:rsidR="00506013">
        <w:t>.</w:t>
      </w:r>
      <w:r w:rsidRPr="009756FE">
        <w:t xml:space="preserve"> </w:t>
      </w:r>
    </w:p>
    <w:p w:rsidR="00610D20" w:rsidP="00580621" w:rsidRDefault="00580621" w14:paraId="4CF9E9E7" w14:textId="1F384EFC">
      <w:pPr>
        <w:pStyle w:val="ListBullet"/>
        <w:ind w:left="1800"/>
        <w:rPr>
          <w:color w:val="000000" w:themeColor="text1"/>
        </w:rPr>
      </w:pPr>
      <w:r w:rsidRPr="009756FE">
        <w:t xml:space="preserve">PG&amp;E </w:t>
      </w:r>
      <w:r>
        <w:t>will c</w:t>
      </w:r>
      <w:r w:rsidRPr="009756FE" w:rsidR="5CA528C0">
        <w:t xml:space="preserve">omplete the 2023-2026 scope of work it had forecast in its </w:t>
      </w:r>
      <w:r w:rsidRPr="009756FE" w:rsidR="5CD01EF5">
        <w:t>GAMI</w:t>
      </w:r>
      <w:r w:rsidRPr="009756FE" w:rsidR="5CA528C0">
        <w:t xml:space="preserve"> 2.0 Technology Upgrade (Upgrade) within the $42</w:t>
      </w:r>
      <w:r w:rsidRPr="009756FE" w:rsidR="5CA528C0">
        <w:rPr>
          <w:color w:val="000000" w:themeColor="text1"/>
        </w:rPr>
        <w:t>0</w:t>
      </w:r>
      <w:r w:rsidR="00920CD1">
        <w:rPr>
          <w:color w:val="000000" w:themeColor="text1"/>
        </w:rPr>
        <w:t xml:space="preserve"> million </w:t>
      </w:r>
      <w:r w:rsidRPr="009756FE" w:rsidR="5CA528C0">
        <w:rPr>
          <w:color w:val="000000" w:themeColor="text1"/>
        </w:rPr>
        <w:t>authorized capital expenditures agreed upon in the Settlement; and</w:t>
      </w:r>
    </w:p>
    <w:p w:rsidR="00FD2949" w:rsidP="00580621" w:rsidRDefault="00580621" w14:paraId="5244B59C" w14:textId="651B3446">
      <w:pPr>
        <w:pStyle w:val="ListBullet"/>
        <w:ind w:left="1800"/>
        <w:rPr>
          <w:color w:val="000000" w:themeColor="text1"/>
        </w:rPr>
      </w:pPr>
      <w:r w:rsidRPr="009756FE">
        <w:t xml:space="preserve">PG&amp;E </w:t>
      </w:r>
      <w:r>
        <w:t>will</w:t>
      </w:r>
      <w:r w:rsidRPr="00FD2949">
        <w:rPr>
          <w:color w:val="000000" w:themeColor="text1"/>
        </w:rPr>
        <w:t xml:space="preserve"> </w:t>
      </w:r>
      <w:r w:rsidRPr="00FD2949" w:rsidR="00FD2949">
        <w:rPr>
          <w:color w:val="000000" w:themeColor="text1"/>
        </w:rPr>
        <w:t xml:space="preserve">not include in its 2027 General Rate Case or another application any capital expenditures for 2027 and beyond for work it had forecast in the </w:t>
      </w:r>
      <w:r w:rsidR="0011187F">
        <w:rPr>
          <w:color w:val="000000" w:themeColor="text1"/>
        </w:rPr>
        <w:t>A.24-03</w:t>
      </w:r>
      <w:r w:rsidR="00E04A83">
        <w:rPr>
          <w:color w:val="000000" w:themeColor="text1"/>
        </w:rPr>
        <w:t>-011 for the Upgrade</w:t>
      </w:r>
      <w:r w:rsidRPr="00FD2949" w:rsidR="00FD2949">
        <w:rPr>
          <w:color w:val="000000" w:themeColor="text1"/>
        </w:rPr>
        <w:t>.</w:t>
      </w:r>
    </w:p>
    <w:p w:rsidRPr="009756FE" w:rsidR="00610D20" w:rsidP="00603975" w:rsidRDefault="5CA528C0" w14:paraId="057FF5F0" w14:textId="445CC670">
      <w:pPr>
        <w:pStyle w:val="ListBullet"/>
        <w:ind w:left="1800"/>
      </w:pPr>
      <w:r w:rsidRPr="009756FE">
        <w:t>The 2023-2026 capital additions for the Upgrade will not exceed the $420</w:t>
      </w:r>
      <w:r w:rsidR="00920CD1">
        <w:t xml:space="preserve"> million </w:t>
      </w:r>
      <w:r w:rsidRPr="009756FE">
        <w:t xml:space="preserve">agreed to in the Settlement </w:t>
      </w:r>
      <w:r w:rsidR="00F50F21">
        <w:t xml:space="preserve">Agreement </w:t>
      </w:r>
      <w:r w:rsidRPr="009756FE">
        <w:t xml:space="preserve">and can be </w:t>
      </w:r>
      <w:r w:rsidRPr="003D3003">
        <w:rPr>
          <w:color w:val="000000" w:themeColor="text1"/>
        </w:rPr>
        <w:t>included</w:t>
      </w:r>
      <w:r w:rsidRPr="009756FE">
        <w:t xml:space="preserve"> in</w:t>
      </w:r>
      <w:r w:rsidRPr="009756FE" w:rsidR="23E36485">
        <w:t xml:space="preserve"> the</w:t>
      </w:r>
      <w:r w:rsidRPr="009756FE">
        <w:t xml:space="preserve"> rate base in PG&amp;E’s 2027 General Rate Case (GRC); </w:t>
      </w:r>
    </w:p>
    <w:p w:rsidR="000904D9" w:rsidP="000062DB" w:rsidRDefault="5CA528C0" w14:paraId="0DD85398" w14:textId="065F43F2">
      <w:pPr>
        <w:pStyle w:val="ListBullet"/>
        <w:spacing w:before="180"/>
        <w:ind w:left="1800"/>
      </w:pPr>
      <w:r w:rsidRPr="009756FE">
        <w:t>PG&amp;E may forecast approximately $7</w:t>
      </w:r>
      <w:r w:rsidR="00920CD1">
        <w:t xml:space="preserve"> million </w:t>
      </w:r>
      <w:r w:rsidRPr="009756FE">
        <w:t xml:space="preserve">in additional </w:t>
      </w:r>
      <w:r w:rsidRPr="004A537A">
        <w:rPr>
          <w:color w:val="000000" w:themeColor="text1"/>
        </w:rPr>
        <w:t>capital</w:t>
      </w:r>
      <w:r w:rsidRPr="009756FE">
        <w:t xml:space="preserve"> expenditures for 2027 and beyond in its 2027 GRC to complete the Upgrade, and </w:t>
      </w:r>
      <w:r w:rsidR="002E0D63">
        <w:t>p</w:t>
      </w:r>
      <w:r w:rsidR="009131A9">
        <w:t>arties</w:t>
      </w:r>
      <w:r w:rsidRPr="009756FE">
        <w:t xml:space="preserve"> are free to object to PG&amp;E’s forecast for 2027 and beyond.</w:t>
      </w:r>
      <w:r w:rsidRPr="009756FE" w:rsidR="00610D20">
        <w:rPr>
          <w:rStyle w:val="FootnoteReference"/>
        </w:rPr>
        <w:footnoteReference w:id="44"/>
      </w:r>
      <w:bookmarkEnd w:id="43"/>
      <w:r w:rsidR="000904D9">
        <w:t xml:space="preserve"> </w:t>
      </w:r>
    </w:p>
    <w:p w:rsidRPr="00CA3806" w:rsidR="00CA3806" w:rsidP="0031738A" w:rsidRDefault="00AA792B" w14:paraId="377EB82B" w14:textId="00F6A0C8">
      <w:pPr>
        <w:pStyle w:val="Standard"/>
        <w:ind w:firstLine="0"/>
      </w:pPr>
      <w:bookmarkStart w:name="_Toc212128389" w:id="44"/>
      <w:bookmarkStart w:name="_Hlk201413956" w:id="45"/>
      <w:bookmarkEnd w:id="22"/>
      <w:r w:rsidRPr="00AA792B">
        <w:t xml:space="preserve">We note for clarity that </w:t>
      </w:r>
      <w:r w:rsidR="004A1E84">
        <w:t>a</w:t>
      </w:r>
      <w:r w:rsidRPr="00AA792B">
        <w:t xml:space="preserve"> factual recital in Settlement Agreement Section 2.13 misstates the effective date of the GAMIMA</w:t>
      </w:r>
      <w:r w:rsidR="0092583B">
        <w:t xml:space="preserve"> as “March 14, </w:t>
      </w:r>
      <w:r w:rsidRPr="0031738A" w:rsidR="0092583B">
        <w:rPr>
          <w:i/>
          <w:iCs/>
        </w:rPr>
        <w:t>20</w:t>
      </w:r>
      <w:r w:rsidRPr="0031738A" w:rsidR="00825072">
        <w:rPr>
          <w:i/>
          <w:iCs/>
        </w:rPr>
        <w:t>14</w:t>
      </w:r>
      <w:r w:rsidRPr="00AA792B">
        <w:t>.</w:t>
      </w:r>
      <w:r w:rsidR="00825072">
        <w:t>”</w:t>
      </w:r>
      <w:r w:rsidRPr="00AA792B">
        <w:t xml:space="preserve">  In D.24-11-010, </w:t>
      </w:r>
      <w:r w:rsidRPr="00AA792B">
        <w:lastRenderedPageBreak/>
        <w:t xml:space="preserve">the Commission authorized creation of Pacific Gas and Electric Company’s GAMIMA with an effective date of March 14, </w:t>
      </w:r>
      <w:r w:rsidRPr="0031738A">
        <w:rPr>
          <w:i/>
          <w:iCs/>
        </w:rPr>
        <w:t>2024</w:t>
      </w:r>
      <w:r w:rsidRPr="00AA792B">
        <w:t>.</w:t>
      </w:r>
    </w:p>
    <w:p w:rsidRPr="00234F59" w:rsidR="009F6222" w:rsidP="0024767C" w:rsidRDefault="000A17EF" w14:paraId="548E8AB4" w14:textId="06C2D28C">
      <w:pPr>
        <w:pStyle w:val="Heading1"/>
        <w:rPr>
          <w:szCs w:val="26"/>
        </w:rPr>
      </w:pPr>
      <w:bookmarkStart w:name="_Toc215555412" w:id="46"/>
      <w:r>
        <w:rPr>
          <w:szCs w:val="26"/>
        </w:rPr>
        <w:t>Discussion</w:t>
      </w:r>
      <w:bookmarkEnd w:id="44"/>
      <w:bookmarkEnd w:id="46"/>
    </w:p>
    <w:bookmarkEnd w:id="45"/>
    <w:p w:rsidR="00935198" w:rsidP="009756FE" w:rsidRDefault="00691ACD" w14:paraId="7E08B16D" w14:textId="77777777">
      <w:pPr>
        <w:pStyle w:val="Standard"/>
        <w:rPr>
          <w:rFonts w:eastAsia="Book Antiqua" w:cs="Book Antiqua"/>
          <w:szCs w:val="26"/>
        </w:rPr>
      </w:pPr>
      <w:r w:rsidRPr="00351BD1">
        <w:t>C</w:t>
      </w:r>
      <w:r w:rsidRPr="00351BD1">
        <w:rPr>
          <w:rFonts w:eastAsia="Book Antiqua" w:cs="Book Antiqua"/>
          <w:szCs w:val="26"/>
        </w:rPr>
        <w:t>alifornia law recognizes “a strong public policy favoring the voluntary settlement of disputes.”</w:t>
      </w:r>
      <w:r w:rsidRPr="006E21B3">
        <w:rPr>
          <w:rStyle w:val="FootnoteReference"/>
          <w:rFonts w:eastAsia="Book Antiqua" w:cs="Book Antiqua"/>
          <w:szCs w:val="26"/>
        </w:rPr>
        <w:footnoteReference w:id="45"/>
      </w:r>
      <w:r w:rsidRPr="00351BD1">
        <w:rPr>
          <w:rFonts w:eastAsia="Book Antiqua" w:cs="Book Antiqua"/>
          <w:szCs w:val="26"/>
        </w:rPr>
        <w:t xml:space="preserve"> </w:t>
      </w:r>
      <w:r w:rsidR="00924219">
        <w:rPr>
          <w:rFonts w:eastAsia="Book Antiqua" w:cs="Book Antiqua"/>
          <w:szCs w:val="26"/>
        </w:rPr>
        <w:t>A</w:t>
      </w:r>
      <w:r w:rsidRPr="00A37B33" w:rsidR="00924219">
        <w:rPr>
          <w:rFonts w:eastAsia="Book Antiqua" w:cs="Book Antiqua"/>
          <w:szCs w:val="26"/>
        </w:rPr>
        <w:t>n adjudicating tribunal must find a proposed settlement agreement satisfies prescribed criteria before deciding upon approval.</w:t>
      </w:r>
      <w:r w:rsidRPr="00A37B33" w:rsidR="00924219">
        <w:rPr>
          <w:rStyle w:val="FootnoteReference"/>
          <w:rFonts w:eastAsia="Book Antiqua" w:cs="Book Antiqua"/>
          <w:szCs w:val="26"/>
        </w:rPr>
        <w:footnoteReference w:id="46"/>
      </w:r>
      <w:r w:rsidRPr="00A37B33" w:rsidR="00924219">
        <w:rPr>
          <w:rFonts w:eastAsia="Book Antiqua" w:cs="Book Antiqua"/>
          <w:szCs w:val="26"/>
        </w:rPr>
        <w:t xml:space="preserve"> </w:t>
      </w:r>
    </w:p>
    <w:p w:rsidR="003F0D10" w:rsidP="009756FE" w:rsidRDefault="002773F8" w14:paraId="728D04FE" w14:textId="76E4840C">
      <w:pPr>
        <w:pStyle w:val="Standard"/>
        <w:rPr>
          <w:rFonts w:eastAsia="Book Antiqua" w:cs="Book Antiqua"/>
          <w:szCs w:val="26"/>
        </w:rPr>
      </w:pPr>
      <w:r>
        <w:rPr>
          <w:rFonts w:eastAsia="Book Antiqua" w:cs="Book Antiqua"/>
          <w:szCs w:val="26"/>
        </w:rPr>
        <w:t xml:space="preserve">The Commission </w:t>
      </w:r>
      <w:r w:rsidR="003108A7">
        <w:rPr>
          <w:rFonts w:eastAsia="Book Antiqua" w:cs="Book Antiqua"/>
          <w:szCs w:val="26"/>
        </w:rPr>
        <w:t>facilitates this</w:t>
      </w:r>
      <w:r>
        <w:rPr>
          <w:rFonts w:eastAsia="Book Antiqua" w:cs="Book Antiqua"/>
          <w:szCs w:val="26"/>
        </w:rPr>
        <w:t xml:space="preserve"> </w:t>
      </w:r>
      <w:r w:rsidR="00935198">
        <w:rPr>
          <w:rFonts w:eastAsia="Book Antiqua" w:cs="Book Antiqua"/>
          <w:szCs w:val="26"/>
        </w:rPr>
        <w:t xml:space="preserve">strong </w:t>
      </w:r>
      <w:r w:rsidR="00CD5EAB">
        <w:rPr>
          <w:rFonts w:eastAsia="Book Antiqua" w:cs="Book Antiqua"/>
          <w:szCs w:val="26"/>
        </w:rPr>
        <w:t>policy</w:t>
      </w:r>
      <w:r w:rsidR="003108A7">
        <w:rPr>
          <w:rFonts w:eastAsia="Book Antiqua" w:cs="Book Antiqua"/>
          <w:szCs w:val="26"/>
        </w:rPr>
        <w:t xml:space="preserve"> </w:t>
      </w:r>
      <w:r w:rsidR="00935198">
        <w:rPr>
          <w:rFonts w:eastAsia="Book Antiqua" w:cs="Book Antiqua"/>
          <w:szCs w:val="26"/>
        </w:rPr>
        <w:t xml:space="preserve">goal </w:t>
      </w:r>
      <w:r w:rsidR="003108A7">
        <w:rPr>
          <w:rFonts w:eastAsia="Book Antiqua" w:cs="Book Antiqua"/>
          <w:szCs w:val="26"/>
        </w:rPr>
        <w:t xml:space="preserve">by considering </w:t>
      </w:r>
      <w:r w:rsidR="00B1649C">
        <w:rPr>
          <w:rFonts w:eastAsia="Book Antiqua" w:cs="Book Antiqua"/>
          <w:szCs w:val="26"/>
        </w:rPr>
        <w:t xml:space="preserve">whether a settlement agreement produces a just outcome </w:t>
      </w:r>
      <w:r w:rsidR="00A956F8">
        <w:rPr>
          <w:rFonts w:eastAsia="Book Antiqua" w:cs="Book Antiqua"/>
          <w:szCs w:val="26"/>
        </w:rPr>
        <w:t>overall</w:t>
      </w:r>
      <w:r w:rsidR="00B1649C">
        <w:rPr>
          <w:rFonts w:eastAsia="Book Antiqua" w:cs="Book Antiqua"/>
          <w:szCs w:val="26"/>
        </w:rPr>
        <w:t>, instead of</w:t>
      </w:r>
      <w:r w:rsidR="00A956F8">
        <w:rPr>
          <w:rFonts w:eastAsia="Book Antiqua" w:cs="Book Antiqua"/>
          <w:szCs w:val="26"/>
        </w:rPr>
        <w:t xml:space="preserve"> </w:t>
      </w:r>
      <w:r w:rsidR="00762E35">
        <w:rPr>
          <w:rFonts w:eastAsia="Book Antiqua" w:cs="Book Antiqua"/>
          <w:szCs w:val="26"/>
        </w:rPr>
        <w:t>focusing on</w:t>
      </w:r>
      <w:r w:rsidR="00A956F8">
        <w:rPr>
          <w:rFonts w:eastAsia="Book Antiqua" w:cs="Book Antiqua"/>
          <w:szCs w:val="26"/>
        </w:rPr>
        <w:t xml:space="preserve"> </w:t>
      </w:r>
      <w:r w:rsidR="003F0D10">
        <w:rPr>
          <w:rFonts w:eastAsia="Book Antiqua" w:cs="Book Antiqua"/>
          <w:szCs w:val="26"/>
        </w:rPr>
        <w:t xml:space="preserve">its </w:t>
      </w:r>
      <w:r w:rsidR="00A956F8">
        <w:rPr>
          <w:rFonts w:eastAsia="Book Antiqua" w:cs="Book Antiqua"/>
          <w:szCs w:val="26"/>
        </w:rPr>
        <w:t xml:space="preserve">individual terms: </w:t>
      </w:r>
      <w:r w:rsidR="00B1649C">
        <w:rPr>
          <w:rFonts w:eastAsia="Book Antiqua" w:cs="Book Antiqua"/>
          <w:szCs w:val="26"/>
        </w:rPr>
        <w:t xml:space="preserve"> </w:t>
      </w:r>
      <w:r w:rsidR="00021350">
        <w:rPr>
          <w:rFonts w:eastAsia="Book Antiqua" w:cs="Book Antiqua"/>
          <w:szCs w:val="26"/>
        </w:rPr>
        <w:t xml:space="preserve"> </w:t>
      </w:r>
    </w:p>
    <w:p w:rsidR="00222FAF" w:rsidP="008E4DD9" w:rsidRDefault="00144652" w14:paraId="26361475" w14:textId="270580A8">
      <w:pPr>
        <w:pStyle w:val="BlockQuote"/>
      </w:pPr>
      <w:r>
        <w:t xml:space="preserve">In assessing settlements, we consider individual settlement provisions but, in light of strong public policy favoring settlements, </w:t>
      </w:r>
      <w:r w:rsidRPr="00845730">
        <w:rPr>
          <w:i/>
          <w:iCs/>
        </w:rPr>
        <w:t>we do not base our conclusion on whether any single provision is the optimal result</w:t>
      </w:r>
      <w:r>
        <w:t>.</w:t>
      </w:r>
      <w:r w:rsidR="008E73C0">
        <w:t xml:space="preserve"> Rather we determine </w:t>
      </w:r>
      <w:r w:rsidRPr="00845730" w:rsidR="008E73C0">
        <w:rPr>
          <w:i/>
          <w:iCs/>
        </w:rPr>
        <w:t>whether the settlement as a whole produces a just and reasonable outcome</w:t>
      </w:r>
      <w:r w:rsidR="008E73C0">
        <w:t>.</w:t>
      </w:r>
      <w:r w:rsidR="008E73C0">
        <w:rPr>
          <w:rStyle w:val="FootnoteReference"/>
          <w:rFonts w:eastAsia="Book Antiqua" w:cs="Book Antiqua"/>
          <w:szCs w:val="26"/>
        </w:rPr>
        <w:footnoteReference w:id="47"/>
      </w:r>
    </w:p>
    <w:p w:rsidR="00691ACD" w:rsidP="008E4DD9" w:rsidRDefault="002B6230" w14:paraId="31EB0FED" w14:textId="37AAC0F0">
      <w:pPr>
        <w:pStyle w:val="Standard"/>
        <w:spacing w:before="180"/>
        <w:rPr>
          <w:rFonts w:eastAsia="Book Antiqua" w:cs="Book Antiqua"/>
          <w:szCs w:val="26"/>
        </w:rPr>
      </w:pPr>
      <w:r w:rsidRPr="00A37B33">
        <w:rPr>
          <w:rFonts w:eastAsia="Book Antiqua" w:cs="Book Antiqua"/>
          <w:szCs w:val="26"/>
        </w:rPr>
        <w:t xml:space="preserve">Rule 12.1(d) establishes the Commission’s requirements to evaluate and approve a proposed Settlement Agreement. Rule 12.1(d) provides that a </w:t>
      </w:r>
      <w:r w:rsidRPr="00A37B33">
        <w:rPr>
          <w:rFonts w:eastAsia="Book Antiqua" w:cs="Book Antiqua"/>
          <w:szCs w:val="26"/>
        </w:rPr>
        <w:lastRenderedPageBreak/>
        <w:t>proposed settlement may be approved if the Commission finds it to be (1) reasonable in light of the whole record, (2) consistent with the law, and (3) in the public interest.</w:t>
      </w:r>
      <w:r w:rsidRPr="00A37B33">
        <w:rPr>
          <w:rStyle w:val="FootnoteReference"/>
          <w:rFonts w:eastAsia="Book Antiqua" w:cs="Book Antiqua"/>
          <w:szCs w:val="26"/>
        </w:rPr>
        <w:footnoteReference w:id="48"/>
      </w:r>
    </w:p>
    <w:p w:rsidR="00FF4D4D" w:rsidP="009756FE" w:rsidRDefault="009756FE" w14:paraId="23BD7124" w14:textId="31A7BB8E">
      <w:pPr>
        <w:pStyle w:val="Standard"/>
      </w:pPr>
      <w:r>
        <w:t xml:space="preserve">The Settling Parties contend that the </w:t>
      </w:r>
      <w:r w:rsidR="00B167D1">
        <w:t>Settlement Agreement</w:t>
      </w:r>
      <w:r w:rsidR="00FF0209">
        <w:t xml:space="preserve"> </w:t>
      </w:r>
      <w:r w:rsidR="004C6C90">
        <w:t xml:space="preserve">terms </w:t>
      </w:r>
      <w:r w:rsidR="00FF0209">
        <w:t xml:space="preserve">comprehensively </w:t>
      </w:r>
      <w:r w:rsidR="00B167D1">
        <w:t xml:space="preserve">address </w:t>
      </w:r>
      <w:r w:rsidR="00FF0209">
        <w:t xml:space="preserve">and resolve </w:t>
      </w:r>
      <w:r w:rsidR="00B167D1">
        <w:t>all of the Scoping Memo’s contested issues</w:t>
      </w:r>
      <w:r w:rsidR="00060200">
        <w:t>.</w:t>
      </w:r>
      <w:r w:rsidR="00B167D1">
        <w:t xml:space="preserve"> </w:t>
      </w:r>
      <w:r w:rsidR="009062A3">
        <w:t xml:space="preserve">The Settling Parties also provided subsequent </w:t>
      </w:r>
      <w:r w:rsidR="00073B57">
        <w:t>S</w:t>
      </w:r>
      <w:r w:rsidR="009062A3">
        <w:t xml:space="preserve">upplemental </w:t>
      </w:r>
      <w:r w:rsidR="00136A9C">
        <w:t>Statement</w:t>
      </w:r>
      <w:r w:rsidR="0012657F">
        <w:t>s</w:t>
      </w:r>
      <w:r w:rsidR="00136A9C">
        <w:t xml:space="preserve"> </w:t>
      </w:r>
      <w:r w:rsidR="006A635F">
        <w:t>sh</w:t>
      </w:r>
      <w:r w:rsidR="00B81AA5">
        <w:t>owing that no</w:t>
      </w:r>
      <w:r w:rsidR="00B167D1">
        <w:t xml:space="preserve"> </w:t>
      </w:r>
      <w:r w:rsidR="00AF0892">
        <w:t xml:space="preserve">disputed </w:t>
      </w:r>
      <w:r w:rsidR="00B167D1">
        <w:t>issue remain</w:t>
      </w:r>
      <w:r w:rsidR="00165D7A">
        <w:t>s</w:t>
      </w:r>
      <w:r w:rsidR="00B167D1">
        <w:t xml:space="preserve"> for the Commission to adjudicate in this proceeding. </w:t>
      </w:r>
      <w:r w:rsidR="00333366">
        <w:t>Therefore</w:t>
      </w:r>
      <w:r w:rsidR="00B167D1">
        <w:t>, our review moves to the adoption of the proposed Settlement Agreement</w:t>
      </w:r>
      <w:r w:rsidR="00DE2B4F">
        <w:t xml:space="preserve"> </w:t>
      </w:r>
      <w:r w:rsidR="34DBE2CE">
        <w:t>Rule 12.1(d)</w:t>
      </w:r>
      <w:r w:rsidR="3565E682">
        <w:t xml:space="preserve">. </w:t>
      </w:r>
      <w:r w:rsidR="00DE2B4F">
        <w:t>For the reasons below</w:t>
      </w:r>
      <w:r w:rsidR="3565E682">
        <w:t xml:space="preserve">, the </w:t>
      </w:r>
      <w:r w:rsidR="3878D23A">
        <w:t xml:space="preserve">Joint </w:t>
      </w:r>
      <w:r w:rsidR="3565E682">
        <w:t>Motion is granted and the Settlement Agreement is approved and adopted.</w:t>
      </w:r>
    </w:p>
    <w:p w:rsidRPr="00234F59" w:rsidR="003016B6" w:rsidRDefault="00A944E7" w14:paraId="68DBF940" w14:textId="324B899A">
      <w:pPr>
        <w:pStyle w:val="Heading2"/>
        <w:rPr>
          <w:bCs/>
        </w:rPr>
      </w:pPr>
      <w:bookmarkStart w:name="_Toc156567983" w:id="47"/>
      <w:bookmarkStart w:name="_Toc177379447" w:id="48"/>
      <w:bookmarkStart w:name="_Toc212128390" w:id="49"/>
      <w:bookmarkStart w:name="_Toc215555413" w:id="50"/>
      <w:r>
        <w:rPr>
          <w:rFonts w:eastAsia="Cambria"/>
        </w:rPr>
        <w:t>Reasonable Res</w:t>
      </w:r>
      <w:r w:rsidRPr="003A2EBD">
        <w:rPr>
          <w:rFonts w:eastAsia="Cambria"/>
        </w:rPr>
        <w:t>olution of Issues</w:t>
      </w:r>
      <w:r w:rsidRPr="00234F59">
        <w:rPr>
          <w:w w:val="105"/>
        </w:rPr>
        <w:t xml:space="preserve"> </w:t>
      </w:r>
      <w:r w:rsidRPr="00234F59" w:rsidR="6C427BBC">
        <w:rPr>
          <w:w w:val="105"/>
        </w:rPr>
        <w:t>In Light of the Whole Record</w:t>
      </w:r>
      <w:bookmarkEnd w:id="47"/>
      <w:bookmarkEnd w:id="48"/>
      <w:bookmarkEnd w:id="49"/>
      <w:bookmarkEnd w:id="50"/>
    </w:p>
    <w:p w:rsidR="001F17E6" w:rsidRDefault="005933E1" w14:paraId="668A4627" w14:textId="2D91B994">
      <w:pPr>
        <w:pStyle w:val="Standard"/>
        <w:rPr>
          <w:rFonts w:eastAsia="Cambria" w:cs="Cambria"/>
          <w:w w:val="105"/>
        </w:rPr>
      </w:pPr>
      <w:r>
        <w:rPr>
          <w:rFonts w:eastAsia="Cambria" w:cs="Cambria"/>
        </w:rPr>
        <w:t>T</w:t>
      </w:r>
      <w:r w:rsidRPr="475A0C90">
        <w:rPr>
          <w:rFonts w:eastAsia="Cambria" w:cs="Cambria"/>
          <w:w w:val="105"/>
        </w:rPr>
        <w:t xml:space="preserve">he Settlement Agreement </w:t>
      </w:r>
      <w:r w:rsidRPr="475A0C90">
        <w:rPr>
          <w:rFonts w:eastAsia="Cambria" w:cs="Cambria"/>
        </w:rPr>
        <w:t>is</w:t>
      </w:r>
      <w:r w:rsidRPr="475A0C90">
        <w:rPr>
          <w:rFonts w:eastAsia="Cambria" w:cs="Cambria"/>
          <w:w w:val="105"/>
        </w:rPr>
        <w:t xml:space="preserve"> reasonable in light of the whole record.</w:t>
      </w:r>
      <w:r>
        <w:rPr>
          <w:rFonts w:eastAsia="Cambria" w:cs="Cambria"/>
          <w:w w:val="105"/>
        </w:rPr>
        <w:t xml:space="preserve"> </w:t>
      </w:r>
      <w:r w:rsidR="00295B30">
        <w:rPr>
          <w:rFonts w:eastAsia="Cambria" w:cs="Cambria"/>
          <w:w w:val="105"/>
        </w:rPr>
        <w:t xml:space="preserve">The record </w:t>
      </w:r>
      <w:r w:rsidR="00365744">
        <w:rPr>
          <w:rFonts w:eastAsia="Cambria" w:cs="Cambria"/>
          <w:w w:val="105"/>
        </w:rPr>
        <w:t>of this proceeding shows</w:t>
      </w:r>
      <w:r w:rsidR="003F0C49">
        <w:rPr>
          <w:rFonts w:eastAsia="Cambria" w:cs="Cambria"/>
          <w:w w:val="105"/>
        </w:rPr>
        <w:t xml:space="preserve"> </w:t>
      </w:r>
      <w:r w:rsidR="00557158">
        <w:rPr>
          <w:rFonts w:eastAsia="Cambria" w:cs="Cambria"/>
          <w:w w:val="105"/>
        </w:rPr>
        <w:t xml:space="preserve">that the Settlement Agreement was achieved </w:t>
      </w:r>
      <w:r w:rsidR="00EF02CE">
        <w:rPr>
          <w:rFonts w:eastAsia="Cambria" w:cs="Cambria"/>
          <w:w w:val="105"/>
        </w:rPr>
        <w:t>a</w:t>
      </w:r>
      <w:r w:rsidR="005746AB">
        <w:rPr>
          <w:rFonts w:eastAsia="Cambria" w:cs="Cambria"/>
          <w:w w:val="105"/>
        </w:rPr>
        <w:t>s</w:t>
      </w:r>
      <w:r w:rsidR="00EF02CE">
        <w:rPr>
          <w:rFonts w:eastAsia="Cambria" w:cs="Cambria"/>
          <w:w w:val="105"/>
        </w:rPr>
        <w:t xml:space="preserve"> result of </w:t>
      </w:r>
      <w:r w:rsidR="003F0C49">
        <w:rPr>
          <w:rFonts w:eastAsia="Cambria" w:cs="Cambria"/>
          <w:w w:val="105"/>
        </w:rPr>
        <w:t xml:space="preserve">zealous advocacy </w:t>
      </w:r>
      <w:r w:rsidR="00EF02CE">
        <w:rPr>
          <w:rFonts w:eastAsia="Cambria" w:cs="Cambria"/>
          <w:w w:val="105"/>
        </w:rPr>
        <w:t xml:space="preserve">and arm’s length </w:t>
      </w:r>
      <w:r w:rsidR="009D06F4">
        <w:rPr>
          <w:rFonts w:eastAsia="Cambria" w:cs="Cambria"/>
          <w:w w:val="105"/>
        </w:rPr>
        <w:t>negotiation</w:t>
      </w:r>
      <w:r w:rsidR="005746AB">
        <w:rPr>
          <w:rFonts w:eastAsia="Cambria" w:cs="Cambria"/>
          <w:w w:val="105"/>
        </w:rPr>
        <w:t>s</w:t>
      </w:r>
      <w:r w:rsidR="009D06F4">
        <w:rPr>
          <w:rFonts w:eastAsia="Cambria" w:cs="Cambria"/>
          <w:w w:val="105"/>
        </w:rPr>
        <w:t xml:space="preserve"> </w:t>
      </w:r>
      <w:r w:rsidR="003F0C49">
        <w:rPr>
          <w:rFonts w:eastAsia="Cambria" w:cs="Cambria"/>
          <w:w w:val="105"/>
        </w:rPr>
        <w:t xml:space="preserve">by </w:t>
      </w:r>
      <w:r w:rsidR="002B3561">
        <w:rPr>
          <w:rFonts w:eastAsia="Cambria" w:cs="Cambria"/>
          <w:w w:val="105"/>
        </w:rPr>
        <w:t xml:space="preserve">sophisticated </w:t>
      </w:r>
      <w:r w:rsidR="00B61A17">
        <w:rPr>
          <w:rFonts w:eastAsia="Cambria" w:cs="Cambria"/>
          <w:w w:val="105"/>
        </w:rPr>
        <w:t xml:space="preserve">counsel </w:t>
      </w:r>
      <w:r w:rsidR="00A8664D">
        <w:rPr>
          <w:rFonts w:eastAsia="Cambria" w:cs="Cambria"/>
          <w:w w:val="105"/>
        </w:rPr>
        <w:t>for</w:t>
      </w:r>
      <w:r w:rsidR="00B61A17">
        <w:rPr>
          <w:rFonts w:eastAsia="Cambria" w:cs="Cambria"/>
          <w:w w:val="105"/>
        </w:rPr>
        <w:t xml:space="preserve"> </w:t>
      </w:r>
      <w:r w:rsidR="00DC11ED">
        <w:rPr>
          <w:rFonts w:eastAsia="Cambria" w:cs="Cambria"/>
          <w:w w:val="105"/>
        </w:rPr>
        <w:t xml:space="preserve">PG&amp;E and </w:t>
      </w:r>
      <w:r w:rsidR="00EF02CE">
        <w:rPr>
          <w:rFonts w:eastAsia="Cambria" w:cs="Cambria"/>
          <w:w w:val="105"/>
        </w:rPr>
        <w:t xml:space="preserve">for </w:t>
      </w:r>
      <w:r w:rsidR="007266FE">
        <w:rPr>
          <w:rFonts w:eastAsia="Cambria" w:cs="Cambria"/>
          <w:w w:val="105"/>
        </w:rPr>
        <w:t>ratepayer advo</w:t>
      </w:r>
      <w:r w:rsidR="002B3561">
        <w:rPr>
          <w:rFonts w:eastAsia="Cambria" w:cs="Cambria"/>
          <w:w w:val="105"/>
        </w:rPr>
        <w:t xml:space="preserve">cacy </w:t>
      </w:r>
      <w:r w:rsidR="004E4FF5">
        <w:rPr>
          <w:rFonts w:eastAsia="Cambria" w:cs="Cambria"/>
          <w:w w:val="105"/>
        </w:rPr>
        <w:t>entities</w:t>
      </w:r>
      <w:r w:rsidR="002B3561">
        <w:rPr>
          <w:rFonts w:eastAsia="Cambria" w:cs="Cambria"/>
          <w:w w:val="105"/>
        </w:rPr>
        <w:t xml:space="preserve"> </w:t>
      </w:r>
      <w:r w:rsidR="007266FE">
        <w:rPr>
          <w:rFonts w:eastAsia="Cambria" w:cs="Cambria"/>
          <w:w w:val="105"/>
        </w:rPr>
        <w:t xml:space="preserve">throughout this proceeding. </w:t>
      </w:r>
      <w:r w:rsidR="003F0C49">
        <w:rPr>
          <w:rFonts w:eastAsia="Cambria" w:cs="Cambria"/>
          <w:w w:val="105"/>
        </w:rPr>
        <w:t xml:space="preserve"> </w:t>
      </w:r>
    </w:p>
    <w:p w:rsidR="00485C88" w:rsidP="006E21B3" w:rsidRDefault="094557B4" w14:paraId="43BCA90E" w14:textId="6F67BEB6">
      <w:pPr>
        <w:pStyle w:val="Standard"/>
      </w:pPr>
      <w:r>
        <w:t xml:space="preserve">The record shows that </w:t>
      </w:r>
      <w:r w:rsidR="66F748AC">
        <w:t xml:space="preserve">PG&amp;E filed its present Application </w:t>
      </w:r>
      <w:r w:rsidR="1CCDD14D">
        <w:t xml:space="preserve">pursuant </w:t>
      </w:r>
      <w:r w:rsidR="23610D9A">
        <w:t xml:space="preserve">to </w:t>
      </w:r>
      <w:r w:rsidR="7DCE03A3">
        <w:t xml:space="preserve">our grant of </w:t>
      </w:r>
      <w:r w:rsidR="1CCDD14D">
        <w:t xml:space="preserve">authority </w:t>
      </w:r>
      <w:r w:rsidR="44419C54">
        <w:t xml:space="preserve">in </w:t>
      </w:r>
      <w:r w:rsidR="1CCDD14D">
        <w:t>D.23-11-069</w:t>
      </w:r>
      <w:r w:rsidR="40BAD29B">
        <w:t xml:space="preserve">. </w:t>
      </w:r>
      <w:r w:rsidR="3CB4450C">
        <w:t xml:space="preserve">This Application </w:t>
      </w:r>
      <w:r w:rsidR="080857AE">
        <w:t>prompt</w:t>
      </w:r>
      <w:r w:rsidR="3CB4450C">
        <w:t>ed</w:t>
      </w:r>
      <w:r w:rsidR="080857AE">
        <w:t xml:space="preserve"> the fil</w:t>
      </w:r>
      <w:r w:rsidR="382176D3">
        <w:t>ing</w:t>
      </w:r>
      <w:r w:rsidR="7F00FFA3">
        <w:t xml:space="preserve"> of the other Settling Parties’ </w:t>
      </w:r>
      <w:r w:rsidR="080857AE">
        <w:t>Responses</w:t>
      </w:r>
      <w:r w:rsidR="3D1295CD">
        <w:t xml:space="preserve">, </w:t>
      </w:r>
      <w:r w:rsidR="080857AE">
        <w:t>Protests</w:t>
      </w:r>
      <w:r w:rsidR="795CD087">
        <w:t>, and testimony</w:t>
      </w:r>
      <w:r w:rsidR="7A9DF7A5">
        <w:t xml:space="preserve"> identifying contested issues.</w:t>
      </w:r>
      <w:r w:rsidRPr="00C71EC6" w:rsidR="00C71EC6">
        <w:t xml:space="preserve"> </w:t>
      </w:r>
      <w:r w:rsidR="00C71EC6">
        <w:t>In</w:t>
      </w:r>
      <w:r w:rsidRPr="475A0C90" w:rsidR="00C71EC6">
        <w:rPr>
          <w:rFonts w:eastAsia="Cambria" w:cs="Cambria"/>
          <w:color w:val="000000" w:themeColor="text1"/>
          <w:w w:val="105"/>
        </w:rPr>
        <w:t xml:space="preserve"> the course of </w:t>
      </w:r>
      <w:r w:rsidR="00C71EC6">
        <w:rPr>
          <w:rFonts w:eastAsia="Cambria" w:cs="Cambria"/>
          <w:color w:val="000000" w:themeColor="text1"/>
          <w:w w:val="105"/>
        </w:rPr>
        <w:t>this proceeding</w:t>
      </w:r>
      <w:r w:rsidRPr="7EC17AD4" w:rsidR="00C71EC6">
        <w:rPr>
          <w:rFonts w:eastAsia="Cambria" w:cs="Cambria"/>
          <w:color w:val="000000" w:themeColor="text1"/>
        </w:rPr>
        <w:t>,</w:t>
      </w:r>
      <w:r w:rsidRPr="475A0C90" w:rsidR="00C71EC6">
        <w:rPr>
          <w:rFonts w:eastAsia="Cambria" w:cs="Cambria"/>
          <w:color w:val="000000" w:themeColor="text1"/>
          <w:w w:val="105"/>
        </w:rPr>
        <w:t xml:space="preserve"> PG&amp;E (1) prepared six chapters of testimony detailing the updated scope of work, proposed capital and expense forecasts, and proposed cost recovery for the Application</w:t>
      </w:r>
      <w:r w:rsidR="00C71EC6">
        <w:rPr>
          <w:rFonts w:eastAsia="Cambria" w:cs="Cambria"/>
          <w:color w:val="000000" w:themeColor="text1"/>
          <w:w w:val="105"/>
        </w:rPr>
        <w:t>;</w:t>
      </w:r>
      <w:r w:rsidRPr="475A0C90" w:rsidR="00C71EC6">
        <w:rPr>
          <w:rFonts w:eastAsia="Cambria" w:cs="Cambria"/>
          <w:color w:val="000000" w:themeColor="text1"/>
          <w:w w:val="105"/>
        </w:rPr>
        <w:t xml:space="preserve"> (2) submitted nearly 120 pages of work papers including details supporting the </w:t>
      </w:r>
      <w:r w:rsidRPr="475A0C90" w:rsidR="00C71EC6">
        <w:rPr>
          <w:rFonts w:eastAsia="Cambria" w:cs="Cambria"/>
          <w:color w:val="000000" w:themeColor="text1"/>
          <w:w w:val="105"/>
        </w:rPr>
        <w:lastRenderedPageBreak/>
        <w:t>scope of work and cost forecasts</w:t>
      </w:r>
      <w:r w:rsidR="00C71EC6">
        <w:rPr>
          <w:rFonts w:eastAsia="Cambria" w:cs="Cambria"/>
          <w:color w:val="000000" w:themeColor="text1"/>
          <w:w w:val="105"/>
        </w:rPr>
        <w:t>;</w:t>
      </w:r>
      <w:r w:rsidRPr="475A0C90" w:rsidR="00C71EC6">
        <w:rPr>
          <w:rFonts w:eastAsia="Cambria" w:cs="Cambria"/>
          <w:color w:val="000000" w:themeColor="text1"/>
          <w:w w:val="105"/>
        </w:rPr>
        <w:t xml:space="preserve"> (3) responded to over 200 data requests from the </w:t>
      </w:r>
      <w:r w:rsidR="00C71EC6">
        <w:t>ratepayer advocate parties;</w:t>
      </w:r>
      <w:r w:rsidRPr="475A0C90" w:rsidR="00C71EC6">
        <w:rPr>
          <w:rFonts w:eastAsia="Cambria" w:cs="Cambria"/>
          <w:color w:val="000000" w:themeColor="text1"/>
          <w:w w:val="105"/>
        </w:rPr>
        <w:t xml:space="preserve"> and (4) participated in several informal technical meetings</w:t>
      </w:r>
      <w:r w:rsidRPr="005F12D2" w:rsidR="00C71EC6">
        <w:rPr>
          <w:rFonts w:eastAsia="Cambria" w:cs="Cambria"/>
          <w:color w:val="000000" w:themeColor="text1"/>
          <w:w w:val="105"/>
        </w:rPr>
        <w:t xml:space="preserve"> </w:t>
      </w:r>
      <w:r w:rsidR="00C71EC6">
        <w:rPr>
          <w:rFonts w:eastAsia="Cambria" w:cs="Cambria"/>
          <w:color w:val="000000" w:themeColor="text1"/>
          <w:w w:val="105"/>
        </w:rPr>
        <w:t>to arrive at the Settlement Agreement.</w:t>
      </w:r>
      <w:r w:rsidRPr="475A0C90" w:rsidR="00C71EC6">
        <w:rPr>
          <w:rStyle w:val="FootnoteReference"/>
          <w:rFonts w:eastAsia="Cambria" w:cs="Cambria"/>
          <w:color w:val="000000" w:themeColor="text1"/>
          <w:w w:val="105"/>
        </w:rPr>
        <w:footnoteReference w:id="49"/>
      </w:r>
    </w:p>
    <w:p w:rsidR="00DC531A" w:rsidP="009B2226" w:rsidRDefault="00DC531A" w14:paraId="00665468" w14:textId="6DCEAD7E">
      <w:pPr>
        <w:pStyle w:val="Standard"/>
      </w:pPr>
      <w:r>
        <w:t xml:space="preserve">The proceeding record establishes that </w:t>
      </w:r>
      <w:r w:rsidRPr="009B2226">
        <w:t>Scoping</w:t>
      </w:r>
      <w:r>
        <w:t xml:space="preserve"> Memo </w:t>
      </w:r>
      <w:r w:rsidR="00E938E9">
        <w:t>Issue</w:t>
      </w:r>
      <w:r>
        <w:t xml:space="preserve"> 1 was resolved by the issuance of our interim decision </w:t>
      </w:r>
      <w:r w:rsidRPr="00955921">
        <w:t>D</w:t>
      </w:r>
      <w:r>
        <w:t>.</w:t>
      </w:r>
      <w:r w:rsidRPr="00955921">
        <w:t>24</w:t>
      </w:r>
      <w:r>
        <w:t>-</w:t>
      </w:r>
      <w:r w:rsidRPr="00955921">
        <w:t>11</w:t>
      </w:r>
      <w:r>
        <w:t>-</w:t>
      </w:r>
      <w:r w:rsidRPr="00955921">
        <w:t>010</w:t>
      </w:r>
      <w:r>
        <w:t>,</w:t>
      </w:r>
      <w:r w:rsidRPr="00955921">
        <w:t xml:space="preserve"> </w:t>
      </w:r>
      <w:r>
        <w:t>a</w:t>
      </w:r>
      <w:r w:rsidRPr="00955921">
        <w:t xml:space="preserve">uthorizing </w:t>
      </w:r>
      <w:r>
        <w:t>e</w:t>
      </w:r>
      <w:r w:rsidRPr="00955921">
        <w:t xml:space="preserve">stablishment </w:t>
      </w:r>
      <w:r>
        <w:t>o</w:t>
      </w:r>
      <w:r w:rsidRPr="00955921">
        <w:t xml:space="preserve">f </w:t>
      </w:r>
      <w:r>
        <w:t>a</w:t>
      </w:r>
      <w:r w:rsidRPr="00955921">
        <w:t xml:space="preserve"> </w:t>
      </w:r>
      <w:r>
        <w:t>m</w:t>
      </w:r>
      <w:r w:rsidRPr="00955921">
        <w:t xml:space="preserve">emorandum </w:t>
      </w:r>
      <w:r>
        <w:t>a</w:t>
      </w:r>
      <w:r w:rsidRPr="00955921">
        <w:t xml:space="preserve">ccount </w:t>
      </w:r>
      <w:r>
        <w:t>e</w:t>
      </w:r>
      <w:r w:rsidRPr="00955921">
        <w:t>ffective March 14, 2024. </w:t>
      </w:r>
      <w:r>
        <w:t xml:space="preserve"> </w:t>
      </w:r>
      <w:r w:rsidRPr="009756FE">
        <w:t xml:space="preserve">  </w:t>
      </w:r>
    </w:p>
    <w:p w:rsidR="0053108B" w:rsidP="00DC531A" w:rsidRDefault="00DC531A" w14:paraId="15A5E019" w14:textId="3D9D9F97">
      <w:pPr>
        <w:pStyle w:val="Standard"/>
      </w:pPr>
      <w:r w:rsidRPr="009756FE">
        <w:t xml:space="preserve">The </w:t>
      </w:r>
      <w:r>
        <w:t xml:space="preserve">proceeding record shows that the Settling Parties addressed and </w:t>
      </w:r>
      <w:r w:rsidR="00B07B5F">
        <w:t xml:space="preserve">reasonably </w:t>
      </w:r>
      <w:r>
        <w:t xml:space="preserve">resolved </w:t>
      </w:r>
      <w:r w:rsidR="00B07B5F">
        <w:t>the</w:t>
      </w:r>
      <w:r>
        <w:t xml:space="preserve"> remaining Scoping Memo </w:t>
      </w:r>
      <w:r w:rsidR="00E938E9">
        <w:t>Issues</w:t>
      </w:r>
      <w:r>
        <w:t xml:space="preserve"> 2 through 11 in this proceeding.</w:t>
      </w:r>
      <w:r w:rsidR="00C818CA">
        <w:t xml:space="preserve"> </w:t>
      </w:r>
      <w:r w:rsidR="00B80D10">
        <w:t xml:space="preserve">Below </w:t>
      </w:r>
      <w:r w:rsidR="00CA6BEE">
        <w:t>w</w:t>
      </w:r>
      <w:r w:rsidR="008E7512">
        <w:t xml:space="preserve">e address the reasonableness of the Settlement Agreement’s resolution of </w:t>
      </w:r>
      <w:r w:rsidR="00864B6B">
        <w:t xml:space="preserve">Scoping Memo </w:t>
      </w:r>
      <w:r w:rsidR="008544E6">
        <w:t xml:space="preserve">Issues 2-6, </w:t>
      </w:r>
      <w:r w:rsidR="00E938E9">
        <w:t>Issues</w:t>
      </w:r>
      <w:r w:rsidR="00864B6B">
        <w:t xml:space="preserve"> 7-9, </w:t>
      </w:r>
      <w:r w:rsidR="0053108B">
        <w:t xml:space="preserve">and </w:t>
      </w:r>
      <w:r w:rsidR="00E938E9">
        <w:t>Issues</w:t>
      </w:r>
      <w:r w:rsidR="0053108B">
        <w:t xml:space="preserve"> 10-11</w:t>
      </w:r>
      <w:r w:rsidR="00F84190">
        <w:t xml:space="preserve"> in light of the record</w:t>
      </w:r>
      <w:r w:rsidR="0053108B">
        <w:t>.</w:t>
      </w:r>
    </w:p>
    <w:p w:rsidR="007E5264" w:rsidP="001C04B1" w:rsidRDefault="00D07ADF" w14:paraId="3CA7BDAF" w14:textId="7AE3C920">
      <w:pPr>
        <w:pStyle w:val="Heading3"/>
      </w:pPr>
      <w:bookmarkStart w:name="_Toc215555414" w:id="51"/>
      <w:r w:rsidRPr="00D07ADF">
        <w:rPr>
          <w:bCs/>
        </w:rPr>
        <w:t xml:space="preserve">Issues 2 </w:t>
      </w:r>
      <w:r w:rsidR="000A7902">
        <w:rPr>
          <w:bCs/>
        </w:rPr>
        <w:t>to</w:t>
      </w:r>
      <w:r w:rsidRPr="00D07ADF">
        <w:rPr>
          <w:bCs/>
        </w:rPr>
        <w:t xml:space="preserve"> 6 –</w:t>
      </w:r>
      <w:r>
        <w:rPr>
          <w:bCs/>
        </w:rPr>
        <w:t xml:space="preserve"> </w:t>
      </w:r>
      <w:r w:rsidR="001C04B1">
        <w:t xml:space="preserve">Reasonableness of </w:t>
      </w:r>
      <w:r w:rsidR="00DE0974">
        <w:t xml:space="preserve">Proposed </w:t>
      </w:r>
      <w:r w:rsidR="001C04B1">
        <w:t>Revenue Requirement</w:t>
      </w:r>
      <w:r w:rsidR="001657A7">
        <w:t xml:space="preserve"> and Forecast</w:t>
      </w:r>
      <w:r w:rsidR="00EE283B">
        <w:t>s</w:t>
      </w:r>
      <w:bookmarkEnd w:id="51"/>
    </w:p>
    <w:p w:rsidR="0053108B" w:rsidP="0053108B" w:rsidRDefault="0053108B" w14:paraId="173E44DB" w14:textId="0E624EB6">
      <w:pPr>
        <w:pStyle w:val="Standard"/>
        <w:spacing w:before="180"/>
      </w:pPr>
      <w:r>
        <w:t xml:space="preserve">The record shows that </w:t>
      </w:r>
      <w:r w:rsidRPr="004F0AB5">
        <w:t xml:space="preserve">Scoping Memo </w:t>
      </w:r>
      <w:r w:rsidRPr="004F0AB5" w:rsidR="00E938E9">
        <w:t>Issues</w:t>
      </w:r>
      <w:r w:rsidRPr="004F0AB5">
        <w:t xml:space="preserve"> 2, 3, 4, 5, and 6</w:t>
      </w:r>
      <w:r>
        <w:rPr>
          <w:b/>
          <w:bCs/>
          <w:i/>
          <w:iCs/>
        </w:rPr>
        <w:t xml:space="preserve"> </w:t>
      </w:r>
      <w:r w:rsidRPr="002C42FF">
        <w:t>were</w:t>
      </w:r>
      <w:r>
        <w:rPr>
          <w:b/>
          <w:bCs/>
          <w:i/>
          <w:iCs/>
        </w:rPr>
        <w:t xml:space="preserve"> </w:t>
      </w:r>
      <w:r>
        <w:t xml:space="preserve">raised and resolved reasonably by the Settling Parties throughout this proceeding. </w:t>
      </w:r>
    </w:p>
    <w:p w:rsidRPr="000C4579" w:rsidR="0053108B" w:rsidP="0053108B" w:rsidRDefault="0053108B" w14:paraId="4AE43D01" w14:textId="27E524D5">
      <w:pPr>
        <w:pStyle w:val="Standard"/>
        <w:rPr>
          <w:rFonts w:eastAsia="Cambria" w:cs="Cambria"/>
          <w:w w:val="105"/>
          <w:szCs w:val="26"/>
        </w:rPr>
      </w:pPr>
      <w:r>
        <w:rPr>
          <w:rFonts w:eastAsia="Cambria" w:cs="Cambria"/>
          <w:w w:val="105"/>
          <w:szCs w:val="26"/>
        </w:rPr>
        <w:t>T</w:t>
      </w:r>
      <w:r w:rsidRPr="007A7D3E">
        <w:rPr>
          <w:rFonts w:eastAsia="Cambria" w:cs="Cambria"/>
          <w:w w:val="105"/>
          <w:szCs w:val="26"/>
        </w:rPr>
        <w:t>he Protests and Responses raised objections regarding</w:t>
      </w:r>
      <w:r>
        <w:rPr>
          <w:rFonts w:eastAsia="Cambria" w:cs="Cambria"/>
          <w:w w:val="105"/>
          <w:szCs w:val="26"/>
        </w:rPr>
        <w:t xml:space="preserve"> </w:t>
      </w:r>
      <w:r w:rsidRPr="007A7D3E">
        <w:rPr>
          <w:rFonts w:eastAsia="Cambria" w:cs="Cambria"/>
          <w:w w:val="105"/>
          <w:szCs w:val="26"/>
        </w:rPr>
        <w:t>whether the GAMI Replacement Program cost recovery should be adopted and</w:t>
      </w:r>
      <w:r w:rsidR="0044169C">
        <w:rPr>
          <w:rFonts w:eastAsia="Cambria" w:cs="Cambria"/>
          <w:w w:val="105"/>
          <w:szCs w:val="26"/>
        </w:rPr>
        <w:t>,</w:t>
      </w:r>
      <w:r w:rsidRPr="007A7D3E">
        <w:rPr>
          <w:rFonts w:eastAsia="Cambria" w:cs="Cambria"/>
          <w:w w:val="105"/>
          <w:szCs w:val="26"/>
        </w:rPr>
        <w:t xml:space="preserve"> if so</w:t>
      </w:r>
      <w:r w:rsidR="0044169C">
        <w:rPr>
          <w:rFonts w:eastAsia="Cambria" w:cs="Cambria"/>
          <w:w w:val="105"/>
          <w:szCs w:val="26"/>
        </w:rPr>
        <w:t>,</w:t>
      </w:r>
      <w:r w:rsidRPr="007A7D3E">
        <w:rPr>
          <w:rFonts w:eastAsia="Cambria" w:cs="Cambria"/>
          <w:w w:val="105"/>
          <w:szCs w:val="26"/>
        </w:rPr>
        <w:t xml:space="preserve"> the cost-effectiveness and consequent reasonab</w:t>
      </w:r>
      <w:r>
        <w:rPr>
          <w:rFonts w:eastAsia="Cambria" w:cs="Cambria"/>
          <w:w w:val="105"/>
          <w:szCs w:val="26"/>
        </w:rPr>
        <w:t>leness</w:t>
      </w:r>
      <w:r w:rsidRPr="007A7D3E">
        <w:rPr>
          <w:rFonts w:eastAsia="Cambria" w:cs="Cambria"/>
          <w:w w:val="105"/>
          <w:szCs w:val="26"/>
        </w:rPr>
        <w:t xml:space="preserve"> of PG&amp;E’s proposed GAMI system Upgrade (</w:t>
      </w:r>
      <w:r w:rsidR="00E938E9">
        <w:rPr>
          <w:rFonts w:eastAsia="Cambria" w:cs="Cambria"/>
          <w:w w:val="105"/>
          <w:szCs w:val="26"/>
        </w:rPr>
        <w:t>Issues</w:t>
      </w:r>
      <w:r w:rsidRPr="007A7D3E">
        <w:rPr>
          <w:rFonts w:eastAsia="Cambria" w:cs="Cambria"/>
          <w:w w:val="105"/>
          <w:szCs w:val="26"/>
        </w:rPr>
        <w:t xml:space="preserve"> 5 and 6)</w:t>
      </w:r>
      <w:r>
        <w:rPr>
          <w:rFonts w:eastAsia="Cambria" w:cs="Cambria"/>
          <w:w w:val="105"/>
          <w:szCs w:val="26"/>
        </w:rPr>
        <w:t>.</w:t>
      </w:r>
      <w:r w:rsidRPr="007A7D3E">
        <w:rPr>
          <w:rFonts w:eastAsia="Cambria" w:cs="Cambria"/>
          <w:w w:val="105"/>
          <w:szCs w:val="26"/>
        </w:rPr>
        <w:t xml:space="preserve"> </w:t>
      </w:r>
      <w:r w:rsidRPr="000C4579">
        <w:rPr>
          <w:rFonts w:eastAsia="Cambria" w:cs="Cambria"/>
          <w:w w:val="105"/>
          <w:szCs w:val="26"/>
        </w:rPr>
        <w:t xml:space="preserve"> </w:t>
      </w:r>
    </w:p>
    <w:p w:rsidR="0053108B" w:rsidP="0053108B" w:rsidRDefault="0053108B" w14:paraId="31053917" w14:textId="1CC2B794">
      <w:pPr>
        <w:pStyle w:val="Standard"/>
      </w:pPr>
      <w:r w:rsidRPr="003024A6">
        <w:rPr>
          <w:w w:val="105"/>
        </w:rPr>
        <w:t>PG&amp;E’s Reply to those Protests and Responses argued: (1) the reasonableness of its expense and capital forecasts (</w:t>
      </w:r>
      <w:r w:rsidR="00E938E9">
        <w:rPr>
          <w:w w:val="105"/>
        </w:rPr>
        <w:t>Issue</w:t>
      </w:r>
      <w:r w:rsidRPr="003024A6">
        <w:rPr>
          <w:w w:val="105"/>
        </w:rPr>
        <w:t xml:space="preserve"> 2); (2) </w:t>
      </w:r>
      <w:r w:rsidR="00F1176B">
        <w:rPr>
          <w:w w:val="105"/>
        </w:rPr>
        <w:t xml:space="preserve">the </w:t>
      </w:r>
      <w:r w:rsidR="00B92375">
        <w:rPr>
          <w:w w:val="105"/>
        </w:rPr>
        <w:t xml:space="preserve">reasonableness of </w:t>
      </w:r>
      <w:r w:rsidRPr="003024A6">
        <w:rPr>
          <w:w w:val="105"/>
        </w:rPr>
        <w:t>its revenue requirements for the GAMI Replacement Program (</w:t>
      </w:r>
      <w:r w:rsidR="00E938E9">
        <w:rPr>
          <w:w w:val="105"/>
        </w:rPr>
        <w:t>Issue</w:t>
      </w:r>
      <w:r w:rsidRPr="003024A6">
        <w:rPr>
          <w:w w:val="105"/>
        </w:rPr>
        <w:t xml:space="preserve"> 3), and (3) whether </w:t>
      </w:r>
      <w:r w:rsidRPr="003024A6">
        <w:t>the Commission should authorize PG&amp;E to reflect its proposed 2023-2026 revenue requirement for its GAMI Replacement Program in rates (</w:t>
      </w:r>
      <w:r w:rsidR="00E938E9">
        <w:t>Issue</w:t>
      </w:r>
      <w:r w:rsidRPr="003024A6">
        <w:t xml:space="preserve"> 4). </w:t>
      </w:r>
    </w:p>
    <w:p w:rsidR="0053108B" w:rsidP="0053108B" w:rsidRDefault="004F0AB5" w14:paraId="4BDA7819" w14:textId="51BDB6B2">
      <w:pPr>
        <w:pStyle w:val="Standard"/>
        <w:spacing w:before="180"/>
      </w:pPr>
      <w:r>
        <w:rPr>
          <w:rFonts w:eastAsia="Cambria" w:cs="Cambria"/>
          <w:w w:val="105"/>
          <w:szCs w:val="26"/>
        </w:rPr>
        <w:lastRenderedPageBreak/>
        <w:t>T</w:t>
      </w:r>
      <w:r w:rsidRPr="003024A6" w:rsidR="0053108B">
        <w:rPr>
          <w:rFonts w:eastAsia="Cambria" w:cs="Cambria"/>
          <w:w w:val="105"/>
          <w:szCs w:val="26"/>
        </w:rPr>
        <w:t>he record establishes that the Settling Parties’ respective testimon</w:t>
      </w:r>
      <w:r w:rsidR="00EA307A">
        <w:rPr>
          <w:rFonts w:eastAsia="Cambria" w:cs="Cambria"/>
          <w:w w:val="105"/>
          <w:szCs w:val="26"/>
        </w:rPr>
        <w:t>y</w:t>
      </w:r>
      <w:r w:rsidRPr="003024A6" w:rsidR="0053108B">
        <w:rPr>
          <w:rFonts w:eastAsia="Cambria" w:cs="Cambria"/>
          <w:w w:val="105"/>
          <w:szCs w:val="26"/>
        </w:rPr>
        <w:t xml:space="preserve"> and negotiations resulted in PG&amp;E </w:t>
      </w:r>
      <w:r w:rsidR="00D16798">
        <w:rPr>
          <w:rFonts w:eastAsia="Cambria" w:cs="Cambria"/>
          <w:w w:val="105"/>
          <w:szCs w:val="26"/>
        </w:rPr>
        <w:t xml:space="preserve">reducing </w:t>
      </w:r>
      <w:r w:rsidRPr="003024A6" w:rsidR="0053108B">
        <w:rPr>
          <w:rFonts w:eastAsia="Cambria" w:cs="Cambria"/>
          <w:w w:val="105"/>
          <w:szCs w:val="26"/>
        </w:rPr>
        <w:t xml:space="preserve">its initial </w:t>
      </w:r>
      <w:r w:rsidR="00ED7AA1">
        <w:rPr>
          <w:rFonts w:eastAsia="Cambria" w:cs="Cambria"/>
          <w:w w:val="105"/>
          <w:szCs w:val="26"/>
        </w:rPr>
        <w:t>total forecast from $496</w:t>
      </w:r>
      <w:r w:rsidR="00F933D0">
        <w:rPr>
          <w:rFonts w:eastAsia="Cambria" w:cs="Cambria"/>
          <w:w w:val="105"/>
          <w:szCs w:val="26"/>
        </w:rPr>
        <w:t xml:space="preserve">.2 million to $424 million </w:t>
      </w:r>
      <w:r w:rsidR="00D343E9">
        <w:rPr>
          <w:rFonts w:eastAsia="Cambria" w:cs="Cambria"/>
          <w:w w:val="105"/>
          <w:szCs w:val="26"/>
        </w:rPr>
        <w:t>(</w:t>
      </w:r>
      <w:r w:rsidR="00F933D0">
        <w:rPr>
          <w:rFonts w:eastAsia="Cambria" w:cs="Cambria"/>
          <w:w w:val="105"/>
          <w:szCs w:val="26"/>
        </w:rPr>
        <w:t>a 14.6% decrease</w:t>
      </w:r>
      <w:r w:rsidR="00D343E9">
        <w:rPr>
          <w:rFonts w:eastAsia="Cambria" w:cs="Cambria"/>
          <w:w w:val="105"/>
          <w:szCs w:val="26"/>
        </w:rPr>
        <w:t>)</w:t>
      </w:r>
      <w:r w:rsidR="00F933D0">
        <w:rPr>
          <w:rFonts w:eastAsia="Cambria" w:cs="Cambria"/>
          <w:w w:val="105"/>
          <w:szCs w:val="26"/>
        </w:rPr>
        <w:t xml:space="preserve"> </w:t>
      </w:r>
      <w:r w:rsidR="001F7512">
        <w:rPr>
          <w:rFonts w:eastAsia="Cambria" w:cs="Cambria"/>
          <w:w w:val="105"/>
          <w:szCs w:val="26"/>
        </w:rPr>
        <w:t xml:space="preserve">and its </w:t>
      </w:r>
      <w:r w:rsidRPr="003024A6" w:rsidR="0053108B">
        <w:rPr>
          <w:rFonts w:eastAsia="Cambria" w:cs="Cambria"/>
          <w:w w:val="105"/>
          <w:szCs w:val="26"/>
        </w:rPr>
        <w:t xml:space="preserve">revenue </w:t>
      </w:r>
      <w:r w:rsidR="00E34E3E">
        <w:rPr>
          <w:rFonts w:eastAsia="Cambria" w:cs="Cambria"/>
          <w:w w:val="105"/>
          <w:szCs w:val="26"/>
        </w:rPr>
        <w:t>requirement request</w:t>
      </w:r>
      <w:r w:rsidRPr="003024A6" w:rsidR="0053108B">
        <w:rPr>
          <w:rFonts w:eastAsia="Cambria" w:cs="Cambria"/>
          <w:w w:val="105"/>
          <w:szCs w:val="26"/>
        </w:rPr>
        <w:t xml:space="preserve"> by </w:t>
      </w:r>
      <w:r w:rsidR="00D343E9">
        <w:rPr>
          <w:rFonts w:eastAsia="Cambria" w:cs="Cambria"/>
          <w:w w:val="105"/>
          <w:szCs w:val="26"/>
        </w:rPr>
        <w:t xml:space="preserve">38.2%, from </w:t>
      </w:r>
      <w:r w:rsidR="00EB0B87">
        <w:rPr>
          <w:rFonts w:eastAsia="Cambria" w:cs="Cambria"/>
          <w:w w:val="105"/>
          <w:szCs w:val="26"/>
        </w:rPr>
        <w:t xml:space="preserve">$143.3 million to $88.6 million, </w:t>
      </w:r>
      <w:r w:rsidRPr="003024A6" w:rsidR="0053108B">
        <w:rPr>
          <w:rFonts w:eastAsia="Cambria" w:cs="Cambria"/>
          <w:w w:val="105"/>
          <w:szCs w:val="26"/>
        </w:rPr>
        <w:t xml:space="preserve">culminating in the </w:t>
      </w:r>
      <w:r w:rsidRPr="003024A6" w:rsidR="0053108B">
        <w:t xml:space="preserve">Settlement Agreement. The </w:t>
      </w:r>
      <w:r w:rsidR="001C4EB4">
        <w:t xml:space="preserve">key </w:t>
      </w:r>
      <w:r w:rsidRPr="003024A6" w:rsidR="0053108B">
        <w:t xml:space="preserve">settlement terms described above, reasonably address and resolve Scoping Memo </w:t>
      </w:r>
      <w:r w:rsidR="00E938E9">
        <w:t>Issues</w:t>
      </w:r>
      <w:r w:rsidRPr="003024A6" w:rsidR="0053108B">
        <w:t xml:space="preserve"> 2, 3, 4, 5, and 6 through the terms of the Settlement Agreement.</w:t>
      </w:r>
      <w:r w:rsidRPr="003024A6" w:rsidR="0053108B">
        <w:rPr>
          <w:rStyle w:val="FootnoteReference"/>
        </w:rPr>
        <w:footnoteReference w:id="50"/>
      </w:r>
    </w:p>
    <w:p w:rsidR="00EE283B" w:rsidP="00EE283B" w:rsidRDefault="00EE283B" w14:paraId="6023C872" w14:textId="77777777">
      <w:pPr>
        <w:pStyle w:val="Heading4"/>
      </w:pPr>
      <w:bookmarkStart w:name="_Toc215555415" w:id="52"/>
      <w:r>
        <w:t>Revenue Requirement Reductions</w:t>
      </w:r>
      <w:bookmarkEnd w:id="52"/>
    </w:p>
    <w:p w:rsidR="00EE283B" w:rsidP="00EE283B" w:rsidRDefault="00EE283B" w14:paraId="57CDB11A" w14:textId="0477B8F0">
      <w:pPr>
        <w:pStyle w:val="Standard"/>
      </w:pPr>
      <w:r w:rsidRPr="475A0C90">
        <w:t xml:space="preserve">The </w:t>
      </w:r>
      <w:r>
        <w:t xml:space="preserve">record shows that the adversary process between sophisticated parties and counsel in this proceeding has resulted in significant and measurable reductions in the initial and proposed requested revenue requirements. </w:t>
      </w:r>
    </w:p>
    <w:p w:rsidR="00EE283B" w:rsidP="00EE283B" w:rsidRDefault="00EE283B" w14:paraId="09101DAC" w14:textId="7FFE8EA6">
      <w:pPr>
        <w:pStyle w:val="Standard"/>
      </w:pPr>
      <w:r w:rsidRPr="00B22555">
        <w:t>Various</w:t>
      </w:r>
      <w:r>
        <w:t xml:space="preserve"> estimates, updates, and compromises by PG&amp;E and the other Settling </w:t>
      </w:r>
      <w:r w:rsidRPr="475A0C90">
        <w:t xml:space="preserve">Parties </w:t>
      </w:r>
      <w:r>
        <w:t xml:space="preserve">throughout this proceeding, culminated in the Settlement Agreement </w:t>
      </w:r>
      <w:r w:rsidR="0083152F">
        <w:t xml:space="preserve">terms </w:t>
      </w:r>
      <w:r>
        <w:t xml:space="preserve">whereby PG&amp;E has agreed to recover from ratepayers a $88.6 million revenue requirement that reduced by </w:t>
      </w:r>
      <w:r w:rsidRPr="00B83324">
        <w:t>38.2%</w:t>
      </w:r>
      <w:r>
        <w:t xml:space="preserve"> its requested $143.3 million forecasted amount in the Application. </w:t>
      </w:r>
    </w:p>
    <w:p w:rsidRPr="005A78CA" w:rsidR="00EE283B" w:rsidP="00EE283B" w:rsidRDefault="00EE283B" w14:paraId="4A4F0030" w14:textId="77777777">
      <w:pPr>
        <w:pStyle w:val="Standard"/>
      </w:pPr>
      <w:r>
        <w:t>A summary of PG&amp;E’s total revenue requirement reduction resulting from this proceeding appears in Table 1 below.</w:t>
      </w:r>
    </w:p>
    <w:p w:rsidRPr="005A78CA" w:rsidR="00EE283B" w:rsidP="00B70E99" w:rsidRDefault="00EE283B" w14:paraId="53C70DD3" w14:textId="77777777">
      <w:pPr>
        <w:pStyle w:val="Standard"/>
        <w:keepNext/>
        <w:spacing w:after="240" w:line="240" w:lineRule="auto"/>
        <w:ind w:firstLine="0"/>
        <w:jc w:val="center"/>
        <w:rPr>
          <w:b/>
          <w:bCs/>
        </w:rPr>
      </w:pPr>
      <w:r w:rsidRPr="006E21B3">
        <w:rPr>
          <w:b/>
          <w:bCs/>
        </w:rPr>
        <w:t xml:space="preserve">Table 1: </w:t>
      </w:r>
      <w:r>
        <w:rPr>
          <w:b/>
          <w:bCs/>
        </w:rPr>
        <w:br/>
      </w:r>
      <w:r w:rsidRPr="006E21B3">
        <w:rPr>
          <w:b/>
          <w:bCs/>
        </w:rPr>
        <w:t>PG&amp;E Revenue Requirement</w:t>
      </w:r>
      <w:r>
        <w:rPr>
          <w:b/>
          <w:bCs/>
        </w:rPr>
        <w:t xml:space="preserve"> Reduction</w:t>
      </w:r>
      <w:r w:rsidRPr="7EC17AD4">
        <w:rPr>
          <w:b/>
          <w:bCs/>
        </w:rPr>
        <w:t xml:space="preserve"> for</w:t>
      </w:r>
      <w:r>
        <w:rPr>
          <w:b/>
          <w:bCs/>
        </w:rPr>
        <w:br/>
      </w:r>
      <w:r w:rsidRPr="7EC17AD4">
        <w:rPr>
          <w:b/>
          <w:bCs/>
        </w:rPr>
        <w:t>GAMI Replacement Program</w:t>
      </w:r>
    </w:p>
    <w:tbl>
      <w:tblPr>
        <w:tblStyle w:val="TableGrid"/>
        <w:tblW w:w="0" w:type="auto"/>
        <w:jc w:val="center"/>
        <w:tblCellMar>
          <w:top w:w="58" w:type="dxa"/>
          <w:bottom w:w="58" w:type="dxa"/>
        </w:tblCellMar>
        <w:tblLook w:val="06A0" w:firstRow="1" w:lastRow="0" w:firstColumn="1" w:lastColumn="0" w:noHBand="1" w:noVBand="1"/>
      </w:tblPr>
      <w:tblGrid>
        <w:gridCol w:w="2349"/>
        <w:gridCol w:w="1864"/>
        <w:gridCol w:w="1787"/>
        <w:gridCol w:w="1704"/>
        <w:gridCol w:w="1646"/>
      </w:tblGrid>
      <w:tr w:rsidRPr="009B2226" w:rsidR="00EE283B" w:rsidTr="009B2226" w14:paraId="02A72A9A" w14:textId="77777777">
        <w:trPr>
          <w:trHeight w:val="300"/>
          <w:tblHeader/>
          <w:jc w:val="center"/>
        </w:trPr>
        <w:tc>
          <w:tcPr>
            <w:tcW w:w="0" w:type="auto"/>
            <w:tcMar>
              <w:left w:w="115" w:type="dxa"/>
              <w:right w:w="115" w:type="dxa"/>
            </w:tcMar>
            <w:vAlign w:val="center"/>
          </w:tcPr>
          <w:p w:rsidRPr="009B2226" w:rsidR="00EE283B" w:rsidP="00B70E99" w:rsidRDefault="00B70E99" w14:paraId="166A3012" w14:textId="625A5BA5">
            <w:pPr>
              <w:pStyle w:val="Standard"/>
              <w:keepNext/>
              <w:spacing w:line="240" w:lineRule="auto"/>
              <w:ind w:firstLine="0"/>
              <w:jc w:val="center"/>
              <w:rPr>
                <w:b/>
                <w:bCs/>
                <w:szCs w:val="26"/>
              </w:rPr>
            </w:pPr>
            <w:r w:rsidRPr="009B2226">
              <w:rPr>
                <w:b/>
                <w:bCs/>
                <w:szCs w:val="26"/>
              </w:rPr>
              <w:t>Category</w:t>
            </w:r>
          </w:p>
        </w:tc>
        <w:tc>
          <w:tcPr>
            <w:tcW w:w="0" w:type="auto"/>
            <w:tcMar>
              <w:left w:w="115" w:type="dxa"/>
              <w:right w:w="115" w:type="dxa"/>
            </w:tcMar>
            <w:vAlign w:val="center"/>
          </w:tcPr>
          <w:p w:rsidRPr="009B2226" w:rsidR="00EE283B" w:rsidP="00B70E99" w:rsidRDefault="00B70E99" w14:paraId="02C2E2E8" w14:textId="0C0067C0">
            <w:pPr>
              <w:pStyle w:val="Standard"/>
              <w:keepNext/>
              <w:spacing w:line="240" w:lineRule="auto"/>
              <w:ind w:firstLine="0"/>
              <w:jc w:val="center"/>
              <w:rPr>
                <w:b/>
                <w:bCs/>
                <w:szCs w:val="26"/>
              </w:rPr>
            </w:pPr>
            <w:r w:rsidRPr="009B2226">
              <w:rPr>
                <w:b/>
                <w:bCs/>
                <w:szCs w:val="26"/>
              </w:rPr>
              <w:t>Application 24-03-011</w:t>
            </w:r>
          </w:p>
        </w:tc>
        <w:tc>
          <w:tcPr>
            <w:tcW w:w="0" w:type="auto"/>
            <w:tcMar>
              <w:left w:w="115" w:type="dxa"/>
              <w:right w:w="115" w:type="dxa"/>
            </w:tcMar>
            <w:vAlign w:val="center"/>
          </w:tcPr>
          <w:p w:rsidRPr="009B2226" w:rsidR="00EE283B" w:rsidP="00B70E99" w:rsidRDefault="00B70E99" w14:paraId="098792E2" w14:textId="16E42C2A">
            <w:pPr>
              <w:pStyle w:val="Standard"/>
              <w:keepNext/>
              <w:spacing w:line="240" w:lineRule="auto"/>
              <w:ind w:firstLine="0"/>
              <w:jc w:val="center"/>
              <w:rPr>
                <w:b/>
                <w:bCs/>
                <w:szCs w:val="26"/>
              </w:rPr>
            </w:pPr>
            <w:r w:rsidRPr="009B2226">
              <w:rPr>
                <w:b/>
                <w:bCs/>
                <w:szCs w:val="26"/>
              </w:rPr>
              <w:t>Settlement Agreement</w:t>
            </w:r>
          </w:p>
        </w:tc>
        <w:tc>
          <w:tcPr>
            <w:tcW w:w="0" w:type="auto"/>
            <w:tcMar>
              <w:left w:w="115" w:type="dxa"/>
              <w:right w:w="115" w:type="dxa"/>
            </w:tcMar>
            <w:vAlign w:val="center"/>
          </w:tcPr>
          <w:p w:rsidRPr="009B2226" w:rsidR="00EE283B" w:rsidP="00B70E99" w:rsidRDefault="00B70E99" w14:paraId="311AAF36" w14:textId="0617DC72">
            <w:pPr>
              <w:pStyle w:val="Standard"/>
              <w:keepNext/>
              <w:spacing w:line="240" w:lineRule="auto"/>
              <w:ind w:firstLine="0"/>
              <w:jc w:val="center"/>
              <w:rPr>
                <w:b/>
                <w:bCs/>
                <w:szCs w:val="26"/>
              </w:rPr>
            </w:pPr>
            <w:r w:rsidRPr="009B2226">
              <w:rPr>
                <w:b/>
                <w:bCs/>
                <w:szCs w:val="26"/>
              </w:rPr>
              <w:t>Adjustment</w:t>
            </w:r>
          </w:p>
          <w:p w:rsidRPr="009B2226" w:rsidR="00EE283B" w:rsidP="00B70E99" w:rsidRDefault="00B70E99" w14:paraId="67C0838C" w14:textId="7635F9A4">
            <w:pPr>
              <w:pStyle w:val="Standard"/>
              <w:keepNext/>
              <w:spacing w:line="240" w:lineRule="auto"/>
              <w:ind w:firstLine="0"/>
              <w:jc w:val="center"/>
              <w:rPr>
                <w:b/>
                <w:bCs/>
                <w:szCs w:val="26"/>
              </w:rPr>
            </w:pPr>
            <w:r w:rsidRPr="009B2226">
              <w:rPr>
                <w:b/>
                <w:bCs/>
                <w:szCs w:val="26"/>
              </w:rPr>
              <w:t>($)</w:t>
            </w:r>
          </w:p>
        </w:tc>
        <w:tc>
          <w:tcPr>
            <w:tcW w:w="0" w:type="auto"/>
            <w:tcMar>
              <w:left w:w="115" w:type="dxa"/>
              <w:right w:w="115" w:type="dxa"/>
            </w:tcMar>
            <w:vAlign w:val="center"/>
          </w:tcPr>
          <w:p w:rsidRPr="009B2226" w:rsidR="00EE283B" w:rsidP="00B70E99" w:rsidRDefault="00B70E99" w14:paraId="5F8373C0" w14:textId="69824FE3">
            <w:pPr>
              <w:pStyle w:val="Standard"/>
              <w:keepNext/>
              <w:spacing w:line="240" w:lineRule="auto"/>
              <w:ind w:firstLine="0"/>
              <w:jc w:val="center"/>
              <w:rPr>
                <w:b/>
                <w:bCs/>
                <w:szCs w:val="26"/>
              </w:rPr>
            </w:pPr>
            <w:r w:rsidRPr="009B2226">
              <w:rPr>
                <w:b/>
                <w:bCs/>
                <w:szCs w:val="26"/>
              </w:rPr>
              <w:t>Adjustment</w:t>
            </w:r>
          </w:p>
          <w:p w:rsidRPr="009B2226" w:rsidR="00EE283B" w:rsidP="00B70E99" w:rsidRDefault="00B70E99" w14:paraId="50FC85D5" w14:textId="1AC18CF3">
            <w:pPr>
              <w:pStyle w:val="Standard"/>
              <w:keepNext/>
              <w:spacing w:line="240" w:lineRule="auto"/>
              <w:ind w:firstLine="0"/>
              <w:jc w:val="center"/>
              <w:rPr>
                <w:b/>
                <w:bCs/>
                <w:szCs w:val="26"/>
              </w:rPr>
            </w:pPr>
            <w:r w:rsidRPr="009B2226">
              <w:rPr>
                <w:b/>
                <w:bCs/>
                <w:szCs w:val="26"/>
              </w:rPr>
              <w:t>(%)</w:t>
            </w:r>
          </w:p>
        </w:tc>
      </w:tr>
      <w:tr w:rsidRPr="009B2226" w:rsidR="00EE283B" w:rsidTr="009B2226" w14:paraId="15DA0BFB" w14:textId="77777777">
        <w:trPr>
          <w:trHeight w:val="791"/>
          <w:jc w:val="center"/>
        </w:trPr>
        <w:tc>
          <w:tcPr>
            <w:tcW w:w="0" w:type="auto"/>
            <w:tcMar>
              <w:left w:w="115" w:type="dxa"/>
              <w:right w:w="115" w:type="dxa"/>
            </w:tcMar>
            <w:vAlign w:val="center"/>
          </w:tcPr>
          <w:p w:rsidRPr="009B2226" w:rsidR="00EE283B" w:rsidP="009B2226" w:rsidRDefault="00EE283B" w14:paraId="621A10D6" w14:textId="41989B1D">
            <w:pPr>
              <w:pStyle w:val="Standard"/>
              <w:spacing w:line="240" w:lineRule="auto"/>
              <w:ind w:firstLine="0"/>
              <w:jc w:val="center"/>
              <w:rPr>
                <w:b/>
                <w:bCs/>
                <w:szCs w:val="26"/>
              </w:rPr>
            </w:pPr>
            <w:r w:rsidRPr="009B2226">
              <w:rPr>
                <w:b/>
                <w:bCs/>
                <w:szCs w:val="26"/>
              </w:rPr>
              <w:t>Total Revenue Requirement Requested</w:t>
            </w:r>
          </w:p>
        </w:tc>
        <w:tc>
          <w:tcPr>
            <w:tcW w:w="0" w:type="auto"/>
            <w:tcMar>
              <w:left w:w="115" w:type="dxa"/>
              <w:right w:w="115" w:type="dxa"/>
            </w:tcMar>
            <w:vAlign w:val="center"/>
          </w:tcPr>
          <w:p w:rsidRPr="009B2226" w:rsidR="00EE283B" w:rsidP="003E7DD8" w:rsidRDefault="00EE283B" w14:paraId="1D04D91C" w14:textId="66DA9B0A">
            <w:pPr>
              <w:pStyle w:val="Standard"/>
              <w:spacing w:line="240" w:lineRule="auto"/>
              <w:ind w:firstLine="0"/>
              <w:jc w:val="right"/>
              <w:rPr>
                <w:szCs w:val="26"/>
              </w:rPr>
            </w:pPr>
            <w:r w:rsidRPr="009B2226">
              <w:rPr>
                <w:szCs w:val="26"/>
              </w:rPr>
              <w:t>$143,300,000</w:t>
            </w:r>
          </w:p>
        </w:tc>
        <w:tc>
          <w:tcPr>
            <w:tcW w:w="0" w:type="auto"/>
            <w:tcMar>
              <w:left w:w="115" w:type="dxa"/>
              <w:right w:w="115" w:type="dxa"/>
            </w:tcMar>
            <w:vAlign w:val="center"/>
          </w:tcPr>
          <w:p w:rsidRPr="009B2226" w:rsidR="00EE283B" w:rsidP="003E7DD8" w:rsidRDefault="00EE283B" w14:paraId="5E09B8D9" w14:textId="5A7ADE80">
            <w:pPr>
              <w:pStyle w:val="Standard"/>
              <w:spacing w:line="240" w:lineRule="auto"/>
              <w:ind w:firstLine="0"/>
              <w:jc w:val="right"/>
              <w:rPr>
                <w:szCs w:val="26"/>
              </w:rPr>
            </w:pPr>
            <w:r w:rsidRPr="009B2226">
              <w:rPr>
                <w:szCs w:val="26"/>
              </w:rPr>
              <w:t>$88,594,500</w:t>
            </w:r>
          </w:p>
        </w:tc>
        <w:tc>
          <w:tcPr>
            <w:tcW w:w="0" w:type="auto"/>
            <w:tcMar>
              <w:left w:w="115" w:type="dxa"/>
              <w:right w:w="115" w:type="dxa"/>
            </w:tcMar>
            <w:vAlign w:val="center"/>
          </w:tcPr>
          <w:p w:rsidRPr="009B2226" w:rsidR="00EE283B" w:rsidP="003E7DD8" w:rsidRDefault="00EE283B" w14:paraId="36054715" w14:textId="0A60B1E7">
            <w:pPr>
              <w:pStyle w:val="Standard"/>
              <w:spacing w:line="240" w:lineRule="auto"/>
              <w:ind w:firstLine="0"/>
              <w:jc w:val="right"/>
              <w:rPr>
                <w:szCs w:val="26"/>
              </w:rPr>
            </w:pPr>
            <w:r w:rsidRPr="009B2226">
              <w:rPr>
                <w:szCs w:val="26"/>
              </w:rPr>
              <w:t>($54,705,500)</w:t>
            </w:r>
          </w:p>
        </w:tc>
        <w:tc>
          <w:tcPr>
            <w:tcW w:w="0" w:type="auto"/>
            <w:tcMar>
              <w:left w:w="115" w:type="dxa"/>
              <w:right w:w="115" w:type="dxa"/>
            </w:tcMar>
            <w:vAlign w:val="center"/>
          </w:tcPr>
          <w:p w:rsidRPr="009B2226" w:rsidR="00EE283B" w:rsidP="003E7DD8" w:rsidRDefault="00EE283B" w14:paraId="0384B9D6" w14:textId="198A6D64">
            <w:pPr>
              <w:pStyle w:val="Standard"/>
              <w:spacing w:line="240" w:lineRule="auto"/>
              <w:ind w:firstLine="0"/>
              <w:jc w:val="center"/>
              <w:rPr>
                <w:szCs w:val="26"/>
              </w:rPr>
            </w:pPr>
            <w:r w:rsidRPr="009B2226">
              <w:rPr>
                <w:szCs w:val="26"/>
              </w:rPr>
              <w:t>(38.2%)</w:t>
            </w:r>
          </w:p>
        </w:tc>
      </w:tr>
    </w:tbl>
    <w:p w:rsidR="00EE283B" w:rsidP="00EE283B" w:rsidRDefault="00EE283B" w14:paraId="690A495D" w14:textId="77777777">
      <w:pPr>
        <w:pStyle w:val="Standard"/>
        <w:spacing w:line="240" w:lineRule="auto"/>
        <w:jc w:val="center"/>
      </w:pPr>
    </w:p>
    <w:p w:rsidR="00EE283B" w:rsidP="00EE283B" w:rsidRDefault="00EE283B" w14:paraId="7CA5ABAC" w14:textId="7E1C4821">
      <w:pPr>
        <w:pStyle w:val="Standard"/>
      </w:pPr>
      <w:r>
        <w:t xml:space="preserve">The proceeding record reflects the series of </w:t>
      </w:r>
      <w:r w:rsidR="00954604">
        <w:t xml:space="preserve">events </w:t>
      </w:r>
      <w:r w:rsidR="003268B5">
        <w:t xml:space="preserve">that </w:t>
      </w:r>
      <w:r w:rsidR="00954604">
        <w:t xml:space="preserve">led to </w:t>
      </w:r>
      <w:r>
        <w:t>downward adjustments to PG&amp;E’s original demand.</w:t>
      </w:r>
    </w:p>
    <w:p w:rsidRPr="005A78CA" w:rsidR="00EE283B" w:rsidP="00EE283B" w:rsidRDefault="00EE283B" w14:paraId="7AB7DC64" w14:textId="77777777">
      <w:pPr>
        <w:pStyle w:val="Standard"/>
      </w:pPr>
      <w:r w:rsidRPr="006B30C8">
        <w:rPr>
          <w:b/>
          <w:bCs/>
          <w:i/>
          <w:iCs/>
        </w:rPr>
        <w:t xml:space="preserve">February 19, 2025 errata to </w:t>
      </w:r>
      <w:r>
        <w:rPr>
          <w:b/>
          <w:bCs/>
          <w:i/>
          <w:iCs/>
        </w:rPr>
        <w:t>PG&amp;E</w:t>
      </w:r>
      <w:r w:rsidRPr="006B30C8">
        <w:rPr>
          <w:b/>
          <w:bCs/>
          <w:i/>
          <w:iCs/>
        </w:rPr>
        <w:t xml:space="preserve"> Rebuttal Testimony</w:t>
      </w:r>
      <w:r>
        <w:t>. After the exchange of prepared testimony, PG&amp;E identified reductions to its requested revenue requirement in its February 19, 2025 errata to its Rebuttal Testimony. PG&amp;E revised its rebuttal testimony to reduce its total revenue requirement request from $143.3 million in A.24-03-011 to $105,641,779.</w:t>
      </w:r>
      <w:r>
        <w:rPr>
          <w:rStyle w:val="FootnoteReference"/>
        </w:rPr>
        <w:footnoteReference w:id="51"/>
      </w:r>
    </w:p>
    <w:p w:rsidR="00FF3080" w:rsidP="00EE283B" w:rsidRDefault="00EE283B" w14:paraId="21D12A2E" w14:textId="6D67A932">
      <w:pPr>
        <w:pStyle w:val="Standard"/>
      </w:pPr>
      <w:r w:rsidRPr="00C2275C">
        <w:rPr>
          <w:b/>
          <w:bCs/>
          <w:i/>
          <w:iCs/>
        </w:rPr>
        <w:t>No retroactive recovery between January 1, 2023 and March 14, 202</w:t>
      </w:r>
      <w:r w:rsidR="00713439">
        <w:rPr>
          <w:b/>
          <w:bCs/>
          <w:i/>
          <w:iCs/>
        </w:rPr>
        <w:t>4</w:t>
      </w:r>
      <w:r>
        <w:t xml:space="preserve">. The record also shows that PG&amp;E agreed that it cannot recover costs for its GAMI </w:t>
      </w:r>
      <w:r w:rsidR="00BE34A0">
        <w:t xml:space="preserve">Replacement Program </w:t>
      </w:r>
      <w:r>
        <w:t>incurred between January 1, 2023 and March 14, 202</w:t>
      </w:r>
      <w:r w:rsidR="00713439">
        <w:t>4</w:t>
      </w:r>
      <w:r>
        <w:t xml:space="preserve">. The company first sought in the Application to recover GAMI </w:t>
      </w:r>
      <w:r w:rsidR="00BE34A0">
        <w:t xml:space="preserve">Replacement Program </w:t>
      </w:r>
      <w:r>
        <w:t xml:space="preserve"> costs incurred beginning January 1, 2023 </w:t>
      </w:r>
      <w:r w:rsidR="001E0184">
        <w:t>—</w:t>
      </w:r>
      <w:r>
        <w:t xml:space="preserve"> prior to the filing of the March 14, 2024 Application. Nevertheless, in connection with their opposition to PG&amp;E’s GAMIMA Motion, Cal Advocates and TURN argued persuasively that PG&amp;E’s recovery in rates of expenditures prior to the March 14, 2024 filing of the Application would constitute prohibited retroactive ratemaking. PG&amp;E subsequently modified its request. </w:t>
      </w:r>
    </w:p>
    <w:p w:rsidR="00EE283B" w:rsidP="00EE283B" w:rsidRDefault="00EE283B" w14:paraId="7A8EF2B8" w14:textId="2CB61DCF">
      <w:pPr>
        <w:pStyle w:val="Standard"/>
      </w:pPr>
      <w:r>
        <w:t>As a result, in interim decision D.24</w:t>
      </w:r>
      <w:r>
        <w:noBreakHyphen/>
        <w:t>11</w:t>
      </w:r>
      <w:r>
        <w:noBreakHyphen/>
        <w:t>010, granting PG&amp;E’s GAMIMA Motion, we authorized PG&amp;E to establish a new memorandum account to track and record PG&amp;E’s actual revenue requirements for costs only back to the Application’s March 14, 2024 filing date.</w:t>
      </w:r>
      <w:r w:rsidRPr="475A0C90">
        <w:rPr>
          <w:rStyle w:val="FootnoteReference"/>
        </w:rPr>
        <w:footnoteReference w:id="52"/>
      </w:r>
      <w:r>
        <w:t xml:space="preserve"> PG&amp;E therefore cannot recover from ratepayers any costs incurred for its GAMI Replacement Program between </w:t>
      </w:r>
      <w:r>
        <w:lastRenderedPageBreak/>
        <w:t xml:space="preserve">January 1, 2023 and March 14, </w:t>
      </w:r>
      <w:r w:rsidR="00F1176B">
        <w:t>2024</w:t>
      </w:r>
      <w:r>
        <w:t>. The Settling Parties identified a revenue requirement reduction of $478,495 for that period.</w:t>
      </w:r>
      <w:r>
        <w:rPr>
          <w:rStyle w:val="FootnoteReference"/>
        </w:rPr>
        <w:footnoteReference w:id="53"/>
      </w:r>
    </w:p>
    <w:p w:rsidR="00EE283B" w:rsidP="00EE283B" w:rsidRDefault="00EE283B" w14:paraId="59026990" w14:textId="77777777">
      <w:pPr>
        <w:pStyle w:val="Standard"/>
      </w:pPr>
      <w:r w:rsidRPr="00DE4894">
        <w:rPr>
          <w:b/>
          <w:bCs/>
          <w:i/>
          <w:iCs/>
        </w:rPr>
        <w:t>Negotiat</w:t>
      </w:r>
      <w:r>
        <w:rPr>
          <w:b/>
          <w:bCs/>
          <w:i/>
          <w:iCs/>
        </w:rPr>
        <w:t>ed</w:t>
      </w:r>
      <w:r w:rsidRPr="00DE4894">
        <w:rPr>
          <w:b/>
          <w:bCs/>
          <w:i/>
          <w:iCs/>
        </w:rPr>
        <w:t xml:space="preserve"> </w:t>
      </w:r>
      <w:r>
        <w:rPr>
          <w:b/>
          <w:bCs/>
          <w:i/>
          <w:iCs/>
        </w:rPr>
        <w:t>r</w:t>
      </w:r>
      <w:r w:rsidRPr="00DE4894">
        <w:rPr>
          <w:b/>
          <w:bCs/>
          <w:i/>
          <w:iCs/>
        </w:rPr>
        <w:t>eductions</w:t>
      </w:r>
      <w:r>
        <w:t>. The record shows that PG&amp;E further compromised after continued settlement discussions among the Settling Parties, culminating in the proposed Settlement Agreement terms whereby:</w:t>
      </w:r>
    </w:p>
    <w:p w:rsidRPr="0013411C" w:rsidR="00EE283B" w:rsidP="00EE283B" w:rsidRDefault="00EE283B" w14:paraId="4C98A8BB" w14:textId="30C06F7E">
      <w:pPr>
        <w:pStyle w:val="Standard"/>
        <w:numPr>
          <w:ilvl w:val="0"/>
          <w:numId w:val="7"/>
        </w:numPr>
        <w:spacing w:after="120" w:line="240" w:lineRule="auto"/>
        <w:ind w:right="1440"/>
      </w:pPr>
      <w:r w:rsidRPr="0013411C">
        <w:t>PG&amp;E reduced its previously</w:t>
      </w:r>
      <w:r w:rsidR="00512C6C">
        <w:t xml:space="preserve"> </w:t>
      </w:r>
      <w:r w:rsidRPr="0013411C">
        <w:t>adjusted 2023-2026 expense revenue requirement by 54.9%, from $9,067,060 identified in the February 19, 2025 errata to its Rebuttal Testimony, to $4,085,901;</w:t>
      </w:r>
      <w:r w:rsidRPr="0013411C">
        <w:rPr>
          <w:rStyle w:val="FootnoteReference"/>
        </w:rPr>
        <w:footnoteReference w:id="54"/>
      </w:r>
      <w:r w:rsidRPr="0013411C">
        <w:t xml:space="preserve"> and </w:t>
      </w:r>
    </w:p>
    <w:p w:rsidRPr="0013411C" w:rsidR="00EE283B" w:rsidP="00EE283B" w:rsidRDefault="00EE283B" w14:paraId="178DEB99" w14:textId="50BE99FB">
      <w:pPr>
        <w:pStyle w:val="Standard"/>
        <w:numPr>
          <w:ilvl w:val="0"/>
          <w:numId w:val="7"/>
        </w:numPr>
        <w:spacing w:after="120" w:line="240" w:lineRule="auto"/>
        <w:ind w:right="1440"/>
      </w:pPr>
      <w:r w:rsidRPr="0013411C">
        <w:t>PG&amp;E reduced its previously</w:t>
      </w:r>
      <w:r w:rsidR="00512C6C">
        <w:t xml:space="preserve"> </w:t>
      </w:r>
      <w:r w:rsidRPr="0013411C">
        <w:t>adjusted 2023-2026 capital revenue requirement by 11.4%, from $96,574,719 identified in its February 19, 2025 errata to its Rebuttal Testimony, to $85,584,327.</w:t>
      </w:r>
      <w:r w:rsidRPr="0013411C">
        <w:rPr>
          <w:rStyle w:val="FootnoteReference"/>
        </w:rPr>
        <w:footnoteReference w:id="55"/>
      </w:r>
      <w:r w:rsidRPr="0013411C">
        <w:t xml:space="preserve"> </w:t>
      </w:r>
    </w:p>
    <w:p w:rsidRPr="005A78CA" w:rsidR="00EE283B" w:rsidP="00EE283B" w:rsidRDefault="00EE283B" w14:paraId="3A940202" w14:textId="024EF1D0">
      <w:pPr>
        <w:pStyle w:val="Standard"/>
        <w:ind w:firstLine="0"/>
      </w:pPr>
      <w:r>
        <w:t>As a result, PG&amp;E again reduced its previously</w:t>
      </w:r>
      <w:r w:rsidR="0067522A">
        <w:t xml:space="preserve"> </w:t>
      </w:r>
      <w:r>
        <w:t>adjusted total revenue requirement</w:t>
      </w:r>
      <w:r w:rsidRPr="002E5875">
        <w:t xml:space="preserve"> </w:t>
      </w:r>
      <w:r>
        <w:t xml:space="preserve">by an additional </w:t>
      </w:r>
      <w:r w:rsidRPr="001904AD">
        <w:t>15.1%,</w:t>
      </w:r>
      <w:r>
        <w:t xml:space="preserve"> from $105,641,779 to a total revenue requirement of </w:t>
      </w:r>
      <w:r w:rsidRPr="00E84873">
        <w:t>$89,643,229</w:t>
      </w:r>
      <w:r>
        <w:t>.</w:t>
      </w:r>
      <w:r>
        <w:rPr>
          <w:rStyle w:val="FootnoteReference"/>
        </w:rPr>
        <w:footnoteReference w:id="56"/>
      </w:r>
    </w:p>
    <w:p w:rsidR="00EE283B" w:rsidP="00EE283B" w:rsidRDefault="00FF3080" w14:paraId="5B1DCDC2" w14:textId="0DB15CE0">
      <w:pPr>
        <w:pStyle w:val="Standard"/>
      </w:pPr>
      <w:r>
        <w:rPr>
          <w:b/>
          <w:bCs/>
          <w:i/>
          <w:iCs/>
        </w:rPr>
        <w:t>U</w:t>
      </w:r>
      <w:r w:rsidRPr="00044AF4" w:rsidR="00EE283B">
        <w:rPr>
          <w:b/>
          <w:bCs/>
          <w:i/>
          <w:iCs/>
        </w:rPr>
        <w:t xml:space="preserve">ndepreciated failed </w:t>
      </w:r>
      <w:r w:rsidR="002731FB">
        <w:rPr>
          <w:b/>
          <w:bCs/>
          <w:i/>
          <w:iCs/>
        </w:rPr>
        <w:t>Gas Module</w:t>
      </w:r>
      <w:r w:rsidR="00EE283B">
        <w:rPr>
          <w:b/>
          <w:bCs/>
          <w:i/>
          <w:iCs/>
        </w:rPr>
        <w:t xml:space="preserve"> reduction</w:t>
      </w:r>
      <w:r w:rsidR="00EE283B">
        <w:t xml:space="preserve">. The record further shows that the Settling Parties downwardly adjusted the resulting proposed 2023-2026 revenue requirement of </w:t>
      </w:r>
      <w:r w:rsidRPr="00E84873" w:rsidR="00EE283B">
        <w:t>$89,643,229</w:t>
      </w:r>
      <w:r w:rsidR="00EE283B">
        <w:t xml:space="preserve"> by $1,048,729 to ”reflect a previously-provided calculation of the undepreciated portions of the Gas Modules that failed and were replaced prior to reaching 15 years of age.”</w:t>
      </w:r>
      <w:r w:rsidR="00EE283B">
        <w:rPr>
          <w:rStyle w:val="FootnoteReference"/>
        </w:rPr>
        <w:footnoteReference w:id="57"/>
      </w:r>
      <w:r w:rsidR="00EE283B">
        <w:t xml:space="preserve"> </w:t>
      </w:r>
      <w:r>
        <w:t>T</w:t>
      </w:r>
      <w:r w:rsidR="00EE283B">
        <w:t xml:space="preserve">he Settling Parties propose in the Settlement Agreement a total revenue requirement of </w:t>
      </w:r>
      <w:r w:rsidR="00EE283B">
        <w:lastRenderedPageBreak/>
        <w:t>$88,594,500.</w:t>
      </w:r>
      <w:r w:rsidR="00EE283B">
        <w:rPr>
          <w:rStyle w:val="FootnoteReference"/>
        </w:rPr>
        <w:footnoteReference w:id="58"/>
      </w:r>
      <w:r w:rsidR="00EE283B">
        <w:t xml:space="preserve"> The Settling Parties thereby again reduced PG&amp;E’s previously-adjusted total revenue requirement</w:t>
      </w:r>
      <w:r w:rsidRPr="002E5875" w:rsidR="00EE283B">
        <w:t xml:space="preserve"> </w:t>
      </w:r>
      <w:r w:rsidR="00EE283B">
        <w:t xml:space="preserve">by an additional </w:t>
      </w:r>
      <w:r w:rsidRPr="007C6EB3" w:rsidR="00EE283B">
        <w:t>1.2%.</w:t>
      </w:r>
    </w:p>
    <w:p w:rsidR="00EE283B" w:rsidP="00EE283B" w:rsidRDefault="00EE283B" w14:paraId="216B6CD0" w14:textId="773B5DB2">
      <w:pPr>
        <w:pStyle w:val="Standard"/>
      </w:pPr>
      <w:r>
        <w:t>As a result, the Settling Parties</w:t>
      </w:r>
      <w:r w:rsidR="00B27A87">
        <w:t>’</w:t>
      </w:r>
      <w:r>
        <w:t xml:space="preserve"> proposed total revenue requirement of $88,594,500 in the Settlement Agreement is a significant 38.2% reduction from PG&amp;E’s initial $143.3 million total requested in A.24-03-011. </w:t>
      </w:r>
    </w:p>
    <w:p w:rsidR="00EE283B" w:rsidP="00EE283B" w:rsidRDefault="00EE283B" w14:paraId="313A192B" w14:textId="38A21541">
      <w:pPr>
        <w:pStyle w:val="Standard"/>
        <w:rPr>
          <w:lang w:val="en-ZW"/>
        </w:rPr>
      </w:pPr>
      <w:r>
        <w:rPr>
          <w:lang w:val="en-ZW"/>
        </w:rPr>
        <w:t xml:space="preserve">The proceeding record showing the </w:t>
      </w:r>
      <w:r w:rsidR="00752DFE">
        <w:rPr>
          <w:lang w:val="en-ZW"/>
        </w:rPr>
        <w:t>Settling P</w:t>
      </w:r>
      <w:r>
        <w:rPr>
          <w:lang w:val="en-ZW"/>
        </w:rPr>
        <w:t>arties</w:t>
      </w:r>
      <w:r w:rsidR="00B27A87">
        <w:rPr>
          <w:lang w:val="en-ZW"/>
        </w:rPr>
        <w:t>’</w:t>
      </w:r>
      <w:r>
        <w:rPr>
          <w:lang w:val="en-ZW"/>
        </w:rPr>
        <w:t xml:space="preserve"> positions, negotiations, and resulting compromises establishes that the Settlement Agreement’s proposed revenue requirements for the GAMI Replacement Program are just and reasonable.</w:t>
      </w:r>
    </w:p>
    <w:p w:rsidR="00EE283B" w:rsidP="00EE283B" w:rsidRDefault="00EE283B" w14:paraId="1CE4438A" w14:textId="77777777">
      <w:pPr>
        <w:pStyle w:val="Heading4"/>
      </w:pPr>
      <w:bookmarkStart w:name="_Toc215555416" w:id="53"/>
      <w:r>
        <w:t>Forecast Reductions</w:t>
      </w:r>
      <w:bookmarkEnd w:id="53"/>
    </w:p>
    <w:p w:rsidRPr="00AE0CF2" w:rsidR="00EE283B" w:rsidP="00EE283B" w:rsidRDefault="00EE283B" w14:paraId="7BFFD275" w14:textId="6CE1D66A">
      <w:pPr>
        <w:rPr>
          <w:szCs w:val="26"/>
          <w:lang w:val="en-ZW"/>
        </w:rPr>
      </w:pPr>
      <w:r w:rsidRPr="00AE0CF2">
        <w:rPr>
          <w:szCs w:val="26"/>
          <w:lang w:val="en-ZW"/>
        </w:rPr>
        <w:t xml:space="preserve">The proceeding record shows that, similar to the revenue requirement, the Settling Parties achieved significant reductions to the expense and capital expenditure forecast through their negotiations </w:t>
      </w:r>
      <w:r w:rsidR="004C35A2">
        <w:rPr>
          <w:szCs w:val="26"/>
          <w:lang w:val="en-ZW"/>
        </w:rPr>
        <w:t xml:space="preserve">in </w:t>
      </w:r>
      <w:r w:rsidRPr="00AE0CF2">
        <w:rPr>
          <w:szCs w:val="26"/>
          <w:lang w:val="en-ZW"/>
        </w:rPr>
        <w:t xml:space="preserve">this proceeding. </w:t>
      </w:r>
    </w:p>
    <w:p w:rsidRPr="005D541C" w:rsidR="00EE283B" w:rsidP="00EE283B" w:rsidRDefault="00EE283B" w14:paraId="2039BDBB" w14:textId="77777777">
      <w:r w:rsidRPr="005D541C">
        <w:t xml:space="preserve">A summary of PG&amp;E’s </w:t>
      </w:r>
      <w:r>
        <w:t>forecast</w:t>
      </w:r>
      <w:r w:rsidRPr="005D541C">
        <w:t xml:space="preserve"> reduction</w:t>
      </w:r>
      <w:r>
        <w:t>s</w:t>
      </w:r>
      <w:r w:rsidRPr="005D541C">
        <w:t xml:space="preserve"> resulting from this proceeding appears in Table </w:t>
      </w:r>
      <w:r>
        <w:t>2</w:t>
      </w:r>
      <w:r w:rsidRPr="005D541C">
        <w:t xml:space="preserve"> below.</w:t>
      </w:r>
    </w:p>
    <w:p w:rsidRPr="005A78CA" w:rsidR="00EE283B" w:rsidP="00B70E99" w:rsidRDefault="00EE283B" w14:paraId="62305FB6" w14:textId="77777777">
      <w:pPr>
        <w:pStyle w:val="Standard"/>
        <w:keepNext/>
        <w:spacing w:after="240" w:line="240" w:lineRule="auto"/>
        <w:ind w:firstLine="0"/>
        <w:jc w:val="center"/>
        <w:rPr>
          <w:b/>
          <w:bCs/>
        </w:rPr>
      </w:pPr>
      <w:r w:rsidRPr="006E21B3">
        <w:rPr>
          <w:b/>
          <w:bCs/>
        </w:rPr>
        <w:t xml:space="preserve">Table </w:t>
      </w:r>
      <w:r>
        <w:rPr>
          <w:b/>
          <w:bCs/>
        </w:rPr>
        <w:t>2</w:t>
      </w:r>
      <w:r w:rsidRPr="006E21B3">
        <w:rPr>
          <w:b/>
          <w:bCs/>
        </w:rPr>
        <w:t xml:space="preserve">: </w:t>
      </w:r>
      <w:r>
        <w:rPr>
          <w:b/>
          <w:bCs/>
        </w:rPr>
        <w:br/>
      </w:r>
      <w:r w:rsidRPr="006E21B3">
        <w:rPr>
          <w:b/>
          <w:bCs/>
        </w:rPr>
        <w:t xml:space="preserve">PG&amp;E </w:t>
      </w:r>
      <w:r>
        <w:rPr>
          <w:b/>
          <w:bCs/>
        </w:rPr>
        <w:t>Forecast Reductions</w:t>
      </w:r>
      <w:r w:rsidRPr="7EC17AD4">
        <w:rPr>
          <w:b/>
          <w:bCs/>
        </w:rPr>
        <w:t xml:space="preserve"> for</w:t>
      </w:r>
      <w:r>
        <w:rPr>
          <w:b/>
          <w:bCs/>
        </w:rPr>
        <w:br/>
      </w:r>
      <w:r w:rsidRPr="7EC17AD4">
        <w:rPr>
          <w:b/>
          <w:bCs/>
        </w:rPr>
        <w:t>GAMI Replacement Program</w:t>
      </w:r>
    </w:p>
    <w:tbl>
      <w:tblPr>
        <w:tblStyle w:val="TableGrid"/>
        <w:tblW w:w="0" w:type="auto"/>
        <w:jc w:val="center"/>
        <w:tblCellMar>
          <w:top w:w="58" w:type="dxa"/>
          <w:bottom w:w="58" w:type="dxa"/>
        </w:tblCellMar>
        <w:tblLook w:val="06A0" w:firstRow="1" w:lastRow="0" w:firstColumn="1" w:lastColumn="0" w:noHBand="1" w:noVBand="1"/>
      </w:tblPr>
      <w:tblGrid>
        <w:gridCol w:w="2425"/>
        <w:gridCol w:w="1731"/>
        <w:gridCol w:w="1731"/>
        <w:gridCol w:w="1731"/>
        <w:gridCol w:w="1732"/>
      </w:tblGrid>
      <w:tr w:rsidRPr="009B2226" w:rsidR="00B70E99" w:rsidTr="009B2226" w14:paraId="4A5832A5" w14:textId="77777777">
        <w:trPr>
          <w:trHeight w:val="283"/>
          <w:jc w:val="center"/>
        </w:trPr>
        <w:tc>
          <w:tcPr>
            <w:tcW w:w="2425" w:type="dxa"/>
            <w:vAlign w:val="center"/>
          </w:tcPr>
          <w:p w:rsidRPr="009B2226" w:rsidR="00B70E99" w:rsidP="009B2226" w:rsidRDefault="00B70E99" w14:paraId="74D4AC78" w14:textId="5E04B72C">
            <w:pPr>
              <w:pStyle w:val="Standard"/>
              <w:keepNext/>
              <w:spacing w:line="240" w:lineRule="auto"/>
              <w:ind w:firstLine="0"/>
              <w:jc w:val="center"/>
              <w:rPr>
                <w:b/>
                <w:bCs/>
                <w:smallCaps/>
                <w:szCs w:val="26"/>
              </w:rPr>
            </w:pPr>
            <w:r w:rsidRPr="009B2226">
              <w:rPr>
                <w:b/>
                <w:bCs/>
                <w:szCs w:val="26"/>
              </w:rPr>
              <w:t>Category</w:t>
            </w:r>
          </w:p>
        </w:tc>
        <w:tc>
          <w:tcPr>
            <w:tcW w:w="1731" w:type="dxa"/>
            <w:vAlign w:val="center"/>
          </w:tcPr>
          <w:p w:rsidRPr="009B2226" w:rsidR="00B70E99" w:rsidP="009B2226" w:rsidRDefault="00B70E99" w14:paraId="1DE97241" w14:textId="56E1BDEE">
            <w:pPr>
              <w:pStyle w:val="Standard"/>
              <w:keepNext/>
              <w:spacing w:line="240" w:lineRule="auto"/>
              <w:ind w:firstLine="0"/>
              <w:jc w:val="center"/>
              <w:rPr>
                <w:b/>
                <w:bCs/>
                <w:smallCaps/>
                <w:szCs w:val="26"/>
              </w:rPr>
            </w:pPr>
            <w:r w:rsidRPr="009B2226">
              <w:rPr>
                <w:b/>
                <w:bCs/>
                <w:szCs w:val="26"/>
              </w:rPr>
              <w:t>Application</w:t>
            </w:r>
            <w:r w:rsidRPr="009B2226">
              <w:rPr>
                <w:b/>
                <w:bCs/>
                <w:szCs w:val="26"/>
              </w:rPr>
              <w:br/>
              <w:t>24-03-011</w:t>
            </w:r>
          </w:p>
        </w:tc>
        <w:tc>
          <w:tcPr>
            <w:tcW w:w="1731" w:type="dxa"/>
            <w:vAlign w:val="center"/>
          </w:tcPr>
          <w:p w:rsidRPr="009B2226" w:rsidR="00B70E99" w:rsidP="009B2226" w:rsidRDefault="00B70E99" w14:paraId="1FD0E86E" w14:textId="25A09842">
            <w:pPr>
              <w:pStyle w:val="Standard"/>
              <w:keepNext/>
              <w:spacing w:line="240" w:lineRule="auto"/>
              <w:ind w:firstLine="0"/>
              <w:jc w:val="center"/>
              <w:rPr>
                <w:b/>
                <w:bCs/>
                <w:smallCaps/>
                <w:szCs w:val="26"/>
              </w:rPr>
            </w:pPr>
            <w:r w:rsidRPr="009B2226">
              <w:rPr>
                <w:b/>
                <w:bCs/>
                <w:szCs w:val="26"/>
              </w:rPr>
              <w:t>Settlement Agreement</w:t>
            </w:r>
          </w:p>
        </w:tc>
        <w:tc>
          <w:tcPr>
            <w:tcW w:w="1731" w:type="dxa"/>
            <w:vAlign w:val="center"/>
          </w:tcPr>
          <w:p w:rsidRPr="009B2226" w:rsidR="00B70E99" w:rsidP="009B2226" w:rsidRDefault="00B70E99" w14:paraId="538D3E76" w14:textId="77777777">
            <w:pPr>
              <w:pStyle w:val="Standard"/>
              <w:keepNext/>
              <w:spacing w:line="240" w:lineRule="auto"/>
              <w:ind w:firstLine="0"/>
              <w:jc w:val="center"/>
              <w:rPr>
                <w:b/>
                <w:bCs/>
                <w:szCs w:val="26"/>
              </w:rPr>
            </w:pPr>
            <w:r w:rsidRPr="009B2226">
              <w:rPr>
                <w:b/>
                <w:bCs/>
                <w:szCs w:val="26"/>
              </w:rPr>
              <w:t>Adjustment</w:t>
            </w:r>
          </w:p>
          <w:p w:rsidRPr="009B2226" w:rsidR="00B70E99" w:rsidP="009B2226" w:rsidRDefault="00B70E99" w14:paraId="18AF2D79" w14:textId="6CA220D6">
            <w:pPr>
              <w:pStyle w:val="Standard"/>
              <w:keepNext/>
              <w:spacing w:line="240" w:lineRule="auto"/>
              <w:ind w:firstLine="0"/>
              <w:jc w:val="center"/>
              <w:rPr>
                <w:b/>
                <w:bCs/>
                <w:smallCaps/>
                <w:szCs w:val="26"/>
              </w:rPr>
            </w:pPr>
            <w:r w:rsidRPr="009B2226">
              <w:rPr>
                <w:b/>
                <w:bCs/>
                <w:szCs w:val="26"/>
              </w:rPr>
              <w:t>($)</w:t>
            </w:r>
          </w:p>
        </w:tc>
        <w:tc>
          <w:tcPr>
            <w:tcW w:w="1732" w:type="dxa"/>
            <w:vAlign w:val="center"/>
          </w:tcPr>
          <w:p w:rsidRPr="009B2226" w:rsidR="00B70E99" w:rsidP="009B2226" w:rsidRDefault="00B70E99" w14:paraId="0688D388" w14:textId="77777777">
            <w:pPr>
              <w:pStyle w:val="Standard"/>
              <w:keepNext/>
              <w:spacing w:line="240" w:lineRule="auto"/>
              <w:ind w:firstLine="0"/>
              <w:jc w:val="center"/>
              <w:rPr>
                <w:b/>
                <w:bCs/>
                <w:szCs w:val="26"/>
              </w:rPr>
            </w:pPr>
            <w:r w:rsidRPr="009B2226">
              <w:rPr>
                <w:b/>
                <w:bCs/>
                <w:szCs w:val="26"/>
              </w:rPr>
              <w:t>Adjustment</w:t>
            </w:r>
          </w:p>
          <w:p w:rsidRPr="009B2226" w:rsidR="00B70E99" w:rsidP="009B2226" w:rsidRDefault="00B70E99" w14:paraId="54332D28" w14:textId="4A27BE34">
            <w:pPr>
              <w:pStyle w:val="Standard"/>
              <w:keepNext/>
              <w:spacing w:line="240" w:lineRule="auto"/>
              <w:ind w:firstLine="0"/>
              <w:jc w:val="center"/>
              <w:rPr>
                <w:b/>
                <w:bCs/>
                <w:smallCaps/>
                <w:szCs w:val="26"/>
              </w:rPr>
            </w:pPr>
            <w:r w:rsidRPr="009B2226">
              <w:rPr>
                <w:b/>
                <w:bCs/>
                <w:szCs w:val="26"/>
              </w:rPr>
              <w:t>(%)</w:t>
            </w:r>
          </w:p>
        </w:tc>
      </w:tr>
      <w:tr w:rsidRPr="009B2226" w:rsidR="00EE283B" w:rsidTr="009B2226" w14:paraId="1D48CD27" w14:textId="77777777">
        <w:trPr>
          <w:trHeight w:val="24"/>
          <w:jc w:val="center"/>
        </w:trPr>
        <w:tc>
          <w:tcPr>
            <w:tcW w:w="2425" w:type="dxa"/>
            <w:vAlign w:val="center"/>
          </w:tcPr>
          <w:p w:rsidRPr="009B2226" w:rsidR="00EE283B" w:rsidP="009B2226" w:rsidRDefault="00EE283B" w14:paraId="349BB8FC" w14:textId="77777777">
            <w:pPr>
              <w:pStyle w:val="Standard"/>
              <w:keepNext/>
              <w:spacing w:line="240" w:lineRule="auto"/>
              <w:ind w:firstLine="0"/>
              <w:jc w:val="center"/>
              <w:rPr>
                <w:b/>
                <w:bCs/>
                <w:szCs w:val="26"/>
              </w:rPr>
            </w:pPr>
            <w:r w:rsidRPr="009B2226">
              <w:rPr>
                <w:b/>
                <w:bCs/>
                <w:szCs w:val="26"/>
              </w:rPr>
              <w:t>Expense Forecast</w:t>
            </w:r>
          </w:p>
        </w:tc>
        <w:tc>
          <w:tcPr>
            <w:tcW w:w="1731" w:type="dxa"/>
            <w:vAlign w:val="center"/>
          </w:tcPr>
          <w:p w:rsidRPr="009B2226" w:rsidR="00EE283B" w:rsidP="009B2226" w:rsidRDefault="00EE283B" w14:paraId="55147B9B" w14:textId="4A6EB6EA">
            <w:pPr>
              <w:pStyle w:val="Standard"/>
              <w:keepNext/>
              <w:spacing w:line="240" w:lineRule="auto"/>
              <w:ind w:firstLine="0"/>
              <w:jc w:val="center"/>
              <w:rPr>
                <w:szCs w:val="26"/>
              </w:rPr>
            </w:pPr>
            <w:r w:rsidRPr="009B2226">
              <w:rPr>
                <w:szCs w:val="26"/>
              </w:rPr>
              <w:t>$11,173,000</w:t>
            </w:r>
          </w:p>
        </w:tc>
        <w:tc>
          <w:tcPr>
            <w:tcW w:w="1731" w:type="dxa"/>
            <w:vAlign w:val="center"/>
          </w:tcPr>
          <w:p w:rsidRPr="009B2226" w:rsidR="00EE283B" w:rsidP="009B2226" w:rsidRDefault="00EE283B" w14:paraId="0DD6BDE8" w14:textId="4A5EFBBC">
            <w:pPr>
              <w:pStyle w:val="Standard"/>
              <w:keepNext/>
              <w:spacing w:line="240" w:lineRule="auto"/>
              <w:ind w:firstLine="0"/>
              <w:jc w:val="center"/>
              <w:rPr>
                <w:szCs w:val="26"/>
              </w:rPr>
            </w:pPr>
            <w:r w:rsidRPr="009B2226">
              <w:rPr>
                <w:szCs w:val="26"/>
              </w:rPr>
              <w:t>$4,000,000</w:t>
            </w:r>
          </w:p>
        </w:tc>
        <w:tc>
          <w:tcPr>
            <w:tcW w:w="1731" w:type="dxa"/>
            <w:vAlign w:val="center"/>
          </w:tcPr>
          <w:p w:rsidRPr="009B2226" w:rsidR="00EE283B" w:rsidP="009B2226" w:rsidRDefault="00EE283B" w14:paraId="02402389" w14:textId="1E645F26">
            <w:pPr>
              <w:pStyle w:val="Standard"/>
              <w:keepNext/>
              <w:spacing w:line="240" w:lineRule="auto"/>
              <w:ind w:firstLine="0"/>
              <w:jc w:val="center"/>
              <w:rPr>
                <w:szCs w:val="26"/>
              </w:rPr>
            </w:pPr>
          </w:p>
        </w:tc>
        <w:tc>
          <w:tcPr>
            <w:tcW w:w="1732" w:type="dxa"/>
            <w:vAlign w:val="center"/>
          </w:tcPr>
          <w:p w:rsidRPr="009B2226" w:rsidR="00EE283B" w:rsidP="009B2226" w:rsidRDefault="00EE283B" w14:paraId="719FDF5C" w14:textId="0BA30A14">
            <w:pPr>
              <w:pStyle w:val="Standard"/>
              <w:keepNext/>
              <w:spacing w:line="240" w:lineRule="auto"/>
              <w:ind w:firstLine="0"/>
              <w:jc w:val="center"/>
              <w:rPr>
                <w:szCs w:val="26"/>
              </w:rPr>
            </w:pPr>
          </w:p>
        </w:tc>
      </w:tr>
      <w:tr w:rsidRPr="009B2226" w:rsidR="00EE283B" w:rsidTr="009B2226" w14:paraId="75EAC422" w14:textId="77777777">
        <w:trPr>
          <w:trHeight w:val="166"/>
          <w:jc w:val="center"/>
        </w:trPr>
        <w:tc>
          <w:tcPr>
            <w:tcW w:w="2425" w:type="dxa"/>
            <w:vAlign w:val="center"/>
          </w:tcPr>
          <w:p w:rsidRPr="009B2226" w:rsidR="00EE283B" w:rsidP="009B2226" w:rsidRDefault="00EE283B" w14:paraId="0CF31DF9" w14:textId="77777777">
            <w:pPr>
              <w:pStyle w:val="Standard"/>
              <w:keepNext/>
              <w:spacing w:line="240" w:lineRule="auto"/>
              <w:ind w:firstLine="0"/>
              <w:jc w:val="center"/>
              <w:rPr>
                <w:b/>
                <w:bCs/>
                <w:szCs w:val="26"/>
              </w:rPr>
            </w:pPr>
            <w:r w:rsidRPr="009B2226">
              <w:rPr>
                <w:b/>
                <w:bCs/>
                <w:szCs w:val="26"/>
              </w:rPr>
              <w:t>Capital Expenditure Forecast</w:t>
            </w:r>
          </w:p>
        </w:tc>
        <w:tc>
          <w:tcPr>
            <w:tcW w:w="1731" w:type="dxa"/>
            <w:vAlign w:val="center"/>
          </w:tcPr>
          <w:p w:rsidRPr="009B2226" w:rsidR="00EE283B" w:rsidP="009B2226" w:rsidRDefault="00EE283B" w14:paraId="65D193E6" w14:textId="53FFF5D9">
            <w:pPr>
              <w:pStyle w:val="Standard"/>
              <w:keepNext/>
              <w:spacing w:line="240" w:lineRule="auto"/>
              <w:ind w:firstLine="0"/>
              <w:jc w:val="center"/>
              <w:rPr>
                <w:szCs w:val="26"/>
              </w:rPr>
            </w:pPr>
            <w:r w:rsidRPr="009B2226">
              <w:rPr>
                <w:szCs w:val="26"/>
              </w:rPr>
              <w:t>$485,058,000</w:t>
            </w:r>
          </w:p>
        </w:tc>
        <w:tc>
          <w:tcPr>
            <w:tcW w:w="1731" w:type="dxa"/>
            <w:vAlign w:val="center"/>
          </w:tcPr>
          <w:p w:rsidRPr="009B2226" w:rsidR="00EE283B" w:rsidP="009B2226" w:rsidRDefault="00EE283B" w14:paraId="3423D278" w14:textId="25BACE88">
            <w:pPr>
              <w:pStyle w:val="Standard"/>
              <w:keepNext/>
              <w:spacing w:line="240" w:lineRule="auto"/>
              <w:ind w:firstLine="0"/>
              <w:jc w:val="center"/>
              <w:rPr>
                <w:szCs w:val="26"/>
              </w:rPr>
            </w:pPr>
            <w:r w:rsidRPr="009B2226">
              <w:rPr>
                <w:szCs w:val="26"/>
              </w:rPr>
              <w:t>$420,000,000</w:t>
            </w:r>
          </w:p>
        </w:tc>
        <w:tc>
          <w:tcPr>
            <w:tcW w:w="1731" w:type="dxa"/>
            <w:vAlign w:val="center"/>
          </w:tcPr>
          <w:p w:rsidRPr="009B2226" w:rsidR="00EE283B" w:rsidP="009B2226" w:rsidRDefault="00EE283B" w14:paraId="5D4E1F5B" w14:textId="3E647E92">
            <w:pPr>
              <w:pStyle w:val="Standard"/>
              <w:keepNext/>
              <w:spacing w:line="240" w:lineRule="auto"/>
              <w:ind w:firstLine="0"/>
              <w:jc w:val="center"/>
              <w:rPr>
                <w:szCs w:val="26"/>
              </w:rPr>
            </w:pPr>
            <w:r w:rsidRPr="009B2226">
              <w:rPr>
                <w:szCs w:val="26"/>
              </w:rPr>
              <w:t>($65,058,000)</w:t>
            </w:r>
          </w:p>
        </w:tc>
        <w:tc>
          <w:tcPr>
            <w:tcW w:w="1732" w:type="dxa"/>
            <w:vAlign w:val="center"/>
          </w:tcPr>
          <w:p w:rsidRPr="009B2226" w:rsidR="00EE283B" w:rsidP="009B2226" w:rsidRDefault="00EE283B" w14:paraId="1915D721" w14:textId="2D5D00CF">
            <w:pPr>
              <w:pStyle w:val="Standard"/>
              <w:keepNext/>
              <w:spacing w:line="240" w:lineRule="auto"/>
              <w:ind w:firstLine="0"/>
              <w:jc w:val="center"/>
              <w:rPr>
                <w:szCs w:val="26"/>
              </w:rPr>
            </w:pPr>
            <w:r w:rsidRPr="009B2226">
              <w:rPr>
                <w:szCs w:val="26"/>
              </w:rPr>
              <w:t>(13.4%)</w:t>
            </w:r>
          </w:p>
        </w:tc>
      </w:tr>
      <w:tr w:rsidRPr="009B2226" w:rsidR="00EE283B" w:rsidTr="009B2226" w14:paraId="538D22CE" w14:textId="77777777">
        <w:trPr>
          <w:trHeight w:val="300"/>
          <w:jc w:val="center"/>
        </w:trPr>
        <w:tc>
          <w:tcPr>
            <w:tcW w:w="2425" w:type="dxa"/>
            <w:vAlign w:val="center"/>
          </w:tcPr>
          <w:p w:rsidRPr="009B2226" w:rsidR="00EE283B" w:rsidP="009B2226" w:rsidRDefault="00EE283B" w14:paraId="4A734091" w14:textId="77777777">
            <w:pPr>
              <w:pStyle w:val="Standard"/>
              <w:keepNext/>
              <w:spacing w:line="240" w:lineRule="auto"/>
              <w:ind w:firstLine="0"/>
              <w:jc w:val="center"/>
              <w:rPr>
                <w:b/>
                <w:bCs/>
                <w:szCs w:val="26"/>
              </w:rPr>
            </w:pPr>
          </w:p>
        </w:tc>
        <w:tc>
          <w:tcPr>
            <w:tcW w:w="1731" w:type="dxa"/>
            <w:vAlign w:val="center"/>
          </w:tcPr>
          <w:p w:rsidRPr="009B2226" w:rsidR="00EE283B" w:rsidP="009B2226" w:rsidRDefault="00EE283B" w14:paraId="4280CA06" w14:textId="77777777">
            <w:pPr>
              <w:pStyle w:val="Standard"/>
              <w:keepNext/>
              <w:spacing w:line="240" w:lineRule="auto"/>
              <w:ind w:firstLine="0"/>
              <w:jc w:val="center"/>
              <w:rPr>
                <w:szCs w:val="26"/>
              </w:rPr>
            </w:pPr>
          </w:p>
        </w:tc>
        <w:tc>
          <w:tcPr>
            <w:tcW w:w="1731" w:type="dxa"/>
            <w:vAlign w:val="center"/>
          </w:tcPr>
          <w:p w:rsidRPr="009B2226" w:rsidR="00EE283B" w:rsidP="009B2226" w:rsidRDefault="00EE283B" w14:paraId="61D32FBB" w14:textId="77777777">
            <w:pPr>
              <w:pStyle w:val="Standard"/>
              <w:keepNext/>
              <w:spacing w:line="240" w:lineRule="auto"/>
              <w:ind w:firstLine="0"/>
              <w:jc w:val="center"/>
              <w:rPr>
                <w:szCs w:val="26"/>
              </w:rPr>
            </w:pPr>
          </w:p>
        </w:tc>
        <w:tc>
          <w:tcPr>
            <w:tcW w:w="1731" w:type="dxa"/>
            <w:vAlign w:val="center"/>
          </w:tcPr>
          <w:p w:rsidRPr="009B2226" w:rsidR="00EE283B" w:rsidP="009B2226" w:rsidRDefault="00EE283B" w14:paraId="7DDAF3D1" w14:textId="77777777">
            <w:pPr>
              <w:pStyle w:val="Standard"/>
              <w:keepNext/>
              <w:spacing w:line="240" w:lineRule="auto"/>
              <w:ind w:firstLine="0"/>
              <w:jc w:val="center"/>
              <w:rPr>
                <w:szCs w:val="26"/>
              </w:rPr>
            </w:pPr>
          </w:p>
        </w:tc>
        <w:tc>
          <w:tcPr>
            <w:tcW w:w="1732" w:type="dxa"/>
            <w:vAlign w:val="center"/>
          </w:tcPr>
          <w:p w:rsidRPr="009B2226" w:rsidR="00EE283B" w:rsidP="009B2226" w:rsidRDefault="00EE283B" w14:paraId="53C8A5CA" w14:textId="77777777">
            <w:pPr>
              <w:pStyle w:val="Standard"/>
              <w:keepNext/>
              <w:spacing w:line="240" w:lineRule="auto"/>
              <w:ind w:firstLine="0"/>
              <w:jc w:val="center"/>
              <w:rPr>
                <w:szCs w:val="26"/>
              </w:rPr>
            </w:pPr>
          </w:p>
        </w:tc>
      </w:tr>
      <w:tr w:rsidRPr="009B2226" w:rsidR="00EE283B" w:rsidTr="009B2226" w14:paraId="077F1445" w14:textId="77777777">
        <w:trPr>
          <w:trHeight w:val="247"/>
          <w:jc w:val="center"/>
        </w:trPr>
        <w:tc>
          <w:tcPr>
            <w:tcW w:w="2425" w:type="dxa"/>
            <w:vAlign w:val="center"/>
          </w:tcPr>
          <w:p w:rsidRPr="009B2226" w:rsidR="00EE283B" w:rsidP="009B2226" w:rsidRDefault="00EE283B" w14:paraId="687D0C4E" w14:textId="5E604858">
            <w:pPr>
              <w:pStyle w:val="Standard"/>
              <w:spacing w:line="240" w:lineRule="auto"/>
              <w:ind w:firstLine="0"/>
              <w:jc w:val="center"/>
              <w:rPr>
                <w:b/>
                <w:bCs/>
                <w:szCs w:val="26"/>
                <w:u w:val="single"/>
              </w:rPr>
            </w:pPr>
            <w:r w:rsidRPr="009B2226">
              <w:rPr>
                <w:b/>
                <w:bCs/>
                <w:szCs w:val="26"/>
                <w:u w:val="single"/>
              </w:rPr>
              <w:t>Total Forecast</w:t>
            </w:r>
          </w:p>
        </w:tc>
        <w:tc>
          <w:tcPr>
            <w:tcW w:w="1731" w:type="dxa"/>
            <w:vAlign w:val="center"/>
          </w:tcPr>
          <w:p w:rsidRPr="009B2226" w:rsidR="00EE283B" w:rsidP="009B2226" w:rsidRDefault="00EE283B" w14:paraId="204DF384" w14:textId="3F3A173C">
            <w:pPr>
              <w:pStyle w:val="Standard"/>
              <w:spacing w:line="240" w:lineRule="auto"/>
              <w:ind w:firstLine="0"/>
              <w:jc w:val="center"/>
              <w:rPr>
                <w:szCs w:val="26"/>
                <w:u w:val="single"/>
              </w:rPr>
            </w:pPr>
            <w:r w:rsidRPr="009B2226">
              <w:rPr>
                <w:szCs w:val="26"/>
                <w:u w:val="single"/>
              </w:rPr>
              <w:t>$496,231,000</w:t>
            </w:r>
          </w:p>
        </w:tc>
        <w:tc>
          <w:tcPr>
            <w:tcW w:w="1731" w:type="dxa"/>
            <w:vAlign w:val="center"/>
          </w:tcPr>
          <w:p w:rsidRPr="009B2226" w:rsidR="00EE283B" w:rsidP="009B2226" w:rsidRDefault="00EE283B" w14:paraId="6983C6FF" w14:textId="616B5CC8">
            <w:pPr>
              <w:pStyle w:val="Standard"/>
              <w:spacing w:line="240" w:lineRule="auto"/>
              <w:ind w:firstLine="0"/>
              <w:jc w:val="center"/>
              <w:rPr>
                <w:szCs w:val="26"/>
                <w:u w:val="single"/>
              </w:rPr>
            </w:pPr>
            <w:r w:rsidRPr="009B2226">
              <w:rPr>
                <w:szCs w:val="26"/>
                <w:u w:val="single"/>
              </w:rPr>
              <w:t>$424,000,000</w:t>
            </w:r>
          </w:p>
        </w:tc>
        <w:tc>
          <w:tcPr>
            <w:tcW w:w="1731" w:type="dxa"/>
            <w:vAlign w:val="center"/>
          </w:tcPr>
          <w:p w:rsidRPr="009B2226" w:rsidR="00EE283B" w:rsidP="009B2226" w:rsidRDefault="00EE283B" w14:paraId="7F761FBE" w14:textId="23D32980">
            <w:pPr>
              <w:pStyle w:val="Standard"/>
              <w:spacing w:line="240" w:lineRule="auto"/>
              <w:ind w:firstLine="0"/>
              <w:jc w:val="center"/>
              <w:rPr>
                <w:szCs w:val="26"/>
                <w:u w:val="single"/>
              </w:rPr>
            </w:pPr>
            <w:r w:rsidRPr="009B2226">
              <w:rPr>
                <w:szCs w:val="26"/>
                <w:u w:val="single"/>
              </w:rPr>
              <w:t>($72,231,000)</w:t>
            </w:r>
          </w:p>
        </w:tc>
        <w:tc>
          <w:tcPr>
            <w:tcW w:w="1732" w:type="dxa"/>
            <w:vAlign w:val="center"/>
          </w:tcPr>
          <w:p w:rsidRPr="009B2226" w:rsidR="00EE283B" w:rsidP="009B2226" w:rsidRDefault="00EE283B" w14:paraId="71ACA692" w14:textId="3459FAF9">
            <w:pPr>
              <w:pStyle w:val="Standard"/>
              <w:spacing w:line="240" w:lineRule="auto"/>
              <w:ind w:firstLine="0"/>
              <w:jc w:val="center"/>
              <w:rPr>
                <w:szCs w:val="26"/>
                <w:u w:val="single"/>
              </w:rPr>
            </w:pPr>
            <w:r w:rsidRPr="009B2226">
              <w:rPr>
                <w:szCs w:val="26"/>
                <w:u w:val="single"/>
              </w:rPr>
              <w:t>(14.6%)</w:t>
            </w:r>
          </w:p>
        </w:tc>
      </w:tr>
    </w:tbl>
    <w:p w:rsidRPr="009B2226" w:rsidR="00EE283B" w:rsidP="00EE283B" w:rsidRDefault="00EE283B" w14:paraId="31395DD4" w14:textId="77777777">
      <w:pPr>
        <w:rPr>
          <w:sz w:val="10"/>
          <w:szCs w:val="10"/>
          <w:lang w:val="en-ZW"/>
        </w:rPr>
      </w:pPr>
    </w:p>
    <w:p w:rsidR="00EE283B" w:rsidP="009B2226" w:rsidRDefault="008E095A" w14:paraId="00D161CA" w14:textId="3A692FCB">
      <w:pPr>
        <w:pStyle w:val="Standard"/>
        <w:spacing w:before="240"/>
        <w:rPr>
          <w:szCs w:val="26"/>
          <w:lang w:val="en-ZW"/>
        </w:rPr>
      </w:pPr>
      <w:r>
        <w:rPr>
          <w:szCs w:val="26"/>
          <w:lang w:val="en-ZW"/>
        </w:rPr>
        <w:lastRenderedPageBreak/>
        <w:t xml:space="preserve">As shown in Table 2, </w:t>
      </w:r>
      <w:r w:rsidRPr="002F17D0" w:rsidR="00EE283B">
        <w:rPr>
          <w:szCs w:val="26"/>
          <w:lang w:val="en-ZW"/>
        </w:rPr>
        <w:t xml:space="preserve">PG&amp;E’s initial $11,173,000 expense forecast in the Application was reduced by $7,173,000, or 64.2%, to $4,000,000 in the Settlement Agreement. Likewise, PG&amp;E’s initial </w:t>
      </w:r>
      <w:r w:rsidRPr="002F17D0" w:rsidR="00EE283B">
        <w:rPr>
          <w:szCs w:val="26"/>
        </w:rPr>
        <w:t xml:space="preserve">$485,058,000 capital </w:t>
      </w:r>
      <w:r w:rsidRPr="002F17D0" w:rsidR="00EE283B">
        <w:rPr>
          <w:szCs w:val="26"/>
          <w:lang w:val="en-ZW"/>
        </w:rPr>
        <w:t>expenditure forecast in the Application was reduced by $</w:t>
      </w:r>
      <w:r w:rsidRPr="002F17D0" w:rsidR="00EE283B">
        <w:rPr>
          <w:szCs w:val="26"/>
        </w:rPr>
        <w:t xml:space="preserve">65,058,000, </w:t>
      </w:r>
      <w:r w:rsidRPr="002F17D0" w:rsidR="00EE283B">
        <w:rPr>
          <w:szCs w:val="26"/>
          <w:lang w:val="en-ZW"/>
        </w:rPr>
        <w:t xml:space="preserve">or </w:t>
      </w:r>
      <w:r w:rsidRPr="002F17D0" w:rsidR="00EE283B">
        <w:rPr>
          <w:szCs w:val="26"/>
        </w:rPr>
        <w:t>13.4%</w:t>
      </w:r>
      <w:r w:rsidRPr="002F17D0" w:rsidR="00EE283B">
        <w:rPr>
          <w:szCs w:val="26"/>
          <w:lang w:val="en-ZW"/>
        </w:rPr>
        <w:t>, to $</w:t>
      </w:r>
      <w:r w:rsidRPr="002F17D0" w:rsidR="00EE283B">
        <w:rPr>
          <w:szCs w:val="26"/>
        </w:rPr>
        <w:t xml:space="preserve">420,000,000 </w:t>
      </w:r>
      <w:r w:rsidRPr="002F17D0" w:rsidR="00EE283B">
        <w:rPr>
          <w:szCs w:val="26"/>
          <w:lang w:val="en-ZW"/>
        </w:rPr>
        <w:t xml:space="preserve">in the Settlement Agreement. As a result, PG&amp;E’s initial </w:t>
      </w:r>
      <w:r w:rsidRPr="002F17D0" w:rsidR="00EE283B">
        <w:rPr>
          <w:szCs w:val="26"/>
        </w:rPr>
        <w:t xml:space="preserve">$496,231,000 total </w:t>
      </w:r>
      <w:r w:rsidRPr="002F17D0" w:rsidR="00EE283B">
        <w:rPr>
          <w:szCs w:val="26"/>
          <w:lang w:val="en-ZW"/>
        </w:rPr>
        <w:t>forecast in the Application was reduced by $</w:t>
      </w:r>
      <w:r w:rsidRPr="002F17D0" w:rsidR="00EE283B">
        <w:rPr>
          <w:szCs w:val="26"/>
        </w:rPr>
        <w:t xml:space="preserve">72,231,000, </w:t>
      </w:r>
      <w:r w:rsidRPr="002F17D0" w:rsidR="00EE283B">
        <w:rPr>
          <w:szCs w:val="26"/>
          <w:lang w:val="en-ZW"/>
        </w:rPr>
        <w:t>or 14.6</w:t>
      </w:r>
      <w:r w:rsidRPr="002F17D0" w:rsidR="00EE283B">
        <w:rPr>
          <w:szCs w:val="26"/>
        </w:rPr>
        <w:t>%</w:t>
      </w:r>
      <w:r w:rsidRPr="002F17D0" w:rsidR="00EE283B">
        <w:rPr>
          <w:szCs w:val="26"/>
          <w:lang w:val="en-ZW"/>
        </w:rPr>
        <w:t xml:space="preserve">, to </w:t>
      </w:r>
      <w:r w:rsidRPr="002F17D0" w:rsidR="00EE283B">
        <w:rPr>
          <w:szCs w:val="26"/>
        </w:rPr>
        <w:t xml:space="preserve">$424,000,000 </w:t>
      </w:r>
      <w:r w:rsidRPr="002F17D0" w:rsidR="00EE283B">
        <w:rPr>
          <w:szCs w:val="26"/>
          <w:lang w:val="en-ZW"/>
        </w:rPr>
        <w:t>in the Settlement Agreement.</w:t>
      </w:r>
    </w:p>
    <w:p w:rsidR="00F76A3E" w:rsidP="00F76A3E" w:rsidRDefault="00F76A3E" w14:paraId="2752122F" w14:textId="00C254AD">
      <w:pPr>
        <w:pStyle w:val="Standard"/>
        <w:rPr>
          <w:lang w:val="en-ZW"/>
        </w:rPr>
      </w:pPr>
      <w:r w:rsidRPr="00480C42">
        <w:rPr>
          <w:lang w:val="en-ZW"/>
        </w:rPr>
        <w:t xml:space="preserve">The proceeding record showing the </w:t>
      </w:r>
      <w:r w:rsidR="00752DFE">
        <w:rPr>
          <w:lang w:val="en-ZW"/>
        </w:rPr>
        <w:t xml:space="preserve">Settling </w:t>
      </w:r>
      <w:r w:rsidR="009734A0">
        <w:rPr>
          <w:lang w:val="en-ZW"/>
        </w:rPr>
        <w:t>P</w:t>
      </w:r>
      <w:r w:rsidRPr="00480C42">
        <w:rPr>
          <w:lang w:val="en-ZW"/>
        </w:rPr>
        <w:t>arties</w:t>
      </w:r>
      <w:r w:rsidR="00BB721A">
        <w:rPr>
          <w:lang w:val="en-ZW"/>
        </w:rPr>
        <w:t>’</w:t>
      </w:r>
      <w:r w:rsidRPr="00480C42">
        <w:rPr>
          <w:lang w:val="en-ZW"/>
        </w:rPr>
        <w:t xml:space="preserve"> positions, negotiations, and resulting compromises establishes that the Settlement Agreement’s proposed forecasts for the GAMI Replacement Program are reasonable.</w:t>
      </w:r>
    </w:p>
    <w:p w:rsidRPr="00FE4B6B" w:rsidR="000912FC" w:rsidP="00FE4B6B" w:rsidRDefault="00457A68" w14:paraId="3A47A9F1" w14:textId="52BB693B">
      <w:pPr>
        <w:pStyle w:val="Heading4"/>
        <w:rPr>
          <w:lang w:val="en-ZW"/>
        </w:rPr>
      </w:pPr>
      <w:bookmarkStart w:name="_Toc215555417" w:id="54"/>
      <w:r w:rsidRPr="00FE4B6B">
        <w:rPr>
          <w:lang w:val="en-ZW"/>
        </w:rPr>
        <w:t>Cost Recovery and Rates</w:t>
      </w:r>
      <w:bookmarkEnd w:id="54"/>
    </w:p>
    <w:p w:rsidR="00F17C38" w:rsidP="00F17C38" w:rsidRDefault="00F17C38" w14:paraId="62424F39" w14:textId="5A7AE042">
      <w:r>
        <w:t xml:space="preserve">Because the Settlement Agreement’s proposed forecasts and revenue requirements are just and reasonable in light of the proceeding record, that record further supports the reasonableness of the </w:t>
      </w:r>
      <w:r w:rsidR="00EA2CCC">
        <w:t>Settlement Agreement’s resolution</w:t>
      </w:r>
      <w:r>
        <w:t xml:space="preserve"> regarding Scoping Memo Issues 4-6.</w:t>
      </w:r>
    </w:p>
    <w:p w:rsidR="00F17C38" w:rsidP="00F17C38" w:rsidRDefault="00F17C38" w14:paraId="24E62363" w14:textId="49B191CA">
      <w:pPr>
        <w:rPr>
          <w:lang w:val="en-ZW"/>
        </w:rPr>
      </w:pPr>
      <w:r>
        <w:rPr>
          <w:lang w:val="en-ZW"/>
        </w:rPr>
        <w:t xml:space="preserve">With respect to Scoping Memo Issue 4, it is reasonable based on the proceeding record that </w:t>
      </w:r>
      <w:bookmarkStart w:name="_Hlk214876826" w:id="55"/>
      <w:r>
        <w:rPr>
          <w:lang w:val="en-ZW"/>
        </w:rPr>
        <w:t>PG&amp;E be authorized</w:t>
      </w:r>
      <w:r w:rsidR="002E1F0B">
        <w:rPr>
          <w:lang w:val="en-ZW"/>
        </w:rPr>
        <w:t>,</w:t>
      </w:r>
      <w:r>
        <w:rPr>
          <w:lang w:val="en-ZW"/>
        </w:rPr>
        <w:t xml:space="preserve"> according to the terms of the Settlement Agreement</w:t>
      </w:r>
      <w:r w:rsidR="00682EB9">
        <w:rPr>
          <w:lang w:val="en-ZW"/>
        </w:rPr>
        <w:t xml:space="preserve"> section </w:t>
      </w:r>
      <w:r w:rsidR="00EB3002">
        <w:rPr>
          <w:lang w:val="en-ZW"/>
        </w:rPr>
        <w:t>3.6</w:t>
      </w:r>
      <w:r w:rsidR="002E1F0B">
        <w:rPr>
          <w:lang w:val="en-ZW"/>
        </w:rPr>
        <w:t>,</w:t>
      </w:r>
      <w:r>
        <w:rPr>
          <w:lang w:val="en-ZW"/>
        </w:rPr>
        <w:t xml:space="preserve"> to reflect the proposed 2023-2024 revenue requirement for its GAMI Replacement Program in rates</w:t>
      </w:r>
      <w:r w:rsidR="004C419F">
        <w:rPr>
          <w:lang w:val="en-ZW"/>
        </w:rPr>
        <w:t xml:space="preserve"> </w:t>
      </w:r>
      <w:r w:rsidR="009561E3">
        <w:rPr>
          <w:lang w:val="en-ZW"/>
        </w:rPr>
        <w:t>through the next available rate change or Annual Electric True-up and Annual Gas True-Up</w:t>
      </w:r>
      <w:r w:rsidR="00881EA1">
        <w:rPr>
          <w:lang w:val="en-ZW"/>
        </w:rPr>
        <w:t>,</w:t>
      </w:r>
      <w:r w:rsidR="002E1F0B">
        <w:rPr>
          <w:lang w:val="en-ZW"/>
        </w:rPr>
        <w:t xml:space="preserve"> following the issuance of this decision</w:t>
      </w:r>
      <w:r>
        <w:rPr>
          <w:lang w:val="en-ZW"/>
        </w:rPr>
        <w:t>.</w:t>
      </w:r>
    </w:p>
    <w:bookmarkEnd w:id="55"/>
    <w:p w:rsidR="00F17C38" w:rsidP="00F17C38" w:rsidRDefault="00F17C38" w14:paraId="2BE85319" w14:textId="372CC448">
      <w:pPr>
        <w:rPr>
          <w:lang w:val="en-ZW"/>
        </w:rPr>
      </w:pPr>
      <w:r>
        <w:rPr>
          <w:lang w:val="en-ZW"/>
        </w:rPr>
        <w:t>With respect to Scoping Memo Issue 5, PG&amp;E cost recovery is reasonable based on the proceeding record and may be adopted according to the terms of the Settlement Agreement</w:t>
      </w:r>
      <w:r w:rsidR="00AB73A6">
        <w:rPr>
          <w:lang w:val="en-ZW"/>
        </w:rPr>
        <w:t xml:space="preserve"> section 3.5</w:t>
      </w:r>
      <w:r w:rsidR="00767628">
        <w:rPr>
          <w:lang w:val="en-ZW"/>
        </w:rPr>
        <w:t>, authorizing</w:t>
      </w:r>
      <w:r w:rsidR="00787A88">
        <w:rPr>
          <w:lang w:val="en-ZW"/>
        </w:rPr>
        <w:t xml:space="preserve"> use of PG&amp;E’</w:t>
      </w:r>
      <w:r w:rsidR="002768B8">
        <w:rPr>
          <w:lang w:val="en-ZW"/>
        </w:rPr>
        <w:t>s</w:t>
      </w:r>
      <w:r w:rsidR="00787A88">
        <w:rPr>
          <w:lang w:val="en-ZW"/>
        </w:rPr>
        <w:t xml:space="preserve"> existing revenue </w:t>
      </w:r>
      <w:r w:rsidR="0000264B">
        <w:rPr>
          <w:lang w:val="en-ZW"/>
        </w:rPr>
        <w:t>mechanisms to recover the adopted revenue requirements</w:t>
      </w:r>
      <w:r>
        <w:rPr>
          <w:lang w:val="en-ZW"/>
        </w:rPr>
        <w:t>.</w:t>
      </w:r>
    </w:p>
    <w:p w:rsidR="00F17C38" w:rsidP="00F17C38" w:rsidRDefault="00F17C38" w14:paraId="0AC8C086" w14:textId="24CEFC48">
      <w:pPr>
        <w:rPr>
          <w:lang w:val="en-ZW"/>
        </w:rPr>
      </w:pPr>
      <w:r>
        <w:rPr>
          <w:lang w:val="en-ZW"/>
        </w:rPr>
        <w:lastRenderedPageBreak/>
        <w:t xml:space="preserve">With respect to Scoping Memo Issue </w:t>
      </w:r>
      <w:r w:rsidR="00457A68">
        <w:rPr>
          <w:lang w:val="en-ZW"/>
        </w:rPr>
        <w:t>6</w:t>
      </w:r>
      <w:r>
        <w:rPr>
          <w:lang w:val="en-ZW"/>
        </w:rPr>
        <w:t xml:space="preserve">, the proceeding record shows that PG&amp;E’s proposed </w:t>
      </w:r>
      <w:r w:rsidR="00BF2DD9">
        <w:rPr>
          <w:lang w:val="en-ZW"/>
        </w:rPr>
        <w:t xml:space="preserve">2023-2026 </w:t>
      </w:r>
      <w:r>
        <w:rPr>
          <w:lang w:val="en-ZW"/>
        </w:rPr>
        <w:t xml:space="preserve">GAMI Upgrade is likely to be cost-effective such that the costs are reasonable and should be recovered in rates </w:t>
      </w:r>
      <w:r w:rsidR="00E57EA7">
        <w:rPr>
          <w:lang w:val="en-ZW"/>
        </w:rPr>
        <w:t xml:space="preserve">within </w:t>
      </w:r>
      <w:r w:rsidR="004D0B0B">
        <w:rPr>
          <w:lang w:val="en-ZW"/>
        </w:rPr>
        <w:t xml:space="preserve">the Settlement Agreement’s $420 million authorized capital expenditure </w:t>
      </w:r>
      <w:r w:rsidR="00E44974">
        <w:rPr>
          <w:lang w:val="en-ZW"/>
        </w:rPr>
        <w:t xml:space="preserve">forecast and </w:t>
      </w:r>
      <w:r>
        <w:rPr>
          <w:lang w:val="en-ZW"/>
        </w:rPr>
        <w:t xml:space="preserve">according to the terms </w:t>
      </w:r>
      <w:r w:rsidR="00A966EE">
        <w:rPr>
          <w:lang w:val="en-ZW"/>
        </w:rPr>
        <w:t xml:space="preserve">and limitations </w:t>
      </w:r>
      <w:r>
        <w:rPr>
          <w:lang w:val="en-ZW"/>
        </w:rPr>
        <w:t>of the Settlement Agreement</w:t>
      </w:r>
      <w:r w:rsidR="00682EB9">
        <w:rPr>
          <w:lang w:val="en-ZW"/>
        </w:rPr>
        <w:t xml:space="preserve"> section 3.7</w:t>
      </w:r>
      <w:r>
        <w:rPr>
          <w:lang w:val="en-ZW"/>
        </w:rPr>
        <w:t>.</w:t>
      </w:r>
    </w:p>
    <w:p w:rsidR="005F4B51" w:rsidP="005F4B51" w:rsidRDefault="005F4B51" w14:paraId="0303B418" w14:textId="1902DB3A">
      <w:pPr>
        <w:pStyle w:val="Heading3"/>
        <w:rPr>
          <w:rFonts w:eastAsia="Cambria" w:cs="Cambria"/>
          <w:w w:val="105"/>
          <w:szCs w:val="26"/>
        </w:rPr>
      </w:pPr>
      <w:bookmarkStart w:name="_Toc215555418" w:id="56"/>
      <w:r w:rsidRPr="007C760E">
        <w:rPr>
          <w:bCs/>
        </w:rPr>
        <w:t>Issues 7</w:t>
      </w:r>
      <w:r w:rsidR="00535AF2">
        <w:rPr>
          <w:bCs/>
        </w:rPr>
        <w:t xml:space="preserve"> to</w:t>
      </w:r>
      <w:r w:rsidRPr="007C760E">
        <w:rPr>
          <w:bCs/>
        </w:rPr>
        <w:t xml:space="preserve"> 9 </w:t>
      </w:r>
      <w:r>
        <w:rPr>
          <w:bCs/>
        </w:rPr>
        <w:t xml:space="preserve">- </w:t>
      </w:r>
      <w:r>
        <w:t>Reasonable Allocation of Responsibility for Module Failure</w:t>
      </w:r>
      <w:bookmarkEnd w:id="56"/>
      <w:r>
        <w:t xml:space="preserve"> </w:t>
      </w:r>
    </w:p>
    <w:p w:rsidR="005F4B51" w:rsidP="005F4B51" w:rsidRDefault="005F4B51" w14:paraId="4020B37E" w14:textId="3CD2E610">
      <w:pPr>
        <w:pStyle w:val="Standard"/>
        <w:spacing w:before="180"/>
      </w:pPr>
      <w:r w:rsidRPr="00F40956">
        <w:t xml:space="preserve">Scoping Memo </w:t>
      </w:r>
      <w:r>
        <w:t>Issues</w:t>
      </w:r>
      <w:r w:rsidRPr="00F40956">
        <w:t xml:space="preserve"> 7, 8 and 9 relate to whether PG&amp;E bears some responsibility for</w:t>
      </w:r>
      <w:r>
        <w:t xml:space="preserve"> </w:t>
      </w:r>
      <w:r w:rsidRPr="00F40956">
        <w:t>the failure of GAMI 1.0 Modules prior to end of their 15</w:t>
      </w:r>
      <w:r w:rsidR="00D561CA">
        <w:t>-</w:t>
      </w:r>
      <w:r w:rsidRPr="00F40956">
        <w:t>year service lives</w:t>
      </w:r>
      <w:r>
        <w:t xml:space="preserve">. This was a prominently </w:t>
      </w:r>
      <w:r w:rsidRPr="00F40956">
        <w:t>contested issue</w:t>
      </w:r>
      <w:r>
        <w:t xml:space="preserve"> </w:t>
      </w:r>
      <w:r w:rsidRPr="00F40956">
        <w:t xml:space="preserve">in PG&amp;E’s 2023 GRC, </w:t>
      </w:r>
      <w:r>
        <w:t>where</w:t>
      </w:r>
      <w:r w:rsidRPr="00F40956">
        <w:t xml:space="preserve"> PG&amp;E requested approval of</w:t>
      </w:r>
      <w:r>
        <w:t xml:space="preserve"> </w:t>
      </w:r>
      <w:r w:rsidRPr="00F40956">
        <w:t>approximately $36.5 million in expense and approximately $743.9 million in capital</w:t>
      </w:r>
      <w:r>
        <w:t xml:space="preserve"> </w:t>
      </w:r>
      <w:r w:rsidRPr="00EA4034">
        <w:t>expenditures in 2023-2026 to replace Gas Modules that ha</w:t>
      </w:r>
      <w:r>
        <w:t>d</w:t>
      </w:r>
      <w:r w:rsidRPr="00EA4034">
        <w:t xml:space="preserve"> failed or were expected to fail.</w:t>
      </w:r>
      <w:r>
        <w:rPr>
          <w:rStyle w:val="FootnoteReference"/>
        </w:rPr>
        <w:footnoteReference w:id="59"/>
      </w:r>
      <w:r w:rsidRPr="00EA4034">
        <w:t xml:space="preserve"> </w:t>
      </w:r>
      <w:r>
        <w:t>There</w:t>
      </w:r>
      <w:r w:rsidRPr="00EA4034">
        <w:t>, the Commission adopted a forecast of $0 for replacing</w:t>
      </w:r>
      <w:r>
        <w:t xml:space="preserve"> </w:t>
      </w:r>
      <w:r w:rsidRPr="00EA4034">
        <w:t xml:space="preserve">Gas Modules for 2023-2026, but allowed PG&amp;E to file </w:t>
      </w:r>
      <w:r w:rsidR="007C5259">
        <w:t xml:space="preserve">the present, </w:t>
      </w:r>
      <w:r w:rsidRPr="00EA4034">
        <w:t>separate application seeking cost</w:t>
      </w:r>
      <w:r>
        <w:t xml:space="preserve"> </w:t>
      </w:r>
      <w:r w:rsidRPr="00EA4034">
        <w:t>recovery for GAMI Replacement.</w:t>
      </w:r>
      <w:r>
        <w:t xml:space="preserve"> </w:t>
      </w:r>
    </w:p>
    <w:p w:rsidR="005F4B51" w:rsidP="009B2226" w:rsidRDefault="005F4B51" w14:paraId="4192BA26" w14:textId="3A118928">
      <w:pPr>
        <w:pStyle w:val="Standard"/>
      </w:pPr>
      <w:r>
        <w:t>The record shows that i</w:t>
      </w:r>
      <w:r w:rsidRPr="00EA4034">
        <w:t xml:space="preserve">n response to PG&amp;E’s </w:t>
      </w:r>
      <w:r>
        <w:t xml:space="preserve">present </w:t>
      </w:r>
      <w:r w:rsidRPr="00EA4034">
        <w:t xml:space="preserve">Application, the </w:t>
      </w:r>
      <w:r>
        <w:t>Cal Advocates, TURN, and SBUA</w:t>
      </w:r>
      <w:r w:rsidRPr="00EA4034">
        <w:t xml:space="preserve"> again raised the</w:t>
      </w:r>
      <w:r>
        <w:t xml:space="preserve"> </w:t>
      </w:r>
      <w:r w:rsidRPr="00EA4034">
        <w:t xml:space="preserve">issue </w:t>
      </w:r>
      <w:r w:rsidR="00237E82">
        <w:t>—</w:t>
      </w:r>
      <w:r>
        <w:t xml:space="preserve"> in various ways </w:t>
      </w:r>
      <w:r w:rsidR="00237E82">
        <w:t>—</w:t>
      </w:r>
      <w:r>
        <w:t xml:space="preserve"> </w:t>
      </w:r>
      <w:r w:rsidRPr="00EA4034">
        <w:t xml:space="preserve">of whether PG&amp;E </w:t>
      </w:r>
      <w:r>
        <w:t xml:space="preserve">should </w:t>
      </w:r>
      <w:r w:rsidRPr="00EA4034">
        <w:t>bear any responsibility for the earlier-than-expected Gas Module</w:t>
      </w:r>
      <w:r>
        <w:t xml:space="preserve"> </w:t>
      </w:r>
      <w:r w:rsidRPr="00EA4034">
        <w:t xml:space="preserve">failures. </w:t>
      </w:r>
      <w:r>
        <w:t>As a result, t</w:t>
      </w:r>
      <w:r w:rsidRPr="00EA4034">
        <w:t>he Scoping Memo identified the</w:t>
      </w:r>
      <w:r>
        <w:t xml:space="preserve"> </w:t>
      </w:r>
      <w:r w:rsidRPr="00EA4034">
        <w:t xml:space="preserve">three issues that </w:t>
      </w:r>
      <w:r w:rsidRPr="00EA4034">
        <w:lastRenderedPageBreak/>
        <w:t xml:space="preserve">relate to </w:t>
      </w:r>
      <w:r>
        <w:t xml:space="preserve">the question of PG&amp;E responsibility for premature Gas Module failures that the ratepayer advocates raised in response to the Application: </w:t>
      </w:r>
      <w:r>
        <w:rPr>
          <w:rFonts w:eastAsia="Cambria" w:cs="Cambria"/>
          <w:w w:val="105"/>
          <w:szCs w:val="26"/>
        </w:rPr>
        <w:t xml:space="preserve">(1) </w:t>
      </w:r>
      <w:r w:rsidRPr="007A7D3E">
        <w:rPr>
          <w:rFonts w:eastAsia="Cambria" w:cs="Cambria"/>
          <w:w w:val="105"/>
          <w:szCs w:val="26"/>
        </w:rPr>
        <w:t>PG&amp;E’s failure, error or noncompliance with installing and/or maintaining its GAMI 1.0 system (</w:t>
      </w:r>
      <w:r>
        <w:rPr>
          <w:rFonts w:eastAsia="Cambria" w:cs="Cambria"/>
          <w:w w:val="105"/>
          <w:szCs w:val="26"/>
        </w:rPr>
        <w:t>Issue</w:t>
      </w:r>
      <w:r w:rsidRPr="007A7D3E">
        <w:rPr>
          <w:rFonts w:eastAsia="Cambria" w:cs="Cambria"/>
          <w:w w:val="105"/>
          <w:szCs w:val="26"/>
        </w:rPr>
        <w:t xml:space="preserve"> 7)</w:t>
      </w:r>
      <w:r>
        <w:rPr>
          <w:rFonts w:eastAsia="Cambria" w:cs="Cambria"/>
          <w:w w:val="105"/>
          <w:szCs w:val="26"/>
        </w:rPr>
        <w:t xml:space="preserve">; (2) </w:t>
      </w:r>
      <w:r w:rsidRPr="007A7D3E">
        <w:rPr>
          <w:rFonts w:eastAsia="Cambria" w:cs="Cambria"/>
          <w:w w:val="105"/>
          <w:szCs w:val="26"/>
        </w:rPr>
        <w:t>whether the GAMI Replacement Program costs should be allocated between ratepayers and shareholders (</w:t>
      </w:r>
      <w:r>
        <w:rPr>
          <w:rFonts w:eastAsia="Cambria" w:cs="Cambria"/>
          <w:w w:val="105"/>
          <w:szCs w:val="26"/>
        </w:rPr>
        <w:t>Issue</w:t>
      </w:r>
      <w:r w:rsidRPr="007A7D3E">
        <w:rPr>
          <w:rFonts w:eastAsia="Cambria" w:cs="Cambria"/>
          <w:w w:val="105"/>
          <w:szCs w:val="26"/>
        </w:rPr>
        <w:t xml:space="preserve"> 8)</w:t>
      </w:r>
      <w:r>
        <w:rPr>
          <w:rFonts w:eastAsia="Cambria" w:cs="Cambria"/>
          <w:w w:val="105"/>
          <w:szCs w:val="26"/>
        </w:rPr>
        <w:t>;</w:t>
      </w:r>
      <w:r w:rsidRPr="007A7D3E">
        <w:rPr>
          <w:rFonts w:eastAsia="Cambria" w:cs="Cambria"/>
          <w:w w:val="105"/>
          <w:szCs w:val="26"/>
        </w:rPr>
        <w:t xml:space="preserve"> and</w:t>
      </w:r>
      <w:r>
        <w:rPr>
          <w:rFonts w:eastAsia="Cambria" w:cs="Cambria"/>
          <w:w w:val="105"/>
          <w:szCs w:val="26"/>
        </w:rPr>
        <w:t xml:space="preserve"> (3) </w:t>
      </w:r>
      <w:r w:rsidRPr="0074299F">
        <w:rPr>
          <w:rFonts w:eastAsia="Cambria" w:cs="Cambria"/>
          <w:w w:val="105"/>
          <w:szCs w:val="26"/>
        </w:rPr>
        <w:t xml:space="preserve">the appropriate ratemaking and cost recovery treatment for any remaining investment in the GAMI 1.0 system (“stranded investment“ as </w:t>
      </w:r>
      <w:r>
        <w:rPr>
          <w:rFonts w:eastAsia="Cambria" w:cs="Cambria"/>
          <w:w w:val="105"/>
          <w:szCs w:val="26"/>
        </w:rPr>
        <w:t>Issue</w:t>
      </w:r>
      <w:r w:rsidRPr="0074299F">
        <w:rPr>
          <w:rFonts w:eastAsia="Cambria" w:cs="Cambria"/>
          <w:w w:val="105"/>
          <w:szCs w:val="26"/>
        </w:rPr>
        <w:t xml:space="preserve"> </w:t>
      </w:r>
      <w:r w:rsidRPr="002B0037">
        <w:rPr>
          <w:rFonts w:eastAsia="Cambria" w:cs="Cambria"/>
          <w:w w:val="105"/>
          <w:szCs w:val="26"/>
        </w:rPr>
        <w:t>9</w:t>
      </w:r>
      <w:r w:rsidRPr="0074299F">
        <w:rPr>
          <w:rFonts w:eastAsia="Cambria" w:cs="Cambria"/>
          <w:w w:val="105"/>
          <w:szCs w:val="26"/>
        </w:rPr>
        <w:t>).</w:t>
      </w:r>
      <w:r>
        <w:rPr>
          <w:rFonts w:eastAsia="Cambria" w:cs="Cambria"/>
          <w:w w:val="105"/>
          <w:szCs w:val="26"/>
        </w:rPr>
        <w:t xml:space="preserve"> The Settling Parties set forth their various positions in the proceeding record.</w:t>
      </w:r>
    </w:p>
    <w:p w:rsidR="005F4B51" w:rsidP="009B2226" w:rsidRDefault="005F4B51" w14:paraId="34FC1853" w14:textId="3BC0C640">
      <w:pPr>
        <w:pStyle w:val="Standard"/>
      </w:pPr>
      <w:r w:rsidRPr="007666ED">
        <w:t>PG&amp;E</w:t>
      </w:r>
      <w:r>
        <w:t xml:space="preserve">’s </w:t>
      </w:r>
      <w:r w:rsidRPr="007666ED">
        <w:t xml:space="preserve">Prepared Testimony </w:t>
      </w:r>
      <w:r>
        <w:t>states</w:t>
      </w:r>
      <w:r w:rsidRPr="007666ED">
        <w:t xml:space="preserve"> that it acted prudently in</w:t>
      </w:r>
      <w:r>
        <w:t xml:space="preserve"> </w:t>
      </w:r>
      <w:r w:rsidRPr="007666ED">
        <w:t xml:space="preserve">installing and maintaining its first-generation GAMI 1.0 system </w:t>
      </w:r>
      <w:r>
        <w:t>and</w:t>
      </w:r>
      <w:r w:rsidRPr="007666ED">
        <w:t xml:space="preserve"> that the ultimate</w:t>
      </w:r>
      <w:r>
        <w:t xml:space="preserve"> </w:t>
      </w:r>
      <w:r w:rsidRPr="007666ED">
        <w:t xml:space="preserve">factor that led to earlier-than-expected Gas Modules </w:t>
      </w:r>
      <w:r>
        <w:t xml:space="preserve">failures </w:t>
      </w:r>
      <w:r w:rsidRPr="007666ED">
        <w:t>involved battery life rather than</w:t>
      </w:r>
      <w:r>
        <w:t xml:space="preserve"> </w:t>
      </w:r>
      <w:r w:rsidRPr="003D5623">
        <w:t xml:space="preserve">any error or noncompliance </w:t>
      </w:r>
      <w:r>
        <w:t>by</w:t>
      </w:r>
      <w:r w:rsidRPr="003D5623">
        <w:t xml:space="preserve"> PG&amp;E. Based on this evidence, PG&amp;E argued that it bear</w:t>
      </w:r>
      <w:r>
        <w:t>s no</w:t>
      </w:r>
      <w:r w:rsidRPr="003D5623">
        <w:t xml:space="preserve"> responsibility for the </w:t>
      </w:r>
      <w:r>
        <w:t xml:space="preserve">early </w:t>
      </w:r>
      <w:r w:rsidRPr="003D5623">
        <w:t xml:space="preserve">failure </w:t>
      </w:r>
      <w:r w:rsidR="002D0D7C">
        <w:t xml:space="preserve">of </w:t>
      </w:r>
      <w:r w:rsidRPr="003D5623">
        <w:t>the Gas Modules and that no</w:t>
      </w:r>
      <w:r>
        <w:t xml:space="preserve"> </w:t>
      </w:r>
      <w:r w:rsidRPr="003D5623">
        <w:t>shareholder funding is warranted.</w:t>
      </w:r>
      <w:r>
        <w:rPr>
          <w:rStyle w:val="FootnoteReference"/>
        </w:rPr>
        <w:footnoteReference w:id="60"/>
      </w:r>
      <w:r>
        <w:t xml:space="preserve"> </w:t>
      </w:r>
    </w:p>
    <w:p w:rsidR="005F4B51" w:rsidP="009B2226" w:rsidRDefault="005F4B51" w14:paraId="463DFDCC" w14:textId="2FA2FCF6">
      <w:pPr>
        <w:pStyle w:val="Standard"/>
      </w:pPr>
      <w:r w:rsidRPr="003D5623">
        <w:t>Cal Advocates provided a history of Commission decisions concerning</w:t>
      </w:r>
      <w:r>
        <w:t xml:space="preserve"> </w:t>
      </w:r>
      <w:r w:rsidRPr="003D5623">
        <w:t>the mitigation of so-called “stranded assets,” and testified that PG&amp;E (</w:t>
      </w:r>
      <w:r>
        <w:t>and</w:t>
      </w:r>
      <w:r w:rsidRPr="003D5623">
        <w:t xml:space="preserve"> its Gas</w:t>
      </w:r>
      <w:r>
        <w:t xml:space="preserve"> </w:t>
      </w:r>
      <w:r w:rsidRPr="003D5623">
        <w:t>Module supplier) bears some responsibility for earl</w:t>
      </w:r>
      <w:r>
        <w:t xml:space="preserve">y </w:t>
      </w:r>
      <w:r w:rsidR="001064DC">
        <w:t>G</w:t>
      </w:r>
      <w:r w:rsidRPr="003D5623">
        <w:t>as Module failures</w:t>
      </w:r>
      <w:r>
        <w:t>.</w:t>
      </w:r>
      <w:r w:rsidRPr="003D5623">
        <w:t xml:space="preserve"> Cal Advocates recommended that PG&amp;E be required to present testimony that discusses</w:t>
      </w:r>
      <w:r>
        <w:t xml:space="preserve"> </w:t>
      </w:r>
      <w:r w:rsidRPr="003D5623">
        <w:t>how (or if) it plans to handle the stranded assets and resulting costs associated with the early</w:t>
      </w:r>
      <w:r>
        <w:t xml:space="preserve"> </w:t>
      </w:r>
      <w:r w:rsidRPr="003D5623">
        <w:t xml:space="preserve">retirement of its original </w:t>
      </w:r>
      <w:r w:rsidR="002731FB">
        <w:t>Gas Module</w:t>
      </w:r>
      <w:r w:rsidRPr="003D5623">
        <w:t>s.</w:t>
      </w:r>
      <w:r>
        <w:rPr>
          <w:rStyle w:val="FootnoteReference"/>
        </w:rPr>
        <w:footnoteReference w:id="61"/>
      </w:r>
      <w:r>
        <w:t xml:space="preserve"> </w:t>
      </w:r>
    </w:p>
    <w:p w:rsidRPr="003D5623" w:rsidR="005F4B51" w:rsidP="009B2226" w:rsidRDefault="005F4B51" w14:paraId="533E4630" w14:textId="56014EA5">
      <w:pPr>
        <w:pStyle w:val="Standard"/>
      </w:pPr>
      <w:r w:rsidRPr="003D5623">
        <w:t xml:space="preserve">TURN </w:t>
      </w:r>
      <w:r>
        <w:t>testified that it was “</w:t>
      </w:r>
      <w:r w:rsidRPr="003D5623">
        <w:t>concerned that the allocation of responsibility, and therefore costs, for</w:t>
      </w:r>
      <w:r>
        <w:t xml:space="preserve"> </w:t>
      </w:r>
      <w:r w:rsidRPr="003D5623">
        <w:t>premature equipment failures is placed solely on ratepayers, rather than shared by</w:t>
      </w:r>
      <w:r>
        <w:t xml:space="preserve"> </w:t>
      </w:r>
      <w:r w:rsidRPr="003D5623">
        <w:t xml:space="preserve">PG&amp;E’s shareholders who are still profiting </w:t>
      </w:r>
      <w:r w:rsidRPr="003D5623">
        <w:lastRenderedPageBreak/>
        <w:t>from the initial deployment, despite</w:t>
      </w:r>
      <w:r>
        <w:t xml:space="preserve"> </w:t>
      </w:r>
      <w:r w:rsidRPr="003D5623">
        <w:t>early failures.</w:t>
      </w:r>
      <w:r>
        <w:t>”</w:t>
      </w:r>
      <w:r>
        <w:rPr>
          <w:rStyle w:val="FootnoteReference"/>
        </w:rPr>
        <w:footnoteReference w:id="62"/>
      </w:r>
      <w:r>
        <w:t xml:space="preserve"> TURN </w:t>
      </w:r>
      <w:r w:rsidRPr="003D5623">
        <w:t>recommended that “the Commission deny</w:t>
      </w:r>
      <w:r>
        <w:t xml:space="preserve"> </w:t>
      </w:r>
      <w:r w:rsidRPr="003D5623">
        <w:t>PG&amp;E’s Application and instruct PG&amp;E to perform a comprehensive root</w:t>
      </w:r>
      <w:r w:rsidR="00826C93">
        <w:t>-</w:t>
      </w:r>
      <w:r w:rsidRPr="003D5623">
        <w:t>cause analysis to</w:t>
      </w:r>
      <w:r>
        <w:t xml:space="preserve"> </w:t>
      </w:r>
      <w:r w:rsidRPr="003D5623">
        <w:t>establish the cause(s) of each type of early failure to avoid recurring failures and conclusively</w:t>
      </w:r>
      <w:r>
        <w:t xml:space="preserve"> </w:t>
      </w:r>
      <w:r w:rsidRPr="003D5623">
        <w:t>attribute responsibility for early failures.”</w:t>
      </w:r>
      <w:r>
        <w:rPr>
          <w:rStyle w:val="FootnoteReference"/>
        </w:rPr>
        <w:footnoteReference w:id="63"/>
      </w:r>
      <w:r w:rsidRPr="003D5623">
        <w:t xml:space="preserve"> TURN </w:t>
      </w:r>
      <w:r>
        <w:t>offered</w:t>
      </w:r>
      <w:r w:rsidRPr="003D5623">
        <w:t xml:space="preserve"> that PG&amp;E </w:t>
      </w:r>
      <w:r>
        <w:t xml:space="preserve">should </w:t>
      </w:r>
      <w:r w:rsidRPr="003D5623">
        <w:t>earn zero return on any stranded assets in</w:t>
      </w:r>
      <w:r>
        <w:t xml:space="preserve"> </w:t>
      </w:r>
      <w:r w:rsidRPr="003D5623">
        <w:t xml:space="preserve">rate base, and the replacement costs for premature failures </w:t>
      </w:r>
      <w:r>
        <w:t xml:space="preserve">should </w:t>
      </w:r>
      <w:r w:rsidRPr="003D5623">
        <w:t>be shared equally between ratepayers</w:t>
      </w:r>
      <w:r>
        <w:t xml:space="preserve"> </w:t>
      </w:r>
      <w:r w:rsidRPr="003D5623">
        <w:t xml:space="preserve">and </w:t>
      </w:r>
      <w:r>
        <w:t xml:space="preserve">PG&amp;E </w:t>
      </w:r>
      <w:r w:rsidRPr="003D5623">
        <w:t>shareholders.</w:t>
      </w:r>
      <w:r>
        <w:rPr>
          <w:rStyle w:val="FootnoteReference"/>
        </w:rPr>
        <w:footnoteReference w:id="64"/>
      </w:r>
    </w:p>
    <w:p w:rsidR="005F4B51" w:rsidP="005F4B51" w:rsidRDefault="005F4B51" w14:paraId="1717796E" w14:textId="1B0788CD">
      <w:pPr>
        <w:pStyle w:val="Standard"/>
        <w:spacing w:before="180"/>
      </w:pPr>
      <w:r w:rsidRPr="003D5623">
        <w:t>SBUA asserted</w:t>
      </w:r>
      <w:r>
        <w:t xml:space="preserve"> in testimony</w:t>
      </w:r>
      <w:r w:rsidRPr="003D5623">
        <w:t xml:space="preserve"> that, because some </w:t>
      </w:r>
      <w:r w:rsidR="002731FB">
        <w:t>Gas Module</w:t>
      </w:r>
      <w:r w:rsidRPr="003D5623">
        <w:t>s failed before the</w:t>
      </w:r>
      <w:r>
        <w:t xml:space="preserve"> </w:t>
      </w:r>
      <w:r w:rsidRPr="003D5623">
        <w:t>expiration of their service lives, “[t]here must be some consequences to the shareholders of</w:t>
      </w:r>
      <w:r>
        <w:t xml:space="preserve"> </w:t>
      </w:r>
      <w:r w:rsidRPr="007764FF">
        <w:t>PG&amp;E for this failure.”</w:t>
      </w:r>
      <w:r>
        <w:rPr>
          <w:rStyle w:val="FootnoteReference"/>
        </w:rPr>
        <w:footnoteReference w:id="65"/>
      </w:r>
      <w:r w:rsidRPr="007764FF">
        <w:t xml:space="preserve"> SBUA further recommended that the Commission require PG&amp;E to</w:t>
      </w:r>
      <w:r>
        <w:t xml:space="preserve"> </w:t>
      </w:r>
      <w:r w:rsidRPr="007764FF">
        <w:t>include at least $10 million in shareholder funds into the GAMI Replacement Program.</w:t>
      </w:r>
      <w:r>
        <w:rPr>
          <w:rStyle w:val="FootnoteReference"/>
        </w:rPr>
        <w:footnoteReference w:id="66"/>
      </w:r>
      <w:r>
        <w:t xml:space="preserve"> </w:t>
      </w:r>
    </w:p>
    <w:p w:rsidR="005F4B51" w:rsidP="005F4B51" w:rsidRDefault="005F4B51" w14:paraId="7A9A2A34" w14:textId="5E239EEB">
      <w:pPr>
        <w:pStyle w:val="Standard"/>
        <w:spacing w:before="180"/>
      </w:pPr>
      <w:r w:rsidRPr="007764FF">
        <w:t xml:space="preserve">PG&amp;E submitted Rebuttal Testimony </w:t>
      </w:r>
      <w:r w:rsidR="0048601F">
        <w:t xml:space="preserve">stating </w:t>
      </w:r>
      <w:r w:rsidRPr="007764FF">
        <w:t>that there are no stranded costs associated with GAMI</w:t>
      </w:r>
      <w:r>
        <w:t xml:space="preserve"> </w:t>
      </w:r>
      <w:r w:rsidRPr="007764FF">
        <w:t>1.0 Modules.</w:t>
      </w:r>
      <w:r>
        <w:rPr>
          <w:rStyle w:val="FootnoteReference"/>
        </w:rPr>
        <w:footnoteReference w:id="67"/>
      </w:r>
      <w:r w:rsidRPr="007764FF">
        <w:t xml:space="preserve"> In respons</w:t>
      </w:r>
      <w:r>
        <w:t>e</w:t>
      </w:r>
      <w:r w:rsidRPr="007764FF">
        <w:t xml:space="preserve"> to Cal Advocates’ request that PG&amp;E “quantify the</w:t>
      </w:r>
      <w:r>
        <w:t xml:space="preserve"> </w:t>
      </w:r>
      <w:r w:rsidRPr="007764FF">
        <w:t>magnitude of the undepreciated portions of those original GAMI 1.0 modules that have</w:t>
      </w:r>
      <w:r>
        <w:t xml:space="preserve"> </w:t>
      </w:r>
      <w:r w:rsidRPr="007764FF">
        <w:t>prematurely failed (and been replaced), as well as the magnitude of the returns associated with</w:t>
      </w:r>
      <w:r>
        <w:t xml:space="preserve"> </w:t>
      </w:r>
      <w:r w:rsidRPr="007764FF">
        <w:t>those remaining modules,” PG&amp;E calculated $9.83 million of undepreciated plant balances for</w:t>
      </w:r>
      <w:r>
        <w:t xml:space="preserve"> </w:t>
      </w:r>
      <w:r w:rsidRPr="007764FF">
        <w:t>GAMI 1.0</w:t>
      </w:r>
      <w:r>
        <w:t xml:space="preserve"> </w:t>
      </w:r>
      <w:r w:rsidRPr="007764FF">
        <w:t xml:space="preserve">Modules that were replaced between 2023-2026 before they had reached the end </w:t>
      </w:r>
      <w:r w:rsidRPr="007764FF">
        <w:lastRenderedPageBreak/>
        <w:t>of</w:t>
      </w:r>
      <w:r>
        <w:t xml:space="preserve"> </w:t>
      </w:r>
      <w:r w:rsidRPr="007764FF">
        <w:t>their 15-year service lives.</w:t>
      </w:r>
      <w:r>
        <w:rPr>
          <w:rStyle w:val="FootnoteReference"/>
        </w:rPr>
        <w:footnoteReference w:id="68"/>
      </w:r>
      <w:r w:rsidRPr="007764FF">
        <w:t xml:space="preserve"> In</w:t>
      </w:r>
      <w:r>
        <w:t xml:space="preserve"> </w:t>
      </w:r>
      <w:r w:rsidRPr="007764FF">
        <w:t>addition, PG&amp;E calculated approximately $1.049 million of revenue requirement associated with</w:t>
      </w:r>
      <w:r>
        <w:t xml:space="preserve"> </w:t>
      </w:r>
      <w:r w:rsidRPr="007764FF">
        <w:t>the Return on Equity (ROE) on the $9.83 million of undepreciated plant balances for GAMI</w:t>
      </w:r>
      <w:r>
        <w:t xml:space="preserve"> </w:t>
      </w:r>
      <w:r w:rsidRPr="007764FF">
        <w:t>1.0 Modules replaced between 2023-2026 before reaching the end of their service</w:t>
      </w:r>
      <w:r>
        <w:t xml:space="preserve"> </w:t>
      </w:r>
      <w:r w:rsidRPr="007764FF">
        <w:t>lives.</w:t>
      </w:r>
      <w:r>
        <w:rPr>
          <w:rStyle w:val="FootnoteReference"/>
        </w:rPr>
        <w:footnoteReference w:id="69"/>
      </w:r>
    </w:p>
    <w:p w:rsidR="005F4B51" w:rsidP="009B2226" w:rsidRDefault="005F4B51" w14:paraId="07520468" w14:textId="77777777">
      <w:pPr>
        <w:pStyle w:val="Standard"/>
      </w:pPr>
      <w:r w:rsidRPr="009B2226">
        <w:t>Although</w:t>
      </w:r>
      <w:r w:rsidRPr="009756FE">
        <w:t xml:space="preserve"> the Settlement Agreement</w:t>
      </w:r>
      <w:r>
        <w:t xml:space="preserve"> </w:t>
      </w:r>
      <w:r w:rsidRPr="009756FE">
        <w:t xml:space="preserve">does not </w:t>
      </w:r>
      <w:r>
        <w:t>expressly identify resolutions of</w:t>
      </w:r>
      <w:r w:rsidRPr="009756FE">
        <w:t xml:space="preserve"> Scoping Memo </w:t>
      </w:r>
      <w:r>
        <w:t>Issues</w:t>
      </w:r>
      <w:r w:rsidRPr="009756FE">
        <w:t xml:space="preserve"> 7</w:t>
      </w:r>
      <w:r>
        <w:t>, 8,</w:t>
      </w:r>
      <w:r w:rsidRPr="009756FE">
        <w:t xml:space="preserve"> and 9, the </w:t>
      </w:r>
      <w:r>
        <w:t>Settling Parties second Joint Supplemental Statement demonstrates that those issues have been reasonably resolved</w:t>
      </w:r>
      <w:r w:rsidRPr="009756FE">
        <w:t xml:space="preserve"> </w:t>
      </w:r>
      <w:r>
        <w:t>by the</w:t>
      </w:r>
      <w:r w:rsidRPr="008A5559">
        <w:t xml:space="preserve"> proposed Settlement Agreement </w:t>
      </w:r>
      <w:r>
        <w:t>as</w:t>
      </w:r>
      <w:r w:rsidRPr="008A5559">
        <w:t xml:space="preserve"> compromise</w:t>
      </w:r>
      <w:r>
        <w:t>s</w:t>
      </w:r>
      <w:r w:rsidRPr="008A5559">
        <w:t xml:space="preserve"> of the </w:t>
      </w:r>
      <w:r>
        <w:t>Settling P</w:t>
      </w:r>
      <w:r w:rsidRPr="008A5559">
        <w:t>arties’ litigation</w:t>
      </w:r>
      <w:r>
        <w:t xml:space="preserve"> </w:t>
      </w:r>
      <w:r w:rsidRPr="008A5559">
        <w:t xml:space="preserve">positions </w:t>
      </w:r>
      <w:r>
        <w:t>above</w:t>
      </w:r>
      <w:r w:rsidRPr="008A5559">
        <w:t xml:space="preserve">. </w:t>
      </w:r>
    </w:p>
    <w:p w:rsidR="005F4B51" w:rsidP="009B2226" w:rsidRDefault="005F4B51" w14:paraId="707FB277" w14:textId="2E21EC52">
      <w:pPr>
        <w:pStyle w:val="Standard"/>
      </w:pPr>
      <w:r w:rsidRPr="008A5559">
        <w:rPr>
          <w:i/>
          <w:iCs/>
        </w:rPr>
        <w:t>First</w:t>
      </w:r>
      <w:r w:rsidRPr="008A5559">
        <w:t>, the Settling Parties agreed to reduce the adopted 2023-</w:t>
      </w:r>
      <w:r w:rsidRPr="001B055F">
        <w:t>2026 capital expenditure forecast from $485 million to $420 million, a reduction of</w:t>
      </w:r>
      <w:r>
        <w:t xml:space="preserve"> </w:t>
      </w:r>
      <w:r w:rsidRPr="001B055F">
        <w:t>approximately $65 million.</w:t>
      </w:r>
      <w:r>
        <w:rPr>
          <w:rStyle w:val="FootnoteReference"/>
        </w:rPr>
        <w:footnoteReference w:id="70"/>
      </w:r>
      <w:r w:rsidRPr="001B055F">
        <w:t xml:space="preserve"> </w:t>
      </w:r>
      <w:r w:rsidRPr="001B055F">
        <w:rPr>
          <w:i/>
          <w:iCs/>
        </w:rPr>
        <w:t>Second</w:t>
      </w:r>
      <w:r w:rsidRPr="001B055F">
        <w:t xml:space="preserve">, the Settling Parties agreed to reduce the adopted 2023-2026 expense forecast from </w:t>
      </w:r>
      <w:r>
        <w:t xml:space="preserve">approximately </w:t>
      </w:r>
      <w:r w:rsidRPr="001B055F">
        <w:t>$11.</w:t>
      </w:r>
      <w:r>
        <w:t>2</w:t>
      </w:r>
      <w:r w:rsidRPr="001B055F">
        <w:t xml:space="preserve"> million to $4 million, a reduction of approximately $7.</w:t>
      </w:r>
      <w:r w:rsidR="00B14797">
        <w:t>2</w:t>
      </w:r>
      <w:r>
        <w:t xml:space="preserve"> </w:t>
      </w:r>
      <w:r w:rsidRPr="001B055F">
        <w:t>million.</w:t>
      </w:r>
      <w:r>
        <w:rPr>
          <w:rStyle w:val="FootnoteReference"/>
        </w:rPr>
        <w:footnoteReference w:id="71"/>
      </w:r>
      <w:r w:rsidRPr="001B055F">
        <w:t xml:space="preserve"> </w:t>
      </w:r>
      <w:r w:rsidRPr="001B055F">
        <w:rPr>
          <w:i/>
          <w:iCs/>
        </w:rPr>
        <w:t>Third</w:t>
      </w:r>
      <w:r w:rsidRPr="001B055F">
        <w:t>, the Settling Parties agreed that the adopted revenue requirement for 2023-2026</w:t>
      </w:r>
      <w:r>
        <w:t xml:space="preserve"> </w:t>
      </w:r>
      <w:r w:rsidRPr="001B055F">
        <w:t>will be reduced by $1.049 million to reflect the calculation described above of the undepreciated</w:t>
      </w:r>
      <w:r>
        <w:t xml:space="preserve"> </w:t>
      </w:r>
      <w:r w:rsidRPr="001B055F">
        <w:lastRenderedPageBreak/>
        <w:t xml:space="preserve">portions of the </w:t>
      </w:r>
      <w:r w:rsidR="002731FB">
        <w:t>Gas Module</w:t>
      </w:r>
      <w:r w:rsidRPr="001B055F">
        <w:t>s that failed and were replaced prior to reaching 15 years of age.</w:t>
      </w:r>
      <w:r>
        <w:rPr>
          <w:rStyle w:val="FootnoteReference"/>
        </w:rPr>
        <w:footnoteReference w:id="72"/>
      </w:r>
      <w:r w:rsidRPr="001B055F">
        <w:t xml:space="preserve"> </w:t>
      </w:r>
    </w:p>
    <w:p w:rsidRPr="001B055F" w:rsidR="005F4B51" w:rsidP="009B2226" w:rsidRDefault="005F4B51" w14:paraId="6DEE7145" w14:textId="547FA6DE">
      <w:pPr>
        <w:pStyle w:val="Standard"/>
      </w:pPr>
      <w:r w:rsidRPr="001B055F">
        <w:t>As</w:t>
      </w:r>
      <w:r>
        <w:t xml:space="preserve"> </w:t>
      </w:r>
      <w:r w:rsidRPr="001B055F">
        <w:t>a result of these concessions, the adopted revenue requirements for</w:t>
      </w:r>
      <w:r>
        <w:t xml:space="preserve"> </w:t>
      </w:r>
      <w:r w:rsidRPr="001B055F">
        <w:t>2023-2026 total approximately $88.6 million</w:t>
      </w:r>
      <w:r>
        <w:t xml:space="preserve"> </w:t>
      </w:r>
      <w:r w:rsidR="00301EBA">
        <w:t>—</w:t>
      </w:r>
      <w:r>
        <w:t xml:space="preserve"> </w:t>
      </w:r>
      <w:r w:rsidRPr="001B055F">
        <w:t>approximately $</w:t>
      </w:r>
      <w:r>
        <w:t>54.7</w:t>
      </w:r>
      <w:r w:rsidRPr="001B055F">
        <w:t xml:space="preserve"> million </w:t>
      </w:r>
      <w:r>
        <w:t xml:space="preserve">(or 38.2%) </w:t>
      </w:r>
      <w:r w:rsidRPr="001B055F">
        <w:t>lower than PG&amp;E’s</w:t>
      </w:r>
      <w:r>
        <w:t xml:space="preserve"> initial </w:t>
      </w:r>
      <w:r w:rsidRPr="001B055F">
        <w:t>request</w:t>
      </w:r>
      <w:r>
        <w:t xml:space="preserve"> of $143.3 million in the Application</w:t>
      </w:r>
      <w:r w:rsidRPr="001B055F">
        <w:t>.</w:t>
      </w:r>
      <w:r>
        <w:rPr>
          <w:rStyle w:val="FootnoteReference"/>
        </w:rPr>
        <w:footnoteReference w:id="73"/>
      </w:r>
    </w:p>
    <w:p w:rsidRPr="001B055F" w:rsidR="005F4B51" w:rsidP="009B2226" w:rsidRDefault="005F4B51" w14:paraId="6F7C4F96" w14:textId="0F0F7C93">
      <w:pPr>
        <w:pStyle w:val="Standard"/>
      </w:pPr>
      <w:r w:rsidRPr="001B055F">
        <w:t>The Settling Parties reached agreement on these issues (and others) after considering the</w:t>
      </w:r>
      <w:r>
        <w:t xml:space="preserve"> </w:t>
      </w:r>
      <w:r w:rsidRPr="001B055F">
        <w:t>possibility that each party may or not prevail on any given issue. The agreed-upon reductions</w:t>
      </w:r>
      <w:r>
        <w:t xml:space="preserve"> </w:t>
      </w:r>
      <w:r w:rsidRPr="001B055F">
        <w:t>required all parties to move off their strongly</w:t>
      </w:r>
      <w:r w:rsidR="00BE06FB">
        <w:t xml:space="preserve"> </w:t>
      </w:r>
      <w:r w:rsidRPr="001B055F">
        <w:t xml:space="preserve">held litigation positions. </w:t>
      </w:r>
      <w:r>
        <w:t xml:space="preserve">Specifically, </w:t>
      </w:r>
      <w:r w:rsidRPr="001B055F">
        <w:t>the proposed Settlement Agreement resolve</w:t>
      </w:r>
      <w:r>
        <w:t>s</w:t>
      </w:r>
      <w:r w:rsidRPr="001B055F">
        <w:t xml:space="preserve"> Issues 7-9 in the following manner:</w:t>
      </w:r>
    </w:p>
    <w:p w:rsidRPr="001B055F" w:rsidR="005F4B51" w:rsidP="009B2226" w:rsidRDefault="005F4B51" w14:paraId="0F062083" w14:textId="01AE0AD6">
      <w:pPr>
        <w:pStyle w:val="Standard"/>
        <w:numPr>
          <w:ilvl w:val="0"/>
          <w:numId w:val="19"/>
        </w:numPr>
        <w:spacing w:after="120" w:line="240" w:lineRule="auto"/>
        <w:ind w:left="1080" w:right="1440"/>
      </w:pPr>
      <w:r w:rsidRPr="001B055F">
        <w:rPr>
          <w:b/>
          <w:bCs/>
        </w:rPr>
        <w:t>Issue 7</w:t>
      </w:r>
      <w:r w:rsidRPr="001B055F">
        <w:t>: The agreed-upon $1.049 million reduction to the 2023-2026 revenue requirement</w:t>
      </w:r>
      <w:r>
        <w:t xml:space="preserve"> </w:t>
      </w:r>
      <w:r w:rsidRPr="001B055F">
        <w:t>reflect</w:t>
      </w:r>
      <w:r>
        <w:t>s</w:t>
      </w:r>
      <w:r w:rsidRPr="001B055F">
        <w:t xml:space="preserve"> no ROE earned by PG&amp;E for the approximately $9.83 million in undepreciated plant</w:t>
      </w:r>
      <w:r>
        <w:t xml:space="preserve"> </w:t>
      </w:r>
      <w:r w:rsidRPr="001B055F">
        <w:t xml:space="preserve">for the </w:t>
      </w:r>
      <w:r w:rsidR="002731FB">
        <w:t>Gas Module</w:t>
      </w:r>
      <w:r w:rsidRPr="001B055F">
        <w:t>s that failed and were replaced prior to reaching 15 years of age</w:t>
      </w:r>
      <w:r>
        <w:t xml:space="preserve">. This presents </w:t>
      </w:r>
      <w:r w:rsidRPr="001B055F">
        <w:t>a</w:t>
      </w:r>
      <w:r>
        <w:t xml:space="preserve"> </w:t>
      </w:r>
      <w:r w:rsidRPr="001B055F">
        <w:t>reasonable compromise among the Settling Parties concerning the issue of whether earlier-than</w:t>
      </w:r>
      <w:r>
        <w:t xml:space="preserve"> </w:t>
      </w:r>
      <w:r w:rsidRPr="001B055F">
        <w:t>expected</w:t>
      </w:r>
      <w:r>
        <w:t xml:space="preserve"> </w:t>
      </w:r>
      <w:r w:rsidRPr="001B055F">
        <w:t>GAMI 1.0 Module failures were tied to any failure, error, or noncompliance on</w:t>
      </w:r>
      <w:r>
        <w:t xml:space="preserve"> </w:t>
      </w:r>
      <w:r w:rsidRPr="001B055F">
        <w:t>PG&amp;E’s part.</w:t>
      </w:r>
    </w:p>
    <w:p w:rsidRPr="00E9516C" w:rsidR="005F4B51" w:rsidP="009B2226" w:rsidRDefault="005F4B51" w14:paraId="7919EE2B" w14:textId="01D0DA3E">
      <w:pPr>
        <w:pStyle w:val="Standard"/>
        <w:numPr>
          <w:ilvl w:val="0"/>
          <w:numId w:val="19"/>
        </w:numPr>
        <w:spacing w:after="120" w:line="240" w:lineRule="auto"/>
        <w:ind w:left="1080" w:right="1440"/>
      </w:pPr>
      <w:r w:rsidRPr="009B2226">
        <w:rPr>
          <w:b/>
          <w:bCs/>
        </w:rPr>
        <w:t>Issue 8</w:t>
      </w:r>
      <w:r w:rsidRPr="001B055F">
        <w:rPr>
          <w:b/>
          <w:bCs/>
        </w:rPr>
        <w:t xml:space="preserve">: </w:t>
      </w:r>
      <w:r w:rsidRPr="001B055F">
        <w:t>The Settlement Agreement does not include an explicit allocation of GAMI</w:t>
      </w:r>
      <w:r>
        <w:t xml:space="preserve"> </w:t>
      </w:r>
      <w:r w:rsidRPr="001B055F">
        <w:t>Replacement Program costs among ratepayers and shareholders. However, the agreed-upon</w:t>
      </w:r>
      <w:r w:rsidRPr="00A1640F">
        <w:t xml:space="preserve"> </w:t>
      </w:r>
      <w:r w:rsidRPr="001B055F">
        <w:t>approximately $65 million reduction to PG&amp;E’s 2023-2026 authorized capital expenditure</w:t>
      </w:r>
      <w:r w:rsidR="00D84DC4">
        <w:t xml:space="preserve"> forecast</w:t>
      </w:r>
      <w:r w:rsidRPr="001B055F">
        <w:t>, and</w:t>
      </w:r>
      <w:r w:rsidRPr="00A1640F">
        <w:t xml:space="preserve"> approximately $7.</w:t>
      </w:r>
      <w:r w:rsidR="003C120C">
        <w:t>2</w:t>
      </w:r>
      <w:r w:rsidRPr="00A1640F">
        <w:t xml:space="preserve"> million reduction to PG&amp;E’s 2023-2026 authorized expense</w:t>
      </w:r>
      <w:r w:rsidR="00D84DC4">
        <w:t xml:space="preserve"> forecast</w:t>
      </w:r>
      <w:r w:rsidRPr="00A1640F">
        <w:t xml:space="preserve">, presents a reasonable compromise among the Settling Parties concerning the capital expenditures and expenses that </w:t>
      </w:r>
      <w:r>
        <w:t>may</w:t>
      </w:r>
      <w:r w:rsidRPr="00E9516C">
        <w:t xml:space="preserve"> reasonably be recovered from ratepayers.</w:t>
      </w:r>
    </w:p>
    <w:p w:rsidRPr="00E9516C" w:rsidR="005F4B51" w:rsidP="009B2226" w:rsidRDefault="005F4B51" w14:paraId="72D2EABE" w14:textId="54F5DF2B">
      <w:pPr>
        <w:pStyle w:val="Standard"/>
        <w:numPr>
          <w:ilvl w:val="0"/>
          <w:numId w:val="19"/>
        </w:numPr>
        <w:spacing w:after="120" w:line="240" w:lineRule="auto"/>
        <w:ind w:left="1080" w:right="1440"/>
      </w:pPr>
      <w:r w:rsidRPr="00E9516C">
        <w:rPr>
          <w:b/>
          <w:bCs/>
        </w:rPr>
        <w:lastRenderedPageBreak/>
        <w:t xml:space="preserve">Issue 9: </w:t>
      </w:r>
      <w:r w:rsidRPr="00E9516C">
        <w:t>The agreed-upon $1.049 million reduction to the 2023-2026 revenue</w:t>
      </w:r>
      <w:r w:rsidRPr="00A1640F">
        <w:t xml:space="preserve"> </w:t>
      </w:r>
      <w:r w:rsidRPr="00E9516C">
        <w:t>requirement to reflect no ROE earned by PG&amp;E for the approximately $9.83 million in</w:t>
      </w:r>
      <w:r w:rsidRPr="00A1640F">
        <w:t xml:space="preserve"> </w:t>
      </w:r>
      <w:r w:rsidRPr="00E9516C">
        <w:t xml:space="preserve">undepreciated plant for the </w:t>
      </w:r>
      <w:r w:rsidR="002731FB">
        <w:t>Gas Module</w:t>
      </w:r>
      <w:r w:rsidRPr="00E9516C">
        <w:t>s that failed and were replaced prior to reaching 15 years</w:t>
      </w:r>
      <w:r w:rsidRPr="00A1640F">
        <w:t xml:space="preserve"> </w:t>
      </w:r>
      <w:r w:rsidRPr="00E9516C">
        <w:t>of age is a reasonable compromise among the Settling Parties concerning the appropriate</w:t>
      </w:r>
      <w:r w:rsidRPr="00A1640F">
        <w:t xml:space="preserve"> </w:t>
      </w:r>
      <w:r w:rsidRPr="00E9516C">
        <w:t>ratemaking and cost recovery treatment for the remaining investment in PG&amp;E’s removed GAMI 1.0 Modules. The Settling Parties’ agreement that PG&amp;E will receive no ROE for the</w:t>
      </w:r>
      <w:r w:rsidRPr="00A1640F">
        <w:t xml:space="preserve"> </w:t>
      </w:r>
      <w:r w:rsidRPr="00E9516C">
        <w:t xml:space="preserve">undepreciated </w:t>
      </w:r>
      <w:r>
        <w:t>equipment</w:t>
      </w:r>
      <w:r w:rsidRPr="00E9516C">
        <w:t xml:space="preserve"> for </w:t>
      </w:r>
      <w:r w:rsidR="002731FB">
        <w:t>Gas Module</w:t>
      </w:r>
      <w:r w:rsidRPr="00E9516C">
        <w:t>s that failed and were replaced before reaching 15 years of</w:t>
      </w:r>
      <w:r w:rsidRPr="00A1640F">
        <w:t xml:space="preserve"> </w:t>
      </w:r>
      <w:r w:rsidRPr="00E9516C">
        <w:t>age is a</w:t>
      </w:r>
      <w:r w:rsidRPr="00A1640F">
        <w:t xml:space="preserve"> reasonable </w:t>
      </w:r>
      <w:r w:rsidRPr="00E9516C">
        <w:t>compromise of litigation positions among the Settling Parties.</w:t>
      </w:r>
    </w:p>
    <w:p w:rsidR="005F4B51" w:rsidP="005F4B51" w:rsidRDefault="005F4B51" w14:paraId="2084766F" w14:textId="22AE3FF5">
      <w:pPr>
        <w:pStyle w:val="Standard"/>
        <w:spacing w:before="180"/>
      </w:pPr>
      <w:r w:rsidRPr="00E9516C">
        <w:t>The compromises above are reasonable in light of the whole record. Each of</w:t>
      </w:r>
      <w:r>
        <w:t xml:space="preserve"> </w:t>
      </w:r>
      <w:r w:rsidRPr="00E9516C">
        <w:t xml:space="preserve">the Settling Parties developed testimony that addressed Scoping Memo </w:t>
      </w:r>
      <w:r>
        <w:t>Issues</w:t>
      </w:r>
      <w:r w:rsidR="009B2226">
        <w:t> </w:t>
      </w:r>
      <w:r w:rsidRPr="00E9516C">
        <w:t>7-9. The Settling</w:t>
      </w:r>
      <w:r>
        <w:t xml:space="preserve"> </w:t>
      </w:r>
      <w:r w:rsidRPr="00E9516C">
        <w:t>Parties’ litigation positions with respect to these issues are clearly set forth and explained in their</w:t>
      </w:r>
      <w:r>
        <w:t xml:space="preserve"> </w:t>
      </w:r>
      <w:r w:rsidRPr="00E9516C">
        <w:t>respective testimony, developed after engaging in a robust discovery period in which PG&amp;E</w:t>
      </w:r>
      <w:r>
        <w:t xml:space="preserve"> </w:t>
      </w:r>
      <w:r w:rsidRPr="00E9516C">
        <w:t>responded to over 200</w:t>
      </w:r>
      <w:r w:rsidR="009B2226">
        <w:t> </w:t>
      </w:r>
      <w:r w:rsidRPr="00E9516C">
        <w:t>data requests (including subparts) from the Settling Parties and</w:t>
      </w:r>
      <w:r>
        <w:t xml:space="preserve"> </w:t>
      </w:r>
      <w:r w:rsidRPr="00E9516C">
        <w:t xml:space="preserve">participated in several additional informal technical meetings. </w:t>
      </w:r>
    </w:p>
    <w:p w:rsidR="005F4B51" w:rsidP="005F4B51" w:rsidRDefault="005F4B51" w14:paraId="3F26ED6C" w14:textId="68C891A0">
      <w:pPr>
        <w:rPr>
          <w:lang w:val="en-ZW"/>
        </w:rPr>
      </w:pPr>
      <w:r w:rsidRPr="00E9516C">
        <w:t>The Settling Parties represent</w:t>
      </w:r>
      <w:r w:rsidR="00594A89">
        <w:t>ed</w:t>
      </w:r>
      <w:r w:rsidRPr="00E9516C">
        <w:t xml:space="preserve"> PG&amp;E’s customers. Cal Advocates and TURN are charged with advocating on</w:t>
      </w:r>
      <w:r>
        <w:t xml:space="preserve"> </w:t>
      </w:r>
      <w:r w:rsidRPr="00E9516C">
        <w:t>behalf of PG&amp;E’s residential customers, and SBUA represents the interests of the small business</w:t>
      </w:r>
      <w:r>
        <w:t xml:space="preserve"> </w:t>
      </w:r>
      <w:r w:rsidRPr="00E9516C">
        <w:t xml:space="preserve">customers. </w:t>
      </w:r>
      <w:r>
        <w:t>D</w:t>
      </w:r>
      <w:r w:rsidRPr="00E9516C">
        <w:t>iscovery</w:t>
      </w:r>
      <w:r>
        <w:t>, the</w:t>
      </w:r>
      <w:r w:rsidRPr="00E9516C">
        <w:t xml:space="preserve"> settlement process, and responses to </w:t>
      </w:r>
      <w:r>
        <w:t>party</w:t>
      </w:r>
      <w:r w:rsidRPr="00E9516C">
        <w:t xml:space="preserve"> positions, </w:t>
      </w:r>
      <w:r>
        <w:t>have resulted in</w:t>
      </w:r>
      <w:r w:rsidRPr="00E9516C">
        <w:t xml:space="preserve"> a compromise</w:t>
      </w:r>
      <w:r>
        <w:t xml:space="preserve"> </w:t>
      </w:r>
      <w:r w:rsidRPr="00E9516C">
        <w:t>settlement</w:t>
      </w:r>
      <w:r w:rsidR="00372A58">
        <w:t xml:space="preserve"> among sophisticated, experienced parties</w:t>
      </w:r>
      <w:r w:rsidRPr="00E9516C">
        <w:t xml:space="preserve">. </w:t>
      </w:r>
      <w:r>
        <w:t xml:space="preserve">As a result, </w:t>
      </w:r>
      <w:r w:rsidRPr="00E9516C">
        <w:t>the compromises reached to resolve Scoping Memo</w:t>
      </w:r>
      <w:r>
        <w:t xml:space="preserve"> Issues</w:t>
      </w:r>
      <w:r w:rsidRPr="00E9516C">
        <w:t xml:space="preserve"> 7-9 </w:t>
      </w:r>
      <w:r>
        <w:t xml:space="preserve">result in a Settlement Agreement that is </w:t>
      </w:r>
      <w:r w:rsidRPr="00E9516C">
        <w:t xml:space="preserve"> reasonable in light of the whole record.</w:t>
      </w:r>
    </w:p>
    <w:p w:rsidR="0053108B" w:rsidP="003C1CB9" w:rsidRDefault="002113D9" w14:paraId="505D9E8A" w14:textId="41899E5A">
      <w:pPr>
        <w:pStyle w:val="Heading3"/>
      </w:pPr>
      <w:bookmarkStart w:name="_Toc215555419" w:id="57"/>
      <w:r w:rsidRPr="002113D9">
        <w:lastRenderedPageBreak/>
        <w:t>Issues 10 and 11 -</w:t>
      </w:r>
      <w:r>
        <w:t xml:space="preserve"> </w:t>
      </w:r>
      <w:r w:rsidR="00E21BF1">
        <w:t xml:space="preserve">No </w:t>
      </w:r>
      <w:r w:rsidR="003C1CB9">
        <w:t>Health, Safety</w:t>
      </w:r>
      <w:r w:rsidR="00E21BF1">
        <w:t xml:space="preserve">, or </w:t>
      </w:r>
      <w:r w:rsidR="003C1CB9">
        <w:t>Environmental</w:t>
      </w:r>
      <w:r w:rsidR="00D74E14">
        <w:t xml:space="preserve"> and Social Justice</w:t>
      </w:r>
      <w:r w:rsidR="003C1CB9">
        <w:t xml:space="preserve"> </w:t>
      </w:r>
      <w:r w:rsidR="00E21BF1">
        <w:t>Impacts</w:t>
      </w:r>
      <w:bookmarkEnd w:id="57"/>
    </w:p>
    <w:p w:rsidR="0088113D" w:rsidP="002158CA" w:rsidRDefault="00526CBE" w14:paraId="1491F636" w14:textId="7187830F">
      <w:pPr>
        <w:pStyle w:val="Standard"/>
        <w:spacing w:before="180"/>
      </w:pPr>
      <w:r>
        <w:t>Finally</w:t>
      </w:r>
      <w:r w:rsidR="003A2EBD">
        <w:t xml:space="preserve">, the Settling Parties first Joint Supplemental Statement demonstrates that Scoping Memo </w:t>
      </w:r>
      <w:r w:rsidR="00E938E9">
        <w:t>Issue</w:t>
      </w:r>
      <w:r w:rsidRPr="009756FE" w:rsidR="00950E0C">
        <w:t xml:space="preserve"> </w:t>
      </w:r>
      <w:r w:rsidR="003A2EBD">
        <w:t xml:space="preserve">10 </w:t>
      </w:r>
      <w:r w:rsidR="0088113D">
        <w:t>(exist</w:t>
      </w:r>
      <w:r w:rsidR="00F75032">
        <w:t>ence of</w:t>
      </w:r>
      <w:r w:rsidR="0088113D">
        <w:t xml:space="preserve"> any public health or safety issues related to this proceeding that must be addressed) </w:t>
      </w:r>
      <w:r w:rsidR="003A2EBD">
        <w:t xml:space="preserve">and </w:t>
      </w:r>
      <w:r w:rsidR="00E938E9">
        <w:t>Issue</w:t>
      </w:r>
      <w:r w:rsidRPr="009756FE" w:rsidR="002158CA">
        <w:t xml:space="preserve"> </w:t>
      </w:r>
      <w:r w:rsidR="003A2EBD">
        <w:t xml:space="preserve">11 </w:t>
      </w:r>
      <w:r w:rsidR="0088113D">
        <w:t>(</w:t>
      </w:r>
      <w:r w:rsidRPr="475A0C90" w:rsidR="00DB54DE">
        <w:t xml:space="preserve">impacts on environmental and social justice communities, including </w:t>
      </w:r>
      <w:r w:rsidR="00260FA9">
        <w:t xml:space="preserve">how the </w:t>
      </w:r>
      <w:r w:rsidRPr="475A0C90" w:rsidR="00DB54DE">
        <w:t>GAMI Replacement Program impacts the achievement of the Commission’s Environmental and Social Justice Action Plan</w:t>
      </w:r>
      <w:r w:rsidR="0088113D">
        <w:t xml:space="preserve">) </w:t>
      </w:r>
      <w:r w:rsidR="003A2EBD">
        <w:t>have been resolved.</w:t>
      </w:r>
    </w:p>
    <w:p w:rsidR="00B44DEA" w:rsidP="009B2226" w:rsidRDefault="008919CF" w14:paraId="75BFECC3" w14:textId="1DA6A487">
      <w:pPr>
        <w:pStyle w:val="Standard"/>
      </w:pPr>
      <w:r>
        <w:t xml:space="preserve">The record shows that </w:t>
      </w:r>
      <w:r w:rsidRPr="00B44DEA" w:rsidR="00B44DEA">
        <w:t>SBUA address</w:t>
      </w:r>
      <w:r w:rsidR="007B7D37">
        <w:t>ed</w:t>
      </w:r>
      <w:r w:rsidRPr="00B44DEA" w:rsidR="00B44DEA">
        <w:t xml:space="preserve"> </w:t>
      </w:r>
      <w:r w:rsidR="00E938E9">
        <w:t>Issue</w:t>
      </w:r>
      <w:r w:rsidR="007B7D37">
        <w:t xml:space="preserve"> </w:t>
      </w:r>
      <w:r w:rsidRPr="00B44DEA" w:rsidR="00B44DEA">
        <w:t>10 in its testimony, noting that some customers have raised concerns that the radio frequency (RF) emissions associated with AMI installations pose</w:t>
      </w:r>
      <w:r w:rsidR="00E65DEF">
        <w:t xml:space="preserve"> </w:t>
      </w:r>
      <w:r w:rsidRPr="00E65DEF" w:rsidR="00E65DEF">
        <w:t>potential health risks.</w:t>
      </w:r>
      <w:r w:rsidR="006F0781">
        <w:rPr>
          <w:rStyle w:val="FootnoteReference"/>
        </w:rPr>
        <w:footnoteReference w:id="74"/>
      </w:r>
      <w:r w:rsidRPr="00E65DEF" w:rsidR="00E65DEF">
        <w:t xml:space="preserve"> </w:t>
      </w:r>
      <w:r w:rsidR="00985DE1">
        <w:t xml:space="preserve"> </w:t>
      </w:r>
      <w:r w:rsidRPr="00E65DEF" w:rsidR="00E65DEF">
        <w:t xml:space="preserve">PG&amp;E </w:t>
      </w:r>
      <w:r w:rsidR="004D36AB">
        <w:t>addressed that concern satisfactorily</w:t>
      </w:r>
      <w:r w:rsidRPr="00E65DEF" w:rsidR="00E65DEF">
        <w:t xml:space="preserve"> </w:t>
      </w:r>
      <w:r w:rsidR="00985DE1">
        <w:t>i</w:t>
      </w:r>
      <w:r w:rsidRPr="00E65DEF" w:rsidR="00985DE1">
        <w:t xml:space="preserve">n its </w:t>
      </w:r>
      <w:r w:rsidR="00985DE1">
        <w:t>R</w:t>
      </w:r>
      <w:r w:rsidRPr="00E65DEF" w:rsidR="00985DE1">
        <w:t xml:space="preserve">ebuttal </w:t>
      </w:r>
      <w:r w:rsidR="00985DE1">
        <w:t>T</w:t>
      </w:r>
      <w:r w:rsidRPr="00E65DEF" w:rsidR="00985DE1">
        <w:t xml:space="preserve">estimony, </w:t>
      </w:r>
      <w:r w:rsidR="000B06EA">
        <w:t xml:space="preserve">explaining </w:t>
      </w:r>
      <w:r w:rsidRPr="00E65DEF" w:rsidR="00E65DEF">
        <w:t xml:space="preserve">that the issue regarding potential health risks posed by RF emissions was thoroughly addressed </w:t>
      </w:r>
      <w:r w:rsidR="00E97C3E">
        <w:t>by the Commission in</w:t>
      </w:r>
      <w:r w:rsidRPr="00E65DEF" w:rsidR="00E65DEF">
        <w:t xml:space="preserve"> various SmartMeter proceedings, resulting in the </w:t>
      </w:r>
      <w:r w:rsidRPr="00E65DEF" w:rsidR="00B61F3C">
        <w:t>D.12-02-014</w:t>
      </w:r>
      <w:r w:rsidR="00B61F3C">
        <w:t>, m</w:t>
      </w:r>
      <w:r w:rsidRPr="00E65DEF" w:rsidR="00E65DEF">
        <w:t xml:space="preserve">odifying PG&amp;E’s SmartMeter </w:t>
      </w:r>
      <w:r w:rsidR="00B61F3C">
        <w:t>p</w:t>
      </w:r>
      <w:r w:rsidRPr="00E65DEF" w:rsidR="00E65DEF">
        <w:t xml:space="preserve">rogram to </w:t>
      </w:r>
      <w:r w:rsidR="00B61F3C">
        <w:t>i</w:t>
      </w:r>
      <w:r w:rsidRPr="00E65DEF" w:rsidR="00E65DEF">
        <w:t xml:space="preserve">nclude an </w:t>
      </w:r>
      <w:r w:rsidR="00B61F3C">
        <w:t>o</w:t>
      </w:r>
      <w:r w:rsidRPr="00E65DEF" w:rsidR="00E65DEF">
        <w:t>pt-</w:t>
      </w:r>
      <w:r w:rsidR="00B61F3C">
        <w:t>o</w:t>
      </w:r>
      <w:r w:rsidRPr="00E65DEF" w:rsidR="00E65DEF">
        <w:t xml:space="preserve">ut </w:t>
      </w:r>
      <w:r w:rsidR="00B61F3C">
        <w:t>o</w:t>
      </w:r>
      <w:r w:rsidRPr="00E65DEF" w:rsidR="00E65DEF">
        <w:t>ption.</w:t>
      </w:r>
      <w:r w:rsidR="001F6D22">
        <w:rPr>
          <w:rStyle w:val="FootnoteReference"/>
        </w:rPr>
        <w:footnoteReference w:id="75"/>
      </w:r>
      <w:r w:rsidRPr="00E65DEF" w:rsidR="00E65DEF">
        <w:t xml:space="preserve"> PG&amp;E </w:t>
      </w:r>
      <w:r w:rsidR="001F43DC">
        <w:t xml:space="preserve">further </w:t>
      </w:r>
      <w:r w:rsidRPr="00E65DEF" w:rsidR="00E65DEF">
        <w:t>explained that it informs customers that they can opt out of the SmartMeter Program and retain an analog meter on their premises.</w:t>
      </w:r>
      <w:r w:rsidR="00285FD5">
        <w:rPr>
          <w:rStyle w:val="FootnoteReference"/>
        </w:rPr>
        <w:footnoteReference w:id="76"/>
      </w:r>
      <w:r w:rsidRPr="00E65DEF" w:rsidR="00E65DEF">
        <w:t xml:space="preserve"> There are no other public health or safety issues that must be addressed in this proceeding. Therefore, </w:t>
      </w:r>
      <w:r w:rsidR="00A86B27">
        <w:t xml:space="preserve">the record shows that </w:t>
      </w:r>
      <w:r w:rsidRPr="00E65DEF" w:rsidR="00E65DEF">
        <w:t xml:space="preserve">Commission approval and adoption of the proposed Settlement Agreement would resolve </w:t>
      </w:r>
      <w:r w:rsidR="00E938E9">
        <w:t>Issue</w:t>
      </w:r>
      <w:r w:rsidR="00A86B27">
        <w:t xml:space="preserve"> </w:t>
      </w:r>
      <w:r w:rsidRPr="00E65DEF" w:rsidR="00E65DEF">
        <w:t>10</w:t>
      </w:r>
      <w:r w:rsidR="00FE7D46">
        <w:t xml:space="preserve"> in this proceeding</w:t>
      </w:r>
      <w:r w:rsidRPr="00E65DEF" w:rsidR="00E65DEF">
        <w:t>.</w:t>
      </w:r>
    </w:p>
    <w:p w:rsidR="003F561C" w:rsidP="009B2226" w:rsidRDefault="00CF612D" w14:paraId="2BECE348" w14:textId="1E6BBEE6">
      <w:pPr>
        <w:pStyle w:val="Standard"/>
      </w:pPr>
      <w:r w:rsidRPr="00CF612D">
        <w:t>The Commission’s Environmental and Social Justice (ESJ) Action Plan version 2.0 was released on April 7, 2022.</w:t>
      </w:r>
      <w:r>
        <w:t xml:space="preserve"> </w:t>
      </w:r>
      <w:r w:rsidR="00D90A32">
        <w:t xml:space="preserve">The record shows </w:t>
      </w:r>
      <w:r w:rsidRPr="00AF12BF" w:rsidR="00AF12BF">
        <w:t xml:space="preserve">no negative impacts </w:t>
      </w:r>
      <w:r w:rsidRPr="00AF12BF" w:rsidR="00AF12BF">
        <w:lastRenderedPageBreak/>
        <w:t xml:space="preserve">on environmental and social justice communities presented by PG&amp;E’s GAMI Replacement Program. In addition, the </w:t>
      </w:r>
      <w:r w:rsidR="000017D7">
        <w:t xml:space="preserve">record does not show </w:t>
      </w:r>
      <w:r w:rsidRPr="00AF12BF" w:rsidR="00AF12BF">
        <w:t>that PG&amp;E’s GAMI Replacement Program impact</w:t>
      </w:r>
      <w:r w:rsidR="000017D7">
        <w:t>s</w:t>
      </w:r>
      <w:r w:rsidRPr="00AF12BF" w:rsidR="00AF12BF">
        <w:t xml:space="preserve"> the achievement of any of the nine goals set forth in the Commission’s ESJ Action Plan. </w:t>
      </w:r>
    </w:p>
    <w:p w:rsidR="00526CBE" w:rsidP="009B2226" w:rsidRDefault="003F561C" w14:paraId="66CB552A" w14:textId="26873DEC">
      <w:pPr>
        <w:pStyle w:val="Standard"/>
      </w:pPr>
      <w:r>
        <w:t xml:space="preserve">Notably, </w:t>
      </w:r>
      <w:r w:rsidRPr="00AF12BF" w:rsidR="00AF12BF">
        <w:t xml:space="preserve">SBUA recommended in testimony that PG&amp;E implement measures to ensure tangible benefits for ESJ communities, </w:t>
      </w:r>
      <w:r w:rsidR="00286077">
        <w:t>such as</w:t>
      </w:r>
      <w:r w:rsidRPr="00AF12BF" w:rsidR="00AF12BF">
        <w:t xml:space="preserve"> targeted workforce development and hiring programs.</w:t>
      </w:r>
      <w:r w:rsidR="002E78D9">
        <w:rPr>
          <w:rStyle w:val="FootnoteReference"/>
        </w:rPr>
        <w:footnoteReference w:id="77"/>
      </w:r>
      <w:r w:rsidRPr="00AF12BF" w:rsidR="00AF12BF">
        <w:t xml:space="preserve"> In response, PG&amp;E noted that it supports and enables</w:t>
      </w:r>
      <w:r w:rsidR="00AF12BF">
        <w:t xml:space="preserve"> </w:t>
      </w:r>
      <w:r w:rsidRPr="00AF12BF" w:rsidR="00AF12BF">
        <w:t>workforce development for ESJ purposes in communities it serves, and values an inclusive culture with a diverse workforce that reflects the diversity of its customers.</w:t>
      </w:r>
      <w:r w:rsidR="005F5B85">
        <w:rPr>
          <w:rStyle w:val="FootnoteReference"/>
        </w:rPr>
        <w:footnoteReference w:id="78"/>
      </w:r>
      <w:r w:rsidRPr="00AF12BF" w:rsidR="00AF12BF">
        <w:t xml:space="preserve"> PG&amp;E also stated in rebuttal testimony that</w:t>
      </w:r>
      <w:r w:rsidR="00FB66A9">
        <w:t xml:space="preserve"> (1) its </w:t>
      </w:r>
      <w:r w:rsidRPr="00AF12BF" w:rsidR="00AF12BF">
        <w:t>supplier diversity program provides substantial benefits to California and the communities it serves</w:t>
      </w:r>
      <w:r w:rsidR="00FB66A9">
        <w:t>; and (2) PG&amp;E</w:t>
      </w:r>
      <w:r w:rsidRPr="00AF12BF" w:rsidR="00AF12BF">
        <w:t xml:space="preserve"> field technicians perform</w:t>
      </w:r>
      <w:r w:rsidR="00FB66A9">
        <w:t>ing</w:t>
      </w:r>
      <w:r w:rsidRPr="00AF12BF" w:rsidR="00AF12BF">
        <w:t xml:space="preserve"> most work associated with </w:t>
      </w:r>
      <w:r w:rsidR="00FB66A9">
        <w:t>its</w:t>
      </w:r>
      <w:r w:rsidRPr="00AF12BF" w:rsidR="00AF12BF">
        <w:t xml:space="preserve"> GAMI Replacement Program are mainly based in the communities they serve</w:t>
      </w:r>
      <w:r w:rsidR="00FB66A9">
        <w:t xml:space="preserve"> and are </w:t>
      </w:r>
      <w:r w:rsidRPr="00AF12BF" w:rsidR="00AF12BF">
        <w:t>represented by the International Brotherhood of Electrical Workers (IBEW) Local 1245.</w:t>
      </w:r>
      <w:r w:rsidR="005F5B85">
        <w:rPr>
          <w:rStyle w:val="FootnoteReference"/>
        </w:rPr>
        <w:footnoteReference w:id="79"/>
      </w:r>
      <w:r w:rsidR="009D2AE5">
        <w:t xml:space="preserve"> </w:t>
      </w:r>
      <w:r w:rsidR="00826840">
        <w:t>The</w:t>
      </w:r>
      <w:r w:rsidR="00400F07">
        <w:t>refore, the</w:t>
      </w:r>
      <w:r w:rsidR="00826840">
        <w:t xml:space="preserve"> record shows that </w:t>
      </w:r>
      <w:r w:rsidRPr="00AF12BF" w:rsidR="00AF12BF">
        <w:t>approval and adoption of the proposed Settlement Agreement would resolve Scoping Memo Issue 11</w:t>
      </w:r>
      <w:r w:rsidR="00347711">
        <w:t xml:space="preserve"> in this proceeding</w:t>
      </w:r>
      <w:r w:rsidRPr="00AF12BF" w:rsidR="00AF12BF">
        <w:t>.</w:t>
      </w:r>
    </w:p>
    <w:p w:rsidR="009D2AE5" w:rsidP="009B4E41" w:rsidRDefault="009B4E41" w14:paraId="63E7D70B" w14:textId="212F3891">
      <w:pPr>
        <w:pStyle w:val="Heading3"/>
      </w:pPr>
      <w:bookmarkStart w:name="_Toc215555420" w:id="58"/>
      <w:r>
        <w:t>Conclusion</w:t>
      </w:r>
      <w:bookmarkEnd w:id="58"/>
    </w:p>
    <w:p w:rsidR="001B1970" w:rsidP="001B1970" w:rsidRDefault="00C73C37" w14:paraId="51D137ED" w14:textId="44513B9D">
      <w:pPr>
        <w:pStyle w:val="Standard"/>
        <w:rPr>
          <w:rFonts w:eastAsia="Cambria" w:cs="Cambria"/>
          <w:w w:val="105"/>
          <w:szCs w:val="26"/>
        </w:rPr>
      </w:pPr>
      <w:r>
        <w:t>T</w:t>
      </w:r>
      <w:r w:rsidRPr="009756FE" w:rsidR="003A2EBD">
        <w:t xml:space="preserve">he </w:t>
      </w:r>
      <w:r w:rsidR="00A84A80">
        <w:t xml:space="preserve">proceeding </w:t>
      </w:r>
      <w:r w:rsidR="003A2EBD">
        <w:t xml:space="preserve">record, including the Application, </w:t>
      </w:r>
      <w:r w:rsidR="00A84A80">
        <w:t xml:space="preserve">party </w:t>
      </w:r>
      <w:r w:rsidR="000112E1">
        <w:t xml:space="preserve">testimony, </w:t>
      </w:r>
      <w:r w:rsidRPr="009756FE" w:rsidR="003A2EBD">
        <w:t xml:space="preserve">Responses and Protests, the </w:t>
      </w:r>
      <w:r w:rsidR="003A2EBD">
        <w:t xml:space="preserve">resulting </w:t>
      </w:r>
      <w:r w:rsidRPr="009756FE" w:rsidR="003A2EBD">
        <w:t xml:space="preserve">Settlement Agreement, </w:t>
      </w:r>
      <w:r w:rsidR="003A2EBD">
        <w:t xml:space="preserve">and Settling Parties </w:t>
      </w:r>
      <w:r w:rsidR="000112E1">
        <w:t xml:space="preserve">two </w:t>
      </w:r>
      <w:r w:rsidR="003A2EBD">
        <w:t xml:space="preserve">Joint Supplemental Statements show that </w:t>
      </w:r>
      <w:r w:rsidRPr="009756FE" w:rsidR="003A2EBD">
        <w:t xml:space="preserve">Scoping Memo </w:t>
      </w:r>
      <w:r w:rsidR="00E938E9">
        <w:t>Issues</w:t>
      </w:r>
      <w:r w:rsidRPr="009756FE" w:rsidR="00950E0C">
        <w:t xml:space="preserve"> </w:t>
      </w:r>
      <w:r w:rsidRPr="009756FE" w:rsidR="003A2EBD">
        <w:t xml:space="preserve">1 through </w:t>
      </w:r>
      <w:r w:rsidR="003A2EBD">
        <w:t>11</w:t>
      </w:r>
      <w:r w:rsidR="00DF14CF">
        <w:t xml:space="preserve"> were addressed by the Settling Parties</w:t>
      </w:r>
      <w:r w:rsidR="009F5AFC">
        <w:t xml:space="preserve"> through the process </w:t>
      </w:r>
      <w:r w:rsidR="002B7C5E">
        <w:t xml:space="preserve">to achieve the </w:t>
      </w:r>
      <w:r w:rsidR="009F5AFC">
        <w:lastRenderedPageBreak/>
        <w:t xml:space="preserve">Settlement Agreement. Those issues are </w:t>
      </w:r>
      <w:r w:rsidRPr="009756FE" w:rsidR="00BC5106">
        <w:t xml:space="preserve">now uncontested </w:t>
      </w:r>
      <w:r w:rsidR="00BC5106">
        <w:t xml:space="preserve">after being </w:t>
      </w:r>
      <w:r w:rsidR="002142C8">
        <w:t xml:space="preserve">reasonably </w:t>
      </w:r>
      <w:r w:rsidR="003A2EBD">
        <w:t>resolved</w:t>
      </w:r>
      <w:r w:rsidRPr="009756FE" w:rsidR="003A2EBD">
        <w:t xml:space="preserve"> by the Settling Parties.</w:t>
      </w:r>
    </w:p>
    <w:p w:rsidRPr="001B1970" w:rsidR="00DB6D70" w:rsidP="001B1970" w:rsidRDefault="005E08C7" w14:paraId="73B2FB24" w14:textId="4831F41B">
      <w:pPr>
        <w:pStyle w:val="Standard"/>
        <w:rPr>
          <w:rFonts w:eastAsia="Cambria" w:cs="Cambria"/>
          <w:w w:val="105"/>
          <w:szCs w:val="26"/>
        </w:rPr>
      </w:pPr>
      <w:r>
        <w:t xml:space="preserve">We conclude that </w:t>
      </w:r>
      <w:r w:rsidR="7C6CE4D3">
        <w:t xml:space="preserve">the record that </w:t>
      </w:r>
      <w:r w:rsidR="004C54CB">
        <w:t>underlies</w:t>
      </w:r>
      <w:r w:rsidR="7C6CE4D3">
        <w:t xml:space="preserve"> t</w:t>
      </w:r>
      <w:r w:rsidR="00AE1013">
        <w:t>he</w:t>
      </w:r>
      <w:r w:rsidR="4B544265">
        <w:t xml:space="preserve"> Motion and</w:t>
      </w:r>
      <w:r w:rsidR="00AE1013">
        <w:t xml:space="preserve"> </w:t>
      </w:r>
      <w:r w:rsidR="3A1C5262">
        <w:t xml:space="preserve">proposed </w:t>
      </w:r>
      <w:r w:rsidR="00AE1013">
        <w:t xml:space="preserve">Settlement Agreement reflects </w:t>
      </w:r>
      <w:r w:rsidR="2123F433">
        <w:t xml:space="preserve">that </w:t>
      </w:r>
      <w:r w:rsidR="75430BE7">
        <w:t xml:space="preserve">the Commission directed </w:t>
      </w:r>
      <w:r w:rsidR="2123F433">
        <w:t xml:space="preserve">the </w:t>
      </w:r>
      <w:r w:rsidR="0050010D">
        <w:t xml:space="preserve">utility and ratepayer advocates </w:t>
      </w:r>
      <w:r w:rsidR="2ADFB9F7">
        <w:t xml:space="preserve">through a deliberate and meaningful process, requiring them to </w:t>
      </w:r>
      <w:r w:rsidR="2123F433">
        <w:t xml:space="preserve">engage in an effective exchange of evidence, </w:t>
      </w:r>
      <w:r w:rsidR="5D3F62DF">
        <w:t xml:space="preserve">present numerous contested issues for resolution, </w:t>
      </w:r>
      <w:r w:rsidR="2123F433">
        <w:t xml:space="preserve">conduct significant arms-length negotiations to resolve </w:t>
      </w:r>
      <w:r w:rsidR="00722933">
        <w:t>all</w:t>
      </w:r>
      <w:r w:rsidR="748C6E4E">
        <w:t xml:space="preserve"> </w:t>
      </w:r>
      <w:r w:rsidR="2123F433">
        <w:t xml:space="preserve">contested issues, and </w:t>
      </w:r>
      <w:r w:rsidR="05A37BFA">
        <w:t xml:space="preserve">to </w:t>
      </w:r>
      <w:r w:rsidR="14DFF38B">
        <w:t xml:space="preserve">propose </w:t>
      </w:r>
      <w:r w:rsidR="00AE1013">
        <w:t xml:space="preserve">a reasonable </w:t>
      </w:r>
      <w:r w:rsidR="4910B1D5">
        <w:t>Settlement Agreement</w:t>
      </w:r>
      <w:r w:rsidR="00CB603B">
        <w:t xml:space="preserve"> </w:t>
      </w:r>
      <w:r w:rsidR="13443BAD">
        <w:t>that resolves all issues.</w:t>
      </w:r>
      <w:r w:rsidR="00AE1013">
        <w:t xml:space="preserve"> </w:t>
      </w:r>
      <w:r w:rsidRPr="00AE1013" w:rsidR="00AE1013">
        <w:rPr>
          <w:szCs w:val="26"/>
        </w:rPr>
        <w:t>Accordingly, the Commission finds the Settlement Agreement reasonable in light of the whole record</w:t>
      </w:r>
      <w:r w:rsidR="000A2534">
        <w:rPr>
          <w:szCs w:val="26"/>
        </w:rPr>
        <w:t>.</w:t>
      </w:r>
    </w:p>
    <w:p w:rsidRPr="00234F59" w:rsidR="003016B6" w:rsidRDefault="6C427BBC" w14:paraId="4DE3D078" w14:textId="264E597A">
      <w:pPr>
        <w:pStyle w:val="Heading2"/>
        <w:rPr>
          <w:bCs/>
        </w:rPr>
      </w:pPr>
      <w:bookmarkStart w:name="_Toc156567987" w:id="59"/>
      <w:bookmarkStart w:name="_Toc177379448" w:id="60"/>
      <w:bookmarkStart w:name="_Toc212128391" w:id="61"/>
      <w:bookmarkStart w:name="_Toc215555421" w:id="62"/>
      <w:r w:rsidRPr="00234F59">
        <w:rPr>
          <w:w w:val="105"/>
        </w:rPr>
        <w:t>Consisten</w:t>
      </w:r>
      <w:r w:rsidR="00C70CE6">
        <w:rPr>
          <w:w w:val="105"/>
        </w:rPr>
        <w:t>cy</w:t>
      </w:r>
      <w:r w:rsidRPr="00234F59">
        <w:rPr>
          <w:w w:val="105"/>
        </w:rPr>
        <w:t xml:space="preserve"> </w:t>
      </w:r>
      <w:r w:rsidRPr="00234F59" w:rsidR="79FB6C9A">
        <w:rPr>
          <w:w w:val="105"/>
        </w:rPr>
        <w:t>W</w:t>
      </w:r>
      <w:r w:rsidRPr="00234F59">
        <w:rPr>
          <w:w w:val="105"/>
        </w:rPr>
        <w:t>ith Law</w:t>
      </w:r>
      <w:bookmarkEnd w:id="59"/>
      <w:bookmarkEnd w:id="60"/>
      <w:bookmarkEnd w:id="61"/>
      <w:bookmarkEnd w:id="62"/>
    </w:p>
    <w:p w:rsidRPr="00234F59" w:rsidR="007205D2" w:rsidRDefault="00904617" w14:paraId="244C5EB5" w14:textId="30CE48A1">
      <w:pPr>
        <w:pStyle w:val="Standard"/>
        <w:rPr>
          <w:rFonts w:eastAsia="Cambria" w:cs="Cambria"/>
        </w:rPr>
      </w:pPr>
      <w:r>
        <w:rPr>
          <w:rFonts w:eastAsia="Cambria" w:cs="Cambria"/>
        </w:rPr>
        <w:t>T</w:t>
      </w:r>
      <w:r w:rsidRPr="00CD0EE1" w:rsidR="6C427BBC">
        <w:rPr>
          <w:rFonts w:eastAsia="Cambria" w:cs="Cambria"/>
          <w:w w:val="105"/>
        </w:rPr>
        <w:t xml:space="preserve">he Settlement Agreement </w:t>
      </w:r>
      <w:r w:rsidRPr="00CD0EE1" w:rsidR="3DCF26CE">
        <w:rPr>
          <w:rFonts w:eastAsia="Cambria" w:cs="Cambria"/>
        </w:rPr>
        <w:t>is</w:t>
      </w:r>
      <w:r w:rsidRPr="00CD0EE1" w:rsidR="6C427BBC">
        <w:rPr>
          <w:rFonts w:eastAsia="Cambria" w:cs="Cambria"/>
          <w:w w:val="105"/>
        </w:rPr>
        <w:t xml:space="preserve"> consistent with law.</w:t>
      </w:r>
      <w:r>
        <w:rPr>
          <w:rFonts w:eastAsia="Cambria" w:cs="Cambria"/>
          <w:w w:val="105"/>
        </w:rPr>
        <w:t xml:space="preserve"> It</w:t>
      </w:r>
      <w:r w:rsidR="00CD0EE1">
        <w:rPr>
          <w:rFonts w:eastAsia="Cambria" w:cs="Cambria"/>
          <w:w w:val="105"/>
        </w:rPr>
        <w:t xml:space="preserve"> </w:t>
      </w:r>
      <w:r w:rsidRPr="475A0C90" w:rsidR="6C427BBC">
        <w:rPr>
          <w:rFonts w:eastAsia="Cambria" w:cs="Cambria"/>
          <w:w w:val="105"/>
        </w:rPr>
        <w:t>complies with all applicable statutes</w:t>
      </w:r>
      <w:r w:rsidR="002E63AD">
        <w:rPr>
          <w:rFonts w:eastAsia="Cambria" w:cs="Cambria"/>
          <w:w w:val="105"/>
        </w:rPr>
        <w:t>, Commission rules,</w:t>
      </w:r>
      <w:r w:rsidRPr="475A0C90" w:rsidR="6C427BBC">
        <w:rPr>
          <w:rFonts w:eastAsia="Cambria" w:cs="Cambria"/>
          <w:w w:val="105"/>
        </w:rPr>
        <w:t xml:space="preserve"> and prior Commission decisions</w:t>
      </w:r>
      <w:r w:rsidR="00F20B8A">
        <w:rPr>
          <w:rFonts w:eastAsia="Cambria" w:cs="Cambria"/>
          <w:w w:val="105"/>
        </w:rPr>
        <w:t>,</w:t>
      </w:r>
      <w:r w:rsidRPr="475A0C90" w:rsidR="6C427BBC">
        <w:rPr>
          <w:rFonts w:eastAsia="Cambria" w:cs="Cambria"/>
          <w:w w:val="105"/>
        </w:rPr>
        <w:t xml:space="preserve"> including the Commission’s decision </w:t>
      </w:r>
      <w:r w:rsidRPr="475A0C90" w:rsidR="00F20B8A">
        <w:rPr>
          <w:rFonts w:eastAsia="Cambria" w:cs="Cambria"/>
          <w:w w:val="105"/>
        </w:rPr>
        <w:t>D.23-11-069</w:t>
      </w:r>
      <w:r w:rsidR="00F20B8A">
        <w:rPr>
          <w:rFonts w:eastAsia="Cambria" w:cs="Cambria"/>
          <w:w w:val="105"/>
        </w:rPr>
        <w:t xml:space="preserve"> </w:t>
      </w:r>
      <w:r w:rsidRPr="475A0C90" w:rsidR="6C427BBC">
        <w:rPr>
          <w:rFonts w:eastAsia="Cambria" w:cs="Cambria"/>
          <w:w w:val="105"/>
        </w:rPr>
        <w:t xml:space="preserve">in PG&amp;E’s 2023 GRC </w:t>
      </w:r>
      <w:r w:rsidR="000210E6">
        <w:rPr>
          <w:rFonts w:eastAsia="Cambria" w:cs="Cambria"/>
          <w:w w:val="105"/>
        </w:rPr>
        <w:t>proceeding</w:t>
      </w:r>
      <w:r w:rsidR="00F648F0">
        <w:rPr>
          <w:rFonts w:eastAsia="Cambria" w:cs="Cambria"/>
          <w:w w:val="105"/>
        </w:rPr>
        <w:t xml:space="preserve">. </w:t>
      </w:r>
      <w:r w:rsidR="009A0002">
        <w:rPr>
          <w:rFonts w:eastAsia="Cambria" w:cs="Cambria"/>
          <w:w w:val="105"/>
        </w:rPr>
        <w:t>T</w:t>
      </w:r>
      <w:r w:rsidRPr="475A0C90" w:rsidR="5ADF50B8">
        <w:rPr>
          <w:rFonts w:eastAsia="Cambria" w:cs="Cambria"/>
        </w:rPr>
        <w:t xml:space="preserve">hat </w:t>
      </w:r>
      <w:r w:rsidR="009A0002">
        <w:rPr>
          <w:rFonts w:eastAsia="Cambria" w:cs="Cambria"/>
        </w:rPr>
        <w:t xml:space="preserve">decision </w:t>
      </w:r>
      <w:r w:rsidRPr="475A0C90" w:rsidR="6C427BBC">
        <w:rPr>
          <w:rFonts w:eastAsia="Cambria" w:cs="Cambria"/>
          <w:w w:val="105"/>
        </w:rPr>
        <w:t xml:space="preserve">allowed PG&amp;E to file </w:t>
      </w:r>
      <w:r w:rsidR="009A0002">
        <w:rPr>
          <w:rFonts w:eastAsia="Cambria" w:cs="Cambria"/>
          <w:w w:val="105"/>
        </w:rPr>
        <w:t>the present</w:t>
      </w:r>
      <w:r w:rsidRPr="475A0C90" w:rsidR="6C427BBC">
        <w:rPr>
          <w:rFonts w:eastAsia="Cambria" w:cs="Cambria"/>
          <w:w w:val="105"/>
        </w:rPr>
        <w:t xml:space="preserve"> </w:t>
      </w:r>
      <w:r w:rsidR="009A0002">
        <w:rPr>
          <w:rFonts w:eastAsia="Cambria" w:cs="Cambria"/>
          <w:w w:val="105"/>
        </w:rPr>
        <w:t>A</w:t>
      </w:r>
      <w:r w:rsidRPr="475A0C90" w:rsidR="6C427BBC">
        <w:rPr>
          <w:rFonts w:eastAsia="Cambria" w:cs="Cambria"/>
          <w:w w:val="105"/>
        </w:rPr>
        <w:t>pplication</w:t>
      </w:r>
      <w:r w:rsidR="008913B0">
        <w:rPr>
          <w:rFonts w:eastAsia="Cambria" w:cs="Cambria"/>
          <w:w w:val="105"/>
        </w:rPr>
        <w:t xml:space="preserve">, </w:t>
      </w:r>
      <w:r w:rsidRPr="475A0C90" w:rsidR="6C427BBC">
        <w:rPr>
          <w:rFonts w:eastAsia="Cambria" w:cs="Cambria"/>
          <w:w w:val="105"/>
        </w:rPr>
        <w:t xml:space="preserve">seeking recovery for </w:t>
      </w:r>
      <w:r w:rsidR="008913B0">
        <w:rPr>
          <w:rFonts w:eastAsia="Cambria" w:cs="Cambria"/>
          <w:w w:val="105"/>
        </w:rPr>
        <w:t>its</w:t>
      </w:r>
      <w:r w:rsidRPr="475A0C90" w:rsidR="6C427BBC">
        <w:rPr>
          <w:rFonts w:eastAsia="Cambria" w:cs="Cambria"/>
          <w:w w:val="105"/>
        </w:rPr>
        <w:t xml:space="preserve"> </w:t>
      </w:r>
      <w:r w:rsidRPr="475A0C90" w:rsidR="5CD01EF5">
        <w:rPr>
          <w:rFonts w:eastAsia="Cambria" w:cs="Cambria"/>
          <w:w w:val="105"/>
        </w:rPr>
        <w:t>GAMI</w:t>
      </w:r>
      <w:r w:rsidRPr="475A0C90" w:rsidR="6F451004">
        <w:rPr>
          <w:rFonts w:eastAsia="Cambria" w:cs="Cambria"/>
          <w:w w:val="105"/>
        </w:rPr>
        <w:t xml:space="preserve"> Replacement Program</w:t>
      </w:r>
      <w:r w:rsidRPr="475A0C90" w:rsidR="6C427BBC">
        <w:rPr>
          <w:rFonts w:eastAsia="Cambria" w:cs="Cambria"/>
          <w:w w:val="105"/>
        </w:rPr>
        <w:t>.</w:t>
      </w:r>
      <w:r w:rsidRPr="475A0C90" w:rsidR="003016B6">
        <w:rPr>
          <w:rStyle w:val="FootnoteReference"/>
          <w:rFonts w:eastAsia="Cambria" w:cs="Cambria"/>
          <w:color w:val="000000" w:themeColor="text1"/>
          <w:w w:val="105"/>
        </w:rPr>
        <w:footnoteReference w:id="80"/>
      </w:r>
    </w:p>
    <w:p w:rsidR="003016B6" w:rsidRDefault="00B937AD" w14:paraId="4CB761A5" w14:textId="4D9BCEB4">
      <w:pPr>
        <w:pStyle w:val="Standard"/>
        <w:rPr>
          <w:rFonts w:eastAsia="Cambria" w:cs="Cambria"/>
        </w:rPr>
      </w:pPr>
      <w:r>
        <w:rPr>
          <w:rFonts w:eastAsia="Cambria" w:cs="Cambria"/>
        </w:rPr>
        <w:t xml:space="preserve">We recognize that </w:t>
      </w:r>
      <w:r w:rsidRPr="475A0C90" w:rsidR="1B8BD559">
        <w:rPr>
          <w:rFonts w:eastAsia="Cambria" w:cs="Cambria"/>
        </w:rPr>
        <w:t>California’s</w:t>
      </w:r>
      <w:r w:rsidRPr="475A0C90" w:rsidR="6C427BBC">
        <w:rPr>
          <w:rFonts w:eastAsia="Cambria" w:cs="Cambria"/>
          <w:w w:val="105"/>
        </w:rPr>
        <w:t xml:space="preserve"> strong public policy favoring settlement does not excuse a contractual clause that is otherwise illegal or unjust.</w:t>
      </w:r>
      <w:r w:rsidRPr="475A0C90" w:rsidR="003016B6">
        <w:rPr>
          <w:rFonts w:eastAsia="Cambria" w:cs="Cambria"/>
          <w:w w:val="105"/>
          <w:vertAlign w:val="superscript"/>
        </w:rPr>
        <w:footnoteReference w:id="81"/>
      </w:r>
      <w:r w:rsidRPr="475A0C90" w:rsidR="6C427BBC">
        <w:rPr>
          <w:rFonts w:eastAsia="Cambria" w:cs="Cambria"/>
          <w:w w:val="105"/>
        </w:rPr>
        <w:t> </w:t>
      </w:r>
      <w:r w:rsidRPr="475A0C90" w:rsidR="79DABB8B">
        <w:rPr>
          <w:rFonts w:eastAsia="Cambria" w:cs="Cambria"/>
          <w:w w:val="105"/>
        </w:rPr>
        <w:t xml:space="preserve"> Here, r</w:t>
      </w:r>
      <w:r w:rsidRPr="475A0C90" w:rsidR="6C427BBC">
        <w:rPr>
          <w:rFonts w:eastAsia="Cambria" w:cs="Cambria"/>
          <w:w w:val="105"/>
        </w:rPr>
        <w:t xml:space="preserve">eview of the Settlement Agreement </w:t>
      </w:r>
      <w:r w:rsidR="0007526C">
        <w:rPr>
          <w:rFonts w:eastAsia="Cambria" w:cs="Cambria"/>
          <w:w w:val="105"/>
        </w:rPr>
        <w:t xml:space="preserve">terms </w:t>
      </w:r>
      <w:r w:rsidRPr="475A0C90" w:rsidR="6C427BBC">
        <w:rPr>
          <w:rFonts w:eastAsia="Cambria" w:cs="Cambria"/>
          <w:w w:val="105"/>
        </w:rPr>
        <w:t>reveals no such concerns.</w:t>
      </w:r>
    </w:p>
    <w:p w:rsidRPr="00AA1963" w:rsidR="00AA1963" w:rsidRDefault="5BE8FDC3" w14:paraId="163B99C9" w14:textId="7B68CDA0">
      <w:pPr>
        <w:pStyle w:val="Standard"/>
        <w:rPr>
          <w:rFonts w:eastAsia="Cambria" w:cs="Cambria"/>
        </w:rPr>
      </w:pPr>
      <w:r w:rsidRPr="475A0C90">
        <w:rPr>
          <w:rFonts w:eastAsia="Cambria" w:cs="Cambria"/>
          <w:w w:val="105"/>
        </w:rPr>
        <w:lastRenderedPageBreak/>
        <w:t xml:space="preserve">The </w:t>
      </w:r>
      <w:r w:rsidR="004B5BB0">
        <w:rPr>
          <w:rFonts w:eastAsia="Cambria" w:cs="Cambria"/>
          <w:w w:val="105"/>
        </w:rPr>
        <w:t xml:space="preserve">Settling </w:t>
      </w:r>
      <w:r w:rsidR="009131A9">
        <w:rPr>
          <w:rFonts w:eastAsia="Cambria" w:cs="Cambria"/>
          <w:w w:val="105"/>
        </w:rPr>
        <w:t>Parties</w:t>
      </w:r>
      <w:r w:rsidRPr="475A0C90">
        <w:rPr>
          <w:rFonts w:eastAsia="Cambria" w:cs="Cambria"/>
          <w:w w:val="105"/>
        </w:rPr>
        <w:t xml:space="preserve"> </w:t>
      </w:r>
      <w:r w:rsidR="008913B0">
        <w:rPr>
          <w:rFonts w:eastAsia="Cambria" w:cs="Cambria"/>
          <w:w w:val="105"/>
        </w:rPr>
        <w:t xml:space="preserve">and counsel </w:t>
      </w:r>
      <w:r w:rsidRPr="475A0C90">
        <w:rPr>
          <w:rFonts w:eastAsia="Cambria" w:cs="Cambria"/>
          <w:w w:val="105"/>
        </w:rPr>
        <w:t>to this proceeding</w:t>
      </w:r>
      <w:r w:rsidRPr="475A0C90" w:rsidR="7F0DF3F9">
        <w:rPr>
          <w:rFonts w:eastAsia="Cambria" w:cs="Cambria"/>
          <w:w w:val="105"/>
        </w:rPr>
        <w:t xml:space="preserve"> are sophisticated</w:t>
      </w:r>
      <w:r w:rsidR="00262439">
        <w:rPr>
          <w:rFonts w:eastAsia="Cambria" w:cs="Cambria"/>
          <w:w w:val="105"/>
        </w:rPr>
        <w:t xml:space="preserve"> and</w:t>
      </w:r>
      <w:r w:rsidRPr="475A0C90" w:rsidR="7F0DF3F9">
        <w:rPr>
          <w:rFonts w:eastAsia="Cambria" w:cs="Cambria"/>
          <w:w w:val="105"/>
        </w:rPr>
        <w:t xml:space="preserve"> experienced </w:t>
      </w:r>
      <w:r w:rsidR="00DE075F">
        <w:rPr>
          <w:rFonts w:eastAsia="Cambria" w:cs="Cambria"/>
          <w:w w:val="105"/>
        </w:rPr>
        <w:t xml:space="preserve">in Commission proceedings. </w:t>
      </w:r>
      <w:r w:rsidR="007C0D24">
        <w:rPr>
          <w:rFonts w:eastAsia="Cambria" w:cs="Cambria"/>
          <w:w w:val="105"/>
        </w:rPr>
        <w:t xml:space="preserve">They each possess substantial expertise </w:t>
      </w:r>
      <w:r w:rsidRPr="475A0C90" w:rsidR="7F0DF3F9">
        <w:rPr>
          <w:rFonts w:eastAsia="Cambria" w:cs="Cambria"/>
          <w:w w:val="105"/>
        </w:rPr>
        <w:t>regarding the issues presented by the Application.</w:t>
      </w:r>
      <w:r w:rsidRPr="475A0C90">
        <w:rPr>
          <w:rFonts w:eastAsia="Cambria" w:cs="Cambria"/>
          <w:w w:val="105"/>
        </w:rPr>
        <w:t xml:space="preserve"> </w:t>
      </w:r>
      <w:r w:rsidRPr="475A0C90" w:rsidR="197846C7">
        <w:rPr>
          <w:rFonts w:eastAsia="Cambria" w:cs="Cambria"/>
          <w:w w:val="105"/>
        </w:rPr>
        <w:t xml:space="preserve">The </w:t>
      </w:r>
      <w:r w:rsidR="003E253F">
        <w:rPr>
          <w:rFonts w:eastAsia="Cambria" w:cs="Cambria"/>
          <w:w w:val="105"/>
        </w:rPr>
        <w:t xml:space="preserve">record shows that the </w:t>
      </w:r>
      <w:r w:rsidRPr="475A0C90" w:rsidR="197846C7">
        <w:rPr>
          <w:rFonts w:eastAsia="Cambria" w:cs="Cambria"/>
          <w:w w:val="105"/>
        </w:rPr>
        <w:t xml:space="preserve">Settling Parties </w:t>
      </w:r>
      <w:r w:rsidRPr="475A0C90">
        <w:rPr>
          <w:rFonts w:eastAsia="Cambria" w:cs="Cambria"/>
          <w:w w:val="105"/>
        </w:rPr>
        <w:t xml:space="preserve">proposed approval and adoption of the Settlement Agreement through </w:t>
      </w:r>
      <w:r w:rsidRPr="7EC17AD4" w:rsidR="5A57829B">
        <w:rPr>
          <w:rFonts w:eastAsia="Cambria" w:cs="Cambria"/>
        </w:rPr>
        <w:t xml:space="preserve">a </w:t>
      </w:r>
      <w:r w:rsidRPr="475A0C90">
        <w:rPr>
          <w:rFonts w:eastAsia="Cambria" w:cs="Cambria"/>
          <w:w w:val="105"/>
        </w:rPr>
        <w:t xml:space="preserve">written </w:t>
      </w:r>
      <w:r w:rsidRPr="7EC17AD4" w:rsidR="0589E86F">
        <w:rPr>
          <w:rFonts w:eastAsia="Cambria" w:cs="Cambria"/>
        </w:rPr>
        <w:t>j</w:t>
      </w:r>
      <w:r w:rsidRPr="475A0C90" w:rsidR="50E51928">
        <w:rPr>
          <w:rFonts w:eastAsia="Cambria" w:cs="Cambria"/>
          <w:w w:val="105"/>
        </w:rPr>
        <w:t xml:space="preserve">oint </w:t>
      </w:r>
      <w:r w:rsidRPr="7EC17AD4" w:rsidR="40D88AEE">
        <w:rPr>
          <w:rFonts w:eastAsia="Cambria" w:cs="Cambria"/>
        </w:rPr>
        <w:t>m</w:t>
      </w:r>
      <w:r w:rsidRPr="475A0C90">
        <w:rPr>
          <w:rFonts w:eastAsia="Cambria" w:cs="Cambria"/>
          <w:w w:val="105"/>
        </w:rPr>
        <w:t xml:space="preserve">otion. Within </w:t>
      </w:r>
      <w:r w:rsidRPr="7EC17AD4" w:rsidR="2A79714A">
        <w:rPr>
          <w:rFonts w:eastAsia="Cambria" w:cs="Cambria"/>
        </w:rPr>
        <w:t xml:space="preserve">the </w:t>
      </w:r>
      <w:r w:rsidRPr="475A0C90">
        <w:rPr>
          <w:rFonts w:eastAsia="Cambria" w:cs="Cambria"/>
          <w:w w:val="105"/>
        </w:rPr>
        <w:t>Motion</w:t>
      </w:r>
      <w:r w:rsidR="00E70C30">
        <w:rPr>
          <w:rFonts w:eastAsia="Cambria" w:cs="Cambria"/>
          <w:w w:val="105"/>
        </w:rPr>
        <w:t>,</w:t>
      </w:r>
      <w:r w:rsidRPr="475A0C90">
        <w:rPr>
          <w:rFonts w:eastAsia="Cambria" w:cs="Cambria"/>
          <w:w w:val="105"/>
        </w:rPr>
        <w:t xml:space="preserve"> they present the factual and legal considerations adequate to advise the Commission of the scope and terms of the Settlement Agreement and of the grounds for its adoption. That Settlement Agreement was limited to the issues </w:t>
      </w:r>
      <w:r w:rsidR="00E70C30">
        <w:rPr>
          <w:rFonts w:eastAsia="Cambria" w:cs="Cambria"/>
          <w:w w:val="105"/>
        </w:rPr>
        <w:t xml:space="preserve">scoped </w:t>
      </w:r>
      <w:r w:rsidRPr="475A0C90">
        <w:rPr>
          <w:rFonts w:eastAsia="Cambria" w:cs="Cambria"/>
          <w:w w:val="105"/>
        </w:rPr>
        <w:t xml:space="preserve">in this proceeding. Therefore, the </w:t>
      </w:r>
      <w:r w:rsidR="009131A9">
        <w:rPr>
          <w:rFonts w:eastAsia="Cambria" w:cs="Cambria"/>
          <w:w w:val="105"/>
        </w:rPr>
        <w:t>Parties</w:t>
      </w:r>
      <w:r w:rsidRPr="475A0C90">
        <w:rPr>
          <w:rFonts w:eastAsia="Cambria" w:cs="Cambria"/>
          <w:w w:val="105"/>
        </w:rPr>
        <w:t xml:space="preserve"> complied with the written motion requirements of Rule 12.1(a).</w:t>
      </w:r>
    </w:p>
    <w:p w:rsidRPr="00AA1963" w:rsidR="00AA1963" w:rsidP="00AA1963" w:rsidRDefault="00AA1963" w14:paraId="07877E34" w14:textId="5867C31E">
      <w:pPr>
        <w:pStyle w:val="Standard"/>
        <w:rPr>
          <w:rFonts w:eastAsia="Cambria" w:cs="Cambria"/>
          <w:w w:val="105"/>
          <w:szCs w:val="26"/>
        </w:rPr>
      </w:pPr>
      <w:r w:rsidRPr="00E34772">
        <w:rPr>
          <w:w w:val="105"/>
        </w:rPr>
        <w:t xml:space="preserve">The record </w:t>
      </w:r>
      <w:r w:rsidR="003E253F">
        <w:rPr>
          <w:w w:val="105"/>
        </w:rPr>
        <w:t xml:space="preserve">also </w:t>
      </w:r>
      <w:r w:rsidRPr="00E34772">
        <w:rPr>
          <w:w w:val="105"/>
        </w:rPr>
        <w:t xml:space="preserve">shows that, before signing the Settlement Agreement, </w:t>
      </w:r>
      <w:r w:rsidR="009801AF">
        <w:rPr>
          <w:w w:val="105"/>
        </w:rPr>
        <w:t>the</w:t>
      </w:r>
      <w:r w:rsidRPr="00AA1963">
        <w:rPr>
          <w:rFonts w:eastAsia="Cambria" w:cs="Cambria"/>
          <w:w w:val="105"/>
          <w:szCs w:val="26"/>
        </w:rPr>
        <w:t xml:space="preserve"> </w:t>
      </w:r>
      <w:r w:rsidR="009801AF">
        <w:rPr>
          <w:rFonts w:eastAsia="Cambria" w:cs="Cambria"/>
          <w:w w:val="105"/>
          <w:szCs w:val="26"/>
        </w:rPr>
        <w:t xml:space="preserve">Settling </w:t>
      </w:r>
      <w:r w:rsidR="009131A9">
        <w:rPr>
          <w:rFonts w:eastAsia="Cambria" w:cs="Cambria"/>
          <w:w w:val="105"/>
          <w:szCs w:val="26"/>
        </w:rPr>
        <w:t>Parties</w:t>
      </w:r>
      <w:r w:rsidRPr="00AA1963">
        <w:rPr>
          <w:rFonts w:eastAsia="Cambria" w:cs="Cambria"/>
          <w:w w:val="105"/>
          <w:szCs w:val="26"/>
        </w:rPr>
        <w:t xml:space="preserve"> met and conferred and prepared a joint settlement status reports filed with the Commission. Therefore, the </w:t>
      </w:r>
      <w:r w:rsidR="004B5BB0">
        <w:rPr>
          <w:rFonts w:eastAsia="Cambria" w:cs="Cambria"/>
          <w:w w:val="105"/>
          <w:szCs w:val="26"/>
        </w:rPr>
        <w:t xml:space="preserve">Settling </w:t>
      </w:r>
      <w:r w:rsidR="009131A9">
        <w:rPr>
          <w:rFonts w:eastAsia="Cambria" w:cs="Cambria"/>
          <w:w w:val="105"/>
          <w:szCs w:val="26"/>
        </w:rPr>
        <w:t>Parties</w:t>
      </w:r>
      <w:r w:rsidRPr="00AA1963">
        <w:rPr>
          <w:rFonts w:eastAsia="Cambria" w:cs="Cambria"/>
          <w:w w:val="105"/>
          <w:szCs w:val="26"/>
        </w:rPr>
        <w:t xml:space="preserve"> complied with the settlement conference requirements of Rule 12.1(b).</w:t>
      </w:r>
    </w:p>
    <w:p w:rsidRPr="00AA1963" w:rsidR="00AA1963" w:rsidP="475A0C90" w:rsidRDefault="5BE8FDC3" w14:paraId="74013D9F" w14:textId="65201946">
      <w:pPr>
        <w:pStyle w:val="Standard"/>
        <w:rPr>
          <w:rFonts w:eastAsia="Cambria" w:cs="Cambria"/>
          <w:w w:val="105"/>
        </w:rPr>
      </w:pPr>
      <w:r w:rsidRPr="475A0C90">
        <w:rPr>
          <w:rFonts w:eastAsia="Cambria" w:cs="Cambria"/>
          <w:w w:val="105"/>
        </w:rPr>
        <w:t xml:space="preserve">In addition, the Settlement Agreement effectuates established Commission and state policy to promote settlement of disputes. This policy reduces litigation expenses, conserves Commission resources, and allows parties to control the risk of unacceptable results of litigation. The Commission policy favoring settlements is especially appropriate here, where </w:t>
      </w:r>
      <w:r w:rsidR="00332BE8">
        <w:rPr>
          <w:rFonts w:eastAsia="Cambria" w:cs="Cambria"/>
          <w:w w:val="105"/>
        </w:rPr>
        <w:t>the Settling Parties</w:t>
      </w:r>
      <w:r w:rsidR="00584128">
        <w:rPr>
          <w:rFonts w:eastAsia="Cambria" w:cs="Cambria"/>
          <w:w w:val="105"/>
        </w:rPr>
        <w:t>, including Applicant PG&amp;E,</w:t>
      </w:r>
      <w:r w:rsidR="00332BE8">
        <w:rPr>
          <w:rFonts w:eastAsia="Cambria" w:cs="Cambria"/>
          <w:w w:val="105"/>
        </w:rPr>
        <w:t xml:space="preserve"> </w:t>
      </w:r>
      <w:r w:rsidRPr="475A0C90" w:rsidR="69BE8C72">
        <w:rPr>
          <w:rFonts w:eastAsia="Cambria" w:cs="Cambria"/>
          <w:w w:val="105"/>
        </w:rPr>
        <w:t xml:space="preserve">jointly </w:t>
      </w:r>
      <w:r w:rsidRPr="475A0C90">
        <w:rPr>
          <w:rFonts w:eastAsia="Cambria" w:cs="Cambria"/>
          <w:w w:val="105"/>
        </w:rPr>
        <w:t>request</w:t>
      </w:r>
      <w:r w:rsidRPr="475A0C90" w:rsidR="4A4A3299">
        <w:rPr>
          <w:rFonts w:eastAsia="Cambria" w:cs="Cambria"/>
          <w:w w:val="105"/>
        </w:rPr>
        <w:t>ed</w:t>
      </w:r>
      <w:r w:rsidRPr="475A0C90">
        <w:rPr>
          <w:rFonts w:eastAsia="Cambria" w:cs="Cambria"/>
          <w:w w:val="105"/>
        </w:rPr>
        <w:t xml:space="preserve"> approval of the Settlement Agreement</w:t>
      </w:r>
      <w:r w:rsidR="00332BE8">
        <w:rPr>
          <w:rFonts w:eastAsia="Cambria" w:cs="Cambria"/>
          <w:w w:val="105"/>
        </w:rPr>
        <w:t xml:space="preserve"> and no party contests that Motion</w:t>
      </w:r>
      <w:r w:rsidRPr="475A0C90">
        <w:rPr>
          <w:rFonts w:eastAsia="Cambria" w:cs="Cambria"/>
          <w:w w:val="105"/>
        </w:rPr>
        <w:t>.</w:t>
      </w:r>
    </w:p>
    <w:p w:rsidRPr="00234F59" w:rsidR="00AA1963" w:rsidP="00C50A9D" w:rsidRDefault="00AA1963" w14:paraId="2CC17F41" w14:textId="58ACBAC9">
      <w:pPr>
        <w:pStyle w:val="Standard"/>
        <w:rPr>
          <w:rFonts w:eastAsia="Cambria" w:cs="Cambria"/>
          <w:w w:val="105"/>
          <w:szCs w:val="26"/>
        </w:rPr>
      </w:pPr>
      <w:r w:rsidRPr="00AA1963">
        <w:rPr>
          <w:rFonts w:eastAsia="Cambria" w:cs="Cambria"/>
          <w:w w:val="105"/>
          <w:szCs w:val="26"/>
        </w:rPr>
        <w:t xml:space="preserve">As a result, the Settlement Agreement complies with Commission laws, rules, orders, and decisions, as well as the strong public policy supporting settlements. Accordingly, the Commission finds the Settlement Agreement is consistent with applicable law.  </w:t>
      </w:r>
    </w:p>
    <w:p w:rsidRPr="00234F59" w:rsidR="003016B6" w:rsidP="002F2031" w:rsidRDefault="003016B6" w14:paraId="3229CBFC" w14:textId="1999E8F6">
      <w:pPr>
        <w:pStyle w:val="Heading2"/>
        <w:rPr>
          <w:w w:val="105"/>
        </w:rPr>
      </w:pPr>
      <w:bookmarkStart w:name="_Toc156568002" w:id="63"/>
      <w:bookmarkStart w:name="_Toc177379449" w:id="64"/>
      <w:bookmarkStart w:name="_Toc212128392" w:id="65"/>
      <w:bookmarkStart w:name="_Toc215555422" w:id="66"/>
      <w:r w:rsidRPr="00234F59">
        <w:rPr>
          <w:w w:val="105"/>
        </w:rPr>
        <w:lastRenderedPageBreak/>
        <w:t>Public Interest</w:t>
      </w:r>
      <w:bookmarkEnd w:id="63"/>
      <w:bookmarkEnd w:id="64"/>
      <w:bookmarkEnd w:id="65"/>
      <w:bookmarkEnd w:id="66"/>
    </w:p>
    <w:p w:rsidR="00DA3D15" w:rsidP="0047722D" w:rsidRDefault="003016B6" w14:paraId="4C41C23E" w14:textId="3CFF4038">
      <w:pPr>
        <w:pStyle w:val="Standard"/>
        <w:rPr>
          <w:w w:val="105"/>
          <w:szCs w:val="26"/>
        </w:rPr>
      </w:pPr>
      <w:r w:rsidRPr="00234F59">
        <w:rPr>
          <w:w w:val="105"/>
          <w:szCs w:val="26"/>
        </w:rPr>
        <w:t xml:space="preserve">Finally, </w:t>
      </w:r>
      <w:r w:rsidR="0099337C">
        <w:rPr>
          <w:w w:val="105"/>
          <w:szCs w:val="26"/>
        </w:rPr>
        <w:t xml:space="preserve">as discussed below, </w:t>
      </w:r>
      <w:r w:rsidRPr="00234F59">
        <w:rPr>
          <w:w w:val="105"/>
          <w:szCs w:val="26"/>
        </w:rPr>
        <w:t xml:space="preserve">the </w:t>
      </w:r>
      <w:r w:rsidR="00933806">
        <w:rPr>
          <w:w w:val="105"/>
          <w:szCs w:val="26"/>
        </w:rPr>
        <w:t xml:space="preserve">approval of the </w:t>
      </w:r>
      <w:r w:rsidRPr="00234F59">
        <w:rPr>
          <w:w w:val="105"/>
          <w:szCs w:val="26"/>
        </w:rPr>
        <w:t>proposed Settlement Agreement</w:t>
      </w:r>
      <w:r w:rsidR="00933806">
        <w:rPr>
          <w:w w:val="105"/>
          <w:szCs w:val="26"/>
        </w:rPr>
        <w:t xml:space="preserve"> is</w:t>
      </w:r>
      <w:r w:rsidRPr="00234F59">
        <w:rPr>
          <w:w w:val="105"/>
          <w:szCs w:val="26"/>
        </w:rPr>
        <w:t xml:space="preserve"> in the public interest.</w:t>
      </w:r>
      <w:r w:rsidR="006C1FD0">
        <w:rPr>
          <w:w w:val="105"/>
          <w:szCs w:val="26"/>
        </w:rPr>
        <w:t xml:space="preserve"> </w:t>
      </w:r>
      <w:r w:rsidRPr="475A0C90" w:rsidR="6C427BBC">
        <w:rPr>
          <w:w w:val="105"/>
        </w:rPr>
        <w:t>The California Supreme Court advised that the public interest is evaluated in light of the circumstances of each case and the settlement agreement presented.</w:t>
      </w:r>
      <w:r w:rsidRPr="475A0C90">
        <w:rPr>
          <w:w w:val="105"/>
          <w:vertAlign w:val="superscript"/>
        </w:rPr>
        <w:footnoteReference w:id="82"/>
      </w:r>
      <w:r w:rsidRPr="00234F59" w:rsidR="6C427BBC">
        <w:rPr>
          <w:w w:val="105"/>
          <w:szCs w:val="26"/>
        </w:rPr>
        <w:t xml:space="preserve"> </w:t>
      </w:r>
    </w:p>
    <w:p w:rsidR="00255D1E" w:rsidRDefault="40AA82FA" w14:paraId="03EF5C7C" w14:textId="694B350A">
      <w:pPr>
        <w:pStyle w:val="Standard"/>
      </w:pPr>
      <w:r w:rsidRPr="475A0C90">
        <w:rPr>
          <w:w w:val="105"/>
        </w:rPr>
        <w:t xml:space="preserve">The Settling Parties </w:t>
      </w:r>
      <w:r w:rsidR="003F0157">
        <w:rPr>
          <w:w w:val="105"/>
        </w:rPr>
        <w:t>have shown</w:t>
      </w:r>
      <w:r w:rsidRPr="475A0C90">
        <w:rPr>
          <w:w w:val="105"/>
        </w:rPr>
        <w:t xml:space="preserve"> that the </w:t>
      </w:r>
      <w:r w:rsidR="003F0157">
        <w:rPr>
          <w:w w:val="105"/>
        </w:rPr>
        <w:t xml:space="preserve">Settlement </w:t>
      </w:r>
      <w:r w:rsidRPr="475A0C90">
        <w:rPr>
          <w:w w:val="105"/>
        </w:rPr>
        <w:t>Agreement is in the public interest in that it provides for a reasonable disposition of issues that would have otherwise been litigated with attendant costs on the Parties and the Commission, and that significant compromises of adverse litigation positions were made</w:t>
      </w:r>
      <w:r w:rsidRPr="475A0C90" w:rsidR="10526167">
        <w:rPr>
          <w:w w:val="105"/>
        </w:rPr>
        <w:t xml:space="preserve">. </w:t>
      </w:r>
      <w:r w:rsidR="301AE799">
        <w:t>As discussed above</w:t>
      </w:r>
      <w:r w:rsidR="00DE43C5">
        <w:t xml:space="preserve"> and shown in Table 2</w:t>
      </w:r>
      <w:r w:rsidR="301AE799">
        <w:t>, i</w:t>
      </w:r>
      <w:r w:rsidRPr="475A0C90" w:rsidR="10526167">
        <w:rPr>
          <w:w w:val="105"/>
        </w:rPr>
        <w:t xml:space="preserve">n </w:t>
      </w:r>
      <w:r w:rsidR="35421FE5">
        <w:t xml:space="preserve">the </w:t>
      </w:r>
      <w:r w:rsidRPr="475A0C90" w:rsidR="10526167">
        <w:rPr>
          <w:w w:val="105"/>
        </w:rPr>
        <w:t xml:space="preserve">Application, </w:t>
      </w:r>
      <w:r w:rsidRPr="00AF64FC" w:rsidR="10526167">
        <w:rPr>
          <w:w w:val="105"/>
        </w:rPr>
        <w:t>PG&amp;E’s forecasted spending approximately</w:t>
      </w:r>
      <w:r w:rsidRPr="00AF64FC" w:rsidR="10526167">
        <w:rPr>
          <w:w w:val="105"/>
          <w:szCs w:val="26"/>
        </w:rPr>
        <w:t xml:space="preserve"> </w:t>
      </w:r>
      <w:r w:rsidRPr="00AF64FC" w:rsidR="10526167">
        <w:rPr>
          <w:w w:val="105"/>
        </w:rPr>
        <w:t>$485.1</w:t>
      </w:r>
      <w:r w:rsidRPr="00AF64FC" w:rsidR="00920CD1">
        <w:rPr>
          <w:w w:val="105"/>
        </w:rPr>
        <w:t xml:space="preserve"> million </w:t>
      </w:r>
      <w:r w:rsidRPr="00AF64FC" w:rsidR="10526167">
        <w:rPr>
          <w:w w:val="105"/>
        </w:rPr>
        <w:t>in capital expenditures and $11.</w:t>
      </w:r>
      <w:r w:rsidRPr="00AF64FC" w:rsidR="00F61CE3">
        <w:rPr>
          <w:w w:val="105"/>
        </w:rPr>
        <w:t>2</w:t>
      </w:r>
      <w:r w:rsidRPr="00AF64FC" w:rsidR="00920CD1">
        <w:rPr>
          <w:w w:val="105"/>
        </w:rPr>
        <w:t xml:space="preserve"> million </w:t>
      </w:r>
      <w:r w:rsidRPr="00AF64FC" w:rsidR="10526167">
        <w:rPr>
          <w:w w:val="105"/>
        </w:rPr>
        <w:t>in expense from 2023-2026</w:t>
      </w:r>
      <w:r w:rsidRPr="00AF64FC" w:rsidR="2EA09A4F">
        <w:rPr>
          <w:w w:val="105"/>
        </w:rPr>
        <w:t xml:space="preserve"> for a total of $496.</w:t>
      </w:r>
      <w:r w:rsidRPr="00AF64FC" w:rsidR="00A36652">
        <w:rPr>
          <w:w w:val="105"/>
        </w:rPr>
        <w:t>2</w:t>
      </w:r>
      <w:r w:rsidRPr="00AF64FC" w:rsidR="2EA09A4F">
        <w:rPr>
          <w:w w:val="105"/>
        </w:rPr>
        <w:t xml:space="preserve"> million</w:t>
      </w:r>
      <w:r w:rsidRPr="00AF64FC" w:rsidR="10526167">
        <w:rPr>
          <w:w w:val="105"/>
          <w:szCs w:val="26"/>
        </w:rPr>
        <w:t xml:space="preserve">. </w:t>
      </w:r>
      <w:r w:rsidRPr="00AF64FC" w:rsidR="2EA09A4F">
        <w:rPr>
          <w:w w:val="105"/>
        </w:rPr>
        <w:t>The Agreement</w:t>
      </w:r>
      <w:r w:rsidRPr="00AF64FC" w:rsidR="05091B65">
        <w:rPr>
          <w:w w:val="105"/>
          <w:szCs w:val="26"/>
        </w:rPr>
        <w:t xml:space="preserve"> </w:t>
      </w:r>
      <w:r w:rsidRPr="00AF64FC" w:rsidR="0CCFF770">
        <w:rPr>
          <w:w w:val="105"/>
        </w:rPr>
        <w:t xml:space="preserve">specifically </w:t>
      </w:r>
      <w:r w:rsidRPr="00AF64FC" w:rsidR="05091B65">
        <w:rPr>
          <w:w w:val="105"/>
        </w:rPr>
        <w:t>includ</w:t>
      </w:r>
      <w:r w:rsidRPr="00AF64FC" w:rsidR="2EA09A4F">
        <w:rPr>
          <w:w w:val="105"/>
        </w:rPr>
        <w:t>es</w:t>
      </w:r>
      <w:r w:rsidRPr="00AF64FC" w:rsidR="05091B65">
        <w:rPr>
          <w:w w:val="105"/>
          <w:szCs w:val="26"/>
        </w:rPr>
        <w:t xml:space="preserve"> </w:t>
      </w:r>
      <w:r w:rsidRPr="00AF64FC" w:rsidR="6C427BBC">
        <w:rPr>
          <w:w w:val="105"/>
        </w:rPr>
        <w:t>an approximately $7.2</w:t>
      </w:r>
      <w:r w:rsidRPr="00AF64FC" w:rsidR="00920CD1">
        <w:rPr>
          <w:w w:val="105"/>
        </w:rPr>
        <w:t xml:space="preserve"> million </w:t>
      </w:r>
      <w:r w:rsidRPr="00AF64FC" w:rsidR="6C427BBC">
        <w:rPr>
          <w:w w:val="105"/>
        </w:rPr>
        <w:t>reduction in expenses and an approximately $65</w:t>
      </w:r>
      <w:r w:rsidRPr="00AF64FC" w:rsidR="00920CD1">
        <w:rPr>
          <w:w w:val="105"/>
        </w:rPr>
        <w:t xml:space="preserve"> million </w:t>
      </w:r>
      <w:r w:rsidRPr="00AF64FC" w:rsidR="6C427BBC">
        <w:rPr>
          <w:w w:val="105"/>
        </w:rPr>
        <w:t>reduction in capital expenditures from that proposed by PG&amp;E</w:t>
      </w:r>
      <w:r w:rsidRPr="00AF64FC" w:rsidR="7B27A5C8">
        <w:rPr>
          <w:w w:val="105"/>
        </w:rPr>
        <w:t xml:space="preserve"> in its Application</w:t>
      </w:r>
      <w:r w:rsidRPr="00AF64FC" w:rsidR="3534A612">
        <w:t xml:space="preserve">. This results in a </w:t>
      </w:r>
      <w:r w:rsidRPr="00AF64FC" w:rsidR="2EA09A4F">
        <w:rPr>
          <w:w w:val="105"/>
        </w:rPr>
        <w:t>total reduction of $72.2</w:t>
      </w:r>
      <w:r w:rsidRPr="00AF64FC" w:rsidR="00920CD1">
        <w:rPr>
          <w:w w:val="105"/>
        </w:rPr>
        <w:t xml:space="preserve"> million </w:t>
      </w:r>
      <w:r w:rsidRPr="00AF64FC" w:rsidR="2EA09A4F">
        <w:rPr>
          <w:w w:val="105"/>
        </w:rPr>
        <w:t xml:space="preserve">from its </w:t>
      </w:r>
      <w:r w:rsidRPr="00AF64FC" w:rsidR="2EA09A4F">
        <w:rPr>
          <w:w w:val="105"/>
        </w:rPr>
        <w:lastRenderedPageBreak/>
        <w:t>Application request of $496.</w:t>
      </w:r>
      <w:r w:rsidRPr="00AF64FC" w:rsidR="00BF5A9A">
        <w:rPr>
          <w:w w:val="105"/>
        </w:rPr>
        <w:t>2</w:t>
      </w:r>
      <w:r w:rsidRPr="00AF64FC" w:rsidR="00920CD1">
        <w:rPr>
          <w:w w:val="105"/>
        </w:rPr>
        <w:t> </w:t>
      </w:r>
      <w:r w:rsidRPr="00AF64FC" w:rsidR="2EA09A4F">
        <w:rPr>
          <w:w w:val="105"/>
        </w:rPr>
        <w:t>million.</w:t>
      </w:r>
      <w:r w:rsidRPr="00AF64FC" w:rsidR="003016B6">
        <w:rPr>
          <w:rStyle w:val="FootnoteReference"/>
          <w:w w:val="105"/>
        </w:rPr>
        <w:footnoteReference w:id="83"/>
      </w:r>
      <w:r w:rsidRPr="00AF64FC" w:rsidR="7B27A5C8">
        <w:rPr>
          <w:w w:val="105"/>
        </w:rPr>
        <w:t xml:space="preserve"> Further, PG</w:t>
      </w:r>
      <w:r w:rsidRPr="475A0C90" w:rsidR="7B27A5C8">
        <w:rPr>
          <w:w w:val="105"/>
        </w:rPr>
        <w:t xml:space="preserve">&amp;E agreed to additional concessions regarding a reduction to the revenue requirements to account for </w:t>
      </w:r>
      <w:r w:rsidR="00CF4CA5">
        <w:rPr>
          <w:w w:val="105"/>
        </w:rPr>
        <w:t>undepreciated</w:t>
      </w:r>
      <w:r w:rsidRPr="475A0C90" w:rsidR="7B27A5C8">
        <w:rPr>
          <w:w w:val="105"/>
        </w:rPr>
        <w:t xml:space="preserve"> </w:t>
      </w:r>
      <w:r w:rsidR="00FC76E6">
        <w:rPr>
          <w:w w:val="105"/>
        </w:rPr>
        <w:t xml:space="preserve">equipment </w:t>
      </w:r>
      <w:r w:rsidRPr="475A0C90" w:rsidR="7B27A5C8">
        <w:rPr>
          <w:w w:val="105"/>
        </w:rPr>
        <w:t xml:space="preserve">associated with </w:t>
      </w:r>
      <w:r w:rsidR="002731FB">
        <w:rPr>
          <w:w w:val="105"/>
        </w:rPr>
        <w:t>Gas Module</w:t>
      </w:r>
      <w:r w:rsidRPr="475A0C90" w:rsidR="7B27A5C8">
        <w:rPr>
          <w:w w:val="105"/>
        </w:rPr>
        <w:t>s that failed before reaching 15 years of age.</w:t>
      </w:r>
      <w:r w:rsidRPr="475A0C90" w:rsidR="006D0E03">
        <w:rPr>
          <w:rStyle w:val="FootnoteReference"/>
          <w:w w:val="105"/>
        </w:rPr>
        <w:footnoteReference w:id="84"/>
      </w:r>
      <w:r w:rsidR="044CF2B7">
        <w:rPr>
          <w:w w:val="105"/>
          <w:szCs w:val="26"/>
        </w:rPr>
        <w:t xml:space="preserve"> </w:t>
      </w:r>
    </w:p>
    <w:p w:rsidR="005C10D9" w:rsidP="0047722D" w:rsidRDefault="00FC76E6" w14:paraId="77CE0BDD" w14:textId="3974195A">
      <w:pPr>
        <w:pStyle w:val="Standard"/>
        <w:rPr>
          <w:w w:val="105"/>
          <w:szCs w:val="26"/>
        </w:rPr>
      </w:pPr>
      <w:r>
        <w:rPr>
          <w:w w:val="105"/>
          <w:szCs w:val="26"/>
        </w:rPr>
        <w:t xml:space="preserve">Significantly, </w:t>
      </w:r>
      <w:r w:rsidR="00B32FC0">
        <w:rPr>
          <w:rFonts w:eastAsia="Cambria" w:cs="Cambria"/>
          <w:color w:val="000000" w:themeColor="text1"/>
        </w:rPr>
        <w:t>n</w:t>
      </w:r>
      <w:r w:rsidRPr="00586E71" w:rsidR="00B32FC0">
        <w:rPr>
          <w:rFonts w:eastAsia="Cambria" w:cs="Cambria"/>
          <w:color w:val="000000" w:themeColor="text1"/>
        </w:rPr>
        <w:t xml:space="preserve">o party disputes that PG&amp;E must to carry out its GAMI </w:t>
      </w:r>
      <w:r w:rsidRPr="00586E71" w:rsidR="00B32FC0">
        <w:t>Replacement Program to replace failing Modules</w:t>
      </w:r>
      <w:r w:rsidRPr="00586E71" w:rsidR="00B32FC0">
        <w:rPr>
          <w:rFonts w:eastAsia="Cambria" w:cs="Cambria"/>
          <w:color w:val="000000" w:themeColor="text1"/>
        </w:rPr>
        <w:t>.</w:t>
      </w:r>
      <w:r w:rsidR="00B32FC0">
        <w:rPr>
          <w:rStyle w:val="FootnoteReference"/>
          <w:rFonts w:eastAsia="Cambria" w:cs="Cambria"/>
          <w:color w:val="000000" w:themeColor="text1"/>
        </w:rPr>
        <w:footnoteReference w:id="85"/>
      </w:r>
      <w:r w:rsidR="00B32FC0">
        <w:rPr>
          <w:rFonts w:eastAsia="Cambria" w:cs="Cambria"/>
          <w:color w:val="000000" w:themeColor="text1"/>
        </w:rPr>
        <w:t xml:space="preserve"> T</w:t>
      </w:r>
      <w:r w:rsidR="0047722D">
        <w:rPr>
          <w:w w:val="105"/>
          <w:szCs w:val="26"/>
        </w:rPr>
        <w:t xml:space="preserve">he Settlement </w:t>
      </w:r>
      <w:r w:rsidR="00D17FF4">
        <w:rPr>
          <w:w w:val="105"/>
          <w:szCs w:val="26"/>
        </w:rPr>
        <w:t xml:space="preserve">Agreement </w:t>
      </w:r>
      <w:r w:rsidR="0047722D">
        <w:rPr>
          <w:w w:val="105"/>
          <w:szCs w:val="26"/>
        </w:rPr>
        <w:t>lays to rest a troublesome hardware</w:t>
      </w:r>
      <w:r w:rsidR="009D7C32">
        <w:rPr>
          <w:w w:val="105"/>
          <w:szCs w:val="26"/>
        </w:rPr>
        <w:t xml:space="preserve"> and battery</w:t>
      </w:r>
      <w:r w:rsidR="0047722D">
        <w:rPr>
          <w:w w:val="105"/>
          <w:szCs w:val="26"/>
        </w:rPr>
        <w:t xml:space="preserve"> failure </w:t>
      </w:r>
      <w:r w:rsidR="00645716">
        <w:rPr>
          <w:w w:val="105"/>
          <w:szCs w:val="26"/>
        </w:rPr>
        <w:t>for</w:t>
      </w:r>
      <w:r w:rsidR="00EC05F9">
        <w:rPr>
          <w:w w:val="105"/>
          <w:szCs w:val="26"/>
        </w:rPr>
        <w:t xml:space="preserve"> </w:t>
      </w:r>
      <w:r w:rsidR="00645716">
        <w:rPr>
          <w:w w:val="105"/>
          <w:szCs w:val="26"/>
        </w:rPr>
        <w:t>reasonable</w:t>
      </w:r>
      <w:r w:rsidR="00EC05F9">
        <w:rPr>
          <w:w w:val="105"/>
          <w:szCs w:val="26"/>
        </w:rPr>
        <w:t xml:space="preserve"> attendant costs</w:t>
      </w:r>
      <w:r w:rsidR="0047722D">
        <w:rPr>
          <w:w w:val="105"/>
          <w:szCs w:val="26"/>
        </w:rPr>
        <w:t xml:space="preserve"> to </w:t>
      </w:r>
      <w:r w:rsidR="00E62DF8">
        <w:rPr>
          <w:w w:val="105"/>
          <w:szCs w:val="26"/>
        </w:rPr>
        <w:t>PG&amp;E</w:t>
      </w:r>
      <w:r w:rsidR="0047722D">
        <w:rPr>
          <w:w w:val="105"/>
          <w:szCs w:val="26"/>
        </w:rPr>
        <w:t xml:space="preserve"> customers</w:t>
      </w:r>
      <w:r w:rsidR="004B1BF9">
        <w:rPr>
          <w:w w:val="105"/>
          <w:szCs w:val="26"/>
        </w:rPr>
        <w:t>,</w:t>
      </w:r>
      <w:r w:rsidR="00E62DF8">
        <w:rPr>
          <w:w w:val="105"/>
          <w:szCs w:val="26"/>
        </w:rPr>
        <w:t xml:space="preserve"> </w:t>
      </w:r>
      <w:r w:rsidR="004B1BF9">
        <w:rPr>
          <w:w w:val="105"/>
          <w:szCs w:val="26"/>
        </w:rPr>
        <w:t>as zealously negotiated by three ratepayer advocacy organizations</w:t>
      </w:r>
      <w:r w:rsidR="00EC05F9">
        <w:rPr>
          <w:w w:val="105"/>
          <w:szCs w:val="26"/>
        </w:rPr>
        <w:t>.</w:t>
      </w:r>
      <w:r w:rsidR="001E7F11">
        <w:rPr>
          <w:w w:val="105"/>
          <w:szCs w:val="26"/>
        </w:rPr>
        <w:t xml:space="preserve"> These cost reductions and the finality </w:t>
      </w:r>
      <w:r w:rsidR="00406E2F">
        <w:rPr>
          <w:w w:val="105"/>
          <w:szCs w:val="26"/>
        </w:rPr>
        <w:t xml:space="preserve">and certainty </w:t>
      </w:r>
      <w:r w:rsidR="001E7F11">
        <w:rPr>
          <w:w w:val="105"/>
          <w:szCs w:val="26"/>
        </w:rPr>
        <w:t xml:space="preserve">offered by the </w:t>
      </w:r>
      <w:r w:rsidR="00406E2F">
        <w:rPr>
          <w:w w:val="105"/>
          <w:szCs w:val="26"/>
        </w:rPr>
        <w:t xml:space="preserve">Settlement </w:t>
      </w:r>
      <w:r w:rsidR="001E7F11">
        <w:rPr>
          <w:w w:val="105"/>
          <w:szCs w:val="26"/>
        </w:rPr>
        <w:t>Agreement are substantial considerations.</w:t>
      </w:r>
      <w:r w:rsidR="00EC05F9">
        <w:rPr>
          <w:w w:val="105"/>
          <w:szCs w:val="26"/>
        </w:rPr>
        <w:t xml:space="preserve"> Finally, the </w:t>
      </w:r>
      <w:r w:rsidR="00816FD3">
        <w:rPr>
          <w:w w:val="105"/>
          <w:szCs w:val="26"/>
        </w:rPr>
        <w:t xml:space="preserve">Settlement </w:t>
      </w:r>
      <w:r w:rsidR="00EC05F9">
        <w:rPr>
          <w:w w:val="105"/>
          <w:szCs w:val="26"/>
        </w:rPr>
        <w:t xml:space="preserve">Agreement </w:t>
      </w:r>
      <w:r w:rsidR="006A6799">
        <w:rPr>
          <w:w w:val="105"/>
          <w:szCs w:val="26"/>
        </w:rPr>
        <w:t>anticipates</w:t>
      </w:r>
      <w:r w:rsidR="0047722D">
        <w:rPr>
          <w:w w:val="105"/>
          <w:szCs w:val="26"/>
        </w:rPr>
        <w:t xml:space="preserve"> the prospect of PG&amp;E’s provision of gas to customers in light of California’s </w:t>
      </w:r>
      <w:r w:rsidR="00586A5A">
        <w:rPr>
          <w:w w:val="105"/>
          <w:szCs w:val="26"/>
        </w:rPr>
        <w:t>electrific</w:t>
      </w:r>
      <w:r w:rsidR="0047722D">
        <w:rPr>
          <w:w w:val="105"/>
          <w:szCs w:val="26"/>
        </w:rPr>
        <w:t>ation</w:t>
      </w:r>
      <w:r w:rsidR="00586A5A">
        <w:rPr>
          <w:w w:val="105"/>
          <w:szCs w:val="26"/>
        </w:rPr>
        <w:t xml:space="preserve"> goals and expected gas demand declines</w:t>
      </w:r>
      <w:r w:rsidR="0047722D">
        <w:rPr>
          <w:w w:val="105"/>
          <w:szCs w:val="26"/>
        </w:rPr>
        <w:t>.</w:t>
      </w:r>
    </w:p>
    <w:p w:rsidRPr="00234F59" w:rsidR="0031215C" w:rsidRDefault="2E5062F9" w14:paraId="65FEE753" w14:textId="35CB6AC9">
      <w:pPr>
        <w:pStyle w:val="Standard"/>
      </w:pPr>
      <w:r w:rsidRPr="475A0C90">
        <w:rPr>
          <w:w w:val="105"/>
        </w:rPr>
        <w:t xml:space="preserve">As discussed above, the Settlement Agreement reasonably resolves all disputes addressed in the </w:t>
      </w:r>
      <w:r w:rsidR="65AA3CD7">
        <w:t>filed r</w:t>
      </w:r>
      <w:r w:rsidRPr="475A0C90">
        <w:rPr>
          <w:w w:val="105"/>
        </w:rPr>
        <w:t xml:space="preserve">esponses and </w:t>
      </w:r>
      <w:r w:rsidR="6EDF9163">
        <w:t>p</w:t>
      </w:r>
      <w:r w:rsidRPr="475A0C90">
        <w:rPr>
          <w:w w:val="105"/>
        </w:rPr>
        <w:t>rotests</w:t>
      </w:r>
      <w:r w:rsidR="4D551FAE">
        <w:t xml:space="preserve"> to the Application</w:t>
      </w:r>
      <w:r w:rsidRPr="475A0C90">
        <w:rPr>
          <w:w w:val="105"/>
        </w:rPr>
        <w:t xml:space="preserve">. It provides an efficient resolution to </w:t>
      </w:r>
      <w:r w:rsidR="004C198B">
        <w:rPr>
          <w:w w:val="105"/>
        </w:rPr>
        <w:t xml:space="preserve">the </w:t>
      </w:r>
      <w:r w:rsidRPr="475A0C90">
        <w:rPr>
          <w:w w:val="105"/>
        </w:rPr>
        <w:t xml:space="preserve">otherwise highly contested issues </w:t>
      </w:r>
      <w:r w:rsidR="004C198B">
        <w:rPr>
          <w:w w:val="105"/>
        </w:rPr>
        <w:t>identified by</w:t>
      </w:r>
      <w:r w:rsidRPr="475A0C90" w:rsidR="7276EE4F">
        <w:rPr>
          <w:w w:val="105"/>
        </w:rPr>
        <w:t xml:space="preserve"> the Scoping Memo</w:t>
      </w:r>
      <w:r w:rsidR="001C1A2C">
        <w:rPr>
          <w:w w:val="105"/>
        </w:rPr>
        <w:t>. The Settlement Agreement</w:t>
      </w:r>
      <w:r w:rsidRPr="475A0C90">
        <w:rPr>
          <w:w w:val="105"/>
        </w:rPr>
        <w:t xml:space="preserve"> thereby avoid</w:t>
      </w:r>
      <w:r w:rsidR="001C1A2C">
        <w:rPr>
          <w:w w:val="105"/>
        </w:rPr>
        <w:t xml:space="preserve">s </w:t>
      </w:r>
      <w:r w:rsidRPr="475A0C90">
        <w:rPr>
          <w:w w:val="105"/>
        </w:rPr>
        <w:t xml:space="preserve">further unnecessary consumption of party and Commission time and resources. Approval of the </w:t>
      </w:r>
      <w:r w:rsidR="00661DDA">
        <w:rPr>
          <w:w w:val="105"/>
        </w:rPr>
        <w:t>S</w:t>
      </w:r>
      <w:r w:rsidRPr="475A0C90">
        <w:rPr>
          <w:w w:val="105"/>
        </w:rPr>
        <w:t xml:space="preserve">ettlement </w:t>
      </w:r>
      <w:r w:rsidR="00661DDA">
        <w:rPr>
          <w:w w:val="105"/>
        </w:rPr>
        <w:t>A</w:t>
      </w:r>
      <w:r w:rsidRPr="475A0C90">
        <w:rPr>
          <w:w w:val="105"/>
        </w:rPr>
        <w:t>greement aligns with the strong public policy favoring settlement of disputes. Accordingly, the Commission finds approval of the Settlement Agreement is in the public interest</w:t>
      </w:r>
      <w:r w:rsidR="1CB5703B">
        <w:rPr>
          <w:w w:val="105"/>
          <w:szCs w:val="26"/>
        </w:rPr>
        <w:t>.</w:t>
      </w:r>
    </w:p>
    <w:p w:rsidRPr="00234F59" w:rsidR="0084691F" w:rsidP="0024767C" w:rsidRDefault="0084691F" w14:paraId="70F5F192" w14:textId="063547A3">
      <w:pPr>
        <w:pStyle w:val="Heading1"/>
        <w:rPr>
          <w:w w:val="105"/>
          <w:szCs w:val="26"/>
        </w:rPr>
      </w:pPr>
      <w:bookmarkStart w:name="_Toc212128393" w:id="67"/>
      <w:bookmarkStart w:name="_Toc215555423" w:id="68"/>
      <w:r w:rsidRPr="00234F59">
        <w:rPr>
          <w:w w:val="105"/>
          <w:szCs w:val="26"/>
        </w:rPr>
        <w:lastRenderedPageBreak/>
        <w:t>Conclusion</w:t>
      </w:r>
      <w:bookmarkEnd w:id="67"/>
      <w:bookmarkEnd w:id="68"/>
    </w:p>
    <w:p w:rsidRPr="00234F59" w:rsidR="003016B6" w:rsidP="009F6222" w:rsidRDefault="00D17435" w14:paraId="3F60E617" w14:textId="7107C968">
      <w:pPr>
        <w:pStyle w:val="Standard"/>
        <w:rPr>
          <w:w w:val="105"/>
          <w:szCs w:val="26"/>
        </w:rPr>
      </w:pPr>
      <w:r>
        <w:rPr>
          <w:w w:val="105"/>
          <w:szCs w:val="26"/>
        </w:rPr>
        <w:t>T</w:t>
      </w:r>
      <w:r w:rsidRPr="00234F59" w:rsidR="003016B6">
        <w:rPr>
          <w:w w:val="105"/>
          <w:szCs w:val="26"/>
        </w:rPr>
        <w:t xml:space="preserve">he </w:t>
      </w:r>
      <w:r w:rsidR="00056F82">
        <w:rPr>
          <w:w w:val="105"/>
          <w:szCs w:val="26"/>
        </w:rPr>
        <w:t xml:space="preserve">record of this proceeding shows that the </w:t>
      </w:r>
      <w:r w:rsidRPr="00234F59" w:rsidR="003016B6">
        <w:rPr>
          <w:w w:val="105"/>
          <w:szCs w:val="26"/>
        </w:rPr>
        <w:t xml:space="preserve">Settlement Agreement reasonably resolves all disputes raised by </w:t>
      </w:r>
      <w:r w:rsidR="00FD2949">
        <w:rPr>
          <w:w w:val="105"/>
          <w:szCs w:val="26"/>
        </w:rPr>
        <w:t>Cal Advocates</w:t>
      </w:r>
      <w:r w:rsidRPr="00234F59" w:rsidR="003016B6">
        <w:rPr>
          <w:w w:val="105"/>
          <w:szCs w:val="26"/>
        </w:rPr>
        <w:t>, TURN, and the SBUA</w:t>
      </w:r>
      <w:r w:rsidR="007560B6">
        <w:rPr>
          <w:w w:val="105"/>
          <w:szCs w:val="26"/>
        </w:rPr>
        <w:t xml:space="preserve"> </w:t>
      </w:r>
      <w:r w:rsidR="0001515E">
        <w:rPr>
          <w:w w:val="105"/>
          <w:szCs w:val="26"/>
        </w:rPr>
        <w:t xml:space="preserve">in their Responses and Protests </w:t>
      </w:r>
      <w:r w:rsidR="000C3CA6">
        <w:rPr>
          <w:w w:val="105"/>
          <w:szCs w:val="26"/>
        </w:rPr>
        <w:t xml:space="preserve">challenging </w:t>
      </w:r>
      <w:r w:rsidR="007560B6">
        <w:rPr>
          <w:w w:val="105"/>
          <w:szCs w:val="26"/>
        </w:rPr>
        <w:t xml:space="preserve">PG&amp;E’s </w:t>
      </w:r>
      <w:r w:rsidR="001A048A">
        <w:rPr>
          <w:szCs w:val="26"/>
        </w:rPr>
        <w:t>GAMI</w:t>
      </w:r>
      <w:r w:rsidR="00865B8C">
        <w:rPr>
          <w:szCs w:val="26"/>
        </w:rPr>
        <w:t xml:space="preserve"> Replacement </w:t>
      </w:r>
      <w:r w:rsidR="007560B6">
        <w:rPr>
          <w:w w:val="105"/>
          <w:szCs w:val="26"/>
        </w:rPr>
        <w:t>Application</w:t>
      </w:r>
      <w:r w:rsidRPr="00234F59" w:rsidR="003016B6">
        <w:rPr>
          <w:w w:val="105"/>
          <w:szCs w:val="26"/>
        </w:rPr>
        <w:t xml:space="preserve">. It </w:t>
      </w:r>
      <w:r w:rsidR="00C169FE">
        <w:rPr>
          <w:w w:val="105"/>
          <w:szCs w:val="26"/>
        </w:rPr>
        <w:t xml:space="preserve">complies with legal and policy requirements </w:t>
      </w:r>
      <w:r w:rsidR="00CA4BE3">
        <w:rPr>
          <w:w w:val="105"/>
          <w:szCs w:val="26"/>
        </w:rPr>
        <w:t xml:space="preserve">attendant to settlement of the present dispute. The Settlement Agreement </w:t>
      </w:r>
      <w:r w:rsidRPr="00234F59" w:rsidR="003016B6">
        <w:rPr>
          <w:w w:val="105"/>
          <w:szCs w:val="26"/>
        </w:rPr>
        <w:t xml:space="preserve">provides an efficient resolution to otherwise </w:t>
      </w:r>
      <w:r w:rsidR="00CB2418">
        <w:rPr>
          <w:w w:val="105"/>
          <w:szCs w:val="26"/>
        </w:rPr>
        <w:t xml:space="preserve">highly </w:t>
      </w:r>
      <w:r w:rsidRPr="00234F59" w:rsidR="003016B6">
        <w:rPr>
          <w:w w:val="105"/>
          <w:szCs w:val="26"/>
        </w:rPr>
        <w:t xml:space="preserve">contested issues raised by PG&amp;E’s Application, thereby avoiding further unnecessary consumption of the </w:t>
      </w:r>
      <w:r w:rsidR="009131A9">
        <w:rPr>
          <w:w w:val="105"/>
          <w:szCs w:val="26"/>
        </w:rPr>
        <w:t>Parties</w:t>
      </w:r>
      <w:r w:rsidRPr="00234F59" w:rsidR="003016B6">
        <w:rPr>
          <w:w w:val="105"/>
          <w:szCs w:val="26"/>
        </w:rPr>
        <w:t>’ and the Commission’s time and resources. Approval of the Settlement aligns with the strong public policy favoring settlement of disputes.</w:t>
      </w:r>
    </w:p>
    <w:p w:rsidRPr="00234F59" w:rsidR="00D82A1E" w:rsidP="007F2D8C" w:rsidRDefault="00292FC5" w14:paraId="5B31ABFE" w14:textId="35FD53A2">
      <w:pPr>
        <w:pStyle w:val="Standard"/>
        <w:rPr>
          <w:w w:val="105"/>
          <w:szCs w:val="26"/>
        </w:rPr>
      </w:pPr>
      <w:r w:rsidRPr="00234F59">
        <w:rPr>
          <w:w w:val="105"/>
          <w:szCs w:val="26"/>
        </w:rPr>
        <w:t xml:space="preserve">In sum, the Commission finds that the </w:t>
      </w:r>
      <w:r w:rsidR="004C1D31">
        <w:rPr>
          <w:w w:val="105"/>
          <w:szCs w:val="26"/>
        </w:rPr>
        <w:t xml:space="preserve">proposed </w:t>
      </w:r>
      <w:r w:rsidRPr="00234F59">
        <w:rPr>
          <w:w w:val="105"/>
          <w:szCs w:val="26"/>
        </w:rPr>
        <w:t xml:space="preserve">Settlement Agreement is reasonable in light of the whole record, </w:t>
      </w:r>
      <w:r w:rsidR="00865B8C">
        <w:rPr>
          <w:w w:val="105"/>
          <w:szCs w:val="26"/>
        </w:rPr>
        <w:t xml:space="preserve">is </w:t>
      </w:r>
      <w:r w:rsidRPr="00234F59">
        <w:rPr>
          <w:w w:val="105"/>
          <w:szCs w:val="26"/>
        </w:rPr>
        <w:t>consistent with</w:t>
      </w:r>
      <w:r w:rsidRPr="00234F59" w:rsidR="00392948">
        <w:rPr>
          <w:w w:val="105"/>
          <w:szCs w:val="26"/>
        </w:rPr>
        <w:t xml:space="preserve"> the</w:t>
      </w:r>
      <w:r w:rsidRPr="00234F59">
        <w:rPr>
          <w:w w:val="105"/>
          <w:szCs w:val="26"/>
        </w:rPr>
        <w:t xml:space="preserve"> law, and </w:t>
      </w:r>
      <w:r w:rsidR="00865B8C">
        <w:rPr>
          <w:w w:val="105"/>
          <w:szCs w:val="26"/>
        </w:rPr>
        <w:t xml:space="preserve">is </w:t>
      </w:r>
      <w:r w:rsidRPr="00234F59">
        <w:rPr>
          <w:w w:val="105"/>
          <w:szCs w:val="26"/>
        </w:rPr>
        <w:t xml:space="preserve">in the public interest under Rule 12.1(d). Accordingly, the Commission grants the </w:t>
      </w:r>
      <w:r w:rsidRPr="00234F59" w:rsidR="00FD3C5F">
        <w:rPr>
          <w:w w:val="105"/>
          <w:szCs w:val="26"/>
        </w:rPr>
        <w:t xml:space="preserve">Joint </w:t>
      </w:r>
      <w:r w:rsidRPr="00234F59">
        <w:rPr>
          <w:w w:val="105"/>
          <w:szCs w:val="26"/>
        </w:rPr>
        <w:t xml:space="preserve">Motion and approves and adopts the </w:t>
      </w:r>
      <w:r w:rsidR="004C1D31">
        <w:rPr>
          <w:w w:val="105"/>
          <w:szCs w:val="26"/>
        </w:rPr>
        <w:t xml:space="preserve">proposed </w:t>
      </w:r>
      <w:r w:rsidRPr="00234F59">
        <w:rPr>
          <w:w w:val="105"/>
          <w:szCs w:val="26"/>
        </w:rPr>
        <w:t>Settlement Agreement in its entirety.</w:t>
      </w:r>
    </w:p>
    <w:p w:rsidRPr="00234F59" w:rsidR="00603238" w:rsidP="0024767C" w:rsidRDefault="00603238" w14:paraId="67B4124C" w14:textId="77777777">
      <w:pPr>
        <w:pStyle w:val="Heading1"/>
        <w:rPr>
          <w:szCs w:val="26"/>
        </w:rPr>
      </w:pPr>
      <w:bookmarkStart w:name="_Toc212128394" w:id="69"/>
      <w:bookmarkStart w:name="_Toc8123721" w:id="70"/>
      <w:bookmarkStart w:name="_Toc215555424" w:id="71"/>
      <w:r w:rsidRPr="00234F59">
        <w:rPr>
          <w:szCs w:val="26"/>
        </w:rPr>
        <w:t>Summary of Public Comment</w:t>
      </w:r>
      <w:bookmarkEnd w:id="69"/>
      <w:bookmarkEnd w:id="71"/>
    </w:p>
    <w:p w:rsidRPr="00234F59" w:rsidR="00603238" w:rsidP="00E34772" w:rsidRDefault="00603238" w14:paraId="5A105CA5" w14:textId="7EA570ED">
      <w:pPr>
        <w:pStyle w:val="Standard"/>
        <w:rPr>
          <w:rFonts w:ascii="Calibri" w:hAnsi="Calibri"/>
          <w:szCs w:val="26"/>
        </w:rPr>
      </w:pPr>
      <w:r w:rsidRPr="00234F59">
        <w:rPr>
          <w:szCs w:val="26"/>
        </w:rP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234F59" w:rsidR="00603238" w:rsidP="007F2D8C" w:rsidRDefault="003F5EE9" w14:paraId="40BEFBA9" w14:textId="66307FD0">
      <w:pPr>
        <w:pStyle w:val="Standard"/>
        <w:rPr>
          <w:szCs w:val="26"/>
        </w:rPr>
      </w:pPr>
      <w:r w:rsidRPr="00234F59">
        <w:rPr>
          <w:szCs w:val="26"/>
        </w:rPr>
        <w:t>T</w:t>
      </w:r>
      <w:r w:rsidRPr="00234F59" w:rsidR="00603238">
        <w:rPr>
          <w:szCs w:val="26"/>
        </w:rPr>
        <w:t xml:space="preserve">here </w:t>
      </w:r>
      <w:r w:rsidR="003F06A0">
        <w:rPr>
          <w:szCs w:val="26"/>
        </w:rPr>
        <w:t xml:space="preserve">were </w:t>
      </w:r>
      <w:r w:rsidR="00F11761">
        <w:rPr>
          <w:szCs w:val="26"/>
        </w:rPr>
        <w:t xml:space="preserve">approximately 30 </w:t>
      </w:r>
      <w:r w:rsidRPr="00234F59" w:rsidR="00603238">
        <w:rPr>
          <w:szCs w:val="26"/>
        </w:rPr>
        <w:t>relevant public comments on the Docket Card</w:t>
      </w:r>
      <w:r w:rsidRPr="00234F59">
        <w:rPr>
          <w:szCs w:val="26"/>
        </w:rPr>
        <w:t xml:space="preserve"> for </w:t>
      </w:r>
      <w:r w:rsidRPr="00234F59" w:rsidR="00910844">
        <w:rPr>
          <w:szCs w:val="26"/>
        </w:rPr>
        <w:t>this proceeding</w:t>
      </w:r>
      <w:r w:rsidRPr="00234F59" w:rsidR="00603238">
        <w:rPr>
          <w:szCs w:val="26"/>
        </w:rPr>
        <w:t>.</w:t>
      </w:r>
      <w:r w:rsidR="00A54D7A">
        <w:rPr>
          <w:szCs w:val="26"/>
        </w:rPr>
        <w:t xml:space="preserve"> The vast majority of the public comments </w:t>
      </w:r>
      <w:r w:rsidR="00B75E0E">
        <w:rPr>
          <w:szCs w:val="26"/>
        </w:rPr>
        <w:t>expressed concerns that PG&amp;E is too frequently granted rate increases</w:t>
      </w:r>
      <w:r w:rsidR="00DC5060">
        <w:rPr>
          <w:szCs w:val="26"/>
        </w:rPr>
        <w:t xml:space="preserve"> </w:t>
      </w:r>
      <w:r w:rsidR="00DE47CE">
        <w:rPr>
          <w:szCs w:val="26"/>
        </w:rPr>
        <w:t xml:space="preserve">by the Commission </w:t>
      </w:r>
      <w:r w:rsidR="00DC5060">
        <w:rPr>
          <w:szCs w:val="26"/>
        </w:rPr>
        <w:lastRenderedPageBreak/>
        <w:t xml:space="preserve">and that the utility should bear accountability for its actions that </w:t>
      </w:r>
      <w:r w:rsidR="004F6F03">
        <w:rPr>
          <w:szCs w:val="26"/>
        </w:rPr>
        <w:t xml:space="preserve">increase rates without </w:t>
      </w:r>
      <w:r w:rsidR="00391F66">
        <w:rPr>
          <w:szCs w:val="26"/>
        </w:rPr>
        <w:t>passing rate increases on to its customers.</w:t>
      </w:r>
      <w:r w:rsidR="004F6F03">
        <w:rPr>
          <w:szCs w:val="26"/>
        </w:rPr>
        <w:t xml:space="preserve"> </w:t>
      </w:r>
    </w:p>
    <w:p w:rsidRPr="00234F59" w:rsidR="004A1EAD" w:rsidP="0024767C" w:rsidRDefault="004A1EAD" w14:paraId="0CA03BDE" w14:textId="77777777">
      <w:pPr>
        <w:pStyle w:val="Heading1"/>
        <w:rPr>
          <w:szCs w:val="26"/>
        </w:rPr>
      </w:pPr>
      <w:bookmarkStart w:name="_Toc212128395" w:id="72"/>
      <w:bookmarkStart w:name="_Toc8123723" w:id="73"/>
      <w:bookmarkStart w:name="_Toc215555425" w:id="74"/>
      <w:bookmarkEnd w:id="70"/>
      <w:r w:rsidRPr="00234F59">
        <w:rPr>
          <w:szCs w:val="26"/>
        </w:rPr>
        <w:t>Procedural Matters</w:t>
      </w:r>
      <w:bookmarkEnd w:id="72"/>
      <w:bookmarkEnd w:id="74"/>
    </w:p>
    <w:p w:rsidRPr="00234F59" w:rsidR="004A1EAD" w:rsidP="007F2D8C" w:rsidRDefault="36B247A2" w14:paraId="3C72C073" w14:textId="14A668E9">
      <w:pPr>
        <w:pStyle w:val="Standard"/>
      </w:pPr>
      <w:r>
        <w:t xml:space="preserve">This decision affirms all rulings made by the </w:t>
      </w:r>
      <w:r w:rsidR="04F5E33F">
        <w:t>ALJ</w:t>
      </w:r>
      <w:r>
        <w:t xml:space="preserve"> and assigned Commissioner in this proceeding. </w:t>
      </w:r>
    </w:p>
    <w:p w:rsidR="004A1EAD" w:rsidP="007F2D8C" w:rsidRDefault="36B247A2" w14:paraId="7A2561CD" w14:textId="5C5FE32C">
      <w:pPr>
        <w:pStyle w:val="Standard"/>
      </w:pPr>
      <w:r w:rsidRPr="00E34772">
        <w:rPr>
          <w:w w:val="105"/>
        </w:rPr>
        <w:t>All</w:t>
      </w:r>
      <w:r>
        <w:t xml:space="preserve"> motions not ruled on are deemed denied.</w:t>
      </w:r>
    </w:p>
    <w:p w:rsidR="003D3003" w:rsidP="003D3003" w:rsidRDefault="003D3003" w14:paraId="3C7EBD04" w14:textId="77777777">
      <w:pPr>
        <w:pStyle w:val="Heading1"/>
      </w:pPr>
      <w:bookmarkStart w:name="_Toc210057312" w:id="75"/>
      <w:bookmarkStart w:name="_Toc212128396" w:id="76"/>
      <w:bookmarkStart w:name="_Toc215555426" w:id="77"/>
      <w:r>
        <w:t>Waiver of Comment Period</w:t>
      </w:r>
      <w:bookmarkEnd w:id="75"/>
      <w:bookmarkEnd w:id="76"/>
      <w:bookmarkEnd w:id="77"/>
    </w:p>
    <w:p w:rsidR="003D3003" w:rsidP="003D3003" w:rsidRDefault="003D3003" w14:paraId="6526074F" w14:textId="77777777">
      <w:pPr>
        <w:pStyle w:val="Standard"/>
      </w:pPr>
      <w:r>
        <w:t>This is an uncontested matter in which the decision grants the relief requested. Accordingly, pursuant to Public Utilities Code Section 311(g)(2), the otherwise applicable 30-day period for public review and comment is waived</w:t>
      </w:r>
      <w:r w:rsidRPr="00C878D5">
        <w:t>.</w:t>
      </w:r>
    </w:p>
    <w:p w:rsidRPr="00234F59" w:rsidR="005939A5" w:rsidP="0024767C" w:rsidRDefault="005939A5" w14:paraId="71060E83" w14:textId="77777777">
      <w:pPr>
        <w:pStyle w:val="Heading1"/>
        <w:rPr>
          <w:szCs w:val="26"/>
        </w:rPr>
      </w:pPr>
      <w:bookmarkStart w:name="_Toc8123724" w:id="78"/>
      <w:bookmarkStart w:name="_Toc212128397" w:id="79"/>
      <w:bookmarkStart w:name="_Toc215555427" w:id="80"/>
      <w:bookmarkEnd w:id="73"/>
      <w:r w:rsidRPr="00234F59">
        <w:rPr>
          <w:szCs w:val="26"/>
        </w:rPr>
        <w:t>Assignment of Proceeding</w:t>
      </w:r>
      <w:bookmarkEnd w:id="78"/>
      <w:bookmarkEnd w:id="79"/>
      <w:bookmarkEnd w:id="80"/>
    </w:p>
    <w:p w:rsidRPr="00234F59" w:rsidR="005939A5" w:rsidP="007F2D8C" w:rsidRDefault="0055376B" w14:paraId="1067AF7A" w14:textId="29E203E0">
      <w:pPr>
        <w:pStyle w:val="Standard"/>
      </w:pPr>
      <w:r>
        <w:t xml:space="preserve">Commissioner </w:t>
      </w:r>
      <w:r w:rsidR="628E57CF">
        <w:t>Matthew Baker</w:t>
      </w:r>
      <w:r w:rsidR="4872B5FF">
        <w:t xml:space="preserve"> is the assigned Commissioner and </w:t>
      </w:r>
      <w:r w:rsidR="3424E69B">
        <w:t>Jeffrey Lee</w:t>
      </w:r>
      <w:r w:rsidR="4872B5FF">
        <w:t xml:space="preserve"> is the assigned Administrative Law Judge in this proceeding.</w:t>
      </w:r>
    </w:p>
    <w:p w:rsidRPr="00234F59" w:rsidR="005939A5" w:rsidP="009134E7" w:rsidRDefault="005939A5" w14:paraId="74C3A6C5" w14:textId="77777777">
      <w:pPr>
        <w:pStyle w:val="Dummy"/>
      </w:pPr>
      <w:bookmarkStart w:name="_Toc8123725" w:id="81"/>
      <w:bookmarkStart w:name="_Toc212128398" w:id="82"/>
      <w:bookmarkStart w:name="_Toc215555428" w:id="83"/>
      <w:r>
        <w:t>Findings of Fact</w:t>
      </w:r>
      <w:bookmarkEnd w:id="81"/>
      <w:bookmarkEnd w:id="82"/>
      <w:bookmarkEnd w:id="83"/>
    </w:p>
    <w:p w:rsidRPr="002D1643" w:rsidR="002D1643" w:rsidP="00A43AFB" w:rsidRDefault="002D1643" w14:paraId="1768EF74" w14:textId="11D43B1C">
      <w:pPr>
        <w:pStyle w:val="FoF"/>
        <w:rPr>
          <w:color w:val="000000" w:themeColor="text1"/>
        </w:rPr>
      </w:pPr>
      <w:r>
        <w:rPr>
          <w:color w:val="000000" w:themeColor="text1"/>
        </w:rPr>
        <w:t xml:space="preserve">PG&amp;E’s </w:t>
      </w:r>
      <w:r w:rsidR="00743048">
        <w:rPr>
          <w:color w:val="000000" w:themeColor="text1"/>
        </w:rPr>
        <w:t xml:space="preserve">GAMI 1.0 modules require replacement due to </w:t>
      </w:r>
      <w:r w:rsidR="00D604FB">
        <w:rPr>
          <w:color w:val="000000" w:themeColor="text1"/>
        </w:rPr>
        <w:t xml:space="preserve">an </w:t>
      </w:r>
      <w:r w:rsidR="00743048">
        <w:rPr>
          <w:color w:val="000000" w:themeColor="text1"/>
        </w:rPr>
        <w:t>earlier than expected equipment failure rate.</w:t>
      </w:r>
    </w:p>
    <w:p w:rsidRPr="00234F59" w:rsidR="00045385" w:rsidP="00A43AFB" w:rsidRDefault="0027586D" w14:paraId="6154ECC0" w14:textId="15EC4E0F">
      <w:pPr>
        <w:pStyle w:val="FoF"/>
        <w:rPr>
          <w:color w:val="000000" w:themeColor="text1"/>
        </w:rPr>
      </w:pPr>
      <w:r>
        <w:t xml:space="preserve">The </w:t>
      </w:r>
      <w:r w:rsidRPr="00A43AFB" w:rsidR="00045385">
        <w:t>Commission</w:t>
      </w:r>
      <w:r w:rsidRPr="00045385" w:rsidR="00045385">
        <w:t xml:space="preserve"> adopted a forecast of $0 for replacing PG&amp;E’s </w:t>
      </w:r>
      <w:r w:rsidR="00E275A2">
        <w:t>G</w:t>
      </w:r>
      <w:r w:rsidRPr="00045385" w:rsidR="00045385">
        <w:t xml:space="preserve">AMI </w:t>
      </w:r>
      <w:r w:rsidR="00E275A2">
        <w:t xml:space="preserve">1.0 </w:t>
      </w:r>
      <w:r w:rsidRPr="00045385" w:rsidR="00045385">
        <w:t>modules for 2023-2026</w:t>
      </w:r>
      <w:r w:rsidR="00045385">
        <w:t xml:space="preserve"> i</w:t>
      </w:r>
      <w:r w:rsidRPr="00045385" w:rsidR="00045385">
        <w:t>n D.23-11-069</w:t>
      </w:r>
      <w:r w:rsidR="00045385">
        <w:t>,</w:t>
      </w:r>
      <w:r w:rsidRPr="00045385" w:rsidR="00045385">
        <w:t xml:space="preserve"> </w:t>
      </w:r>
      <w:r w:rsidR="00045385">
        <w:t>and</w:t>
      </w:r>
      <w:r w:rsidRPr="00045385" w:rsidR="00045385">
        <w:t xml:space="preserve"> stat</w:t>
      </w:r>
      <w:r w:rsidR="00045385">
        <w:t>ed</w:t>
      </w:r>
      <w:r w:rsidRPr="00045385" w:rsidR="00045385">
        <w:t xml:space="preserve"> that PG&amp;E may file a separate application seeking recovery of cost</w:t>
      </w:r>
      <w:r w:rsidR="005A7F2E">
        <w:t>s</w:t>
      </w:r>
      <w:r w:rsidRPr="00045385" w:rsidR="00045385">
        <w:t xml:space="preserve"> for replacement of </w:t>
      </w:r>
      <w:r w:rsidR="002F4AB3">
        <w:t>G</w:t>
      </w:r>
      <w:r w:rsidRPr="00045385" w:rsidR="00045385">
        <w:t>AMI modules, but authorized no revenue requirement</w:t>
      </w:r>
      <w:r w:rsidR="00AB05C1">
        <w:t>.</w:t>
      </w:r>
    </w:p>
    <w:p w:rsidRPr="00BD20BD" w:rsidR="00BD20BD" w:rsidP="00E34772" w:rsidRDefault="00BD20BD" w14:paraId="3AD1ECD0" w14:textId="257B415C">
      <w:pPr>
        <w:pStyle w:val="FoF"/>
        <w:rPr>
          <w:color w:val="000000" w:themeColor="text1"/>
          <w:szCs w:val="26"/>
        </w:rPr>
      </w:pPr>
      <w:r>
        <w:rPr>
          <w:szCs w:val="26"/>
        </w:rPr>
        <w:t>PG&amp;E filed A</w:t>
      </w:r>
      <w:r w:rsidR="00B6594F">
        <w:rPr>
          <w:szCs w:val="26"/>
        </w:rPr>
        <w:t>.24-03-011</w:t>
      </w:r>
      <w:r>
        <w:rPr>
          <w:szCs w:val="26"/>
        </w:rPr>
        <w:t xml:space="preserve"> </w:t>
      </w:r>
      <w:r w:rsidR="00B6594F">
        <w:t>on</w:t>
      </w:r>
      <w:r>
        <w:t xml:space="preserve"> March </w:t>
      </w:r>
      <w:r w:rsidR="00B6594F">
        <w:t xml:space="preserve">14, </w:t>
      </w:r>
      <w:r>
        <w:t xml:space="preserve">2024, requesting funding for </w:t>
      </w:r>
      <w:r w:rsidR="009B7466">
        <w:t>its</w:t>
      </w:r>
      <w:r>
        <w:t xml:space="preserve"> GAMI </w:t>
      </w:r>
      <w:r w:rsidR="008B4575">
        <w:t xml:space="preserve">1.0 </w:t>
      </w:r>
      <w:r>
        <w:t xml:space="preserve">Replacement Program for 2023 through 2026. </w:t>
      </w:r>
    </w:p>
    <w:p w:rsidRPr="00BD20BD" w:rsidR="007A6576" w:rsidP="007A6576" w:rsidRDefault="007A6576" w14:paraId="269D43C1" w14:textId="04872AD6">
      <w:pPr>
        <w:pStyle w:val="FoF"/>
        <w:rPr>
          <w:color w:val="000000" w:themeColor="text1"/>
          <w:szCs w:val="26"/>
        </w:rPr>
      </w:pPr>
      <w:r>
        <w:rPr>
          <w:szCs w:val="26"/>
        </w:rPr>
        <w:t>I</w:t>
      </w:r>
      <w:r w:rsidRPr="00234F59">
        <w:rPr>
          <w:szCs w:val="26"/>
        </w:rPr>
        <w:t>n D.24-11-010</w:t>
      </w:r>
      <w:r>
        <w:rPr>
          <w:szCs w:val="26"/>
        </w:rPr>
        <w:t xml:space="preserve">, the </w:t>
      </w:r>
      <w:r w:rsidRPr="00234F59">
        <w:rPr>
          <w:color w:val="000000" w:themeColor="text1"/>
          <w:szCs w:val="26"/>
        </w:rPr>
        <w:t xml:space="preserve">Commission authorized </w:t>
      </w:r>
      <w:r w:rsidRPr="00234F59">
        <w:rPr>
          <w:szCs w:val="26"/>
        </w:rPr>
        <w:t>P</w:t>
      </w:r>
      <w:r>
        <w:rPr>
          <w:szCs w:val="26"/>
        </w:rPr>
        <w:t>G&amp;E</w:t>
      </w:r>
      <w:r w:rsidRPr="00234F59">
        <w:rPr>
          <w:szCs w:val="26"/>
        </w:rPr>
        <w:t xml:space="preserve"> </w:t>
      </w:r>
      <w:r w:rsidRPr="00234F59">
        <w:rPr>
          <w:color w:val="000000" w:themeColor="text1"/>
          <w:szCs w:val="26"/>
        </w:rPr>
        <w:t xml:space="preserve">to establish a </w:t>
      </w:r>
      <w:r w:rsidRPr="00234F59">
        <w:rPr>
          <w:szCs w:val="26"/>
        </w:rPr>
        <w:t>Comprehensive Gas Advanced Metering Infrastructure Replacement Program Memorandum Account</w:t>
      </w:r>
      <w:r>
        <w:rPr>
          <w:szCs w:val="26"/>
        </w:rPr>
        <w:t xml:space="preserve"> to track GAMI replacement costs, beginning March 14, 2024.</w:t>
      </w:r>
    </w:p>
    <w:p w:rsidRPr="00234F59" w:rsidR="00BD20BD" w:rsidP="00E34772" w:rsidRDefault="00BD20BD" w14:paraId="19AD5422" w14:textId="07BA4594">
      <w:pPr>
        <w:pStyle w:val="FoF"/>
        <w:rPr>
          <w:color w:val="000000" w:themeColor="text1"/>
          <w:szCs w:val="26"/>
        </w:rPr>
      </w:pPr>
      <w:r w:rsidRPr="00234F59">
        <w:rPr>
          <w:szCs w:val="26"/>
        </w:rPr>
        <w:lastRenderedPageBreak/>
        <w:t>The Public Advocates Office at the California Public Utilities Commission, The Utility Reform Network, and Small Business Utility Advocates fil</w:t>
      </w:r>
      <w:r w:rsidR="00522199">
        <w:rPr>
          <w:szCs w:val="26"/>
        </w:rPr>
        <w:t>ed</w:t>
      </w:r>
      <w:r w:rsidRPr="00234F59">
        <w:rPr>
          <w:szCs w:val="26"/>
        </w:rPr>
        <w:t xml:space="preserve"> timely </w:t>
      </w:r>
      <w:r>
        <w:rPr>
          <w:szCs w:val="26"/>
        </w:rPr>
        <w:t>R</w:t>
      </w:r>
      <w:r w:rsidRPr="00234F59">
        <w:rPr>
          <w:szCs w:val="26"/>
        </w:rPr>
        <w:t xml:space="preserve">esponses and </w:t>
      </w:r>
      <w:r>
        <w:rPr>
          <w:szCs w:val="26"/>
        </w:rPr>
        <w:t>P</w:t>
      </w:r>
      <w:r w:rsidRPr="00234F59">
        <w:rPr>
          <w:szCs w:val="26"/>
        </w:rPr>
        <w:t>rotests</w:t>
      </w:r>
      <w:r>
        <w:rPr>
          <w:szCs w:val="26"/>
        </w:rPr>
        <w:t>,</w:t>
      </w:r>
      <w:r w:rsidRPr="00234F59">
        <w:rPr>
          <w:szCs w:val="26"/>
        </w:rPr>
        <w:t xml:space="preserve"> which were timely replied to by PG&amp;E.</w:t>
      </w:r>
    </w:p>
    <w:p w:rsidRPr="00234F59" w:rsidR="00003A0F" w:rsidP="001E6FA2" w:rsidRDefault="00A82F29" w14:paraId="183CE11A" w14:textId="50830100">
      <w:pPr>
        <w:pStyle w:val="FoF"/>
        <w:rPr>
          <w:color w:val="000000" w:themeColor="text1"/>
          <w:szCs w:val="26"/>
        </w:rPr>
      </w:pPr>
      <w:r w:rsidRPr="00234F59">
        <w:rPr>
          <w:szCs w:val="26"/>
        </w:rPr>
        <w:t xml:space="preserve">On </w:t>
      </w:r>
      <w:r w:rsidRPr="00E34772">
        <w:t>February</w:t>
      </w:r>
      <w:r w:rsidRPr="00234F59">
        <w:rPr>
          <w:szCs w:val="26"/>
        </w:rPr>
        <w:t xml:space="preserve"> 3, 2025, </w:t>
      </w:r>
      <w:r w:rsidRPr="475A0C90" w:rsidR="00171729">
        <w:rPr>
          <w:rFonts w:eastAsia="Calibri"/>
          <w:color w:val="000000" w:themeColor="text1"/>
          <w:szCs w:val="26"/>
        </w:rPr>
        <w:t xml:space="preserve">PG&amp;E, </w:t>
      </w:r>
      <w:r w:rsidR="00171729">
        <w:t>Cal Advocates, TURN, and SBUA</w:t>
      </w:r>
      <w:r w:rsidRPr="00234F59">
        <w:rPr>
          <w:szCs w:val="26"/>
        </w:rPr>
        <w:t xml:space="preserve"> reached an agreement in principle</w:t>
      </w:r>
      <w:r w:rsidR="00DA5E45">
        <w:rPr>
          <w:szCs w:val="26"/>
        </w:rPr>
        <w:t xml:space="preserve"> (thereby becoming </w:t>
      </w:r>
      <w:r w:rsidR="00DA5E45">
        <w:t xml:space="preserve">the </w:t>
      </w:r>
      <w:r w:rsidRPr="00234F59" w:rsidR="00DA5E45">
        <w:rPr>
          <w:szCs w:val="26"/>
        </w:rPr>
        <w:t>Settling Parties</w:t>
      </w:r>
      <w:r w:rsidR="00DA5E45">
        <w:rPr>
          <w:szCs w:val="26"/>
        </w:rPr>
        <w:t>)</w:t>
      </w:r>
      <w:r w:rsidRPr="00234F59">
        <w:rPr>
          <w:szCs w:val="26"/>
        </w:rPr>
        <w:t>, and held a formal Settlement Conference on March 7, 2025 after notice to the service list as required by Rule 12.1</w:t>
      </w:r>
      <w:r w:rsidR="001E6FA2">
        <w:rPr>
          <w:szCs w:val="26"/>
        </w:rPr>
        <w:t xml:space="preserve">.  </w:t>
      </w:r>
    </w:p>
    <w:p w:rsidR="004C1BEF" w:rsidP="00E34772" w:rsidRDefault="004129CD" w14:paraId="229A1851" w14:textId="100BF52B">
      <w:pPr>
        <w:pStyle w:val="FoF"/>
        <w:rPr>
          <w:color w:val="000000" w:themeColor="text1"/>
          <w:szCs w:val="26"/>
        </w:rPr>
      </w:pPr>
      <w:r w:rsidRPr="00234F59">
        <w:rPr>
          <w:color w:val="000000" w:themeColor="text1"/>
          <w:szCs w:val="26"/>
        </w:rPr>
        <w:t xml:space="preserve"> </w:t>
      </w:r>
      <w:r w:rsidRPr="00234F59" w:rsidR="00E05850">
        <w:rPr>
          <w:color w:val="000000" w:themeColor="text1"/>
          <w:szCs w:val="26"/>
        </w:rPr>
        <w:t xml:space="preserve">On </w:t>
      </w:r>
      <w:r w:rsidRPr="00E34772" w:rsidR="00E05850">
        <w:t>March</w:t>
      </w:r>
      <w:r w:rsidRPr="00234F59" w:rsidR="00E05850">
        <w:rPr>
          <w:color w:val="000000" w:themeColor="text1"/>
          <w:szCs w:val="26"/>
        </w:rPr>
        <w:t xml:space="preserve"> 14, 2025, </w:t>
      </w:r>
      <w:r w:rsidR="0067129D">
        <w:rPr>
          <w:color w:val="000000" w:themeColor="text1"/>
          <w:szCs w:val="26"/>
        </w:rPr>
        <w:t>the Settling P</w:t>
      </w:r>
      <w:r w:rsidRPr="00234F59" w:rsidR="00E05850">
        <w:rPr>
          <w:color w:val="000000" w:themeColor="text1"/>
          <w:szCs w:val="26"/>
        </w:rPr>
        <w:t>arties filed a Joint Motion for Adoption of Settlement Agreement.</w:t>
      </w:r>
    </w:p>
    <w:p w:rsidRPr="00234F59" w:rsidR="00421249" w:rsidP="00E34772" w:rsidRDefault="00421249" w14:paraId="5E1698BA" w14:textId="763C1AFD">
      <w:pPr>
        <w:pStyle w:val="FoF"/>
        <w:rPr>
          <w:color w:val="000000" w:themeColor="text1"/>
          <w:szCs w:val="26"/>
        </w:rPr>
      </w:pPr>
      <w:r>
        <w:t>A</w:t>
      </w:r>
      <w:r w:rsidRPr="00AA792B">
        <w:t xml:space="preserve"> factual recital in Settlement Agreement Section 2.13 misstates the effective date of the GAMIMA</w:t>
      </w:r>
      <w:r>
        <w:t xml:space="preserve"> as “March 14, </w:t>
      </w:r>
      <w:r w:rsidRPr="00434661">
        <w:rPr>
          <w:i/>
          <w:iCs/>
        </w:rPr>
        <w:t>2014</w:t>
      </w:r>
      <w:r>
        <w:t>”</w:t>
      </w:r>
      <w:r w:rsidRPr="00AA792B">
        <w:t> </w:t>
      </w:r>
      <w:r w:rsidR="00123F88">
        <w:t xml:space="preserve">instead of the </w:t>
      </w:r>
      <w:r w:rsidRPr="00AA792B" w:rsidR="00123F88">
        <w:t xml:space="preserve">effective date of March 14, </w:t>
      </w:r>
      <w:r w:rsidRPr="00434661" w:rsidR="00123F88">
        <w:rPr>
          <w:i/>
          <w:iCs/>
        </w:rPr>
        <w:t>2024</w:t>
      </w:r>
      <w:r w:rsidR="00C34747">
        <w:t xml:space="preserve"> authorized in</w:t>
      </w:r>
      <w:r w:rsidRPr="00AA792B">
        <w:t xml:space="preserve"> D.24-11-010</w:t>
      </w:r>
      <w:r w:rsidR="00C34747">
        <w:t xml:space="preserve"> by </w:t>
      </w:r>
      <w:r w:rsidRPr="00AA792B">
        <w:t>the Commission</w:t>
      </w:r>
      <w:r w:rsidR="00C34747">
        <w:t>.</w:t>
      </w:r>
      <w:r w:rsidRPr="00AA792B">
        <w:t xml:space="preserve"> </w:t>
      </w:r>
    </w:p>
    <w:p w:rsidR="004C1BEF" w:rsidP="00E34772" w:rsidRDefault="004C1BEF" w14:paraId="0CA3974C" w14:textId="4CCA2BC0">
      <w:pPr>
        <w:pStyle w:val="FoF"/>
        <w:rPr>
          <w:szCs w:val="26"/>
        </w:rPr>
      </w:pPr>
      <w:r w:rsidRPr="00234F59">
        <w:rPr>
          <w:szCs w:val="26"/>
        </w:rPr>
        <w:t xml:space="preserve">All </w:t>
      </w:r>
      <w:r w:rsidRPr="00234F59" w:rsidR="00F53C8D">
        <w:rPr>
          <w:szCs w:val="26"/>
        </w:rPr>
        <w:t>Settling Parties</w:t>
      </w:r>
      <w:r w:rsidRPr="00234F59">
        <w:rPr>
          <w:szCs w:val="26"/>
        </w:rPr>
        <w:t xml:space="preserve"> sponsored </w:t>
      </w:r>
      <w:r w:rsidRPr="00234F59" w:rsidR="00E64CA1">
        <w:rPr>
          <w:szCs w:val="26"/>
        </w:rPr>
        <w:t>the</w:t>
      </w:r>
      <w:r w:rsidRPr="00234F59">
        <w:rPr>
          <w:szCs w:val="26"/>
        </w:rPr>
        <w:t xml:space="preserve"> </w:t>
      </w:r>
      <w:r w:rsidRPr="00234F59" w:rsidR="00F53C8D">
        <w:rPr>
          <w:szCs w:val="26"/>
        </w:rPr>
        <w:t xml:space="preserve">proposed </w:t>
      </w:r>
      <w:r w:rsidRPr="00234F59">
        <w:rPr>
          <w:szCs w:val="26"/>
        </w:rPr>
        <w:t xml:space="preserve">Settlement Agreement for adoption by the Commission </w:t>
      </w:r>
      <w:r w:rsidR="003E14D8">
        <w:rPr>
          <w:szCs w:val="26"/>
        </w:rPr>
        <w:t>in its entirety</w:t>
      </w:r>
      <w:r w:rsidRPr="00234F59">
        <w:rPr>
          <w:szCs w:val="26"/>
        </w:rPr>
        <w:t>.</w:t>
      </w:r>
    </w:p>
    <w:p w:rsidRPr="00A05392" w:rsidR="001E3771" w:rsidP="00E34772" w:rsidRDefault="001E3771" w14:paraId="6B5D9663" w14:textId="4BB2BBE3">
      <w:pPr>
        <w:pStyle w:val="FoF"/>
        <w:rPr>
          <w:szCs w:val="26"/>
        </w:rPr>
      </w:pPr>
      <w:r w:rsidRPr="00996A0E">
        <w:rPr>
          <w:szCs w:val="26"/>
        </w:rPr>
        <w:t xml:space="preserve">The </w:t>
      </w:r>
      <w:r w:rsidRPr="00996A0E">
        <w:t>Settlement</w:t>
      </w:r>
      <w:r w:rsidRPr="00996A0E">
        <w:rPr>
          <w:szCs w:val="26"/>
        </w:rPr>
        <w:t xml:space="preserve"> Agreement includes </w:t>
      </w:r>
      <w:r w:rsidRPr="00996A0E">
        <w:rPr>
          <w:w w:val="105"/>
          <w:szCs w:val="26"/>
        </w:rPr>
        <w:t>approximately $7.2</w:t>
      </w:r>
      <w:r w:rsidRPr="00996A0E" w:rsidR="00920CD1">
        <w:rPr>
          <w:w w:val="105"/>
          <w:szCs w:val="26"/>
        </w:rPr>
        <w:t xml:space="preserve"> million </w:t>
      </w:r>
      <w:r w:rsidRPr="00996A0E">
        <w:rPr>
          <w:w w:val="105"/>
          <w:szCs w:val="26"/>
        </w:rPr>
        <w:t xml:space="preserve">reduction in </w:t>
      </w:r>
      <w:r w:rsidRPr="00996A0E" w:rsidR="00EF6A36">
        <w:rPr>
          <w:w w:val="105"/>
          <w:szCs w:val="26"/>
        </w:rPr>
        <w:t xml:space="preserve">forecast </w:t>
      </w:r>
      <w:r w:rsidRPr="00996A0E">
        <w:rPr>
          <w:w w:val="105"/>
          <w:szCs w:val="26"/>
        </w:rPr>
        <w:t xml:space="preserve">expenses from that proposed by PG&amp;E in its Application. </w:t>
      </w:r>
    </w:p>
    <w:p w:rsidRPr="00996A0E" w:rsidR="00D17844" w:rsidP="00D17844" w:rsidRDefault="00D17844" w14:paraId="66381C25" w14:textId="3C506C24">
      <w:pPr>
        <w:pStyle w:val="FoF"/>
        <w:rPr>
          <w:szCs w:val="26"/>
        </w:rPr>
      </w:pPr>
      <w:r w:rsidRPr="00996A0E">
        <w:rPr>
          <w:szCs w:val="26"/>
        </w:rPr>
        <w:t xml:space="preserve">The </w:t>
      </w:r>
      <w:r w:rsidRPr="00996A0E">
        <w:t>Settlement</w:t>
      </w:r>
      <w:r w:rsidRPr="00996A0E">
        <w:rPr>
          <w:szCs w:val="26"/>
        </w:rPr>
        <w:t xml:space="preserve"> Agreement includes </w:t>
      </w:r>
      <w:r w:rsidRPr="00996A0E">
        <w:rPr>
          <w:w w:val="105"/>
          <w:szCs w:val="26"/>
        </w:rPr>
        <w:t xml:space="preserve">approximately $65 million reduction in forecast capital expenditures from that proposed by PG&amp;E in its Application. </w:t>
      </w:r>
    </w:p>
    <w:p w:rsidRPr="00B56711" w:rsidR="00D17844" w:rsidP="00B56711" w:rsidRDefault="00D17844" w14:paraId="527C8D36" w14:textId="10E91184">
      <w:pPr>
        <w:pStyle w:val="FoF"/>
        <w:rPr>
          <w:szCs w:val="26"/>
        </w:rPr>
      </w:pPr>
      <w:r w:rsidRPr="00996A0E">
        <w:rPr>
          <w:szCs w:val="26"/>
        </w:rPr>
        <w:t xml:space="preserve">The </w:t>
      </w:r>
      <w:r w:rsidRPr="00996A0E">
        <w:t>Settlement</w:t>
      </w:r>
      <w:r w:rsidRPr="00996A0E">
        <w:rPr>
          <w:szCs w:val="26"/>
        </w:rPr>
        <w:t xml:space="preserve"> Agreement includes </w:t>
      </w:r>
      <w:r w:rsidRPr="00996A0E">
        <w:rPr>
          <w:w w:val="105"/>
          <w:szCs w:val="26"/>
        </w:rPr>
        <w:t>a total reduction of $54.7 million, or 38.2%, from its initial requested revenue requirement of $143.3 million</w:t>
      </w:r>
      <w:r w:rsidR="003E5CC5">
        <w:rPr>
          <w:w w:val="105"/>
          <w:szCs w:val="26"/>
        </w:rPr>
        <w:t xml:space="preserve"> in its App</w:t>
      </w:r>
      <w:r w:rsidR="00D1676A">
        <w:rPr>
          <w:w w:val="105"/>
          <w:szCs w:val="26"/>
        </w:rPr>
        <w:t>lication</w:t>
      </w:r>
      <w:r w:rsidRPr="00996A0E">
        <w:rPr>
          <w:w w:val="105"/>
          <w:szCs w:val="26"/>
        </w:rPr>
        <w:t xml:space="preserve">. </w:t>
      </w:r>
    </w:p>
    <w:p w:rsidR="00803893" w:rsidP="00E34772" w:rsidRDefault="00803893" w14:paraId="634F7138" w14:textId="407E1867">
      <w:pPr>
        <w:pStyle w:val="FoF"/>
      </w:pPr>
      <w:r>
        <w:t>The Settling Parties’ Joint Motion is uncontested.</w:t>
      </w:r>
    </w:p>
    <w:p w:rsidRPr="00867C85" w:rsidR="009A3E80" w:rsidP="009A3E80" w:rsidRDefault="009A3E80" w14:paraId="2B2C8C7B" w14:textId="0090CFF2">
      <w:pPr>
        <w:pStyle w:val="FoF"/>
      </w:pPr>
      <w:r w:rsidRPr="00E34772">
        <w:t>The Settlement Agreement’s terms are reasonable in light of the whole record.</w:t>
      </w:r>
    </w:p>
    <w:p w:rsidR="009A3E80" w:rsidP="009A3E80" w:rsidRDefault="009A3E80" w14:paraId="38E10293" w14:textId="4E861782">
      <w:pPr>
        <w:pStyle w:val="FoF"/>
      </w:pPr>
      <w:r w:rsidRPr="00E34772">
        <w:lastRenderedPageBreak/>
        <w:t>The Settlement Agreement’s terms are in the public interest.</w:t>
      </w:r>
    </w:p>
    <w:p w:rsidR="00B43D2B" w:rsidP="00B43D2B" w:rsidRDefault="00B43D2B" w14:paraId="784D9CC6" w14:textId="77777777">
      <w:pPr>
        <w:pStyle w:val="FoF"/>
      </w:pPr>
      <w:r>
        <w:t xml:space="preserve">The proposed Settlement Agreement presents a reasonable compromise of </w:t>
      </w:r>
      <w:r w:rsidRPr="006E21B3">
        <w:t>all issues</w:t>
      </w:r>
      <w:r>
        <w:t xml:space="preserve"> raised in A.24-03-011.</w:t>
      </w:r>
    </w:p>
    <w:p w:rsidRPr="00EF3464" w:rsidR="00B43D2B" w:rsidP="00B60C59" w:rsidRDefault="00B43D2B" w14:paraId="74748348" w14:textId="08A3EA52">
      <w:pPr>
        <w:pStyle w:val="FoF"/>
      </w:pPr>
      <w:r w:rsidRPr="00234F59">
        <w:t xml:space="preserve">The proposed Settlement Agreement presents </w:t>
      </w:r>
      <w:r w:rsidRPr="00E34772">
        <w:t>an efficient</w:t>
      </w:r>
      <w:r w:rsidR="00B60C59">
        <w:t>, reasonable, and just</w:t>
      </w:r>
      <w:r w:rsidRPr="00E34772">
        <w:t xml:space="preserve"> resolution to contested issues </w:t>
      </w:r>
      <w:r w:rsidR="00084028">
        <w:t>arising from</w:t>
      </w:r>
      <w:r w:rsidRPr="00E34772">
        <w:t xml:space="preserve"> </w:t>
      </w:r>
      <w:r w:rsidR="00084028">
        <w:t>PG&amp;E’s</w:t>
      </w:r>
      <w:r w:rsidRPr="00E34772">
        <w:t xml:space="preserve"> Application, thereby avoiding further unnecessary and extended consumption of the Settling Parties’ and the Commission’s time and resources.</w:t>
      </w:r>
    </w:p>
    <w:p w:rsidR="005939A5" w:rsidP="009134E7" w:rsidRDefault="005939A5" w14:paraId="278A011B" w14:textId="77777777">
      <w:pPr>
        <w:pStyle w:val="Dummy"/>
      </w:pPr>
      <w:bookmarkStart w:name="_Toc8123726" w:id="84"/>
      <w:bookmarkStart w:name="_Toc212128399" w:id="85"/>
      <w:bookmarkStart w:name="_Toc215555429" w:id="86"/>
      <w:r w:rsidRPr="00234F59">
        <w:t>Conclusions of Law</w:t>
      </w:r>
      <w:bookmarkEnd w:id="84"/>
      <w:bookmarkEnd w:id="85"/>
      <w:bookmarkEnd w:id="86"/>
    </w:p>
    <w:p w:rsidR="008F5E5F" w:rsidP="00C462BA" w:rsidRDefault="008F5E5F" w14:paraId="08781A79" w14:textId="7E1008B8">
      <w:pPr>
        <w:pStyle w:val="CoL"/>
      </w:pPr>
      <w:bookmarkStart w:name="_Hlk176435515" w:id="87"/>
      <w:r>
        <w:t>The</w:t>
      </w:r>
      <w:r w:rsidRPr="008F5E5F">
        <w:t xml:space="preserve"> erroneous factual recital in Settlement Agreement Section 2.13 that misstates the effective date of </w:t>
      </w:r>
      <w:r w:rsidRPr="008F5E5F" w:rsidR="00102D7D">
        <w:t xml:space="preserve">Pacific Gas and Electric Company’s Gas Advanced Metering Infrastructure Memorandum Account </w:t>
      </w:r>
      <w:r w:rsidRPr="008F5E5F">
        <w:t>under D.24-11-010, should be corrected to state that the Commission authorized creation with an effective date of March 14, 2024.</w:t>
      </w:r>
    </w:p>
    <w:p w:rsidR="00825E2C" w:rsidP="00E34772" w:rsidRDefault="1ADF057B" w14:paraId="003EF05A" w14:textId="0B35E460">
      <w:pPr>
        <w:pStyle w:val="CoL"/>
      </w:pPr>
      <w:r w:rsidRPr="00E34772">
        <w:t>The</w:t>
      </w:r>
      <w:r w:rsidRPr="00E34772" w:rsidR="502B96FD">
        <w:t xml:space="preserve"> </w:t>
      </w:r>
      <w:r w:rsidR="00073B91">
        <w:t xml:space="preserve">Settling Parties’ </w:t>
      </w:r>
      <w:r w:rsidRPr="00E34772" w:rsidR="502B96FD">
        <w:t>Joint</w:t>
      </w:r>
      <w:r w:rsidRPr="00E34772">
        <w:t xml:space="preserve"> Motion </w:t>
      </w:r>
      <w:r w:rsidR="00073B91">
        <w:t xml:space="preserve">to </w:t>
      </w:r>
      <w:r w:rsidR="00F24C3A">
        <w:t>A</w:t>
      </w:r>
      <w:r w:rsidR="00073B91">
        <w:t xml:space="preserve">dopt the Settlement Agreement </w:t>
      </w:r>
      <w:r w:rsidRPr="00E34772">
        <w:t>should be granted.</w:t>
      </w:r>
    </w:p>
    <w:p w:rsidR="00E373E0" w:rsidP="00E34772" w:rsidRDefault="00E373E0" w14:paraId="627F3EEA" w14:textId="6A0DC998">
      <w:pPr>
        <w:pStyle w:val="CoL"/>
      </w:pPr>
      <w:r>
        <w:t>All Motions not ruled on by the Assigned Administrative Law Judge or Assigned Commissioner should be denied.</w:t>
      </w:r>
    </w:p>
    <w:p w:rsidRPr="00867C85" w:rsidR="007A5BFE" w:rsidP="006D4562" w:rsidRDefault="007A5BFE" w14:paraId="5C508871" w14:textId="3BFB20F4">
      <w:pPr>
        <w:pStyle w:val="CoL"/>
      </w:pPr>
      <w:r>
        <w:t>A hearing is not necessary.</w:t>
      </w:r>
    </w:p>
    <w:bookmarkEnd w:id="87"/>
    <w:p w:rsidRPr="00867C85" w:rsidR="00825E2C" w:rsidP="00E34772" w:rsidRDefault="00825E2C" w14:paraId="6CF6E4CB" w14:textId="5F5854CD">
      <w:pPr>
        <w:pStyle w:val="CoL"/>
      </w:pPr>
      <w:r w:rsidRPr="00E34772">
        <w:t>Application 24-03-011 should be closed.</w:t>
      </w:r>
    </w:p>
    <w:p w:rsidRPr="00234F59" w:rsidR="00BB0243" w:rsidP="00E34772" w:rsidRDefault="005939A5" w14:paraId="20BB5235" w14:textId="77777777">
      <w:pPr>
        <w:pStyle w:val="Mainex"/>
        <w:spacing w:after="120" w:line="240" w:lineRule="auto"/>
      </w:pPr>
      <w:bookmarkStart w:name="_Toc212128400" w:id="88"/>
      <w:bookmarkStart w:name="_Toc215555430" w:id="89"/>
      <w:r w:rsidRPr="00234F59">
        <w:t>O</w:t>
      </w:r>
      <w:r w:rsidRPr="00234F59" w:rsidR="00722850">
        <w:t>RDER</w:t>
      </w:r>
      <w:bookmarkEnd w:id="88"/>
      <w:bookmarkEnd w:id="89"/>
    </w:p>
    <w:p w:rsidRPr="00234F59" w:rsidR="00DE752C" w:rsidP="007F2D8C" w:rsidRDefault="00BB0243" w14:paraId="676B5541" w14:textId="27477965">
      <w:pPr>
        <w:keepNext/>
        <w:rPr>
          <w:szCs w:val="26"/>
        </w:rPr>
      </w:pPr>
      <w:r w:rsidRPr="00234F59">
        <w:rPr>
          <w:b/>
          <w:szCs w:val="26"/>
        </w:rPr>
        <w:t>IT IS ORDERED</w:t>
      </w:r>
      <w:r w:rsidRPr="00234F59">
        <w:rPr>
          <w:szCs w:val="26"/>
        </w:rPr>
        <w:t xml:space="preserve"> that:</w:t>
      </w:r>
    </w:p>
    <w:p w:rsidRPr="00234F59" w:rsidR="008903F9" w:rsidP="00FC6437" w:rsidRDefault="008903F9" w14:paraId="3038BEE0" w14:textId="2C2D8087">
      <w:pPr>
        <w:pStyle w:val="OP"/>
      </w:pPr>
      <w:r w:rsidRPr="00234F59">
        <w:t xml:space="preserve">The </w:t>
      </w:r>
      <w:r w:rsidRPr="00FC6437">
        <w:rPr>
          <w:i/>
          <w:iCs/>
        </w:rPr>
        <w:t xml:space="preserve">Joint Motion </w:t>
      </w:r>
      <w:r w:rsidRPr="00FC6437" w:rsidR="00405AA8">
        <w:rPr>
          <w:i/>
          <w:iCs/>
        </w:rPr>
        <w:t xml:space="preserve">by </w:t>
      </w:r>
      <w:bookmarkStart w:name="_Hlk198626401" w:id="90"/>
      <w:r w:rsidRPr="00FC6437" w:rsidR="00405AA8">
        <w:rPr>
          <w:i/>
          <w:iCs/>
        </w:rPr>
        <w:t xml:space="preserve">Pacific Gas and Electric Company, The Public Advocates Office at the California Public Utilities Commission, The Utility Reform Network, and Small Business Utility Advocates </w:t>
      </w:r>
      <w:bookmarkEnd w:id="90"/>
      <w:r w:rsidRPr="00FC6437" w:rsidR="00405AA8">
        <w:rPr>
          <w:i/>
          <w:iCs/>
        </w:rPr>
        <w:t>for Adoption of Settlement Agreement</w:t>
      </w:r>
      <w:r w:rsidRPr="00234F59" w:rsidR="00405AA8">
        <w:t xml:space="preserve"> </w:t>
      </w:r>
      <w:r w:rsidRPr="00234F59">
        <w:t>is granted.</w:t>
      </w:r>
    </w:p>
    <w:p w:rsidR="00675CD7" w:rsidP="00FC6437" w:rsidRDefault="4E26B4EB" w14:paraId="4DBAA1CE" w14:textId="0A7752E4">
      <w:pPr>
        <w:pStyle w:val="OP"/>
      </w:pPr>
      <w:r>
        <w:t xml:space="preserve">The Settlement Agreement </w:t>
      </w:r>
      <w:r w:rsidR="2B2F2EE6">
        <w:t xml:space="preserve">by </w:t>
      </w:r>
      <w:r w:rsidR="52A187AE">
        <w:t xml:space="preserve">Pacific Gas and Electric Company, The Public Advocates Office at the California Public Utilities Commission, The Utility </w:t>
      </w:r>
      <w:r w:rsidR="52A187AE">
        <w:lastRenderedPageBreak/>
        <w:t>Reform Network, and Small Business Utility Advocates</w:t>
      </w:r>
      <w:r>
        <w:t>, attached hereto as Appendix A, is approved and adopted, and incorporated here by this reference as if fully set forth herein.</w:t>
      </w:r>
    </w:p>
    <w:p w:rsidRPr="00234F59" w:rsidR="000B2BB8" w:rsidP="00FC6437" w:rsidRDefault="000B2BB8" w14:paraId="695EE26F" w14:textId="2F643400">
      <w:pPr>
        <w:pStyle w:val="OP"/>
      </w:pPr>
      <w:r w:rsidRPr="000B2BB8">
        <w:t xml:space="preserve">The Settlement Agreement </w:t>
      </w:r>
      <w:r>
        <w:t xml:space="preserve">by Pacific Gas and Electric Company, The Public Advocates Office at the California Public Utilities Commission, The Utility Reform Network, and Small Business Utility Advocates, attached hereto as Appendix A, </w:t>
      </w:r>
      <w:r w:rsidRPr="000B2BB8">
        <w:t xml:space="preserve">is corrected at Section 2.13 to identify that the Public Utilities Commission issued </w:t>
      </w:r>
      <w:r w:rsidR="009B2226">
        <w:t>D</w:t>
      </w:r>
      <w:r w:rsidRPr="000B2BB8">
        <w:t>ecision 24-11-010, authorizing creation of Pacific Gas and Electric Company’s Gas Advanced Metering Infrastructure Memorandum Account with an effective date of March 14, 2024.</w:t>
      </w:r>
    </w:p>
    <w:p w:rsidRPr="00BB3C3F" w:rsidR="00D51EAB" w:rsidP="00FC6437" w:rsidRDefault="003C59C1" w14:paraId="62AE8D97" w14:textId="7898004F">
      <w:pPr>
        <w:pStyle w:val="OP"/>
        <w:rPr>
          <w:lang w:val="en-ZW"/>
        </w:rPr>
      </w:pPr>
      <w:r>
        <w:rPr>
          <w:lang w:val="en-ZW"/>
        </w:rPr>
        <w:t xml:space="preserve">Pursuant to the terms of </w:t>
      </w:r>
      <w:r w:rsidR="003901F2">
        <w:rPr>
          <w:lang w:val="en-ZW"/>
        </w:rPr>
        <w:t>Section 3.</w:t>
      </w:r>
      <w:r w:rsidR="00E050BF">
        <w:rPr>
          <w:lang w:val="en-ZW"/>
        </w:rPr>
        <w:t>6</w:t>
      </w:r>
      <w:r w:rsidR="003901F2">
        <w:rPr>
          <w:lang w:val="en-ZW"/>
        </w:rPr>
        <w:t xml:space="preserve"> of </w:t>
      </w:r>
      <w:r>
        <w:t>t</w:t>
      </w:r>
      <w:r w:rsidRPr="000B2BB8">
        <w:t xml:space="preserve">he Settlement Agreement </w:t>
      </w:r>
      <w:r>
        <w:t xml:space="preserve">by Pacific Gas and Electric Company, The Public Advocates Office at the California Public Utilities Commission, The Utility Reform Network, and Small Business Utility Advocates, attached hereto as Appendix A, </w:t>
      </w:r>
      <w:r w:rsidRPr="007423D4" w:rsidR="009D7C32">
        <w:rPr>
          <w:lang w:val="en-ZW"/>
        </w:rPr>
        <w:t xml:space="preserve">PG&amp;E is authorized to reflect the proposed revenue requirement </w:t>
      </w:r>
      <w:r w:rsidRPr="007423D4" w:rsidR="00B50FB8">
        <w:rPr>
          <w:lang w:val="en-ZW"/>
        </w:rPr>
        <w:t xml:space="preserve">in rates </w:t>
      </w:r>
      <w:r w:rsidRPr="007423D4" w:rsidR="0072027F">
        <w:rPr>
          <w:lang w:val="en-ZW"/>
        </w:rPr>
        <w:t xml:space="preserve">effective March 14, 2024 </w:t>
      </w:r>
      <w:r w:rsidRPr="007423D4" w:rsidR="009D7C32">
        <w:rPr>
          <w:lang w:val="en-ZW"/>
        </w:rPr>
        <w:t>for its G</w:t>
      </w:r>
      <w:r w:rsidRPr="007423D4" w:rsidR="0072027F">
        <w:rPr>
          <w:lang w:val="en-ZW"/>
        </w:rPr>
        <w:t xml:space="preserve">as </w:t>
      </w:r>
      <w:r w:rsidRPr="007423D4" w:rsidR="009D7C32">
        <w:rPr>
          <w:lang w:val="en-ZW"/>
        </w:rPr>
        <w:t>A</w:t>
      </w:r>
      <w:r w:rsidRPr="007423D4" w:rsidR="0072027F">
        <w:rPr>
          <w:lang w:val="en-ZW"/>
        </w:rPr>
        <w:t xml:space="preserve">dvanced </w:t>
      </w:r>
      <w:r w:rsidRPr="007423D4" w:rsidR="009D7C32">
        <w:rPr>
          <w:lang w:val="en-ZW"/>
        </w:rPr>
        <w:t>M</w:t>
      </w:r>
      <w:r w:rsidRPr="007423D4" w:rsidR="0072027F">
        <w:rPr>
          <w:lang w:val="en-ZW"/>
        </w:rPr>
        <w:t>etering Infrastructure</w:t>
      </w:r>
      <w:r w:rsidRPr="007423D4" w:rsidR="009D7C32">
        <w:rPr>
          <w:lang w:val="en-ZW"/>
        </w:rPr>
        <w:t xml:space="preserve"> Replacement Program through </w:t>
      </w:r>
      <w:r w:rsidRPr="007423D4" w:rsidR="00B50FB8">
        <w:rPr>
          <w:lang w:val="en-ZW"/>
        </w:rPr>
        <w:t>its</w:t>
      </w:r>
      <w:r w:rsidRPr="007423D4" w:rsidR="009D7C32">
        <w:rPr>
          <w:lang w:val="en-ZW"/>
        </w:rPr>
        <w:t xml:space="preserve"> next available rate change or Annual Electric True-up and Annual Gas True-Up</w:t>
      </w:r>
      <w:r w:rsidR="00C6562A">
        <w:rPr>
          <w:lang w:val="en-ZW"/>
        </w:rPr>
        <w:t>,</w:t>
      </w:r>
      <w:r w:rsidRPr="007423D4" w:rsidR="009D7C32">
        <w:rPr>
          <w:lang w:val="en-ZW"/>
        </w:rPr>
        <w:t xml:space="preserve"> following the issuance of this decision.</w:t>
      </w:r>
    </w:p>
    <w:p w:rsidRPr="004E3E39" w:rsidR="004E3E39" w:rsidP="00FC6437" w:rsidRDefault="004E3E39" w14:paraId="7F95EDDD" w14:textId="77777777">
      <w:pPr>
        <w:pStyle w:val="OP"/>
      </w:pPr>
      <w:r w:rsidRPr="00234F59">
        <w:t>All rulings made by the Administrative Law Judge and assigned Commissioner in this proceeding are affirmed.</w:t>
      </w:r>
    </w:p>
    <w:p w:rsidRPr="00E00225" w:rsidR="00BC3257" w:rsidP="00FC6437" w:rsidRDefault="00BC3257" w14:paraId="08FCEFC7" w14:textId="2EE418BE">
      <w:pPr>
        <w:pStyle w:val="OP"/>
      </w:pPr>
      <w:r>
        <w:t xml:space="preserve">All Motions not ruled on </w:t>
      </w:r>
      <w:r w:rsidRPr="00234F59" w:rsidR="00E00225">
        <w:t xml:space="preserve">by the Administrative Law Judge </w:t>
      </w:r>
      <w:r w:rsidR="00D67FBA">
        <w:t>and/</w:t>
      </w:r>
      <w:r w:rsidR="00E90226">
        <w:t>or</w:t>
      </w:r>
      <w:r w:rsidRPr="00234F59" w:rsidR="00E00225">
        <w:t xml:space="preserve"> assigned Commissioner in this proceeding</w:t>
      </w:r>
      <w:r>
        <w:t xml:space="preserve"> </w:t>
      </w:r>
      <w:r w:rsidR="00E00225">
        <w:t>are</w:t>
      </w:r>
      <w:r>
        <w:t xml:space="preserve"> denied.</w:t>
      </w:r>
    </w:p>
    <w:p w:rsidRPr="00234F59" w:rsidR="00F6397D" w:rsidP="00FC6437" w:rsidRDefault="00290CB8" w14:paraId="1F90F0AF" w14:textId="39E6637F">
      <w:pPr>
        <w:pStyle w:val="OP"/>
        <w:keepNext/>
      </w:pPr>
      <w:r w:rsidRPr="00234F59">
        <w:lastRenderedPageBreak/>
        <w:t>Application</w:t>
      </w:r>
      <w:r w:rsidR="00E34772">
        <w:t> </w:t>
      </w:r>
      <w:r w:rsidRPr="00234F59">
        <w:t xml:space="preserve">24-03-011 </w:t>
      </w:r>
      <w:r w:rsidRPr="00234F59" w:rsidR="00E23CBB">
        <w:t>is closed.</w:t>
      </w:r>
    </w:p>
    <w:p w:rsidRPr="00234F59" w:rsidR="008F0116" w:rsidP="00FC6437" w:rsidRDefault="008F0116" w14:paraId="166E2778" w14:textId="77777777">
      <w:pPr>
        <w:pStyle w:val="Standard"/>
        <w:keepNext/>
      </w:pPr>
      <w:r w:rsidRPr="00234F59">
        <w:t>This order is effective today.</w:t>
      </w:r>
    </w:p>
    <w:p w:rsidR="00E34772" w:rsidP="00FC6437" w:rsidRDefault="3042B412" w14:paraId="470D0C5A" w14:textId="5FE5D90A">
      <w:pPr>
        <w:pStyle w:val="Standard"/>
        <w:keepNext/>
      </w:pPr>
      <w:r>
        <w:t xml:space="preserve">Dated </w:t>
      </w:r>
      <w:r w:rsidR="00E34772">
        <w:t>____________________</w:t>
      </w:r>
      <w:r w:rsidR="4E19CA0B">
        <w:t xml:space="preserve">, </w:t>
      </w:r>
      <w:r>
        <w:t xml:space="preserve"> at Sa</w:t>
      </w:r>
      <w:r w:rsidR="00FC6437">
        <w:t>cramento</w:t>
      </w:r>
      <w:r>
        <w:t>, California</w:t>
      </w:r>
    </w:p>
    <w:p w:rsidR="00E34772" w:rsidP="00FC6437" w:rsidRDefault="00E34772" w14:paraId="3DA1EBA5" w14:textId="77777777">
      <w:pPr>
        <w:keepNext/>
      </w:pPr>
    </w:p>
    <w:p w:rsidR="00E34772" w:rsidP="00E34772" w:rsidRDefault="00E34772" w14:paraId="0A40EDEB" w14:textId="77777777">
      <w:pPr>
        <w:keepNext/>
      </w:pPr>
    </w:p>
    <w:p w:rsidR="00E34772" w:rsidP="00E34772" w:rsidRDefault="00E34772" w14:paraId="508B6596" w14:textId="77777777">
      <w:pPr>
        <w:keepNext/>
      </w:pPr>
    </w:p>
    <w:p w:rsidR="00E34772" w:rsidP="007F2D8C" w:rsidRDefault="00E34772" w14:paraId="1029CD9F" w14:textId="2D710C3C">
      <w:pPr>
        <w:sectPr w:rsidR="00E34772" w:rsidSect="00A43AFB">
          <w:headerReference w:type="even" r:id="rId15"/>
          <w:footerReference w:type="even" r:id="rId16"/>
          <w:footerReference w:type="default" r:id="rId17"/>
          <w:headerReference w:type="first" r:id="rId18"/>
          <w:footerReference w:type="first" r:id="rId19"/>
          <w:pgSz w:w="12240" w:h="15840"/>
          <w:pgMar w:top="1728" w:right="1440" w:bottom="1440" w:left="1440" w:header="720" w:footer="720" w:gutter="0"/>
          <w:pgNumType w:start="2"/>
          <w:cols w:space="720"/>
          <w:docGrid w:linePitch="360"/>
        </w:sectPr>
      </w:pPr>
    </w:p>
    <w:p w:rsidRPr="00234F59" w:rsidR="00E34772" w:rsidP="00E34772" w:rsidRDefault="00E34772" w14:paraId="50713369" w14:textId="77777777">
      <w:pPr>
        <w:ind w:firstLine="0"/>
        <w:jc w:val="center"/>
        <w:rPr>
          <w:szCs w:val="26"/>
        </w:rPr>
      </w:pPr>
    </w:p>
    <w:p w:rsidRPr="00234F59" w:rsidR="00E34772" w:rsidP="00E34772" w:rsidRDefault="00E34772" w14:paraId="21CE1438" w14:textId="77777777">
      <w:pPr>
        <w:ind w:firstLine="0"/>
        <w:jc w:val="center"/>
        <w:rPr>
          <w:szCs w:val="26"/>
        </w:rPr>
      </w:pPr>
    </w:p>
    <w:p w:rsidRPr="00DB3775" w:rsidR="00E34772" w:rsidP="00E34772" w:rsidRDefault="00E34772" w14:paraId="79EA7059" w14:textId="33B15729">
      <w:pPr>
        <w:spacing w:line="240" w:lineRule="auto"/>
        <w:ind w:firstLine="0"/>
        <w:jc w:val="center"/>
        <w:rPr>
          <w:b/>
          <w:bCs/>
        </w:rPr>
      </w:pPr>
      <w:r w:rsidRPr="475A0C90">
        <w:rPr>
          <w:b/>
          <w:bCs/>
        </w:rPr>
        <w:t xml:space="preserve">APPENDIX </w:t>
      </w:r>
      <w:r>
        <w:rPr>
          <w:b/>
          <w:bCs/>
        </w:rPr>
        <w:t>A</w:t>
      </w:r>
      <w:r>
        <w:br/>
      </w:r>
      <w:r w:rsidRPr="00E34772">
        <w:t>Settlement Agreement</w:t>
      </w:r>
    </w:p>
    <w:sectPr w:rsidRPr="00DB3775" w:rsidR="00E34772" w:rsidSect="00A43AFB">
      <w:footerReference w:type="default" r:id="rId20"/>
      <w:pgSz w:w="12240" w:h="15840"/>
      <w:pgMar w:top="1728" w:right="1440" w:bottom="1440" w:left="1440" w:header="720" w:footer="720" w:gutter="0"/>
      <w:pgNumType w:start="2"/>
      <w:cols w:space="720"/>
      <w:docGrid w:linePitch="360"/>
    </w:sectPr>
    <w:p>
      <w:r>
        <w:t xml:space="preserve"/>
      </w:r>
    </w:p>
    <w:p>
      <w:r>
        <w:t xml:space="preserve">Attachment 1: </w:t>
      </w:r>
    </w:p>
    <w:p>
      <w:hyperlink w:history="true" r:id="Rb48b811d4f924f6b">
        <w:r w:rsidRPr="00CB1292">
          <w:rPr>
            <w:rStyle w:val="Hyperlink"/>
            <w:color w:val="2E74B5" w:themeColor="accent1" w:themeShade="BF"/>
            <w:u w:val="single"/>
          </w:rPr>
          <w:t>A2403011 Appendix A_Settlement Agreement</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B6A0" w14:textId="77777777" w:rsidR="00040C62" w:rsidRDefault="00040C62" w:rsidP="0098138E">
      <w:pPr>
        <w:spacing w:line="240" w:lineRule="auto"/>
      </w:pPr>
      <w:r>
        <w:separator/>
      </w:r>
    </w:p>
  </w:endnote>
  <w:endnote w:type="continuationSeparator" w:id="0">
    <w:p w14:paraId="7C6FFF05" w14:textId="77777777" w:rsidR="00040C62" w:rsidRDefault="00040C6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53E1" w14:textId="1B77D29F" w:rsidR="00E23CBB" w:rsidRDefault="00B66EC9" w:rsidP="00A43AFB">
    <w:pPr>
      <w:tabs>
        <w:tab w:val="center" w:pos="4680"/>
      </w:tabs>
      <w:spacing w:line="240" w:lineRule="auto"/>
      <w:ind w:firstLine="0"/>
    </w:pPr>
    <w:r w:rsidRPr="00B66EC9">
      <w:rPr>
        <w:sz w:val="16"/>
        <w:szCs w:val="16"/>
      </w:rPr>
      <w:t>584833313</w:t>
    </w:r>
    <w:r>
      <w:tab/>
    </w:r>
    <w:r w:rsidR="00E23CBB">
      <w:t>-</w:t>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E23CBB">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EA67" w14:textId="670BDBC2" w:rsidR="00A43AFB" w:rsidRDefault="00A43AFB" w:rsidP="00A43AFB">
    <w:pPr>
      <w:tabs>
        <w:tab w:val="center" w:pos="4680"/>
      </w:tabs>
      <w:spacing w:line="240" w:lineRule="auto"/>
      <w:ind w:firstLine="0"/>
      <w:jc w:val="center"/>
    </w:pPr>
    <w:r>
      <w:t>-</w:t>
    </w:r>
    <w:sdt>
      <w:sdtPr>
        <w:id w:val="-193897887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0392" w14:textId="77777777" w:rsidR="00A43AFB" w:rsidRDefault="00A43A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0249" w14:textId="4A85493B" w:rsidR="00A43AFB" w:rsidRDefault="00A43AFB" w:rsidP="00A43AFB">
    <w:pPr>
      <w:tabs>
        <w:tab w:val="center" w:pos="4680"/>
      </w:tabs>
      <w:spacing w:line="240" w:lineRule="auto"/>
      <w:ind w:firstLine="0"/>
      <w:jc w:val="center"/>
    </w:pPr>
    <w:r>
      <w:t>-</w:t>
    </w:r>
    <w:sdt>
      <w:sdtPr>
        <w:id w:val="17015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B64D" w14:textId="77777777" w:rsidR="00A43AFB" w:rsidRDefault="00A43A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7613" w14:textId="087E679C" w:rsidR="00E34772" w:rsidRPr="00E34772" w:rsidRDefault="00E34772" w:rsidP="00E3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F9D3" w14:textId="77777777" w:rsidR="00040C62" w:rsidRDefault="00040C62" w:rsidP="00DF58E7">
      <w:pPr>
        <w:spacing w:line="240" w:lineRule="auto"/>
        <w:ind w:firstLine="0"/>
      </w:pPr>
      <w:r>
        <w:separator/>
      </w:r>
    </w:p>
  </w:footnote>
  <w:footnote w:type="continuationSeparator" w:id="0">
    <w:p w14:paraId="77479273" w14:textId="77777777" w:rsidR="00040C62" w:rsidRDefault="00040C62" w:rsidP="00DF58E7">
      <w:pPr>
        <w:spacing w:line="240" w:lineRule="auto"/>
        <w:ind w:firstLine="0"/>
      </w:pPr>
      <w:r>
        <w:continuationSeparator/>
      </w:r>
    </w:p>
  </w:footnote>
  <w:footnote w:type="continuationNotice" w:id="1">
    <w:p w14:paraId="5A7347F7" w14:textId="77777777" w:rsidR="00040C62" w:rsidRPr="00DF58E7" w:rsidRDefault="00040C62" w:rsidP="00DF58E7">
      <w:pPr>
        <w:spacing w:line="240" w:lineRule="auto"/>
        <w:ind w:firstLine="0"/>
        <w:jc w:val="right"/>
        <w:rPr>
          <w:i/>
          <w:sz w:val="22"/>
        </w:rPr>
      </w:pPr>
      <w:r w:rsidRPr="00DF58E7">
        <w:rPr>
          <w:i/>
          <w:sz w:val="22"/>
        </w:rPr>
        <w:t>Footnote continued on next page.</w:t>
      </w:r>
    </w:p>
  </w:footnote>
  <w:footnote w:id="2">
    <w:p w14:paraId="29B5F9CF" w14:textId="72440162" w:rsidR="00C22206" w:rsidRPr="006F240B" w:rsidRDefault="00C22206" w:rsidP="006F240B">
      <w:pPr>
        <w:pStyle w:val="FootnoteText"/>
        <w:rPr>
          <w:szCs w:val="22"/>
          <w:lang w:val="en-ZW"/>
        </w:rPr>
      </w:pPr>
      <w:r w:rsidRPr="006F240B">
        <w:rPr>
          <w:rStyle w:val="FootnoteReference"/>
          <w:szCs w:val="22"/>
        </w:rPr>
        <w:footnoteRef/>
      </w:r>
      <w:r w:rsidRPr="006F240B">
        <w:rPr>
          <w:szCs w:val="22"/>
        </w:rPr>
        <w:t xml:space="preserve"> </w:t>
      </w:r>
      <w:r w:rsidR="00314D6E" w:rsidRPr="006F240B">
        <w:rPr>
          <w:szCs w:val="22"/>
          <w:lang w:val="en-ZW"/>
        </w:rPr>
        <w:t xml:space="preserve">Our </w:t>
      </w:r>
      <w:r w:rsidR="00B32FB3" w:rsidRPr="006F240B">
        <w:rPr>
          <w:szCs w:val="22"/>
          <w:lang w:val="en-ZW"/>
        </w:rPr>
        <w:t xml:space="preserve">November 14, 2024 </w:t>
      </w:r>
      <w:r w:rsidR="00314D6E" w:rsidRPr="006F240B">
        <w:rPr>
          <w:szCs w:val="22"/>
          <w:lang w:val="en-ZW"/>
        </w:rPr>
        <w:t>Interim Decision (D.)</w:t>
      </w:r>
      <w:r w:rsidR="006F240B">
        <w:rPr>
          <w:szCs w:val="22"/>
          <w:lang w:val="en-ZW"/>
        </w:rPr>
        <w:t> </w:t>
      </w:r>
      <w:r w:rsidR="001405AD" w:rsidRPr="006F240B">
        <w:rPr>
          <w:szCs w:val="22"/>
        </w:rPr>
        <w:t>24-11-010</w:t>
      </w:r>
      <w:r w:rsidR="005B5D33" w:rsidRPr="006F240B">
        <w:rPr>
          <w:szCs w:val="22"/>
        </w:rPr>
        <w:t>, a</w:t>
      </w:r>
      <w:r w:rsidR="001405AD" w:rsidRPr="006F240B">
        <w:rPr>
          <w:szCs w:val="22"/>
        </w:rPr>
        <w:t xml:space="preserve">uthorizing </w:t>
      </w:r>
      <w:r w:rsidR="005B5D33" w:rsidRPr="006F240B">
        <w:rPr>
          <w:szCs w:val="22"/>
        </w:rPr>
        <w:t>e</w:t>
      </w:r>
      <w:r w:rsidR="001405AD" w:rsidRPr="006F240B">
        <w:rPr>
          <w:szCs w:val="22"/>
        </w:rPr>
        <w:t xml:space="preserve">stablishment </w:t>
      </w:r>
      <w:r w:rsidR="005B5D33" w:rsidRPr="006F240B">
        <w:rPr>
          <w:szCs w:val="22"/>
        </w:rPr>
        <w:t>of</w:t>
      </w:r>
      <w:r w:rsidR="001405AD" w:rsidRPr="006F240B">
        <w:rPr>
          <w:szCs w:val="22"/>
        </w:rPr>
        <w:t xml:space="preserve"> </w:t>
      </w:r>
      <w:r w:rsidR="005B5D33" w:rsidRPr="006F240B">
        <w:rPr>
          <w:szCs w:val="22"/>
        </w:rPr>
        <w:t>a</w:t>
      </w:r>
      <w:r w:rsidR="001405AD" w:rsidRPr="006F240B">
        <w:rPr>
          <w:szCs w:val="22"/>
        </w:rPr>
        <w:t xml:space="preserve"> </w:t>
      </w:r>
      <w:r w:rsidR="005B5D33" w:rsidRPr="006F240B">
        <w:rPr>
          <w:szCs w:val="22"/>
        </w:rPr>
        <w:t>m</w:t>
      </w:r>
      <w:r w:rsidR="001405AD" w:rsidRPr="006F240B">
        <w:rPr>
          <w:szCs w:val="22"/>
        </w:rPr>
        <w:t xml:space="preserve">emorandum </w:t>
      </w:r>
      <w:r w:rsidR="005B5D33" w:rsidRPr="006F240B">
        <w:rPr>
          <w:szCs w:val="22"/>
        </w:rPr>
        <w:t>a</w:t>
      </w:r>
      <w:r w:rsidR="001405AD" w:rsidRPr="006F240B">
        <w:rPr>
          <w:szCs w:val="22"/>
        </w:rPr>
        <w:t xml:space="preserve">ccount </w:t>
      </w:r>
      <w:r w:rsidR="005B5D33" w:rsidRPr="006F240B">
        <w:rPr>
          <w:szCs w:val="22"/>
        </w:rPr>
        <w:t>e</w:t>
      </w:r>
      <w:r w:rsidR="001405AD" w:rsidRPr="006F240B">
        <w:rPr>
          <w:szCs w:val="22"/>
        </w:rPr>
        <w:t>ffective March 14, 2024</w:t>
      </w:r>
      <w:r w:rsidR="005B5D33" w:rsidRPr="006F240B">
        <w:rPr>
          <w:szCs w:val="22"/>
        </w:rPr>
        <w:t xml:space="preserve">, </w:t>
      </w:r>
      <w:r w:rsidR="00B32FB3" w:rsidRPr="006F240B">
        <w:rPr>
          <w:szCs w:val="22"/>
        </w:rPr>
        <w:t xml:space="preserve">provides a detailed background </w:t>
      </w:r>
      <w:r w:rsidR="00A676D2" w:rsidRPr="006F240B">
        <w:rPr>
          <w:szCs w:val="22"/>
        </w:rPr>
        <w:t>underlying this proceeding.</w:t>
      </w:r>
      <w:r w:rsidR="006745CB" w:rsidRPr="006F240B">
        <w:rPr>
          <w:szCs w:val="22"/>
        </w:rPr>
        <w:t xml:space="preserve"> That </w:t>
      </w:r>
      <w:r w:rsidR="00D84C0D" w:rsidRPr="006F240B">
        <w:rPr>
          <w:szCs w:val="22"/>
        </w:rPr>
        <w:t>background is incorporated here. Below</w:t>
      </w:r>
      <w:r w:rsidR="00A676D2" w:rsidRPr="006F240B">
        <w:rPr>
          <w:szCs w:val="22"/>
        </w:rPr>
        <w:t xml:space="preserve">, we reiterate </w:t>
      </w:r>
      <w:r w:rsidR="00BE58A3" w:rsidRPr="006F240B">
        <w:rPr>
          <w:szCs w:val="22"/>
        </w:rPr>
        <w:t xml:space="preserve">portions of that </w:t>
      </w:r>
      <w:r w:rsidR="006745CB" w:rsidRPr="006F240B">
        <w:rPr>
          <w:szCs w:val="22"/>
        </w:rPr>
        <w:t xml:space="preserve"> </w:t>
      </w:r>
      <w:r w:rsidR="000050DD" w:rsidRPr="006F240B">
        <w:rPr>
          <w:szCs w:val="22"/>
        </w:rPr>
        <w:t xml:space="preserve">background </w:t>
      </w:r>
      <w:r w:rsidR="006745CB" w:rsidRPr="006F240B">
        <w:rPr>
          <w:szCs w:val="22"/>
        </w:rPr>
        <w:t xml:space="preserve">necessary </w:t>
      </w:r>
      <w:r w:rsidR="00F22764" w:rsidRPr="006F240B">
        <w:rPr>
          <w:szCs w:val="22"/>
        </w:rPr>
        <w:t>for</w:t>
      </w:r>
      <w:r w:rsidR="006745CB" w:rsidRPr="006F240B">
        <w:rPr>
          <w:szCs w:val="22"/>
        </w:rPr>
        <w:t xml:space="preserve"> an understanding of the present decision.</w:t>
      </w:r>
      <w:r w:rsidR="00A676D2" w:rsidRPr="006F240B">
        <w:rPr>
          <w:szCs w:val="22"/>
        </w:rPr>
        <w:t xml:space="preserve"> </w:t>
      </w:r>
    </w:p>
  </w:footnote>
  <w:footnote w:id="3">
    <w:p w14:paraId="735969A1" w14:textId="63EEA3C5" w:rsidR="004D32CD" w:rsidRPr="006F240B" w:rsidRDefault="004D32CD" w:rsidP="006F240B">
      <w:pPr>
        <w:pStyle w:val="FootnoteText"/>
        <w:rPr>
          <w:szCs w:val="22"/>
          <w:lang w:val="en-ZW"/>
        </w:rPr>
      </w:pPr>
      <w:r w:rsidRPr="006F240B">
        <w:rPr>
          <w:rStyle w:val="FootnoteReference"/>
          <w:szCs w:val="22"/>
        </w:rPr>
        <w:footnoteRef/>
      </w:r>
      <w:r w:rsidRPr="006F240B">
        <w:rPr>
          <w:szCs w:val="22"/>
        </w:rPr>
        <w:t xml:space="preserve"> </w:t>
      </w:r>
      <w:r w:rsidRPr="006F240B">
        <w:rPr>
          <w:rFonts w:eastAsia="Book Antiqua" w:cs="Book Antiqua"/>
          <w:szCs w:val="22"/>
        </w:rPr>
        <w:t xml:space="preserve">The GAMI 1.0 system comprises application software, network communication equipment, and battery-operated </w:t>
      </w:r>
      <w:r w:rsidR="002731FB">
        <w:rPr>
          <w:rFonts w:eastAsia="Book Antiqua" w:cs="Book Antiqua"/>
          <w:szCs w:val="22"/>
        </w:rPr>
        <w:t>Gas Module</w:t>
      </w:r>
      <w:r w:rsidRPr="006F240B">
        <w:rPr>
          <w:rFonts w:eastAsia="Book Antiqua" w:cs="Book Antiqua"/>
          <w:szCs w:val="22"/>
        </w:rPr>
        <w:t>s with network interface cards externally attached to customer gas meters.</w:t>
      </w:r>
    </w:p>
  </w:footnote>
  <w:footnote w:id="4">
    <w:p w14:paraId="2BCCF99A" w14:textId="0D523409" w:rsidR="00FE02C3" w:rsidRPr="006F240B" w:rsidRDefault="00FE02C3" w:rsidP="006F240B">
      <w:pPr>
        <w:pStyle w:val="FootnoteText"/>
        <w:rPr>
          <w:szCs w:val="22"/>
          <w:lang w:val="en-ZW"/>
        </w:rPr>
      </w:pPr>
      <w:r w:rsidRPr="006F240B">
        <w:rPr>
          <w:rStyle w:val="FootnoteReference"/>
          <w:szCs w:val="22"/>
        </w:rPr>
        <w:footnoteRef/>
      </w:r>
      <w:r w:rsidRPr="006F240B">
        <w:rPr>
          <w:szCs w:val="22"/>
        </w:rPr>
        <w:t xml:space="preserve"> </w:t>
      </w:r>
      <w:r w:rsidRPr="006F240B">
        <w:rPr>
          <w:rFonts w:eastAsia="Book Antiqua" w:cs="Book Antiqua"/>
          <w:i/>
          <w:iCs/>
          <w:szCs w:val="22"/>
        </w:rPr>
        <w:t>See</w:t>
      </w:r>
      <w:r w:rsidRPr="006F240B">
        <w:rPr>
          <w:rFonts w:eastAsia="Book Antiqua" w:cs="Book Antiqua"/>
          <w:szCs w:val="22"/>
        </w:rPr>
        <w:t xml:space="preserve"> A.21-06-021.</w:t>
      </w:r>
    </w:p>
  </w:footnote>
  <w:footnote w:id="5">
    <w:p w14:paraId="227A910B" w14:textId="37C7FCA6" w:rsidR="475A0C90" w:rsidRPr="006F240B" w:rsidRDefault="475A0C90" w:rsidP="006F240B">
      <w:pPr>
        <w:pStyle w:val="FootnoteText"/>
        <w:rPr>
          <w:szCs w:val="22"/>
        </w:rPr>
      </w:pPr>
      <w:r w:rsidRPr="006F240B">
        <w:rPr>
          <w:rStyle w:val="FootnoteReference"/>
          <w:szCs w:val="22"/>
        </w:rPr>
        <w:footnoteRef/>
      </w:r>
      <w:r w:rsidRPr="006F240B">
        <w:rPr>
          <w:szCs w:val="22"/>
        </w:rPr>
        <w:t xml:space="preserve"> D.23-11-069</w:t>
      </w:r>
      <w:r w:rsidR="002C5BE9" w:rsidRPr="006F240B">
        <w:rPr>
          <w:szCs w:val="22"/>
        </w:rPr>
        <w:t xml:space="preserve"> at</w:t>
      </w:r>
      <w:r w:rsidRPr="006F240B">
        <w:rPr>
          <w:szCs w:val="22"/>
        </w:rPr>
        <w:t xml:space="preserve"> 541.</w:t>
      </w:r>
    </w:p>
  </w:footnote>
  <w:footnote w:id="6">
    <w:p w14:paraId="62F40148" w14:textId="4117CB1D" w:rsidR="006C2584" w:rsidRPr="006F240B" w:rsidRDefault="006C2584" w:rsidP="006F240B">
      <w:pPr>
        <w:pStyle w:val="FootnoteText"/>
        <w:rPr>
          <w:szCs w:val="22"/>
          <w:lang w:val="en-ZW"/>
        </w:rPr>
      </w:pPr>
      <w:r w:rsidRPr="006F240B">
        <w:rPr>
          <w:rStyle w:val="FootnoteReference"/>
          <w:szCs w:val="22"/>
        </w:rPr>
        <w:footnoteRef/>
      </w:r>
      <w:r w:rsidRPr="006F240B">
        <w:rPr>
          <w:szCs w:val="22"/>
        </w:rPr>
        <w:t xml:space="preserve"> </w:t>
      </w:r>
      <w:r w:rsidRPr="006F240B">
        <w:rPr>
          <w:rFonts w:eastAsia="Book Antiqua" w:cs="Book Antiqua"/>
          <w:szCs w:val="22"/>
        </w:rPr>
        <w:t>D.23-11-069 at 539-545. The Commission stated that  “</w:t>
      </w:r>
      <w:r w:rsidRPr="006F240B">
        <w:rPr>
          <w:rFonts w:eastAsia="Book Antiqua" w:cs="Book Antiqua"/>
          <w:i/>
          <w:iCs/>
          <w:szCs w:val="22"/>
        </w:rPr>
        <w:t>PG&amp;E may file a separate application seeking recovery of cost for replacement of AMI modules</w:t>
      </w:r>
      <w:r w:rsidRPr="006F240B">
        <w:rPr>
          <w:rFonts w:eastAsia="Book Antiqua" w:cs="Book Antiqua"/>
          <w:szCs w:val="22"/>
        </w:rPr>
        <w:t xml:space="preserve">, </w:t>
      </w:r>
      <w:r w:rsidRPr="00EE3EFE">
        <w:rPr>
          <w:rFonts w:eastAsia="Book Antiqua" w:cs="Book Antiqua"/>
          <w:i/>
          <w:iCs/>
          <w:szCs w:val="22"/>
        </w:rPr>
        <w:t>but no revenue requirement is authorized in this proceeding</w:t>
      </w:r>
      <w:r w:rsidRPr="006F240B">
        <w:rPr>
          <w:rFonts w:eastAsia="Book Antiqua" w:cs="Book Antiqua"/>
          <w:szCs w:val="22"/>
        </w:rPr>
        <w:t xml:space="preserve"> due to [1] the unsubstantiated nature of the forecast and [2] PG&amp;E’s failure to propose a reasonable allocation of costs for replacement between ratepayers and shareholders that fairly reflects PG&amp;E’s errors in its AMI module business plan.” D.23-11-069 at 545 (emphasis added).</w:t>
      </w:r>
    </w:p>
  </w:footnote>
  <w:footnote w:id="7">
    <w:p w14:paraId="2D485DD5" w14:textId="0652D245" w:rsidR="00DC1D38" w:rsidRPr="006F240B" w:rsidRDefault="00DC1D38" w:rsidP="006F240B">
      <w:pPr>
        <w:pStyle w:val="FootnoteText"/>
        <w:rPr>
          <w:szCs w:val="22"/>
          <w:lang w:val="en-ZW"/>
        </w:rPr>
      </w:pPr>
      <w:r w:rsidRPr="006F240B">
        <w:rPr>
          <w:rStyle w:val="FootnoteReference"/>
          <w:szCs w:val="22"/>
        </w:rPr>
        <w:footnoteRef/>
      </w:r>
      <w:r w:rsidRPr="006F240B">
        <w:rPr>
          <w:szCs w:val="22"/>
        </w:rPr>
        <w:t xml:space="preserve"> </w:t>
      </w:r>
      <w:r w:rsidRPr="006F240B">
        <w:rPr>
          <w:rFonts w:eastAsia="Book Antiqua" w:cs="Book Antiqua"/>
          <w:szCs w:val="22"/>
        </w:rPr>
        <w:t>D.23-11-069 at 539-545.</w:t>
      </w:r>
    </w:p>
  </w:footnote>
  <w:footnote w:id="8">
    <w:p w14:paraId="3B39929F" w14:textId="0BBC9771" w:rsidR="00467ED7" w:rsidRPr="00467ED7" w:rsidRDefault="00467ED7">
      <w:pPr>
        <w:pStyle w:val="FootnoteText"/>
        <w:rPr>
          <w:lang w:val="en-ZW"/>
        </w:rPr>
      </w:pPr>
      <w:r>
        <w:rPr>
          <w:rStyle w:val="FootnoteReference"/>
        </w:rPr>
        <w:footnoteRef/>
      </w:r>
      <w:r>
        <w:t xml:space="preserve"> </w:t>
      </w:r>
      <w:r w:rsidRPr="002B6858">
        <w:rPr>
          <w:i/>
          <w:iCs/>
          <w:lang w:val="en-ZW"/>
        </w:rPr>
        <w:t>See</w:t>
      </w:r>
      <w:r>
        <w:rPr>
          <w:lang w:val="en-ZW"/>
        </w:rPr>
        <w:t xml:space="preserve"> A.</w:t>
      </w:r>
      <w:r w:rsidR="002B6858">
        <w:rPr>
          <w:lang w:val="en-ZW"/>
        </w:rPr>
        <w:t>24-03-011 at 13.</w:t>
      </w:r>
    </w:p>
  </w:footnote>
  <w:footnote w:id="9">
    <w:p w14:paraId="61682D30" w14:textId="7BC5702B" w:rsidR="00FE31AE" w:rsidRPr="00FE31AE" w:rsidRDefault="00FE31AE">
      <w:pPr>
        <w:pStyle w:val="FootnoteText"/>
        <w:rPr>
          <w:lang w:val="en-ZW"/>
        </w:rPr>
      </w:pPr>
      <w:r>
        <w:rPr>
          <w:rStyle w:val="FootnoteReference"/>
        </w:rPr>
        <w:footnoteRef/>
      </w:r>
      <w:r>
        <w:t xml:space="preserve"> </w:t>
      </w:r>
      <w:r w:rsidR="005F0A12" w:rsidRPr="005F0A12">
        <w:rPr>
          <w:i/>
          <w:iCs/>
        </w:rPr>
        <w:t>See</w:t>
      </w:r>
      <w:r w:rsidR="005F0A12">
        <w:t xml:space="preserve"> </w:t>
      </w:r>
      <w:r>
        <w:rPr>
          <w:lang w:val="en-ZW"/>
        </w:rPr>
        <w:t xml:space="preserve">PHC Transcript at </w:t>
      </w:r>
      <w:r w:rsidR="005F0A12">
        <w:rPr>
          <w:lang w:val="en-ZW"/>
        </w:rPr>
        <w:t>2:22-3:18.</w:t>
      </w:r>
    </w:p>
  </w:footnote>
  <w:footnote w:id="10">
    <w:p w14:paraId="1FB4F22C" w14:textId="0E343B0F" w:rsidR="475A0C90" w:rsidRPr="006F240B" w:rsidRDefault="475A0C90" w:rsidP="006F240B">
      <w:pPr>
        <w:pStyle w:val="FootnoteText"/>
        <w:rPr>
          <w:szCs w:val="22"/>
        </w:rPr>
      </w:pPr>
      <w:r w:rsidRPr="006F240B">
        <w:rPr>
          <w:rStyle w:val="FootnoteReference"/>
          <w:szCs w:val="22"/>
        </w:rPr>
        <w:footnoteRef/>
      </w:r>
      <w:r w:rsidRPr="006F240B">
        <w:rPr>
          <w:szCs w:val="22"/>
        </w:rPr>
        <w:t xml:space="preserve"> Decision 24-11-010, Ordering Paragraph 1.</w:t>
      </w:r>
    </w:p>
  </w:footnote>
  <w:footnote w:id="11">
    <w:p w14:paraId="28F11C47" w14:textId="6BFCF66E" w:rsidR="475A0C90" w:rsidRPr="006F240B" w:rsidRDefault="475A0C90" w:rsidP="006F240B">
      <w:pPr>
        <w:pStyle w:val="FootnoteText"/>
        <w:rPr>
          <w:szCs w:val="22"/>
        </w:rPr>
      </w:pPr>
      <w:r w:rsidRPr="006F240B">
        <w:rPr>
          <w:rStyle w:val="FootnoteReference"/>
          <w:szCs w:val="22"/>
        </w:rPr>
        <w:footnoteRef/>
      </w:r>
      <w:r w:rsidRPr="006F240B">
        <w:rPr>
          <w:szCs w:val="22"/>
        </w:rPr>
        <w:t xml:space="preserve"> D.24-11-010</w:t>
      </w:r>
      <w:r w:rsidR="009478D2" w:rsidRPr="006F240B">
        <w:rPr>
          <w:szCs w:val="22"/>
        </w:rPr>
        <w:t xml:space="preserve"> at</w:t>
      </w:r>
      <w:r w:rsidRPr="006F240B">
        <w:rPr>
          <w:szCs w:val="22"/>
        </w:rPr>
        <w:t xml:space="preserve"> 2</w:t>
      </w:r>
      <w:r w:rsidR="00A76CA5">
        <w:rPr>
          <w:szCs w:val="22"/>
        </w:rPr>
        <w:t xml:space="preserve"> </w:t>
      </w:r>
      <w:r w:rsidR="00F675E8">
        <w:rPr>
          <w:szCs w:val="22"/>
        </w:rPr>
        <w:t>(</w:t>
      </w:r>
      <w:r w:rsidR="00F675E8">
        <w:t>“Whether, how, and to what extent Pacific Gas and Electric Company may recover the costs tracked in that memorandum account will be determined after Application</w:t>
      </w:r>
      <w:r w:rsidR="008E4DD9">
        <w:t> </w:t>
      </w:r>
      <w:r w:rsidR="00F675E8">
        <w:t>24</w:t>
      </w:r>
      <w:r w:rsidR="008E4DD9">
        <w:noBreakHyphen/>
      </w:r>
      <w:r w:rsidR="00F675E8">
        <w:t>03</w:t>
      </w:r>
      <w:r w:rsidR="008E4DD9">
        <w:noBreakHyphen/>
      </w:r>
      <w:r w:rsidR="00F675E8">
        <w:t>011 has been fully reviewed and determined in this proceeding.”</w:t>
      </w:r>
      <w:r w:rsidR="00F675E8">
        <w:rPr>
          <w:szCs w:val="22"/>
        </w:rPr>
        <w:t>)</w:t>
      </w:r>
      <w:r w:rsidRPr="006F240B">
        <w:rPr>
          <w:szCs w:val="22"/>
        </w:rPr>
        <w:t>.</w:t>
      </w:r>
    </w:p>
  </w:footnote>
  <w:footnote w:id="12">
    <w:p w14:paraId="40B74DF9" w14:textId="7A2B0852" w:rsidR="00B951E4" w:rsidRPr="00B951E4" w:rsidRDefault="00B951E4">
      <w:pPr>
        <w:pStyle w:val="FootnoteText"/>
        <w:rPr>
          <w:lang w:val="en-ZW"/>
        </w:rPr>
      </w:pPr>
      <w:r>
        <w:rPr>
          <w:rStyle w:val="FootnoteReference"/>
        </w:rPr>
        <w:footnoteRef/>
      </w:r>
      <w:r>
        <w:t xml:space="preserve"> </w:t>
      </w:r>
      <w:r w:rsidRPr="007F67A2">
        <w:rPr>
          <w:i/>
          <w:iCs/>
          <w:lang w:val="en-ZW"/>
        </w:rPr>
        <w:t>See</w:t>
      </w:r>
      <w:r>
        <w:rPr>
          <w:lang w:val="en-ZW"/>
        </w:rPr>
        <w:t xml:space="preserve"> </w:t>
      </w:r>
      <w:r w:rsidR="00D55D83" w:rsidRPr="00DF7D39">
        <w:rPr>
          <w:i/>
          <w:iCs/>
          <w:lang w:val="en-ZW"/>
        </w:rPr>
        <w:t xml:space="preserve">PG&amp;E Comprehensive </w:t>
      </w:r>
      <w:r w:rsidR="00D4148E" w:rsidRPr="00DF7D39">
        <w:rPr>
          <w:i/>
          <w:iCs/>
          <w:lang w:val="en-ZW"/>
        </w:rPr>
        <w:t xml:space="preserve">Gas Advanced Metering Infrastructure Replacement Program </w:t>
      </w:r>
      <w:r w:rsidR="00616EF5" w:rsidRPr="00DF7D39">
        <w:rPr>
          <w:i/>
          <w:iCs/>
          <w:szCs w:val="22"/>
        </w:rPr>
        <w:t>Settlement Agreement</w:t>
      </w:r>
      <w:r w:rsidR="00616EF5">
        <w:rPr>
          <w:szCs w:val="22"/>
        </w:rPr>
        <w:t xml:space="preserve"> (</w:t>
      </w:r>
      <w:r w:rsidR="00DF7D39">
        <w:rPr>
          <w:szCs w:val="22"/>
        </w:rPr>
        <w:t>hereinafter “Settlement Agreement</w:t>
      </w:r>
      <w:r w:rsidR="00FA7AA2">
        <w:rPr>
          <w:szCs w:val="22"/>
        </w:rPr>
        <w:t xml:space="preserve">,” </w:t>
      </w:r>
      <w:r w:rsidR="00616EF5">
        <w:rPr>
          <w:szCs w:val="22"/>
        </w:rPr>
        <w:t xml:space="preserve">attached to this decision </w:t>
      </w:r>
      <w:r w:rsidR="00FA7AA2">
        <w:rPr>
          <w:szCs w:val="22"/>
        </w:rPr>
        <w:t>as</w:t>
      </w:r>
      <w:r w:rsidR="00616EF5">
        <w:rPr>
          <w:szCs w:val="22"/>
        </w:rPr>
        <w:t xml:space="preserve"> Appendix A) at</w:t>
      </w:r>
      <w:r w:rsidR="00616EF5" w:rsidRPr="006F240B">
        <w:rPr>
          <w:szCs w:val="22"/>
        </w:rPr>
        <w:t xml:space="preserve"> </w:t>
      </w:r>
      <w:r w:rsidR="00A96056" w:rsidRPr="006F240B">
        <w:rPr>
          <w:szCs w:val="22"/>
        </w:rPr>
        <w:t xml:space="preserve">Section </w:t>
      </w:r>
      <w:r w:rsidR="00A96056">
        <w:rPr>
          <w:szCs w:val="22"/>
        </w:rPr>
        <w:t>2.16</w:t>
      </w:r>
      <w:r w:rsidR="007F67A2">
        <w:rPr>
          <w:lang w:val="en-ZW"/>
        </w:rPr>
        <w:t>.</w:t>
      </w:r>
    </w:p>
  </w:footnote>
  <w:footnote w:id="13">
    <w:p w14:paraId="6F92ACCE" w14:textId="7C6EAE51" w:rsidR="00C11C68" w:rsidRPr="00C11C68" w:rsidRDefault="00C11C68">
      <w:pPr>
        <w:pStyle w:val="FootnoteText"/>
        <w:rPr>
          <w:lang w:val="en-ZW"/>
        </w:rPr>
      </w:pPr>
      <w:r>
        <w:rPr>
          <w:rStyle w:val="FootnoteReference"/>
        </w:rPr>
        <w:footnoteRef/>
      </w:r>
      <w:r>
        <w:t xml:space="preserve"> </w:t>
      </w:r>
      <w:r w:rsidRPr="007F67A2">
        <w:rPr>
          <w:i/>
          <w:iCs/>
          <w:lang w:val="en-ZW"/>
        </w:rPr>
        <w:t>See</w:t>
      </w:r>
      <w:r>
        <w:rPr>
          <w:lang w:val="en-ZW"/>
        </w:rPr>
        <w:t xml:space="preserve"> Settlement Agreement </w:t>
      </w:r>
      <w:r w:rsidR="00A96056">
        <w:rPr>
          <w:lang w:val="en-ZW"/>
        </w:rPr>
        <w:t xml:space="preserve">at </w:t>
      </w:r>
      <w:r w:rsidR="00A96056" w:rsidRPr="006F240B">
        <w:rPr>
          <w:szCs w:val="22"/>
        </w:rPr>
        <w:t xml:space="preserve">Section </w:t>
      </w:r>
      <w:r w:rsidR="00A96056">
        <w:rPr>
          <w:szCs w:val="22"/>
        </w:rPr>
        <w:t>2.17</w:t>
      </w:r>
      <w:r>
        <w:rPr>
          <w:lang w:val="en-ZW"/>
        </w:rPr>
        <w:t>.</w:t>
      </w:r>
    </w:p>
  </w:footnote>
  <w:footnote w:id="14">
    <w:p w14:paraId="7EC8E19F" w14:textId="6DD71514" w:rsidR="007E4FFE" w:rsidRPr="007E4FFE" w:rsidRDefault="007E4FFE">
      <w:pPr>
        <w:pStyle w:val="FootnoteText"/>
        <w:rPr>
          <w:lang w:val="en-ZW"/>
        </w:rPr>
      </w:pPr>
      <w:r>
        <w:rPr>
          <w:rStyle w:val="FootnoteReference"/>
        </w:rPr>
        <w:footnoteRef/>
      </w:r>
      <w:r>
        <w:t xml:space="preserve"> </w:t>
      </w:r>
      <w:r w:rsidRPr="007F67A2">
        <w:rPr>
          <w:i/>
          <w:iCs/>
          <w:lang w:val="en-ZW"/>
        </w:rPr>
        <w:t>See</w:t>
      </w:r>
      <w:r>
        <w:rPr>
          <w:lang w:val="en-ZW"/>
        </w:rPr>
        <w:t xml:space="preserve"> Settlement Agreement at </w:t>
      </w:r>
      <w:r w:rsidR="00A96056" w:rsidRPr="006F240B">
        <w:rPr>
          <w:szCs w:val="22"/>
        </w:rPr>
        <w:t>Section</w:t>
      </w:r>
      <w:r w:rsidR="00FE4A3A">
        <w:rPr>
          <w:szCs w:val="22"/>
        </w:rPr>
        <w:t>s</w:t>
      </w:r>
      <w:r w:rsidR="00A96056" w:rsidRPr="006F240B">
        <w:rPr>
          <w:szCs w:val="22"/>
        </w:rPr>
        <w:t xml:space="preserve"> </w:t>
      </w:r>
      <w:r w:rsidR="00FE4A3A">
        <w:rPr>
          <w:szCs w:val="22"/>
        </w:rPr>
        <w:t>2.18 and 2.19</w:t>
      </w:r>
      <w:r>
        <w:rPr>
          <w:lang w:val="en-ZW"/>
        </w:rPr>
        <w:t>.</w:t>
      </w:r>
    </w:p>
  </w:footnote>
  <w:footnote w:id="15">
    <w:p w14:paraId="7CB60573" w14:textId="79A66146" w:rsidR="00586D8B" w:rsidRPr="00586D8B" w:rsidRDefault="00586D8B">
      <w:pPr>
        <w:pStyle w:val="FootnoteText"/>
        <w:rPr>
          <w:lang w:val="en-ZW"/>
        </w:rPr>
      </w:pPr>
      <w:r>
        <w:rPr>
          <w:rStyle w:val="FootnoteReference"/>
        </w:rPr>
        <w:footnoteRef/>
      </w:r>
      <w:r>
        <w:t xml:space="preserve"> </w:t>
      </w:r>
      <w:r w:rsidRPr="00586D8B">
        <w:rPr>
          <w:i/>
          <w:iCs/>
          <w:lang w:val="en-ZW"/>
        </w:rPr>
        <w:t>See</w:t>
      </w:r>
      <w:r w:rsidRPr="00586D8B">
        <w:rPr>
          <w:lang w:val="en-ZW"/>
        </w:rPr>
        <w:t xml:space="preserve"> Settlement Agreement at </w:t>
      </w:r>
      <w:r w:rsidR="00FE4A3A" w:rsidRPr="006F240B">
        <w:rPr>
          <w:szCs w:val="22"/>
        </w:rPr>
        <w:t xml:space="preserve">Section </w:t>
      </w:r>
      <w:r w:rsidR="00FE4A3A">
        <w:rPr>
          <w:szCs w:val="22"/>
        </w:rPr>
        <w:t>2.20</w:t>
      </w:r>
      <w:r w:rsidRPr="00586D8B">
        <w:rPr>
          <w:lang w:val="en-ZW"/>
        </w:rPr>
        <w:t>.</w:t>
      </w:r>
    </w:p>
  </w:footnote>
  <w:footnote w:id="16">
    <w:p w14:paraId="40A5F8F5" w14:textId="610A8863" w:rsidR="00C209BB" w:rsidRPr="006F240B" w:rsidRDefault="00C209BB" w:rsidP="006F240B">
      <w:pPr>
        <w:pStyle w:val="FootnoteText"/>
        <w:rPr>
          <w:szCs w:val="22"/>
        </w:rPr>
      </w:pPr>
      <w:r w:rsidRPr="006F240B">
        <w:rPr>
          <w:rStyle w:val="FootnoteReference"/>
          <w:szCs w:val="22"/>
        </w:rPr>
        <w:footnoteRef/>
      </w:r>
      <w:r w:rsidRPr="006F240B">
        <w:rPr>
          <w:szCs w:val="22"/>
        </w:rPr>
        <w:t xml:space="preserve"> </w:t>
      </w:r>
      <w:r w:rsidR="00DF677F" w:rsidRPr="006F240B">
        <w:rPr>
          <w:szCs w:val="22"/>
        </w:rPr>
        <w:t>Unless otherwise specified, all references to Rules or Rule in this decision are to the Commission’s Rules of Practice and Procedure</w:t>
      </w:r>
      <w:r w:rsidR="00575E8F" w:rsidRPr="006F240B">
        <w:rPr>
          <w:szCs w:val="22"/>
        </w:rPr>
        <w:t>.</w:t>
      </w:r>
      <w:r w:rsidR="00DF677F" w:rsidRPr="006F240B">
        <w:rPr>
          <w:szCs w:val="22"/>
        </w:rPr>
        <w:t xml:space="preserve"> </w:t>
      </w:r>
    </w:p>
  </w:footnote>
  <w:footnote w:id="17">
    <w:p w14:paraId="1148BE6E" w14:textId="5C3CCAA4" w:rsidR="00C373EE" w:rsidRPr="006F240B" w:rsidRDefault="00C373EE" w:rsidP="006F240B">
      <w:pPr>
        <w:pStyle w:val="FootnoteText"/>
        <w:rPr>
          <w:szCs w:val="22"/>
        </w:rPr>
      </w:pPr>
      <w:r w:rsidRPr="006F240B">
        <w:rPr>
          <w:rStyle w:val="FootnoteReference"/>
          <w:szCs w:val="22"/>
        </w:rPr>
        <w:footnoteRef/>
      </w:r>
      <w:r w:rsidRPr="006F240B">
        <w:rPr>
          <w:szCs w:val="22"/>
        </w:rPr>
        <w:t xml:space="preserve"> </w:t>
      </w:r>
      <w:r w:rsidR="00D80C5D">
        <w:rPr>
          <w:szCs w:val="22"/>
        </w:rPr>
        <w:t>California Public Utilities Code (</w:t>
      </w:r>
      <w:r w:rsidRPr="006F240B">
        <w:rPr>
          <w:szCs w:val="22"/>
        </w:rPr>
        <w:t>Pub. Util. Code</w:t>
      </w:r>
      <w:r w:rsidR="00D80C5D">
        <w:rPr>
          <w:szCs w:val="22"/>
        </w:rPr>
        <w:t>)</w:t>
      </w:r>
      <w:r w:rsidRPr="006F240B">
        <w:rPr>
          <w:szCs w:val="22"/>
        </w:rPr>
        <w:t xml:space="preserve"> Section 216(a).</w:t>
      </w:r>
      <w:r w:rsidR="00D80C5D">
        <w:rPr>
          <w:szCs w:val="22"/>
        </w:rPr>
        <w:t xml:space="preserve"> </w:t>
      </w:r>
      <w:r w:rsidR="00D80C5D" w:rsidRPr="006F240B">
        <w:rPr>
          <w:szCs w:val="22"/>
        </w:rPr>
        <w:t xml:space="preserve">Unless otherwise specified, all references to </w:t>
      </w:r>
      <w:r w:rsidR="00DC2A6F">
        <w:rPr>
          <w:szCs w:val="22"/>
        </w:rPr>
        <w:t xml:space="preserve">a Code </w:t>
      </w:r>
      <w:r w:rsidR="00D80C5D" w:rsidRPr="006F240B">
        <w:rPr>
          <w:szCs w:val="22"/>
        </w:rPr>
        <w:t xml:space="preserve">or </w:t>
      </w:r>
      <w:r w:rsidR="00DC2A6F">
        <w:rPr>
          <w:szCs w:val="22"/>
        </w:rPr>
        <w:t xml:space="preserve">Section </w:t>
      </w:r>
      <w:r w:rsidR="00D80C5D" w:rsidRPr="006F240B">
        <w:rPr>
          <w:szCs w:val="22"/>
        </w:rPr>
        <w:t xml:space="preserve">in this decision are to the </w:t>
      </w:r>
      <w:r w:rsidR="00595604">
        <w:rPr>
          <w:szCs w:val="22"/>
        </w:rPr>
        <w:t>California Public Utilities Code</w:t>
      </w:r>
      <w:r w:rsidR="00D80C5D" w:rsidRPr="006F240B">
        <w:rPr>
          <w:szCs w:val="22"/>
        </w:rPr>
        <w:t>.</w:t>
      </w:r>
    </w:p>
  </w:footnote>
  <w:footnote w:id="18">
    <w:p w14:paraId="09F91C3C" w14:textId="134AE704" w:rsidR="00DB60E4" w:rsidRPr="006F240B" w:rsidRDefault="00DB60E4" w:rsidP="006F240B">
      <w:pPr>
        <w:pStyle w:val="FootnoteText"/>
        <w:rPr>
          <w:szCs w:val="22"/>
          <w:lang w:val="en-ZW"/>
        </w:rPr>
      </w:pPr>
      <w:r w:rsidRPr="006F240B">
        <w:rPr>
          <w:rStyle w:val="FootnoteReference"/>
          <w:szCs w:val="22"/>
        </w:rPr>
        <w:footnoteRef/>
      </w:r>
      <w:r w:rsidRPr="006F240B">
        <w:rPr>
          <w:szCs w:val="22"/>
        </w:rPr>
        <w:t xml:space="preserve"> </w:t>
      </w:r>
      <w:r w:rsidR="00233D57" w:rsidRPr="00762F8D">
        <w:rPr>
          <w:rFonts w:eastAsia="Book Antiqua" w:cs="Book Antiqua"/>
          <w:i/>
          <w:iCs/>
          <w:color w:val="000000" w:themeColor="text1"/>
          <w:szCs w:val="22"/>
        </w:rPr>
        <w:t xml:space="preserve">See, e.g., </w:t>
      </w:r>
      <w:r w:rsidRPr="006F240B">
        <w:rPr>
          <w:rFonts w:eastAsia="Book Antiqua" w:cs="Book Antiqua"/>
          <w:szCs w:val="22"/>
        </w:rPr>
        <w:t>D.12</w:t>
      </w:r>
      <w:r w:rsidRPr="006F240B">
        <w:rPr>
          <w:rFonts w:ascii="Cambria Math" w:eastAsia="Book Antiqua" w:hAnsi="Cambria Math" w:cs="Cambria Math"/>
          <w:szCs w:val="22"/>
        </w:rPr>
        <w:t>‑</w:t>
      </w:r>
      <w:r w:rsidRPr="006F240B">
        <w:rPr>
          <w:rFonts w:eastAsia="Book Antiqua" w:cs="Book Antiqua"/>
          <w:szCs w:val="22"/>
        </w:rPr>
        <w:t>10</w:t>
      </w:r>
      <w:r w:rsidRPr="006F240B">
        <w:rPr>
          <w:rFonts w:ascii="Cambria Math" w:eastAsia="Book Antiqua" w:hAnsi="Cambria Math" w:cs="Cambria Math"/>
          <w:szCs w:val="22"/>
        </w:rPr>
        <w:t>‑</w:t>
      </w:r>
      <w:r w:rsidRPr="006F240B">
        <w:rPr>
          <w:rFonts w:eastAsia="Book Antiqua" w:cs="Book Antiqua"/>
          <w:szCs w:val="22"/>
        </w:rPr>
        <w:t>019, Order Denying Rehearing of D.08</w:t>
      </w:r>
      <w:r w:rsidRPr="006F240B">
        <w:rPr>
          <w:rFonts w:ascii="Cambria Math" w:eastAsia="Book Antiqua" w:hAnsi="Cambria Math" w:cs="Cambria Math"/>
          <w:szCs w:val="22"/>
        </w:rPr>
        <w:t>‑</w:t>
      </w:r>
      <w:r w:rsidRPr="006F240B">
        <w:rPr>
          <w:rFonts w:eastAsia="Book Antiqua" w:cs="Book Antiqua"/>
          <w:szCs w:val="22"/>
        </w:rPr>
        <w:t>08</w:t>
      </w:r>
      <w:r w:rsidRPr="006F240B">
        <w:rPr>
          <w:rFonts w:ascii="Cambria Math" w:eastAsia="Book Antiqua" w:hAnsi="Cambria Math" w:cs="Cambria Math"/>
          <w:szCs w:val="22"/>
        </w:rPr>
        <w:t>‑</w:t>
      </w:r>
      <w:r w:rsidRPr="006F240B">
        <w:rPr>
          <w:rFonts w:eastAsia="Book Antiqua" w:cs="Book Antiqua"/>
          <w:szCs w:val="22"/>
        </w:rPr>
        <w:t>030 (October 11, 2012) at 14-15; D.09</w:t>
      </w:r>
      <w:r w:rsidRPr="006F240B">
        <w:rPr>
          <w:rFonts w:ascii="Cambria Math" w:eastAsia="Book Antiqua" w:hAnsi="Cambria Math" w:cs="Cambria Math"/>
          <w:szCs w:val="22"/>
        </w:rPr>
        <w:t>‑</w:t>
      </w:r>
      <w:r w:rsidRPr="006F240B">
        <w:rPr>
          <w:rFonts w:eastAsia="Book Antiqua" w:cs="Book Antiqua"/>
          <w:szCs w:val="22"/>
        </w:rPr>
        <w:t>11</w:t>
      </w:r>
      <w:r w:rsidRPr="006F240B">
        <w:rPr>
          <w:rFonts w:ascii="Cambria Math" w:eastAsia="Book Antiqua" w:hAnsi="Cambria Math" w:cs="Cambria Math"/>
          <w:szCs w:val="22"/>
        </w:rPr>
        <w:t>‑</w:t>
      </w:r>
      <w:r w:rsidRPr="006F240B">
        <w:rPr>
          <w:rFonts w:eastAsia="Book Antiqua" w:cs="Book Antiqua"/>
          <w:szCs w:val="22"/>
        </w:rPr>
        <w:t>008, Decision Denying Motion to Adopt Contested Settlement and Dismissing Application (November 20, 2009) at 6.</w:t>
      </w:r>
    </w:p>
  </w:footnote>
  <w:footnote w:id="19">
    <w:p w14:paraId="4A071DA9" w14:textId="3CCA3136" w:rsidR="00615ED7" w:rsidRPr="00615ED7" w:rsidRDefault="00615ED7">
      <w:pPr>
        <w:pStyle w:val="FootnoteText"/>
        <w:rPr>
          <w:lang w:val="en-ZW"/>
        </w:rPr>
      </w:pPr>
      <w:r>
        <w:rPr>
          <w:rStyle w:val="FootnoteReference"/>
        </w:rPr>
        <w:footnoteRef/>
      </w:r>
      <w:r>
        <w:t xml:space="preserve"> </w:t>
      </w:r>
      <w:r w:rsidRPr="006F240B">
        <w:rPr>
          <w:szCs w:val="22"/>
        </w:rPr>
        <w:t>Scoping Ruling at 4-5 (Section 3).</w:t>
      </w:r>
    </w:p>
  </w:footnote>
  <w:footnote w:id="20">
    <w:p w14:paraId="2D2637B9" w14:textId="24296EE9" w:rsidR="0040238D" w:rsidRPr="0040238D" w:rsidRDefault="0040238D">
      <w:pPr>
        <w:pStyle w:val="FootnoteText"/>
        <w:rPr>
          <w:lang w:val="en-ZW"/>
        </w:rPr>
      </w:pPr>
      <w:r>
        <w:rPr>
          <w:rStyle w:val="FootnoteReference"/>
        </w:rPr>
        <w:footnoteRef/>
      </w:r>
      <w:r>
        <w:t xml:space="preserve"> See </w:t>
      </w:r>
      <w:r>
        <w:rPr>
          <w:lang w:val="en-ZW"/>
        </w:rPr>
        <w:t>Motion at 11.</w:t>
      </w:r>
    </w:p>
  </w:footnote>
  <w:footnote w:id="21">
    <w:p w14:paraId="7D256CBC" w14:textId="29B97D1F" w:rsidR="00994F0A" w:rsidRPr="006F240B" w:rsidRDefault="00994F0A" w:rsidP="006F240B">
      <w:pPr>
        <w:spacing w:after="120" w:line="240" w:lineRule="auto"/>
        <w:ind w:firstLine="0"/>
        <w:rPr>
          <w:sz w:val="22"/>
        </w:rPr>
      </w:pPr>
      <w:r w:rsidRPr="006F240B">
        <w:rPr>
          <w:rStyle w:val="FootnoteReference"/>
          <w:sz w:val="22"/>
        </w:rPr>
        <w:footnoteRef/>
      </w:r>
      <w:r w:rsidRPr="006F240B">
        <w:rPr>
          <w:sz w:val="22"/>
        </w:rPr>
        <w:t xml:space="preserve"> </w:t>
      </w:r>
      <w:r w:rsidR="0095239F" w:rsidRPr="006F240B">
        <w:rPr>
          <w:i/>
          <w:iCs/>
          <w:sz w:val="22"/>
        </w:rPr>
        <w:t>See</w:t>
      </w:r>
      <w:r w:rsidR="0095239F" w:rsidRPr="006F240B">
        <w:rPr>
          <w:sz w:val="22"/>
        </w:rPr>
        <w:t xml:space="preserve"> </w:t>
      </w:r>
      <w:r w:rsidRPr="006F240B">
        <w:rPr>
          <w:sz w:val="22"/>
        </w:rPr>
        <w:t>SBUA</w:t>
      </w:r>
      <w:r w:rsidR="006F35FE">
        <w:rPr>
          <w:sz w:val="22"/>
        </w:rPr>
        <w:t xml:space="preserve"> </w:t>
      </w:r>
      <w:r w:rsidRPr="006F240B">
        <w:rPr>
          <w:sz w:val="22"/>
        </w:rPr>
        <w:t xml:space="preserve">Response </w:t>
      </w:r>
      <w:r w:rsidR="0095239F" w:rsidRPr="006F240B">
        <w:rPr>
          <w:sz w:val="22"/>
        </w:rPr>
        <w:t>at</w:t>
      </w:r>
      <w:r w:rsidRPr="006F240B">
        <w:rPr>
          <w:sz w:val="22"/>
        </w:rPr>
        <w:t xml:space="preserve"> 2-3.</w:t>
      </w:r>
    </w:p>
  </w:footnote>
  <w:footnote w:id="22">
    <w:p w14:paraId="1FC97371" w14:textId="5C66A69E"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TURN Protest</w:t>
      </w:r>
      <w:r w:rsidR="007143F0" w:rsidRPr="006F240B">
        <w:rPr>
          <w:szCs w:val="22"/>
        </w:rPr>
        <w:t xml:space="preserve"> at</w:t>
      </w:r>
      <w:r w:rsidRPr="006F240B">
        <w:rPr>
          <w:szCs w:val="22"/>
        </w:rPr>
        <w:t xml:space="preserve"> 2-3.</w:t>
      </w:r>
    </w:p>
  </w:footnote>
  <w:footnote w:id="23">
    <w:p w14:paraId="0E5E755E" w14:textId="148DDFB0"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TURN Protest</w:t>
      </w:r>
      <w:r w:rsidR="00327709" w:rsidRPr="006F240B">
        <w:rPr>
          <w:szCs w:val="22"/>
        </w:rPr>
        <w:t xml:space="preserve"> at</w:t>
      </w:r>
      <w:r w:rsidR="00327709" w:rsidRPr="006F240B" w:rsidDel="00327709">
        <w:rPr>
          <w:szCs w:val="22"/>
        </w:rPr>
        <w:t xml:space="preserve"> </w:t>
      </w:r>
      <w:r w:rsidRPr="006F240B">
        <w:rPr>
          <w:szCs w:val="22"/>
        </w:rPr>
        <w:t>3-4.</w:t>
      </w:r>
    </w:p>
  </w:footnote>
  <w:footnote w:id="24">
    <w:p w14:paraId="58C95D48" w14:textId="05C62217"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TURN Protest</w:t>
      </w:r>
      <w:r w:rsidR="00327709" w:rsidRPr="006F240B">
        <w:rPr>
          <w:szCs w:val="22"/>
        </w:rPr>
        <w:t xml:space="preserve"> at</w:t>
      </w:r>
      <w:r w:rsidR="00327709" w:rsidRPr="006F240B" w:rsidDel="00327709">
        <w:rPr>
          <w:szCs w:val="22"/>
        </w:rPr>
        <w:t xml:space="preserve"> </w:t>
      </w:r>
      <w:r w:rsidRPr="006F240B">
        <w:rPr>
          <w:szCs w:val="22"/>
        </w:rPr>
        <w:t>4.</w:t>
      </w:r>
    </w:p>
  </w:footnote>
  <w:footnote w:id="25">
    <w:p w14:paraId="400C6D98" w14:textId="045AF2BC"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TURN Protest</w:t>
      </w:r>
      <w:r w:rsidR="00327709" w:rsidRPr="006F240B">
        <w:rPr>
          <w:szCs w:val="22"/>
        </w:rPr>
        <w:t xml:space="preserve"> at</w:t>
      </w:r>
      <w:r w:rsidR="00327709" w:rsidRPr="006F240B" w:rsidDel="00327709">
        <w:rPr>
          <w:szCs w:val="22"/>
        </w:rPr>
        <w:t xml:space="preserve"> </w:t>
      </w:r>
      <w:r w:rsidRPr="006F240B">
        <w:rPr>
          <w:szCs w:val="22"/>
        </w:rPr>
        <w:t>5.</w:t>
      </w:r>
    </w:p>
  </w:footnote>
  <w:footnote w:id="26">
    <w:p w14:paraId="37D54346" w14:textId="27BF67A6"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TURN Protest</w:t>
      </w:r>
      <w:r w:rsidR="00327709" w:rsidRPr="006F240B">
        <w:rPr>
          <w:szCs w:val="22"/>
        </w:rPr>
        <w:t xml:space="preserve"> at</w:t>
      </w:r>
      <w:r w:rsidR="00327709" w:rsidRPr="006F240B" w:rsidDel="00327709">
        <w:rPr>
          <w:szCs w:val="22"/>
        </w:rPr>
        <w:t xml:space="preserve"> </w:t>
      </w:r>
      <w:r w:rsidRPr="006F240B">
        <w:rPr>
          <w:szCs w:val="22"/>
        </w:rPr>
        <w:t>5-6.</w:t>
      </w:r>
    </w:p>
  </w:footnote>
  <w:footnote w:id="27">
    <w:p w14:paraId="0B82B338" w14:textId="69FBA48F"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TURN Protest</w:t>
      </w:r>
      <w:r w:rsidR="00327709" w:rsidRPr="006F240B">
        <w:rPr>
          <w:szCs w:val="22"/>
        </w:rPr>
        <w:t xml:space="preserve"> at</w:t>
      </w:r>
      <w:r w:rsidR="00327709" w:rsidRPr="006F240B" w:rsidDel="00327709">
        <w:rPr>
          <w:szCs w:val="22"/>
        </w:rPr>
        <w:t xml:space="preserve"> </w:t>
      </w:r>
      <w:r w:rsidRPr="006F240B">
        <w:rPr>
          <w:szCs w:val="22"/>
        </w:rPr>
        <w:t>6.</w:t>
      </w:r>
    </w:p>
  </w:footnote>
  <w:footnote w:id="28">
    <w:p w14:paraId="30221634" w14:textId="690CD7D4"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Cal Advocates Protest</w:t>
      </w:r>
      <w:r w:rsidR="00732A4F" w:rsidRPr="006F240B">
        <w:rPr>
          <w:szCs w:val="22"/>
        </w:rPr>
        <w:t xml:space="preserve"> at </w:t>
      </w:r>
      <w:r w:rsidRPr="006F240B">
        <w:rPr>
          <w:szCs w:val="22"/>
        </w:rPr>
        <w:t>2.</w:t>
      </w:r>
    </w:p>
  </w:footnote>
  <w:footnote w:id="29">
    <w:p w14:paraId="26BA9ED6" w14:textId="79A3CCD9"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Cal Advocates Protest</w:t>
      </w:r>
      <w:r w:rsidR="00732A4F" w:rsidRPr="006F240B">
        <w:rPr>
          <w:szCs w:val="22"/>
        </w:rPr>
        <w:t xml:space="preserve"> at </w:t>
      </w:r>
      <w:r w:rsidRPr="006F240B">
        <w:rPr>
          <w:szCs w:val="22"/>
        </w:rPr>
        <w:t>3.</w:t>
      </w:r>
    </w:p>
  </w:footnote>
  <w:footnote w:id="30">
    <w:p w14:paraId="308303C3" w14:textId="49B929E5" w:rsidR="00A9189C" w:rsidRPr="00A9189C" w:rsidRDefault="00A9189C">
      <w:pPr>
        <w:pStyle w:val="FootnoteText"/>
        <w:rPr>
          <w:lang w:val="en-ZW"/>
        </w:rPr>
      </w:pPr>
      <w:r>
        <w:rPr>
          <w:rStyle w:val="FootnoteReference"/>
        </w:rPr>
        <w:footnoteRef/>
      </w:r>
      <w:r>
        <w:t xml:space="preserve"> </w:t>
      </w:r>
      <w:r>
        <w:rPr>
          <w:szCs w:val="22"/>
        </w:rPr>
        <w:t>Cal Advocates Protest</w:t>
      </w:r>
      <w:r w:rsidRPr="006F240B">
        <w:rPr>
          <w:szCs w:val="22"/>
        </w:rPr>
        <w:t xml:space="preserve"> at 4.</w:t>
      </w:r>
    </w:p>
  </w:footnote>
  <w:footnote w:id="31">
    <w:p w14:paraId="606C3854" w14:textId="5CE086CB"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Cal Advocates Protest</w:t>
      </w:r>
      <w:r w:rsidR="00732A4F" w:rsidRPr="006F240B">
        <w:rPr>
          <w:szCs w:val="22"/>
        </w:rPr>
        <w:t xml:space="preserve"> at </w:t>
      </w:r>
      <w:r w:rsidRPr="006F240B">
        <w:rPr>
          <w:szCs w:val="22"/>
        </w:rPr>
        <w:t>4.</w:t>
      </w:r>
    </w:p>
  </w:footnote>
  <w:footnote w:id="32">
    <w:p w14:paraId="0C0510F8" w14:textId="138C4269"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PG&amp;E Reply</w:t>
      </w:r>
      <w:r w:rsidR="00732A4F" w:rsidRPr="006F240B">
        <w:rPr>
          <w:szCs w:val="22"/>
        </w:rPr>
        <w:t xml:space="preserve"> at</w:t>
      </w:r>
      <w:r w:rsidRPr="006F240B">
        <w:rPr>
          <w:szCs w:val="22"/>
        </w:rPr>
        <w:t xml:space="preserve"> 2.</w:t>
      </w:r>
    </w:p>
  </w:footnote>
  <w:footnote w:id="33">
    <w:p w14:paraId="3968BCC8" w14:textId="539E49F9"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PG&amp;E Reply</w:t>
      </w:r>
      <w:r w:rsidR="004E4FCB" w:rsidRPr="006F240B">
        <w:rPr>
          <w:szCs w:val="22"/>
        </w:rPr>
        <w:t xml:space="preserve"> at </w:t>
      </w:r>
      <w:r w:rsidRPr="006F240B">
        <w:rPr>
          <w:szCs w:val="22"/>
        </w:rPr>
        <w:t>2.</w:t>
      </w:r>
    </w:p>
  </w:footnote>
  <w:footnote w:id="34">
    <w:p w14:paraId="021F1176" w14:textId="68DF2699"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PG&amp;E Reply</w:t>
      </w:r>
      <w:r w:rsidR="004E4FCB" w:rsidRPr="006F240B">
        <w:rPr>
          <w:szCs w:val="22"/>
        </w:rPr>
        <w:t xml:space="preserve"> at </w:t>
      </w:r>
      <w:r w:rsidRPr="006F240B">
        <w:rPr>
          <w:szCs w:val="22"/>
        </w:rPr>
        <w:t>3.</w:t>
      </w:r>
    </w:p>
  </w:footnote>
  <w:footnote w:id="35">
    <w:p w14:paraId="7CED964F" w14:textId="3A52FA98"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PG&amp;E Reply</w:t>
      </w:r>
      <w:r w:rsidR="004E4FCB" w:rsidRPr="006F240B">
        <w:rPr>
          <w:szCs w:val="22"/>
        </w:rPr>
        <w:t xml:space="preserve"> at </w:t>
      </w:r>
      <w:r w:rsidRPr="006F240B">
        <w:rPr>
          <w:szCs w:val="22"/>
        </w:rPr>
        <w:t>4.</w:t>
      </w:r>
    </w:p>
  </w:footnote>
  <w:footnote w:id="36">
    <w:p w14:paraId="41AC489E" w14:textId="50C7C45A" w:rsidR="00994F0A" w:rsidRPr="006F240B" w:rsidRDefault="00994F0A" w:rsidP="006F240B">
      <w:pPr>
        <w:pStyle w:val="FootnoteText"/>
        <w:rPr>
          <w:szCs w:val="22"/>
        </w:rPr>
      </w:pPr>
      <w:r w:rsidRPr="006F240B">
        <w:rPr>
          <w:rStyle w:val="FootnoteReference"/>
          <w:szCs w:val="22"/>
        </w:rPr>
        <w:footnoteRef/>
      </w:r>
      <w:r w:rsidRPr="006F240B">
        <w:rPr>
          <w:szCs w:val="22"/>
        </w:rPr>
        <w:t xml:space="preserve"> </w:t>
      </w:r>
      <w:r w:rsidR="004E6BF7">
        <w:rPr>
          <w:szCs w:val="22"/>
        </w:rPr>
        <w:t>PG&amp;E Reply</w:t>
      </w:r>
      <w:r w:rsidR="004E4FCB" w:rsidRPr="006F240B">
        <w:rPr>
          <w:szCs w:val="22"/>
        </w:rPr>
        <w:t xml:space="preserve"> at </w:t>
      </w:r>
      <w:r w:rsidRPr="006F240B">
        <w:rPr>
          <w:szCs w:val="22"/>
        </w:rPr>
        <w:t>4.</w:t>
      </w:r>
    </w:p>
  </w:footnote>
  <w:footnote w:id="37">
    <w:p w14:paraId="7C2783F0" w14:textId="38416129" w:rsidR="00B772C1" w:rsidRPr="006F240B" w:rsidRDefault="00B772C1" w:rsidP="006F240B">
      <w:pPr>
        <w:pStyle w:val="FootnoteText"/>
        <w:rPr>
          <w:szCs w:val="22"/>
        </w:rPr>
      </w:pPr>
      <w:r w:rsidRPr="006F240B">
        <w:rPr>
          <w:rStyle w:val="FootnoteReference"/>
          <w:szCs w:val="22"/>
        </w:rPr>
        <w:footnoteRef/>
      </w:r>
      <w:r w:rsidRPr="006F240B">
        <w:rPr>
          <w:szCs w:val="22"/>
        </w:rPr>
        <w:t xml:space="preserve"> Joint Motion </w:t>
      </w:r>
      <w:r w:rsidR="004E4FCB" w:rsidRPr="006F240B">
        <w:rPr>
          <w:szCs w:val="22"/>
        </w:rPr>
        <w:t>at</w:t>
      </w:r>
      <w:r w:rsidRPr="006F240B">
        <w:rPr>
          <w:szCs w:val="22"/>
        </w:rPr>
        <w:t xml:space="preserve"> 12-13.</w:t>
      </w:r>
    </w:p>
  </w:footnote>
  <w:footnote w:id="38">
    <w:p w14:paraId="47B37E16" w14:textId="515776D5"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AF2E35">
        <w:rPr>
          <w:szCs w:val="22"/>
        </w:rPr>
        <w:t xml:space="preserve"> at</w:t>
      </w:r>
      <w:r w:rsidRPr="006F240B">
        <w:rPr>
          <w:szCs w:val="22"/>
        </w:rPr>
        <w:t xml:space="preserve"> Section 3.1.</w:t>
      </w:r>
    </w:p>
  </w:footnote>
  <w:footnote w:id="39">
    <w:p w14:paraId="4BF8F7F8" w14:textId="450819E3"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AF2E35">
        <w:rPr>
          <w:szCs w:val="22"/>
        </w:rPr>
        <w:t xml:space="preserve"> at</w:t>
      </w:r>
      <w:r w:rsidRPr="006F240B">
        <w:rPr>
          <w:szCs w:val="22"/>
        </w:rPr>
        <w:t xml:space="preserve"> Section 3.2.</w:t>
      </w:r>
    </w:p>
  </w:footnote>
  <w:footnote w:id="40">
    <w:p w14:paraId="294DC71A" w14:textId="7953219D"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AF2E35">
        <w:rPr>
          <w:szCs w:val="22"/>
        </w:rPr>
        <w:t xml:space="preserve"> at</w:t>
      </w:r>
      <w:r w:rsidRPr="006F240B">
        <w:rPr>
          <w:szCs w:val="22"/>
        </w:rPr>
        <w:t xml:space="preserve"> Section 3.3.</w:t>
      </w:r>
    </w:p>
  </w:footnote>
  <w:footnote w:id="41">
    <w:p w14:paraId="27DBFA67" w14:textId="2356388C"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AF2E35">
        <w:rPr>
          <w:szCs w:val="22"/>
        </w:rPr>
        <w:t xml:space="preserve"> at</w:t>
      </w:r>
      <w:r w:rsidRPr="006F240B">
        <w:rPr>
          <w:szCs w:val="22"/>
        </w:rPr>
        <w:t xml:space="preserve"> Section 3.4.</w:t>
      </w:r>
      <w:r w:rsidR="000365F6">
        <w:rPr>
          <w:szCs w:val="22"/>
        </w:rPr>
        <w:t xml:space="preserve"> The $88,594,500 total is </w:t>
      </w:r>
      <w:r w:rsidR="000365F6" w:rsidRPr="009756FE">
        <w:t>based on values denoted in the Settlement Agreement, with a</w:t>
      </w:r>
      <w:r w:rsidR="003C3A8C">
        <w:t>n annual</w:t>
      </w:r>
      <w:r w:rsidR="000365F6" w:rsidRPr="009756FE">
        <w:t xml:space="preserve"> breakout (in whole dollars) </w:t>
      </w:r>
      <w:r w:rsidR="003C3A8C">
        <w:t xml:space="preserve">as follows: </w:t>
      </w:r>
      <w:r w:rsidR="000365F6" w:rsidRPr="009756FE">
        <w:t xml:space="preserve"> $478,495 for 2023</w:t>
      </w:r>
      <w:r w:rsidR="003C3A8C">
        <w:t>;</w:t>
      </w:r>
      <w:r w:rsidR="000365F6" w:rsidRPr="009756FE">
        <w:t xml:space="preserve"> $14,186,324 for 2024</w:t>
      </w:r>
      <w:r w:rsidR="003C3A8C">
        <w:t>;</w:t>
      </w:r>
      <w:r w:rsidR="000365F6" w:rsidRPr="009756FE">
        <w:t xml:space="preserve"> $30,620,849 for 2025</w:t>
      </w:r>
      <w:r w:rsidR="003C3A8C">
        <w:t>;</w:t>
      </w:r>
      <w:r w:rsidR="000365F6" w:rsidRPr="009756FE">
        <w:t xml:space="preserve"> and $44,265,819 for 2026</w:t>
      </w:r>
      <w:r w:rsidR="003C3A8C">
        <w:t xml:space="preserve">. </w:t>
      </w:r>
      <w:r w:rsidR="00B86050" w:rsidRPr="006F240B">
        <w:rPr>
          <w:szCs w:val="22"/>
        </w:rPr>
        <w:t>Settlement Agreement</w:t>
      </w:r>
      <w:r w:rsidR="00AF2E35">
        <w:rPr>
          <w:szCs w:val="22"/>
        </w:rPr>
        <w:t xml:space="preserve"> at</w:t>
      </w:r>
      <w:r w:rsidR="00B86050" w:rsidRPr="006F240B">
        <w:rPr>
          <w:szCs w:val="22"/>
        </w:rPr>
        <w:t xml:space="preserve"> Section 3.4.</w:t>
      </w:r>
    </w:p>
  </w:footnote>
  <w:footnote w:id="42">
    <w:p w14:paraId="3D21FF9C" w14:textId="1E40A85D"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AF2E35">
        <w:rPr>
          <w:szCs w:val="22"/>
        </w:rPr>
        <w:t xml:space="preserve"> at</w:t>
      </w:r>
      <w:r w:rsidRPr="006F240B">
        <w:rPr>
          <w:szCs w:val="22"/>
        </w:rPr>
        <w:t xml:space="preserve"> Section 3.5.</w:t>
      </w:r>
    </w:p>
  </w:footnote>
  <w:footnote w:id="43">
    <w:p w14:paraId="307B0C0A" w14:textId="414D5611"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AF2E35">
        <w:rPr>
          <w:szCs w:val="22"/>
        </w:rPr>
        <w:t xml:space="preserve"> at</w:t>
      </w:r>
      <w:r w:rsidRPr="006F240B">
        <w:rPr>
          <w:szCs w:val="22"/>
        </w:rPr>
        <w:t xml:space="preserve"> Section 3.6.</w:t>
      </w:r>
    </w:p>
  </w:footnote>
  <w:footnote w:id="44">
    <w:p w14:paraId="7B89B911" w14:textId="1172968C" w:rsidR="00610D20" w:rsidRPr="006F240B" w:rsidRDefault="00610D20" w:rsidP="006F240B">
      <w:pPr>
        <w:pStyle w:val="FootnoteText"/>
        <w:rPr>
          <w:szCs w:val="22"/>
        </w:rPr>
      </w:pPr>
      <w:r w:rsidRPr="006F240B">
        <w:rPr>
          <w:rStyle w:val="FootnoteReference"/>
          <w:szCs w:val="22"/>
        </w:rPr>
        <w:footnoteRef/>
      </w:r>
      <w:r w:rsidRPr="006F240B">
        <w:rPr>
          <w:szCs w:val="22"/>
        </w:rPr>
        <w:t xml:space="preserve"> Settlement Agreement</w:t>
      </w:r>
      <w:r w:rsidR="002E0D63">
        <w:rPr>
          <w:szCs w:val="22"/>
        </w:rPr>
        <w:t xml:space="preserve"> at</w:t>
      </w:r>
      <w:r w:rsidRPr="006F240B">
        <w:rPr>
          <w:szCs w:val="22"/>
        </w:rPr>
        <w:t xml:space="preserve"> Section 3.7.</w:t>
      </w:r>
    </w:p>
  </w:footnote>
  <w:footnote w:id="45">
    <w:p w14:paraId="6B9B65A8" w14:textId="77777777" w:rsidR="00691ACD" w:rsidRPr="006F240B" w:rsidRDefault="00691ACD" w:rsidP="00691ACD">
      <w:pPr>
        <w:pStyle w:val="FootnoteText"/>
        <w:rPr>
          <w:szCs w:val="22"/>
          <w:lang w:val="en-ZW"/>
        </w:rPr>
      </w:pPr>
      <w:r w:rsidRPr="006F240B">
        <w:rPr>
          <w:rStyle w:val="FootnoteReference"/>
          <w:szCs w:val="22"/>
        </w:rPr>
        <w:footnoteRef/>
      </w:r>
      <w:r w:rsidRPr="006F240B">
        <w:rPr>
          <w:szCs w:val="22"/>
        </w:rPr>
        <w:t xml:space="preserve"> </w:t>
      </w:r>
      <w:r w:rsidRPr="00762F8D">
        <w:rPr>
          <w:rFonts w:eastAsia="Book Antiqua" w:cs="Book Antiqua"/>
          <w:i/>
          <w:iCs/>
          <w:color w:val="000000" w:themeColor="text1"/>
          <w:szCs w:val="22"/>
        </w:rPr>
        <w:t>Rheinhart v. Nissan N. Am., Inc.</w:t>
      </w:r>
      <w:r w:rsidRPr="00762F8D">
        <w:rPr>
          <w:rFonts w:eastAsia="Book Antiqua" w:cs="Book Antiqua"/>
          <w:color w:val="000000" w:themeColor="text1"/>
          <w:szCs w:val="22"/>
        </w:rPr>
        <w:t xml:space="preserve">, 92 Cal.App.5th 1016, 1027 (Cal. Ct. App. 2023) (stating “California has a strong public policy favoring the voluntary settlement of disputes” and citing </w:t>
      </w:r>
      <w:r w:rsidRPr="00762F8D">
        <w:rPr>
          <w:rFonts w:eastAsia="Book Antiqua" w:cs="Book Antiqua"/>
          <w:i/>
          <w:iCs/>
          <w:color w:val="000000" w:themeColor="text1"/>
          <w:szCs w:val="22"/>
        </w:rPr>
        <w:t>Monster Energy Co. v. Schechter,</w:t>
      </w:r>
      <w:r w:rsidRPr="00762F8D">
        <w:rPr>
          <w:rFonts w:eastAsia="Book Antiqua" w:cs="Book Antiqua"/>
          <w:color w:val="000000" w:themeColor="text1"/>
          <w:szCs w:val="22"/>
        </w:rPr>
        <w:t xml:space="preserve"> </w:t>
      </w:r>
      <w:hyperlink r:id="rId1" w:anchor="p793" w:history="1">
        <w:r w:rsidRPr="00762F8D">
          <w:rPr>
            <w:rStyle w:val="Hyperlink"/>
            <w:rFonts w:eastAsia="Book Antiqua" w:cs="Book Antiqua"/>
            <w:color w:val="000000" w:themeColor="text1"/>
            <w:szCs w:val="22"/>
            <w:u w:val="none"/>
          </w:rPr>
          <w:t>7 Cal.5th 781, 793</w:t>
        </w:r>
      </w:hyperlink>
      <w:r w:rsidRPr="00762F8D">
        <w:rPr>
          <w:rFonts w:eastAsia="Book Antiqua" w:cs="Book Antiqua"/>
          <w:color w:val="000000" w:themeColor="text1"/>
          <w:szCs w:val="22"/>
        </w:rPr>
        <w:t xml:space="preserve"> (Cal. 2019), </w:t>
      </w:r>
      <w:hyperlink r:id="rId2" w:history="1">
        <w:r w:rsidRPr="00762F8D">
          <w:rPr>
            <w:rStyle w:val="Hyperlink"/>
            <w:rFonts w:eastAsia="Book Antiqua" w:cs="Book Antiqua"/>
            <w:color w:val="000000" w:themeColor="text1"/>
            <w:szCs w:val="22"/>
            <w:u w:val="none"/>
          </w:rPr>
          <w:t>249 Cal.Rptr.3d 295</w:t>
        </w:r>
      </w:hyperlink>
      <w:r w:rsidRPr="00762F8D">
        <w:rPr>
          <w:rFonts w:eastAsia="Book Antiqua" w:cs="Book Antiqua"/>
          <w:color w:val="000000" w:themeColor="text1"/>
          <w:szCs w:val="22"/>
        </w:rPr>
        <w:t xml:space="preserve">, </w:t>
      </w:r>
      <w:hyperlink r:id="rId3" w:history="1">
        <w:r w:rsidRPr="00762F8D">
          <w:rPr>
            <w:rStyle w:val="Hyperlink"/>
            <w:rFonts w:eastAsia="Book Antiqua" w:cs="Book Antiqua"/>
            <w:color w:val="000000" w:themeColor="text1"/>
            <w:szCs w:val="22"/>
            <w:u w:val="none"/>
          </w:rPr>
          <w:t>444 P.3d 97</w:t>
        </w:r>
      </w:hyperlink>
      <w:r w:rsidRPr="00762F8D">
        <w:rPr>
          <w:rFonts w:eastAsia="Book Antiqua" w:cs="Book Antiqua"/>
          <w:color w:val="000000" w:themeColor="text1"/>
          <w:szCs w:val="22"/>
        </w:rPr>
        <w:t xml:space="preserve">; </w:t>
      </w:r>
      <w:r w:rsidRPr="00762F8D">
        <w:rPr>
          <w:rFonts w:eastAsia="Book Antiqua" w:cs="Book Antiqua"/>
          <w:i/>
          <w:iCs/>
          <w:color w:val="000000" w:themeColor="text1"/>
          <w:szCs w:val="22"/>
        </w:rPr>
        <w:t>Zamora v. Clayborn Contracting Group, Inc.,</w:t>
      </w:r>
      <w:r w:rsidRPr="00762F8D">
        <w:rPr>
          <w:rFonts w:eastAsia="Book Antiqua" w:cs="Book Antiqua"/>
          <w:color w:val="000000" w:themeColor="text1"/>
          <w:szCs w:val="22"/>
        </w:rPr>
        <w:t xml:space="preserve"> </w:t>
      </w:r>
      <w:r w:rsidRPr="00762F8D">
        <w:rPr>
          <w:rFonts w:eastAsia="Book Antiqua" w:cs="Book Antiqua"/>
          <w:szCs w:val="22"/>
        </w:rPr>
        <w:t xml:space="preserve"> </w:t>
      </w:r>
      <w:hyperlink r:id="rId4" w:anchor="p260" w:history="1">
        <w:r w:rsidRPr="00762F8D">
          <w:rPr>
            <w:rStyle w:val="Hyperlink"/>
            <w:rFonts w:eastAsia="Book Antiqua" w:cs="Book Antiqua"/>
            <w:color w:val="000000" w:themeColor="text1"/>
            <w:szCs w:val="22"/>
            <w:u w:val="none"/>
          </w:rPr>
          <w:t>28 Cal.4th 249, 260</w:t>
        </w:r>
      </w:hyperlink>
      <w:r w:rsidRPr="00762F8D">
        <w:rPr>
          <w:rFonts w:eastAsia="Book Antiqua" w:cs="Book Antiqua"/>
          <w:color w:val="000000" w:themeColor="text1"/>
          <w:szCs w:val="22"/>
        </w:rPr>
        <w:t xml:space="preserve"> (Cal. 2002), </w:t>
      </w:r>
      <w:hyperlink r:id="rId5" w:history="1">
        <w:r w:rsidRPr="00762F8D">
          <w:rPr>
            <w:rStyle w:val="Hyperlink"/>
            <w:rFonts w:eastAsia="Book Antiqua" w:cs="Book Antiqua"/>
            <w:color w:val="000000" w:themeColor="text1"/>
            <w:szCs w:val="22"/>
            <w:u w:val="none"/>
          </w:rPr>
          <w:t>121 Cal.Rptr.2d 187</w:t>
        </w:r>
      </w:hyperlink>
      <w:r w:rsidRPr="00762F8D">
        <w:rPr>
          <w:rFonts w:eastAsia="Book Antiqua" w:cs="Book Antiqua"/>
          <w:color w:val="000000" w:themeColor="text1"/>
          <w:szCs w:val="22"/>
        </w:rPr>
        <w:t xml:space="preserve">, </w:t>
      </w:r>
      <w:hyperlink r:id="rId6" w:history="1">
        <w:r w:rsidRPr="00762F8D">
          <w:rPr>
            <w:rStyle w:val="Hyperlink"/>
            <w:rFonts w:eastAsia="Book Antiqua" w:cs="Book Antiqua"/>
            <w:color w:val="000000" w:themeColor="text1"/>
            <w:szCs w:val="22"/>
            <w:u w:val="none"/>
          </w:rPr>
          <w:t>47 P.3d 1056</w:t>
        </w:r>
      </w:hyperlink>
      <w:r w:rsidRPr="00762F8D">
        <w:rPr>
          <w:rFonts w:eastAsia="Book Antiqua" w:cs="Book Antiqua"/>
          <w:color w:val="000000" w:themeColor="text1"/>
          <w:szCs w:val="22"/>
        </w:rPr>
        <w:t xml:space="preserve"> ("the law favors settlements"); </w:t>
      </w:r>
      <w:r w:rsidRPr="00762F8D">
        <w:rPr>
          <w:rFonts w:eastAsia="Book Antiqua" w:cs="Book Antiqua"/>
          <w:i/>
          <w:iCs/>
          <w:color w:val="000000" w:themeColor="text1"/>
          <w:szCs w:val="22"/>
        </w:rPr>
        <w:t>Kaufman v. Goldman,</w:t>
      </w:r>
      <w:r w:rsidRPr="00762F8D">
        <w:rPr>
          <w:rFonts w:eastAsia="Book Antiqua" w:cs="Book Antiqua"/>
          <w:color w:val="000000" w:themeColor="text1"/>
          <w:szCs w:val="22"/>
        </w:rPr>
        <w:t xml:space="preserve"> </w:t>
      </w:r>
      <w:hyperlink r:id="rId7" w:anchor="p745" w:history="1">
        <w:r w:rsidRPr="00762F8D">
          <w:rPr>
            <w:rStyle w:val="Hyperlink"/>
            <w:rFonts w:eastAsia="Book Antiqua" w:cs="Book Antiqua"/>
            <w:color w:val="000000" w:themeColor="text1"/>
            <w:szCs w:val="22"/>
            <w:u w:val="none"/>
          </w:rPr>
          <w:t>195 Cal.App.4th 734, 745</w:t>
        </w:r>
      </w:hyperlink>
      <w:r w:rsidRPr="00762F8D">
        <w:rPr>
          <w:rFonts w:eastAsia="Book Antiqua" w:cs="Book Antiqua"/>
          <w:color w:val="000000" w:themeColor="text1"/>
          <w:szCs w:val="22"/>
        </w:rPr>
        <w:t xml:space="preserve"> (Cal. Ct. App. 2011), </w:t>
      </w:r>
      <w:hyperlink r:id="rId8" w:history="1">
        <w:r w:rsidRPr="00762F8D">
          <w:rPr>
            <w:rStyle w:val="Hyperlink"/>
            <w:rFonts w:eastAsia="Book Antiqua" w:cs="Book Antiqua"/>
            <w:color w:val="000000" w:themeColor="text1"/>
            <w:szCs w:val="22"/>
            <w:u w:val="none"/>
          </w:rPr>
          <w:t>124 Cal.Rptr.3d 555</w:t>
        </w:r>
      </w:hyperlink>
      <w:r w:rsidRPr="00762F8D">
        <w:rPr>
          <w:rFonts w:eastAsia="Book Antiqua" w:cs="Book Antiqua"/>
          <w:color w:val="000000" w:themeColor="text1"/>
          <w:szCs w:val="22"/>
        </w:rPr>
        <w:t xml:space="preserve"> (</w:t>
      </w:r>
      <w:r w:rsidRPr="00762F8D">
        <w:rPr>
          <w:rFonts w:eastAsia="Book Antiqua" w:cs="Book Antiqua"/>
          <w:i/>
          <w:iCs/>
          <w:color w:val="000000" w:themeColor="text1"/>
          <w:szCs w:val="22"/>
        </w:rPr>
        <w:t>Kaufman</w:t>
      </w:r>
      <w:r w:rsidRPr="00762F8D">
        <w:rPr>
          <w:rFonts w:eastAsia="Book Antiqua" w:cs="Book Antiqua"/>
          <w:color w:val="000000" w:themeColor="text1"/>
          <w:szCs w:val="22"/>
        </w:rPr>
        <w:t xml:space="preserve">); </w:t>
      </w:r>
      <w:r w:rsidRPr="00762F8D">
        <w:rPr>
          <w:rFonts w:eastAsia="Book Antiqua" w:cs="Book Antiqua"/>
          <w:i/>
          <w:iCs/>
          <w:color w:val="000000" w:themeColor="text1"/>
          <w:szCs w:val="22"/>
        </w:rPr>
        <w:t>Osumi v. Sutton</w:t>
      </w:r>
      <w:r w:rsidRPr="00762F8D">
        <w:rPr>
          <w:rFonts w:eastAsia="Book Antiqua" w:cs="Book Antiqua"/>
          <w:color w:val="000000" w:themeColor="text1"/>
          <w:szCs w:val="22"/>
        </w:rPr>
        <w:t xml:space="preserve">, </w:t>
      </w:r>
      <w:hyperlink r:id="rId9" w:anchor="p1359" w:history="1">
        <w:r w:rsidRPr="00762F8D">
          <w:rPr>
            <w:rStyle w:val="Hyperlink"/>
            <w:rFonts w:eastAsia="Book Antiqua" w:cs="Book Antiqua"/>
            <w:color w:val="000000" w:themeColor="text1"/>
            <w:szCs w:val="22"/>
            <w:u w:val="none"/>
          </w:rPr>
          <w:t>151 Cal.App.4th 1355, 1359</w:t>
        </w:r>
      </w:hyperlink>
      <w:r w:rsidRPr="00762F8D">
        <w:rPr>
          <w:rFonts w:eastAsia="Book Antiqua" w:cs="Book Antiqua"/>
          <w:color w:val="000000" w:themeColor="text1"/>
          <w:szCs w:val="22"/>
        </w:rPr>
        <w:t xml:space="preserve"> (Cal. Ct. App. 2011), </w:t>
      </w:r>
      <w:hyperlink r:id="rId10" w:history="1">
        <w:r w:rsidRPr="00762F8D">
          <w:rPr>
            <w:rStyle w:val="Hyperlink"/>
            <w:rFonts w:eastAsia="Book Antiqua" w:cs="Book Antiqua"/>
            <w:color w:val="000000" w:themeColor="text1"/>
            <w:szCs w:val="22"/>
            <w:u w:val="none"/>
          </w:rPr>
          <w:t>60 Cal.Rptr.3d 693</w:t>
        </w:r>
      </w:hyperlink>
      <w:r w:rsidRPr="00762F8D">
        <w:rPr>
          <w:rFonts w:eastAsia="Book Antiqua" w:cs="Book Antiqua"/>
          <w:color w:val="000000" w:themeColor="text1"/>
          <w:szCs w:val="22"/>
        </w:rPr>
        <w:t xml:space="preserve"> ("[i]t is, of course, the strong public policy of this state to encourage the voluntary settlement of litigation")). Settlement agreements "are highly favored as productive of peace and good will in the community, and reducing the expense and persistency of litigation." </w:t>
      </w:r>
      <w:r w:rsidRPr="00762F8D">
        <w:rPr>
          <w:rFonts w:eastAsia="Book Antiqua" w:cs="Book Antiqua"/>
          <w:i/>
          <w:iCs/>
          <w:color w:val="000000" w:themeColor="text1"/>
          <w:szCs w:val="22"/>
        </w:rPr>
        <w:t>McClure v. McClure,</w:t>
      </w:r>
      <w:r w:rsidRPr="00762F8D">
        <w:rPr>
          <w:rFonts w:eastAsia="Book Antiqua" w:cs="Book Antiqua"/>
          <w:color w:val="000000" w:themeColor="text1"/>
          <w:szCs w:val="22"/>
        </w:rPr>
        <w:t xml:space="preserve"> </w:t>
      </w:r>
      <w:hyperlink r:id="rId11" w:anchor="p343" w:history="1">
        <w:r w:rsidRPr="00762F8D">
          <w:rPr>
            <w:rStyle w:val="Hyperlink"/>
            <w:rFonts w:eastAsia="Book Antiqua" w:cs="Book Antiqua"/>
            <w:color w:val="000000" w:themeColor="text1"/>
            <w:szCs w:val="22"/>
            <w:u w:val="none"/>
          </w:rPr>
          <w:t>100 Cal. 339, 343</w:t>
        </w:r>
      </w:hyperlink>
      <w:r w:rsidRPr="00762F8D">
        <w:rPr>
          <w:rFonts w:eastAsia="Book Antiqua" w:cs="Book Antiqua"/>
          <w:color w:val="000000" w:themeColor="text1"/>
          <w:szCs w:val="22"/>
        </w:rPr>
        <w:t xml:space="preserve"> (Cal. 1893).</w:t>
      </w:r>
    </w:p>
  </w:footnote>
  <w:footnote w:id="46">
    <w:p w14:paraId="12FD2068" w14:textId="77777777" w:rsidR="00924219" w:rsidRPr="00762F8D" w:rsidRDefault="00924219" w:rsidP="00924219">
      <w:pPr>
        <w:pStyle w:val="FootnoteText"/>
        <w:rPr>
          <w:szCs w:val="22"/>
          <w:lang w:val="en-ZW"/>
        </w:rPr>
      </w:pPr>
      <w:r w:rsidRPr="00762F8D">
        <w:rPr>
          <w:rStyle w:val="FootnoteReference"/>
          <w:szCs w:val="22"/>
        </w:rPr>
        <w:footnoteRef/>
      </w:r>
      <w:r w:rsidRPr="00762F8D">
        <w:rPr>
          <w:szCs w:val="22"/>
        </w:rPr>
        <w:t xml:space="preserve"> </w:t>
      </w:r>
      <w:r w:rsidRPr="00762F8D">
        <w:rPr>
          <w:rFonts w:eastAsia="Book Antiqua" w:cs="Book Antiqua"/>
          <w:i/>
          <w:iCs/>
          <w:color w:val="000000" w:themeColor="text1"/>
          <w:szCs w:val="22"/>
        </w:rPr>
        <w:t>See, e.g., Rheinhart v. Nissan N. Am., Inc.</w:t>
      </w:r>
      <w:r w:rsidRPr="00762F8D">
        <w:rPr>
          <w:rFonts w:eastAsia="Book Antiqua" w:cs="Book Antiqua"/>
          <w:color w:val="000000" w:themeColor="text1"/>
          <w:szCs w:val="22"/>
        </w:rPr>
        <w:t>, 92 Cal.App.5th at 1027 (“Notwithstanding that policy, courts can declare settlement agreements and releases, which the law treats like any other contracts (</w:t>
      </w:r>
      <w:r w:rsidRPr="00762F8D">
        <w:rPr>
          <w:rFonts w:eastAsia="Book Antiqua" w:cs="Book Antiqua"/>
          <w:i/>
          <w:iCs/>
          <w:color w:val="000000" w:themeColor="text1"/>
          <w:szCs w:val="22"/>
        </w:rPr>
        <w:t>Timney v. Lin</w:t>
      </w:r>
      <w:r w:rsidRPr="00762F8D">
        <w:rPr>
          <w:rFonts w:eastAsia="Book Antiqua" w:cs="Book Antiqua"/>
          <w:color w:val="000000" w:themeColor="text1"/>
          <w:szCs w:val="22"/>
        </w:rPr>
        <w:t xml:space="preserve"> (2003) </w:t>
      </w:r>
      <w:hyperlink r:id="rId12" w:anchor="p1127" w:history="1">
        <w:r w:rsidRPr="00762F8D">
          <w:rPr>
            <w:rStyle w:val="Hyperlink"/>
            <w:rFonts w:eastAsia="Book Antiqua" w:cs="Book Antiqua"/>
            <w:color w:val="000000" w:themeColor="text1"/>
            <w:szCs w:val="22"/>
            <w:u w:val="none"/>
          </w:rPr>
          <w:t>106 Cal.App.4th 1121, 1127</w:t>
        </w:r>
      </w:hyperlink>
      <w:r w:rsidRPr="00762F8D">
        <w:rPr>
          <w:rFonts w:eastAsia="Book Antiqua" w:cs="Book Antiqua"/>
          <w:color w:val="000000" w:themeColor="text1"/>
          <w:szCs w:val="22"/>
        </w:rPr>
        <w:t xml:space="preserve">, </w:t>
      </w:r>
      <w:hyperlink r:id="rId13" w:history="1">
        <w:r w:rsidRPr="00762F8D">
          <w:rPr>
            <w:rStyle w:val="Hyperlink"/>
            <w:rFonts w:eastAsia="Book Antiqua" w:cs="Book Antiqua"/>
            <w:color w:val="000000" w:themeColor="text1"/>
            <w:szCs w:val="22"/>
            <w:u w:val="none"/>
          </w:rPr>
          <w:t>131 Cal.Rptr.2d 387</w:t>
        </w:r>
      </w:hyperlink>
      <w:r w:rsidRPr="00762F8D">
        <w:rPr>
          <w:rFonts w:eastAsia="Book Antiqua" w:cs="Book Antiqua"/>
          <w:color w:val="000000" w:themeColor="text1"/>
          <w:szCs w:val="22"/>
        </w:rPr>
        <w:t>), void and unenforceable on the basis of other public policies, illegality or unfairness.”).</w:t>
      </w:r>
    </w:p>
  </w:footnote>
  <w:footnote w:id="47">
    <w:p w14:paraId="05FE5E63" w14:textId="6E6E4F0B" w:rsidR="008E73C0" w:rsidRPr="008E73C0" w:rsidRDefault="008E73C0">
      <w:pPr>
        <w:pStyle w:val="FootnoteText"/>
        <w:rPr>
          <w:lang w:val="en-ZW"/>
        </w:rPr>
      </w:pPr>
      <w:r>
        <w:rPr>
          <w:rStyle w:val="FootnoteReference"/>
        </w:rPr>
        <w:footnoteRef/>
      </w:r>
      <w:r>
        <w:t xml:space="preserve"> </w:t>
      </w:r>
      <w:r w:rsidRPr="00922283">
        <w:rPr>
          <w:i/>
          <w:iCs/>
          <w:lang w:val="en-ZW"/>
        </w:rPr>
        <w:t>See</w:t>
      </w:r>
      <w:r>
        <w:rPr>
          <w:lang w:val="en-ZW"/>
        </w:rPr>
        <w:t xml:space="preserve"> D.11</w:t>
      </w:r>
      <w:r w:rsidR="00922283">
        <w:rPr>
          <w:lang w:val="en-ZW"/>
        </w:rPr>
        <w:t>-05-018 at 16</w:t>
      </w:r>
      <w:r w:rsidR="00845730">
        <w:rPr>
          <w:lang w:val="en-ZW"/>
        </w:rPr>
        <w:t xml:space="preserve"> (emphasis added)</w:t>
      </w:r>
      <w:r w:rsidR="00922283">
        <w:rPr>
          <w:lang w:val="en-ZW"/>
        </w:rPr>
        <w:t>.</w:t>
      </w:r>
    </w:p>
  </w:footnote>
  <w:footnote w:id="48">
    <w:p w14:paraId="31AC2980" w14:textId="77777777" w:rsidR="002B6230" w:rsidRPr="006F240B" w:rsidRDefault="002B6230" w:rsidP="002B6230">
      <w:pPr>
        <w:pStyle w:val="FootnoteText"/>
        <w:rPr>
          <w:szCs w:val="22"/>
          <w:lang w:val="en-ZW"/>
        </w:rPr>
      </w:pPr>
      <w:r w:rsidRPr="006F240B">
        <w:rPr>
          <w:rStyle w:val="FootnoteReference"/>
          <w:szCs w:val="22"/>
        </w:rPr>
        <w:footnoteRef/>
      </w:r>
      <w:r w:rsidRPr="006F240B">
        <w:rPr>
          <w:szCs w:val="22"/>
        </w:rPr>
        <w:t xml:space="preserve"> </w:t>
      </w:r>
      <w:r w:rsidRPr="00762F8D">
        <w:rPr>
          <w:rFonts w:eastAsia="Book Antiqua" w:cs="Book Antiqua"/>
          <w:i/>
          <w:iCs/>
          <w:color w:val="000000" w:themeColor="text1"/>
          <w:szCs w:val="22"/>
        </w:rPr>
        <w:t xml:space="preserve">See, e.g., </w:t>
      </w:r>
      <w:r w:rsidRPr="006F240B">
        <w:rPr>
          <w:rFonts w:eastAsia="Book Antiqua" w:cs="Book Antiqua"/>
          <w:szCs w:val="22"/>
        </w:rPr>
        <w:t>D.12</w:t>
      </w:r>
      <w:r w:rsidRPr="006F240B">
        <w:rPr>
          <w:rFonts w:ascii="Cambria Math" w:eastAsia="Book Antiqua" w:hAnsi="Cambria Math" w:cs="Cambria Math"/>
          <w:szCs w:val="22"/>
        </w:rPr>
        <w:t>‑</w:t>
      </w:r>
      <w:r w:rsidRPr="006F240B">
        <w:rPr>
          <w:rFonts w:eastAsia="Book Antiqua" w:cs="Book Antiqua"/>
          <w:szCs w:val="22"/>
        </w:rPr>
        <w:t>10</w:t>
      </w:r>
      <w:r w:rsidRPr="006F240B">
        <w:rPr>
          <w:rFonts w:ascii="Cambria Math" w:eastAsia="Book Antiqua" w:hAnsi="Cambria Math" w:cs="Cambria Math"/>
          <w:szCs w:val="22"/>
        </w:rPr>
        <w:t>‑</w:t>
      </w:r>
      <w:r w:rsidRPr="006F240B">
        <w:rPr>
          <w:rFonts w:eastAsia="Book Antiqua" w:cs="Book Antiqua"/>
          <w:szCs w:val="22"/>
        </w:rPr>
        <w:t>019, Order Denying Rehearing of D.08</w:t>
      </w:r>
      <w:r w:rsidRPr="006F240B">
        <w:rPr>
          <w:rFonts w:ascii="Cambria Math" w:eastAsia="Book Antiqua" w:hAnsi="Cambria Math" w:cs="Cambria Math"/>
          <w:szCs w:val="22"/>
        </w:rPr>
        <w:t>‑</w:t>
      </w:r>
      <w:r w:rsidRPr="006F240B">
        <w:rPr>
          <w:rFonts w:eastAsia="Book Antiqua" w:cs="Book Antiqua"/>
          <w:szCs w:val="22"/>
        </w:rPr>
        <w:t>08</w:t>
      </w:r>
      <w:r w:rsidRPr="006F240B">
        <w:rPr>
          <w:rFonts w:ascii="Cambria Math" w:eastAsia="Book Antiqua" w:hAnsi="Cambria Math" w:cs="Cambria Math"/>
          <w:szCs w:val="22"/>
        </w:rPr>
        <w:t>‑</w:t>
      </w:r>
      <w:r w:rsidRPr="006F240B">
        <w:rPr>
          <w:rFonts w:eastAsia="Book Antiqua" w:cs="Book Antiqua"/>
          <w:szCs w:val="22"/>
        </w:rPr>
        <w:t>030 (October 11, 2012) at 14-15; D.09</w:t>
      </w:r>
      <w:r w:rsidRPr="006F240B">
        <w:rPr>
          <w:rFonts w:ascii="Cambria Math" w:eastAsia="Book Antiqua" w:hAnsi="Cambria Math" w:cs="Cambria Math"/>
          <w:szCs w:val="22"/>
        </w:rPr>
        <w:t>‑</w:t>
      </w:r>
      <w:r w:rsidRPr="006F240B">
        <w:rPr>
          <w:rFonts w:eastAsia="Book Antiqua" w:cs="Book Antiqua"/>
          <w:szCs w:val="22"/>
        </w:rPr>
        <w:t>11</w:t>
      </w:r>
      <w:r w:rsidRPr="006F240B">
        <w:rPr>
          <w:rFonts w:ascii="Cambria Math" w:eastAsia="Book Antiqua" w:hAnsi="Cambria Math" w:cs="Cambria Math"/>
          <w:szCs w:val="22"/>
        </w:rPr>
        <w:t>‑</w:t>
      </w:r>
      <w:r w:rsidRPr="006F240B">
        <w:rPr>
          <w:rFonts w:eastAsia="Book Antiqua" w:cs="Book Antiqua"/>
          <w:szCs w:val="22"/>
        </w:rPr>
        <w:t>008, Decision Denying Motion to Adopt Contested Settlement and Dismissing Application (November 20, 2009) at 6.</w:t>
      </w:r>
    </w:p>
  </w:footnote>
  <w:footnote w:id="49">
    <w:p w14:paraId="666297D5" w14:textId="77777777" w:rsidR="00C71EC6" w:rsidRPr="006F240B" w:rsidRDefault="00C71EC6" w:rsidP="00C71EC6">
      <w:pPr>
        <w:pStyle w:val="FootnoteText"/>
        <w:rPr>
          <w:szCs w:val="22"/>
        </w:rPr>
      </w:pPr>
      <w:r w:rsidRPr="006F240B">
        <w:rPr>
          <w:rStyle w:val="FootnoteReference"/>
          <w:szCs w:val="22"/>
        </w:rPr>
        <w:footnoteRef/>
      </w:r>
      <w:r w:rsidRPr="006F240B">
        <w:rPr>
          <w:szCs w:val="22"/>
        </w:rPr>
        <w:t xml:space="preserve"> </w:t>
      </w:r>
      <w:r w:rsidRPr="006F240B">
        <w:rPr>
          <w:i/>
          <w:iCs/>
          <w:szCs w:val="22"/>
        </w:rPr>
        <w:t>See</w:t>
      </w:r>
      <w:r w:rsidRPr="006F240B">
        <w:rPr>
          <w:szCs w:val="22"/>
        </w:rPr>
        <w:t xml:space="preserve"> Joint Motion at 10-11.</w:t>
      </w:r>
    </w:p>
  </w:footnote>
  <w:footnote w:id="50">
    <w:p w14:paraId="3668FB86" w14:textId="77777777" w:rsidR="0053108B" w:rsidRPr="00B73347" w:rsidRDefault="0053108B" w:rsidP="0053108B">
      <w:pPr>
        <w:pStyle w:val="FootnoteText"/>
        <w:rPr>
          <w:lang w:val="en-ZW"/>
        </w:rPr>
      </w:pPr>
      <w:r>
        <w:rPr>
          <w:rStyle w:val="FootnoteReference"/>
        </w:rPr>
        <w:footnoteRef/>
      </w:r>
      <w:r>
        <w:t xml:space="preserve"> </w:t>
      </w:r>
      <w:r w:rsidRPr="00B73347">
        <w:t xml:space="preserve">The Objecting Parties’ Responses and Protests specifically raised issues 1, 5, 6, and 8, while PG&amp;E’s Reply addressed issues 2, 3, and 4.  </w:t>
      </w:r>
      <w:r>
        <w:t xml:space="preserve">  </w:t>
      </w:r>
    </w:p>
  </w:footnote>
  <w:footnote w:id="51">
    <w:p w14:paraId="730945AD" w14:textId="77777777" w:rsidR="00EE283B" w:rsidRPr="006F240B" w:rsidRDefault="00EE283B" w:rsidP="00EE283B">
      <w:pPr>
        <w:pStyle w:val="FootnoteText"/>
        <w:rPr>
          <w:szCs w:val="22"/>
          <w:lang w:val="en-ZW"/>
        </w:rPr>
      </w:pPr>
      <w:r w:rsidRPr="006F240B">
        <w:rPr>
          <w:rStyle w:val="FootnoteReference"/>
          <w:szCs w:val="22"/>
        </w:rPr>
        <w:footnoteRef/>
      </w:r>
      <w:r w:rsidRPr="006F240B">
        <w:rPr>
          <w:szCs w:val="22"/>
        </w:rPr>
        <w:t xml:space="preserve"> </w:t>
      </w:r>
      <w:r w:rsidRPr="006F240B">
        <w:rPr>
          <w:i/>
          <w:iCs/>
          <w:szCs w:val="22"/>
        </w:rPr>
        <w:t>See</w:t>
      </w:r>
      <w:r w:rsidRPr="006F240B">
        <w:rPr>
          <w:szCs w:val="22"/>
        </w:rPr>
        <w:t xml:space="preserve"> </w:t>
      </w:r>
      <w:r>
        <w:rPr>
          <w:szCs w:val="22"/>
        </w:rPr>
        <w:t xml:space="preserve">A.24-03-011 at 13 and </w:t>
      </w:r>
      <w:r w:rsidRPr="006F240B">
        <w:rPr>
          <w:szCs w:val="22"/>
        </w:rPr>
        <w:t>Settlement Agreement at 2.20.</w:t>
      </w:r>
    </w:p>
  </w:footnote>
  <w:footnote w:id="52">
    <w:p w14:paraId="45C305FE" w14:textId="77777777" w:rsidR="00EE283B" w:rsidRPr="006F240B" w:rsidRDefault="00EE283B" w:rsidP="00EE283B">
      <w:pPr>
        <w:pStyle w:val="FootnoteText"/>
        <w:rPr>
          <w:szCs w:val="22"/>
        </w:rPr>
      </w:pPr>
      <w:r w:rsidRPr="006F240B">
        <w:rPr>
          <w:rStyle w:val="FootnoteReference"/>
          <w:szCs w:val="22"/>
        </w:rPr>
        <w:footnoteRef/>
      </w:r>
      <w:r w:rsidRPr="006F240B">
        <w:rPr>
          <w:szCs w:val="22"/>
        </w:rPr>
        <w:t xml:space="preserve"> Decision 24-11-010, Ordering Paragraph 1.</w:t>
      </w:r>
    </w:p>
  </w:footnote>
  <w:footnote w:id="53">
    <w:p w14:paraId="65C9BCC2" w14:textId="77777777" w:rsidR="00EE283B" w:rsidRPr="00B2270F" w:rsidRDefault="00EE283B" w:rsidP="00EE283B">
      <w:pPr>
        <w:pStyle w:val="FootnoteText"/>
        <w:rPr>
          <w:lang w:val="en-ZW"/>
        </w:rPr>
      </w:pPr>
      <w:r>
        <w:rPr>
          <w:rStyle w:val="FootnoteReference"/>
        </w:rPr>
        <w:footnoteRef/>
      </w:r>
      <w:r>
        <w:t xml:space="preserve"> </w:t>
      </w:r>
      <w:r w:rsidRPr="00C04D9A">
        <w:rPr>
          <w:i/>
          <w:iCs/>
        </w:rPr>
        <w:t>See</w:t>
      </w:r>
      <w:r>
        <w:t xml:space="preserve"> </w:t>
      </w:r>
      <w:r>
        <w:rPr>
          <w:lang w:val="en-ZW"/>
        </w:rPr>
        <w:t>Motion at 9.</w:t>
      </w:r>
    </w:p>
  </w:footnote>
  <w:footnote w:id="54">
    <w:p w14:paraId="075B565E" w14:textId="77777777" w:rsidR="00EE283B" w:rsidRPr="006F240B" w:rsidRDefault="00EE283B" w:rsidP="00EE283B">
      <w:pPr>
        <w:pStyle w:val="FootnoteText"/>
        <w:rPr>
          <w:szCs w:val="22"/>
          <w:lang w:val="en-ZW"/>
        </w:rPr>
      </w:pPr>
      <w:r w:rsidRPr="006F240B">
        <w:rPr>
          <w:rStyle w:val="FootnoteReference"/>
          <w:szCs w:val="22"/>
        </w:rPr>
        <w:footnoteRef/>
      </w:r>
      <w:r w:rsidRPr="006F240B">
        <w:rPr>
          <w:szCs w:val="22"/>
        </w:rPr>
        <w:t xml:space="preserve"> </w:t>
      </w:r>
      <w:r w:rsidRPr="006F240B">
        <w:rPr>
          <w:i/>
          <w:iCs/>
          <w:szCs w:val="22"/>
        </w:rPr>
        <w:t>See</w:t>
      </w:r>
      <w:r w:rsidRPr="006F240B">
        <w:rPr>
          <w:szCs w:val="22"/>
        </w:rPr>
        <w:t xml:space="preserve"> Settlement Agreement at 2.20 and 3.4.</w:t>
      </w:r>
    </w:p>
  </w:footnote>
  <w:footnote w:id="55">
    <w:p w14:paraId="560CF93D" w14:textId="77777777" w:rsidR="00EE283B" w:rsidRPr="006F240B" w:rsidRDefault="00EE283B" w:rsidP="00EE283B">
      <w:pPr>
        <w:pStyle w:val="FootnoteText"/>
        <w:rPr>
          <w:szCs w:val="22"/>
          <w:lang w:val="en-ZW"/>
        </w:rPr>
      </w:pPr>
      <w:r w:rsidRPr="006F240B">
        <w:rPr>
          <w:rStyle w:val="FootnoteReference"/>
          <w:szCs w:val="22"/>
        </w:rPr>
        <w:footnoteRef/>
      </w:r>
      <w:r w:rsidRPr="006F240B">
        <w:rPr>
          <w:szCs w:val="22"/>
        </w:rPr>
        <w:t xml:space="preserve"> </w:t>
      </w:r>
      <w:r w:rsidRPr="006F240B">
        <w:rPr>
          <w:i/>
          <w:iCs/>
          <w:szCs w:val="22"/>
        </w:rPr>
        <w:t>See</w:t>
      </w:r>
      <w:r w:rsidRPr="006F240B">
        <w:rPr>
          <w:szCs w:val="22"/>
        </w:rPr>
        <w:t xml:space="preserve"> Settlement Agreement at 2.20 and 3.4.</w:t>
      </w:r>
    </w:p>
  </w:footnote>
  <w:footnote w:id="56">
    <w:p w14:paraId="4AC26FA1" w14:textId="77777777" w:rsidR="00EE283B" w:rsidRPr="00700189" w:rsidRDefault="00EE283B" w:rsidP="00EE283B">
      <w:pPr>
        <w:pStyle w:val="FootnoteText"/>
        <w:rPr>
          <w:lang w:val="en-ZW"/>
        </w:rPr>
      </w:pPr>
      <w:r>
        <w:rPr>
          <w:rStyle w:val="FootnoteReference"/>
        </w:rPr>
        <w:footnoteRef/>
      </w:r>
      <w:r>
        <w:t xml:space="preserve"> </w:t>
      </w:r>
      <w:r w:rsidRPr="006F240B">
        <w:rPr>
          <w:i/>
          <w:iCs/>
          <w:szCs w:val="22"/>
        </w:rPr>
        <w:t>See</w:t>
      </w:r>
      <w:r w:rsidRPr="006F240B">
        <w:rPr>
          <w:szCs w:val="22"/>
        </w:rPr>
        <w:t xml:space="preserve"> Settlement Agreement at 3.4</w:t>
      </w:r>
      <w:r>
        <w:rPr>
          <w:szCs w:val="22"/>
        </w:rPr>
        <w:t xml:space="preserve"> (Line 3).</w:t>
      </w:r>
    </w:p>
  </w:footnote>
  <w:footnote w:id="57">
    <w:p w14:paraId="20413E7E" w14:textId="77777777" w:rsidR="00EE283B" w:rsidRPr="006F240B" w:rsidRDefault="00EE283B" w:rsidP="00EE283B">
      <w:pPr>
        <w:pStyle w:val="FootnoteText"/>
        <w:rPr>
          <w:szCs w:val="22"/>
          <w:lang w:val="en-ZW"/>
        </w:rPr>
      </w:pPr>
      <w:r w:rsidRPr="006F240B">
        <w:rPr>
          <w:rStyle w:val="FootnoteReference"/>
          <w:szCs w:val="22"/>
        </w:rPr>
        <w:footnoteRef/>
      </w:r>
      <w:r w:rsidRPr="006F240B">
        <w:rPr>
          <w:szCs w:val="22"/>
        </w:rPr>
        <w:t xml:space="preserve"> </w:t>
      </w:r>
      <w:r w:rsidRPr="006F240B">
        <w:rPr>
          <w:i/>
          <w:iCs/>
          <w:szCs w:val="22"/>
        </w:rPr>
        <w:t>See</w:t>
      </w:r>
      <w:r w:rsidRPr="006F240B">
        <w:rPr>
          <w:szCs w:val="22"/>
        </w:rPr>
        <w:t xml:space="preserve"> Settlement Agreement at 3.3.</w:t>
      </w:r>
    </w:p>
  </w:footnote>
  <w:footnote w:id="58">
    <w:p w14:paraId="02073ACC" w14:textId="77777777" w:rsidR="00EE283B" w:rsidRPr="006F240B" w:rsidRDefault="00EE283B" w:rsidP="00EE283B">
      <w:pPr>
        <w:pStyle w:val="FootnoteText"/>
        <w:rPr>
          <w:szCs w:val="22"/>
          <w:lang w:val="en-ZW"/>
        </w:rPr>
      </w:pPr>
      <w:r w:rsidRPr="006F240B">
        <w:rPr>
          <w:rStyle w:val="FootnoteReference"/>
          <w:szCs w:val="22"/>
        </w:rPr>
        <w:footnoteRef/>
      </w:r>
      <w:r w:rsidRPr="006F240B">
        <w:rPr>
          <w:szCs w:val="22"/>
        </w:rPr>
        <w:t xml:space="preserve"> </w:t>
      </w:r>
      <w:r w:rsidRPr="006F240B">
        <w:rPr>
          <w:i/>
          <w:iCs/>
          <w:szCs w:val="22"/>
        </w:rPr>
        <w:t>See</w:t>
      </w:r>
      <w:r w:rsidRPr="006F240B">
        <w:rPr>
          <w:szCs w:val="22"/>
        </w:rPr>
        <w:t xml:space="preserve"> Settlement Agreement at 3.4.</w:t>
      </w:r>
    </w:p>
  </w:footnote>
  <w:footnote w:id="59">
    <w:p w14:paraId="2D818648" w14:textId="4774C908" w:rsidR="005F4B51" w:rsidRPr="00401DAC"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1-2 (recounting ”</w:t>
      </w:r>
      <w:r w:rsidRPr="00EA4034">
        <w:t>In</w:t>
      </w:r>
      <w:r>
        <w:t xml:space="preserve"> that </w:t>
      </w:r>
      <w:r w:rsidRPr="00EA4034">
        <w:t>2023 GRC, Cal Advocates and TURN recommended removing costs associated with</w:t>
      </w:r>
      <w:r>
        <w:t xml:space="preserve"> </w:t>
      </w:r>
      <w:r w:rsidRPr="00EA4034">
        <w:t>replacing Gas Modules from PG&amp;E’s forecast, including the cost of replacing all the GAMI</w:t>
      </w:r>
      <w:r>
        <w:t xml:space="preserve"> </w:t>
      </w:r>
      <w:r w:rsidRPr="00EA4034">
        <w:t>1.0 Modules that failed prior to the end of their service lives. TURN argued that PG&amp;E should</w:t>
      </w:r>
      <w:r>
        <w:t xml:space="preserve"> </w:t>
      </w:r>
      <w:r w:rsidRPr="00EA4034">
        <w:t>be required to provide evidence on the degree of responsibility for the earlier-than expected</w:t>
      </w:r>
      <w:r>
        <w:t xml:space="preserve"> </w:t>
      </w:r>
      <w:r w:rsidRPr="00EA4034">
        <w:t>failures of Gas Modules. TURN also argued that PG&amp;E should present a proposal that shares</w:t>
      </w:r>
      <w:r>
        <w:t xml:space="preserve"> </w:t>
      </w:r>
      <w:r w:rsidRPr="00EA4034">
        <w:t>costs between ratepayers and shareholders. Similarly, Cal Advocates recommended that capital</w:t>
      </w:r>
      <w:r>
        <w:t xml:space="preserve"> </w:t>
      </w:r>
      <w:r w:rsidRPr="00EA4034">
        <w:t>costs for replacement of Gas Modules should be shared among ratepayers, shareholders, and the</w:t>
      </w:r>
      <w:r>
        <w:t xml:space="preserve"> </w:t>
      </w:r>
      <w:r w:rsidRPr="00EA4034">
        <w:t>Gas Module manufacturer.</w:t>
      </w:r>
      <w:r>
        <w:t>”).</w:t>
      </w:r>
    </w:p>
  </w:footnote>
  <w:footnote w:id="60">
    <w:p w14:paraId="5D0950A5" w14:textId="77777777" w:rsidR="005F4B51" w:rsidRPr="0046617B"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2-3 and Exhibit A (Chapter 4 of prepared testimony).</w:t>
      </w:r>
    </w:p>
  </w:footnote>
  <w:footnote w:id="61">
    <w:p w14:paraId="4967B7A3" w14:textId="77777777" w:rsidR="005F4B51" w:rsidRPr="00315AA4"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3 and Exhibit B (prepared testimony).</w:t>
      </w:r>
    </w:p>
  </w:footnote>
  <w:footnote w:id="62">
    <w:p w14:paraId="2AFCBF0F" w14:textId="77777777" w:rsidR="005F4B51" w:rsidRPr="00613CCD"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3 and Exhibit C (prepared testimony).</w:t>
      </w:r>
    </w:p>
  </w:footnote>
  <w:footnote w:id="63">
    <w:p w14:paraId="3D3A69EE" w14:textId="77777777" w:rsidR="005F4B51" w:rsidRPr="00772E6A"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3 and Exhibit C (prepared testimony).</w:t>
      </w:r>
    </w:p>
  </w:footnote>
  <w:footnote w:id="64">
    <w:p w14:paraId="04FEB43E" w14:textId="77777777" w:rsidR="005F4B51" w:rsidRPr="00FA2DB1"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3 and Exhibit C (prepared testimony).</w:t>
      </w:r>
    </w:p>
  </w:footnote>
  <w:footnote w:id="65">
    <w:p w14:paraId="3A556DC3" w14:textId="77777777" w:rsidR="005F4B51" w:rsidRPr="00B051C5"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3-4 and Exhibit D (prepared testimony).</w:t>
      </w:r>
    </w:p>
  </w:footnote>
  <w:footnote w:id="66">
    <w:p w14:paraId="7A60B75D" w14:textId="77777777" w:rsidR="005F4B51" w:rsidRPr="009E5005"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4 and Exhibit D (prepared testimony).</w:t>
      </w:r>
    </w:p>
  </w:footnote>
  <w:footnote w:id="67">
    <w:p w14:paraId="6B676FB5" w14:textId="77777777" w:rsidR="005F4B51" w:rsidRPr="005F786E"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4 and Exhibit E (prepared testimony).</w:t>
      </w:r>
    </w:p>
  </w:footnote>
  <w:footnote w:id="68">
    <w:p w14:paraId="7A355595" w14:textId="66512334" w:rsidR="005F4B51" w:rsidRPr="009064EB"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 xml:space="preserve">October 27, 2025 Joint Supplemental Statement at 4 and Exhibits B and E (prepared testimony). </w:t>
      </w:r>
      <w:r w:rsidRPr="00FF2865">
        <w:rPr>
          <w:i/>
          <w:iCs/>
          <w:lang w:val="en-ZW"/>
        </w:rPr>
        <w:t>See also</w:t>
      </w:r>
      <w:r>
        <w:rPr>
          <w:lang w:val="en-ZW"/>
        </w:rPr>
        <w:t xml:space="preserve">, October 27, 2025 Joint Supplemental Statement at 4 and Exhibit F (PG&amp;E data request response, </w:t>
      </w:r>
      <w:r>
        <w:t xml:space="preserve">addressing </w:t>
      </w:r>
      <w:r w:rsidRPr="007764FF">
        <w:t>PG&amp;E’s calculation of $9.83 million of undepreciated plant</w:t>
      </w:r>
      <w:r>
        <w:t xml:space="preserve"> </w:t>
      </w:r>
      <w:r w:rsidRPr="007764FF">
        <w:t>balances for GAMI 1.0 Modules that were replaced between 2023-2026 before reaching the</w:t>
      </w:r>
      <w:r>
        <w:t xml:space="preserve"> </w:t>
      </w:r>
      <w:r w:rsidRPr="007764FF">
        <w:t>end of their service lives</w:t>
      </w:r>
      <w:r>
        <w:t>)</w:t>
      </w:r>
      <w:r w:rsidRPr="007764FF">
        <w:t>.</w:t>
      </w:r>
    </w:p>
  </w:footnote>
  <w:footnote w:id="69">
    <w:p w14:paraId="6B212572" w14:textId="77777777" w:rsidR="005F4B51" w:rsidRPr="00562D6B"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4 and Exhibit E (prepared testimony).</w:t>
      </w:r>
    </w:p>
  </w:footnote>
  <w:footnote w:id="70">
    <w:p w14:paraId="71A66B0A" w14:textId="77777777" w:rsidR="005F4B51" w:rsidRPr="001B124B"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 xml:space="preserve">October 27, 2025 Joint Supplemental Statement at 5; Settlement Agreement at Sections 2.2 and 3.2. </w:t>
      </w:r>
      <w:r w:rsidRPr="00B5242D">
        <w:rPr>
          <w:i/>
          <w:iCs/>
          <w:lang w:val="en-ZW"/>
        </w:rPr>
        <w:t>See also</w:t>
      </w:r>
      <w:r>
        <w:rPr>
          <w:lang w:val="en-ZW"/>
        </w:rPr>
        <w:t>, Table 2.</w:t>
      </w:r>
    </w:p>
  </w:footnote>
  <w:footnote w:id="71">
    <w:p w14:paraId="18655CBD" w14:textId="77777777" w:rsidR="005F4B51" w:rsidRPr="005F0614"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October 27, 2025 Joint Supplemental Statement at 5; Settlement Agreement at Sections 2.2 and 3.1.</w:t>
      </w:r>
    </w:p>
  </w:footnote>
  <w:footnote w:id="72">
    <w:p w14:paraId="03A38D1D" w14:textId="77777777" w:rsidR="005F4B51" w:rsidRPr="000B61E1"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 xml:space="preserve">October 27, 2025 Joint Supplemental Statement at 5; Settlement Agreement at Section 3.3. </w:t>
      </w:r>
    </w:p>
  </w:footnote>
  <w:footnote w:id="73">
    <w:p w14:paraId="34694BD5" w14:textId="77777777" w:rsidR="005F4B51" w:rsidRPr="00CE0F12" w:rsidRDefault="005F4B51" w:rsidP="005F4B51">
      <w:pPr>
        <w:pStyle w:val="FootnoteText"/>
        <w:rPr>
          <w:lang w:val="en-ZW"/>
        </w:rPr>
      </w:pPr>
      <w:r>
        <w:rPr>
          <w:rStyle w:val="FootnoteReference"/>
        </w:rPr>
        <w:footnoteRef/>
      </w:r>
      <w:r>
        <w:t xml:space="preserve"> </w:t>
      </w:r>
      <w:r w:rsidRPr="006F0781">
        <w:rPr>
          <w:i/>
          <w:iCs/>
        </w:rPr>
        <w:t>See</w:t>
      </w:r>
      <w:r>
        <w:t xml:space="preserve"> </w:t>
      </w:r>
      <w:r>
        <w:rPr>
          <w:lang w:val="en-ZW"/>
        </w:rPr>
        <w:t xml:space="preserve">October 27, 2025 Joint Supplemental Statement at 5; Settlement Agreement at Section 3.4. </w:t>
      </w:r>
      <w:r w:rsidRPr="00B5242D">
        <w:rPr>
          <w:i/>
          <w:iCs/>
          <w:lang w:val="en-ZW"/>
        </w:rPr>
        <w:t>See also</w:t>
      </w:r>
      <w:r>
        <w:rPr>
          <w:lang w:val="en-ZW"/>
        </w:rPr>
        <w:t>, Table 1.</w:t>
      </w:r>
    </w:p>
  </w:footnote>
  <w:footnote w:id="74">
    <w:p w14:paraId="5C13FE11" w14:textId="1DCD6775" w:rsidR="006F0781" w:rsidRPr="006F0781" w:rsidRDefault="006F0781">
      <w:pPr>
        <w:pStyle w:val="FootnoteText"/>
        <w:rPr>
          <w:lang w:val="en-ZW"/>
        </w:rPr>
      </w:pPr>
      <w:r>
        <w:rPr>
          <w:rStyle w:val="FootnoteReference"/>
        </w:rPr>
        <w:footnoteRef/>
      </w:r>
      <w:r>
        <w:t xml:space="preserve"> </w:t>
      </w:r>
      <w:r w:rsidRPr="006F0781">
        <w:rPr>
          <w:i/>
          <w:iCs/>
        </w:rPr>
        <w:t>See</w:t>
      </w:r>
      <w:r>
        <w:t xml:space="preserve"> </w:t>
      </w:r>
      <w:r>
        <w:rPr>
          <w:lang w:val="en-ZW"/>
        </w:rPr>
        <w:t>July 22, 2025 Joint Supplemental Statement at 1-2 (citing record testimony).</w:t>
      </w:r>
    </w:p>
  </w:footnote>
  <w:footnote w:id="75">
    <w:p w14:paraId="10D6A58D" w14:textId="6DCB39B3" w:rsidR="001F6D22" w:rsidRPr="001F6D22" w:rsidRDefault="001F6D22">
      <w:pPr>
        <w:pStyle w:val="FootnoteText"/>
        <w:rPr>
          <w:lang w:val="en-ZW"/>
        </w:rPr>
      </w:pPr>
      <w:r>
        <w:rPr>
          <w:rStyle w:val="FootnoteReference"/>
        </w:rPr>
        <w:footnoteRef/>
      </w:r>
      <w:r>
        <w:t xml:space="preserve"> </w:t>
      </w:r>
      <w:r w:rsidRPr="006F0781">
        <w:rPr>
          <w:i/>
          <w:iCs/>
        </w:rPr>
        <w:t>See</w:t>
      </w:r>
      <w:r>
        <w:t xml:space="preserve"> </w:t>
      </w:r>
      <w:r>
        <w:rPr>
          <w:lang w:val="en-ZW"/>
        </w:rPr>
        <w:t>July 22, 2025 Joint Supplemental Statement at 2 (citing record testimony).</w:t>
      </w:r>
    </w:p>
  </w:footnote>
  <w:footnote w:id="76">
    <w:p w14:paraId="17BE9B14" w14:textId="38A682CF" w:rsidR="00285FD5" w:rsidRPr="00285FD5" w:rsidRDefault="00285FD5">
      <w:pPr>
        <w:pStyle w:val="FootnoteText"/>
        <w:rPr>
          <w:lang w:val="en-ZW"/>
        </w:rPr>
      </w:pPr>
      <w:r>
        <w:rPr>
          <w:rStyle w:val="FootnoteReference"/>
        </w:rPr>
        <w:footnoteRef/>
      </w:r>
      <w:r>
        <w:t xml:space="preserve"> </w:t>
      </w:r>
      <w:r w:rsidRPr="006F0781">
        <w:rPr>
          <w:i/>
          <w:iCs/>
        </w:rPr>
        <w:t>See</w:t>
      </w:r>
      <w:r>
        <w:t xml:space="preserve"> </w:t>
      </w:r>
      <w:r>
        <w:rPr>
          <w:lang w:val="en-ZW"/>
        </w:rPr>
        <w:t>July 22, 2025 Joint Supplemental Statement at 2 (citing record testimony).</w:t>
      </w:r>
    </w:p>
  </w:footnote>
  <w:footnote w:id="77">
    <w:p w14:paraId="13D4B7CA" w14:textId="405EBDF3" w:rsidR="002E78D9" w:rsidRPr="002E78D9" w:rsidRDefault="002E78D9">
      <w:pPr>
        <w:pStyle w:val="FootnoteText"/>
        <w:rPr>
          <w:lang w:val="en-ZW"/>
        </w:rPr>
      </w:pPr>
      <w:r>
        <w:rPr>
          <w:rStyle w:val="FootnoteReference"/>
        </w:rPr>
        <w:footnoteRef/>
      </w:r>
      <w:r>
        <w:t xml:space="preserve"> </w:t>
      </w:r>
      <w:r w:rsidRPr="006F0781">
        <w:rPr>
          <w:i/>
          <w:iCs/>
        </w:rPr>
        <w:t>See</w:t>
      </w:r>
      <w:r>
        <w:t xml:space="preserve"> </w:t>
      </w:r>
      <w:r>
        <w:rPr>
          <w:lang w:val="en-ZW"/>
        </w:rPr>
        <w:t>July 22, 2025 Joint Supplemental Statement at 2 (citing record testimony).</w:t>
      </w:r>
    </w:p>
  </w:footnote>
  <w:footnote w:id="78">
    <w:p w14:paraId="7BBE8464" w14:textId="1C67ECF8" w:rsidR="005F5B85" w:rsidRPr="005F5B85" w:rsidRDefault="005F5B85">
      <w:pPr>
        <w:pStyle w:val="FootnoteText"/>
        <w:rPr>
          <w:lang w:val="en-ZW"/>
        </w:rPr>
      </w:pPr>
      <w:r>
        <w:rPr>
          <w:rStyle w:val="FootnoteReference"/>
        </w:rPr>
        <w:footnoteRef/>
      </w:r>
      <w:r>
        <w:t xml:space="preserve"> </w:t>
      </w:r>
      <w:r w:rsidRPr="006F0781">
        <w:rPr>
          <w:i/>
          <w:iCs/>
        </w:rPr>
        <w:t>See</w:t>
      </w:r>
      <w:r>
        <w:t xml:space="preserve"> </w:t>
      </w:r>
      <w:r>
        <w:rPr>
          <w:lang w:val="en-ZW"/>
        </w:rPr>
        <w:t>July 22, 2025 Joint Supplemental Statement at 2-3 (citing record testimony).</w:t>
      </w:r>
    </w:p>
  </w:footnote>
  <w:footnote w:id="79">
    <w:p w14:paraId="0694B672" w14:textId="3A02060C" w:rsidR="005F5B85" w:rsidRPr="005F5B85" w:rsidRDefault="005F5B85">
      <w:pPr>
        <w:pStyle w:val="FootnoteText"/>
        <w:rPr>
          <w:lang w:val="en-ZW"/>
        </w:rPr>
      </w:pPr>
      <w:r>
        <w:rPr>
          <w:rStyle w:val="FootnoteReference"/>
        </w:rPr>
        <w:footnoteRef/>
      </w:r>
      <w:r>
        <w:t xml:space="preserve"> </w:t>
      </w:r>
      <w:r w:rsidR="00F56A33" w:rsidRPr="006F0781">
        <w:rPr>
          <w:i/>
          <w:iCs/>
        </w:rPr>
        <w:t>See</w:t>
      </w:r>
      <w:r w:rsidR="00F56A33">
        <w:t xml:space="preserve"> </w:t>
      </w:r>
      <w:r w:rsidR="00F56A33">
        <w:rPr>
          <w:lang w:val="en-ZW"/>
        </w:rPr>
        <w:t>July 22, 2025 Joint Supplemental Statement at 3 (citing record testimony).</w:t>
      </w:r>
    </w:p>
  </w:footnote>
  <w:footnote w:id="80">
    <w:p w14:paraId="06E68A7B" w14:textId="695777CD" w:rsidR="003016B6" w:rsidRPr="006F240B" w:rsidRDefault="003016B6" w:rsidP="006F240B">
      <w:pPr>
        <w:pStyle w:val="FootnoteText"/>
        <w:rPr>
          <w:szCs w:val="22"/>
        </w:rPr>
      </w:pPr>
      <w:r w:rsidRPr="006F240B">
        <w:rPr>
          <w:rStyle w:val="FootnoteReference"/>
          <w:szCs w:val="22"/>
        </w:rPr>
        <w:footnoteRef/>
      </w:r>
      <w:r w:rsidRPr="006F240B">
        <w:rPr>
          <w:szCs w:val="22"/>
        </w:rPr>
        <w:t xml:space="preserve"> </w:t>
      </w:r>
      <w:r w:rsidR="00DE070D" w:rsidRPr="006F240B">
        <w:rPr>
          <w:i/>
          <w:iCs/>
          <w:szCs w:val="22"/>
        </w:rPr>
        <w:t>See</w:t>
      </w:r>
      <w:r w:rsidR="00DE070D" w:rsidRPr="006F240B">
        <w:rPr>
          <w:szCs w:val="22"/>
        </w:rPr>
        <w:t xml:space="preserve"> </w:t>
      </w:r>
      <w:r w:rsidRPr="006F240B">
        <w:rPr>
          <w:szCs w:val="22"/>
        </w:rPr>
        <w:t>Joint Motion</w:t>
      </w:r>
      <w:r w:rsidR="00DE070D" w:rsidRPr="006F240B">
        <w:rPr>
          <w:szCs w:val="22"/>
        </w:rPr>
        <w:t xml:space="preserve"> at</w:t>
      </w:r>
      <w:r w:rsidRPr="006F240B">
        <w:rPr>
          <w:szCs w:val="22"/>
        </w:rPr>
        <w:t xml:space="preserve"> 11.</w:t>
      </w:r>
    </w:p>
  </w:footnote>
  <w:footnote w:id="81">
    <w:p w14:paraId="555B32ED" w14:textId="48D7FBA4" w:rsidR="003016B6" w:rsidRPr="006F240B" w:rsidRDefault="003016B6" w:rsidP="006F240B">
      <w:pPr>
        <w:pStyle w:val="FootnoteText"/>
        <w:rPr>
          <w:color w:val="000000" w:themeColor="text1"/>
          <w:szCs w:val="22"/>
          <w:lang w:val="en-ZW"/>
        </w:rPr>
      </w:pPr>
      <w:r w:rsidRPr="006F240B">
        <w:rPr>
          <w:rStyle w:val="FootnoteReference"/>
          <w:color w:val="000000" w:themeColor="text1"/>
          <w:szCs w:val="22"/>
        </w:rPr>
        <w:footnoteRef/>
      </w:r>
      <w:r w:rsidRPr="006F240B">
        <w:rPr>
          <w:color w:val="000000" w:themeColor="text1"/>
          <w:szCs w:val="22"/>
        </w:rPr>
        <w:t xml:space="preserve"> </w:t>
      </w:r>
      <w:r w:rsidRPr="006F240B">
        <w:rPr>
          <w:i/>
          <w:iCs/>
          <w:color w:val="000000" w:themeColor="text1"/>
          <w:szCs w:val="22"/>
        </w:rPr>
        <w:t>Rheinhart v. Nissan N. Am., Inc.</w:t>
      </w:r>
      <w:r w:rsidRPr="006F240B">
        <w:rPr>
          <w:color w:val="000000" w:themeColor="text1"/>
          <w:szCs w:val="22"/>
        </w:rPr>
        <w:t xml:space="preserve">, 92 Cal.App.5th at 1028 (citing </w:t>
      </w:r>
      <w:r w:rsidRPr="006F240B">
        <w:rPr>
          <w:i/>
          <w:iCs/>
          <w:color w:val="000000" w:themeColor="text1"/>
          <w:szCs w:val="22"/>
        </w:rPr>
        <w:t>Timney v. Lin</w:t>
      </w:r>
      <w:r w:rsidRPr="006F240B">
        <w:rPr>
          <w:color w:val="000000" w:themeColor="text1"/>
          <w:szCs w:val="22"/>
        </w:rPr>
        <w:t> (2003) </w:t>
      </w:r>
      <w:hyperlink r:id="rId14" w:anchor="p1127" w:history="1">
        <w:r w:rsidRPr="006F240B">
          <w:rPr>
            <w:rStyle w:val="Hyperlink"/>
            <w:color w:val="000000" w:themeColor="text1"/>
            <w:szCs w:val="22"/>
            <w:u w:val="none"/>
          </w:rPr>
          <w:t>106 Cal.App.4th 1121, 1127</w:t>
        </w:r>
      </w:hyperlink>
      <w:r w:rsidRPr="006F240B">
        <w:rPr>
          <w:color w:val="000000" w:themeColor="text1"/>
          <w:szCs w:val="22"/>
        </w:rPr>
        <w:t>, </w:t>
      </w:r>
      <w:hyperlink r:id="rId15" w:history="1">
        <w:r w:rsidRPr="006F240B">
          <w:rPr>
            <w:rStyle w:val="Hyperlink"/>
            <w:color w:val="000000" w:themeColor="text1"/>
            <w:szCs w:val="22"/>
            <w:u w:val="none"/>
          </w:rPr>
          <w:t>131 Cal.Rptr.2d 387</w:t>
        </w:r>
      </w:hyperlink>
      <w:r w:rsidRPr="006F240B">
        <w:rPr>
          <w:color w:val="000000" w:themeColor="text1"/>
          <w:szCs w:val="22"/>
        </w:rPr>
        <w:t xml:space="preserve">) ("[O]ur Supreme Court and other California courts have rejected the notion that a settlement judge may properly act to ‘approve’ an illegal contract and thereby shield it from invalidation. [Citations.] ”). </w:t>
      </w:r>
      <w:r w:rsidRPr="006F240B">
        <w:rPr>
          <w:i/>
          <w:iCs/>
          <w:color w:val="000000" w:themeColor="text1"/>
          <w:szCs w:val="22"/>
        </w:rPr>
        <w:t>See also</w:t>
      </w:r>
      <w:r w:rsidRPr="006F240B">
        <w:rPr>
          <w:color w:val="000000" w:themeColor="text1"/>
          <w:szCs w:val="22"/>
        </w:rPr>
        <w:t xml:space="preserve"> </w:t>
      </w:r>
      <w:r w:rsidRPr="006F240B">
        <w:rPr>
          <w:i/>
          <w:iCs/>
          <w:color w:val="000000" w:themeColor="text1"/>
          <w:szCs w:val="22"/>
        </w:rPr>
        <w:t>Vitatech Internat., Inc. v. Sporn</w:t>
      </w:r>
      <w:r w:rsidRPr="006F240B">
        <w:rPr>
          <w:color w:val="000000" w:themeColor="text1"/>
          <w:szCs w:val="22"/>
        </w:rPr>
        <w:t xml:space="preserve">, </w:t>
      </w:r>
      <w:hyperlink r:id="rId16" w:anchor="p807" w:history="1">
        <w:r w:rsidRPr="006F240B">
          <w:rPr>
            <w:rStyle w:val="Hyperlink"/>
            <w:color w:val="000000" w:themeColor="text1"/>
            <w:szCs w:val="22"/>
            <w:u w:val="none"/>
          </w:rPr>
          <w:t>16 Cal.App.5th 796, 807</w:t>
        </w:r>
      </w:hyperlink>
      <w:r w:rsidRPr="006F240B">
        <w:rPr>
          <w:color w:val="000000" w:themeColor="text1"/>
          <w:szCs w:val="22"/>
        </w:rPr>
        <w:t> (Cal. Ct. App. 2017)  ("[A] court cannot validly enter a judgment or order which is void even if the parties agree to it.”). </w:t>
      </w:r>
    </w:p>
  </w:footnote>
  <w:footnote w:id="82">
    <w:p w14:paraId="26BD8850" w14:textId="77777777" w:rsidR="003016B6" w:rsidRPr="006F240B" w:rsidRDefault="003016B6" w:rsidP="006F240B">
      <w:pPr>
        <w:pStyle w:val="FootnoteText"/>
        <w:rPr>
          <w:color w:val="000000" w:themeColor="text1"/>
          <w:szCs w:val="22"/>
        </w:rPr>
      </w:pPr>
      <w:r w:rsidRPr="006F240B">
        <w:rPr>
          <w:rStyle w:val="FootnoteReference"/>
          <w:color w:val="000000" w:themeColor="text1"/>
          <w:szCs w:val="22"/>
        </w:rPr>
        <w:footnoteRef/>
      </w:r>
      <w:r w:rsidRPr="006F240B">
        <w:rPr>
          <w:color w:val="000000" w:themeColor="text1"/>
          <w:szCs w:val="22"/>
        </w:rPr>
        <w:t xml:space="preserve"> </w:t>
      </w:r>
      <w:r w:rsidRPr="006F240B">
        <w:rPr>
          <w:color w:val="000000" w:themeColor="text1"/>
          <w:szCs w:val="22"/>
          <w:lang w:val="en-ZW"/>
        </w:rPr>
        <w:t xml:space="preserve">In </w:t>
      </w:r>
      <w:r w:rsidRPr="006F240B">
        <w:rPr>
          <w:i/>
          <w:iCs/>
          <w:color w:val="000000" w:themeColor="text1"/>
          <w:szCs w:val="22"/>
        </w:rPr>
        <w:t>Santa Barbara v. Superior Court</w:t>
      </w:r>
      <w:r w:rsidRPr="006F240B">
        <w:rPr>
          <w:color w:val="000000" w:themeColor="text1"/>
          <w:szCs w:val="22"/>
        </w:rPr>
        <w:t xml:space="preserve">, 41 Cal.4th 747, 755-56 (Cal. 2007), the California Supreme Court addressed the "factors or characteristics" that underlie the concept of "public interest" in the context of an agreement releasing liability as follows: </w:t>
      </w:r>
    </w:p>
    <w:p w14:paraId="50233336" w14:textId="77777777" w:rsidR="003016B6" w:rsidRPr="006F240B" w:rsidRDefault="003016B6" w:rsidP="006F240B">
      <w:pPr>
        <w:pStyle w:val="BlockQuote"/>
        <w:rPr>
          <w:sz w:val="22"/>
        </w:rPr>
      </w:pPr>
      <w:r w:rsidRPr="006F240B">
        <w:rPr>
          <w:sz w:val="22"/>
        </w:rPr>
        <w:t xml:space="preserve">In passages widely quoted and followed or adopted as a guide by numerous out-of-state decisions addressing the enforceability of such agreements, we wrote “The social forces that have led to such characterization are volatile and dynamic. </w:t>
      </w:r>
      <w:r w:rsidRPr="006F240B">
        <w:rPr>
          <w:i/>
          <w:iCs/>
          <w:sz w:val="22"/>
        </w:rPr>
        <w:t>No definition of the concept of public interest can be contained within the four corners of a formula</w:t>
      </w:r>
      <w:r w:rsidRPr="006F240B">
        <w:rPr>
          <w:sz w:val="22"/>
        </w:rPr>
        <w:t xml:space="preserve">. The concept, always the subject of great debate, has ranged over the whole course of the common law; </w:t>
      </w:r>
      <w:r w:rsidRPr="006F240B">
        <w:rPr>
          <w:i/>
          <w:iCs/>
          <w:sz w:val="22"/>
        </w:rPr>
        <w:t>rather than attempt to prescribe its nature, we can only designate the situations in which it has been applied</w:t>
      </w:r>
      <w:r w:rsidRPr="006F240B">
        <w:rPr>
          <w:sz w:val="22"/>
        </w:rPr>
        <w:t xml:space="preserve">. </w:t>
      </w:r>
      <w:r w:rsidRPr="006F240B">
        <w:rPr>
          <w:i/>
          <w:iCs/>
          <w:sz w:val="22"/>
        </w:rPr>
        <w:t>We can determine whether the instant contract does or does not manifest the characteristics which have been held to stamp a contract as one affected with a public interest</w:t>
      </w:r>
      <w:r w:rsidRPr="006F240B">
        <w:rPr>
          <w:sz w:val="22"/>
        </w:rPr>
        <w:t xml:space="preserve">.” </w:t>
      </w:r>
    </w:p>
    <w:p w14:paraId="717089C3" w14:textId="77777777" w:rsidR="003016B6" w:rsidRPr="006F240B" w:rsidRDefault="003016B6" w:rsidP="006F240B">
      <w:pPr>
        <w:pStyle w:val="FootnoteText"/>
        <w:rPr>
          <w:color w:val="000000" w:themeColor="text1"/>
          <w:szCs w:val="22"/>
          <w:lang w:val="en-ZW"/>
        </w:rPr>
      </w:pPr>
      <w:r w:rsidRPr="006F240B">
        <w:rPr>
          <w:color w:val="000000" w:themeColor="text1"/>
          <w:szCs w:val="22"/>
        </w:rPr>
        <w:t xml:space="preserve">(citing </w:t>
      </w:r>
      <w:r w:rsidRPr="006F240B">
        <w:rPr>
          <w:i/>
          <w:iCs/>
          <w:color w:val="000000" w:themeColor="text1"/>
          <w:szCs w:val="22"/>
        </w:rPr>
        <w:t>Tunkl v. Regents of University of California</w:t>
      </w:r>
      <w:r w:rsidRPr="006F240B">
        <w:rPr>
          <w:color w:val="000000" w:themeColor="text1"/>
          <w:szCs w:val="22"/>
        </w:rPr>
        <w:t xml:space="preserve">, </w:t>
      </w:r>
      <w:hyperlink r:id="rId17" w:history="1">
        <w:r w:rsidRPr="006F240B">
          <w:rPr>
            <w:rStyle w:val="Hyperlink"/>
            <w:color w:val="000000" w:themeColor="text1"/>
            <w:szCs w:val="22"/>
            <w:u w:val="none"/>
          </w:rPr>
          <w:t>60 Cal.2d 92</w:t>
        </w:r>
      </w:hyperlink>
      <w:r w:rsidRPr="006F240B">
        <w:rPr>
          <w:color w:val="000000" w:themeColor="text1"/>
          <w:szCs w:val="22"/>
        </w:rPr>
        <w:t>, 98 (Cal. 1963) (emphasis added)).</w:t>
      </w:r>
    </w:p>
  </w:footnote>
  <w:footnote w:id="83">
    <w:p w14:paraId="0561F44E" w14:textId="1551DA0D" w:rsidR="003016B6" w:rsidRPr="006F240B" w:rsidRDefault="003016B6" w:rsidP="006F240B">
      <w:pPr>
        <w:pStyle w:val="FootnoteText"/>
        <w:rPr>
          <w:szCs w:val="22"/>
        </w:rPr>
      </w:pPr>
      <w:r w:rsidRPr="006F240B">
        <w:rPr>
          <w:rStyle w:val="FootnoteReference"/>
          <w:szCs w:val="22"/>
        </w:rPr>
        <w:footnoteRef/>
      </w:r>
      <w:r w:rsidRPr="006F240B">
        <w:rPr>
          <w:szCs w:val="22"/>
        </w:rPr>
        <w:t xml:space="preserve"> </w:t>
      </w:r>
      <w:r w:rsidR="00A029E2" w:rsidRPr="00A029E2">
        <w:rPr>
          <w:i/>
          <w:iCs/>
          <w:szCs w:val="22"/>
        </w:rPr>
        <w:t>See</w:t>
      </w:r>
      <w:r w:rsidR="00A029E2">
        <w:rPr>
          <w:szCs w:val="22"/>
        </w:rPr>
        <w:t xml:space="preserve"> </w:t>
      </w:r>
      <w:r w:rsidRPr="006F240B">
        <w:rPr>
          <w:szCs w:val="22"/>
        </w:rPr>
        <w:t>Joint Motion</w:t>
      </w:r>
      <w:r w:rsidR="00105D04" w:rsidRPr="006F240B">
        <w:rPr>
          <w:szCs w:val="22"/>
        </w:rPr>
        <w:t xml:space="preserve"> at</w:t>
      </w:r>
      <w:r w:rsidRPr="006F240B">
        <w:rPr>
          <w:szCs w:val="22"/>
        </w:rPr>
        <w:t xml:space="preserve"> 11.</w:t>
      </w:r>
    </w:p>
  </w:footnote>
  <w:footnote w:id="84">
    <w:p w14:paraId="6D3FCF85" w14:textId="40CBC99C" w:rsidR="006D0E03" w:rsidRPr="006F240B" w:rsidRDefault="006D0E03" w:rsidP="006F240B">
      <w:pPr>
        <w:pStyle w:val="FootnoteText"/>
        <w:rPr>
          <w:szCs w:val="22"/>
        </w:rPr>
      </w:pPr>
      <w:r w:rsidRPr="006F240B">
        <w:rPr>
          <w:rStyle w:val="FootnoteReference"/>
          <w:szCs w:val="22"/>
        </w:rPr>
        <w:footnoteRef/>
      </w:r>
      <w:r w:rsidRPr="006F240B">
        <w:rPr>
          <w:szCs w:val="22"/>
        </w:rPr>
        <w:t xml:space="preserve"> </w:t>
      </w:r>
      <w:r w:rsidR="00E94AEF" w:rsidRPr="006F240B">
        <w:rPr>
          <w:i/>
          <w:iCs/>
          <w:szCs w:val="22"/>
        </w:rPr>
        <w:t>See</w:t>
      </w:r>
      <w:r w:rsidR="00E94AEF" w:rsidRPr="006F240B">
        <w:rPr>
          <w:szCs w:val="22"/>
        </w:rPr>
        <w:t xml:space="preserve"> </w:t>
      </w:r>
      <w:r w:rsidRPr="006F240B">
        <w:rPr>
          <w:szCs w:val="22"/>
        </w:rPr>
        <w:t xml:space="preserve">Joint Motion </w:t>
      </w:r>
      <w:r w:rsidR="003E28DD" w:rsidRPr="006F240B">
        <w:rPr>
          <w:szCs w:val="22"/>
        </w:rPr>
        <w:t>at</w:t>
      </w:r>
      <w:r w:rsidRPr="006F240B">
        <w:rPr>
          <w:szCs w:val="22"/>
        </w:rPr>
        <w:t xml:space="preserve"> 11-12.</w:t>
      </w:r>
    </w:p>
  </w:footnote>
  <w:footnote w:id="85">
    <w:p w14:paraId="5D08B398" w14:textId="77777777" w:rsidR="00B32FC0" w:rsidRPr="00D67722" w:rsidRDefault="00B32FC0" w:rsidP="00B32FC0">
      <w:pPr>
        <w:pStyle w:val="FootnoteText"/>
        <w:rPr>
          <w:lang w:val="en-ZW"/>
        </w:rPr>
      </w:pPr>
      <w:r>
        <w:rPr>
          <w:rStyle w:val="FootnoteReference"/>
        </w:rPr>
        <w:footnoteRef/>
      </w:r>
      <w:r>
        <w:t xml:space="preserve"> </w:t>
      </w:r>
      <w:r w:rsidRPr="00586E71">
        <w:rPr>
          <w:rFonts w:eastAsia="Cambria" w:cs="Cambria"/>
          <w:color w:val="000000" w:themeColor="text1"/>
        </w:rPr>
        <w:t>As we detailed in interim decision D.24-11-010, PG&amp;E informed the Commission in its December 13, 2025 TY 2020 GRC application A.18-12-009 that Modules were at risk of failing prior to their expected 15-year life expectancy. PG&amp;E then requested recovery for the GAMI replacement program in its TY 2023 GRC application A.21-06-021, filed June 30,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A4C2" w14:textId="13AD4FEB" w:rsidR="00FE2351" w:rsidRPr="00A43AFB" w:rsidRDefault="00FE2351" w:rsidP="00A43AF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D03F" w14:textId="67391717" w:rsidR="00A43AFB" w:rsidRDefault="00A43AFB" w:rsidP="00EE4315">
    <w:pPr>
      <w:pStyle w:val="Header"/>
      <w:tabs>
        <w:tab w:val="clear" w:pos="4680"/>
      </w:tabs>
      <w:ind w:firstLine="0"/>
      <w:rPr>
        <w:b/>
      </w:rPr>
    </w:pPr>
    <w:r>
      <w:t>A.24-03-011  ALJ/JYL/jnf</w:t>
    </w:r>
    <w:r>
      <w:tab/>
    </w:r>
    <w:r w:rsidRPr="00A43AFB">
      <w:rPr>
        <w:bCs/>
      </w:rPr>
      <w:t>PROPOSED DECISION</w:t>
    </w:r>
  </w:p>
  <w:p w14:paraId="518E7B31" w14:textId="77777777" w:rsidR="00FD2949" w:rsidRPr="00B3087D" w:rsidRDefault="00FD2949"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4389" w14:textId="77777777" w:rsidR="00A43AFB" w:rsidRDefault="00A43A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B78F" w14:textId="77777777" w:rsidR="00A43AFB" w:rsidRDefault="00A43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36866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67791"/>
    <w:multiLevelType w:val="multilevel"/>
    <w:tmpl w:val="AFC00F1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B6850E8"/>
    <w:multiLevelType w:val="hybridMultilevel"/>
    <w:tmpl w:val="48B6E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4C20B3A"/>
    <w:multiLevelType w:val="hybridMultilevel"/>
    <w:tmpl w:val="BAC6B5F4"/>
    <w:lvl w:ilvl="0" w:tplc="E1F4E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056CB"/>
    <w:multiLevelType w:val="multilevel"/>
    <w:tmpl w:val="18F4A5AC"/>
    <w:numStyleLink w:val="FoFCoLOP"/>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0F76625"/>
    <w:multiLevelType w:val="hybridMultilevel"/>
    <w:tmpl w:val="90BC0BC4"/>
    <w:lvl w:ilvl="0" w:tplc="0248D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92D6163"/>
    <w:multiLevelType w:val="hybridMultilevel"/>
    <w:tmpl w:val="C3949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8124D7"/>
    <w:multiLevelType w:val="multilevel"/>
    <w:tmpl w:val="3C526EDE"/>
    <w:numStyleLink w:val="Headings"/>
  </w:abstractNum>
  <w:abstractNum w:abstractNumId="1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9622F6B"/>
    <w:multiLevelType w:val="multilevel"/>
    <w:tmpl w:val="9D30E5B6"/>
    <w:numStyleLink w:val="Rules"/>
  </w:abstractNum>
  <w:abstractNum w:abstractNumId="17" w15:restartNumberingAfterBreak="0">
    <w:nsid w:val="445659DF"/>
    <w:multiLevelType w:val="multilevel"/>
    <w:tmpl w:val="9D30E5B6"/>
    <w:numStyleLink w:val="Rules"/>
  </w:abstractNum>
  <w:abstractNum w:abstractNumId="18" w15:restartNumberingAfterBreak="0">
    <w:nsid w:val="465602FD"/>
    <w:multiLevelType w:val="hybridMultilevel"/>
    <w:tmpl w:val="B03A5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0C4A29"/>
    <w:multiLevelType w:val="multilevel"/>
    <w:tmpl w:val="9D30E5B6"/>
    <w:styleLink w:val="Rules"/>
    <w:lvl w:ilvl="0">
      <w:start w:val="1"/>
      <w:numFmt w:val="lowerLetter"/>
      <w:pStyle w:val="ListNumber"/>
      <w:lvlText w:val="(%1)"/>
      <w:lvlJc w:val="left"/>
      <w:pPr>
        <w:ind w:left="720" w:firstLine="0"/>
      </w:pPr>
      <w:rPr>
        <w:rFonts w:ascii="Book Antiqua" w:hAnsi="Book Antiqua" w:hint="default"/>
        <w:b w:val="0"/>
        <w:i w:val="0"/>
        <w:sz w:val="26"/>
      </w:rPr>
    </w:lvl>
    <w:lvl w:ilvl="1">
      <w:start w:val="1"/>
      <w:numFmt w:val="decimal"/>
      <w:pStyle w:val="List2"/>
      <w:lvlText w:val="(%2)"/>
      <w:lvlJc w:val="left"/>
      <w:pPr>
        <w:ind w:left="1080" w:firstLine="0"/>
      </w:pPr>
      <w:rPr>
        <w:rFonts w:hint="default"/>
      </w:rPr>
    </w:lvl>
    <w:lvl w:ilvl="2">
      <w:start w:val="1"/>
      <w:numFmt w:val="lowerRoman"/>
      <w:pStyle w:val="List3"/>
      <w:lvlText w:val="(%3)"/>
      <w:lvlJc w:val="lef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left"/>
      <w:pPr>
        <w:ind w:left="3600" w:firstLine="0"/>
      </w:pPr>
      <w:rPr>
        <w:rFonts w:hint="default"/>
      </w:rPr>
    </w:lvl>
  </w:abstractNum>
  <w:abstractNum w:abstractNumId="20" w15:restartNumberingAfterBreak="0">
    <w:nsid w:val="59D042D7"/>
    <w:multiLevelType w:val="multilevel"/>
    <w:tmpl w:val="18F4A5AC"/>
    <w:numStyleLink w:val="FoFCoLOP"/>
  </w:abstractNum>
  <w:abstractNum w:abstractNumId="21" w15:restartNumberingAfterBreak="0">
    <w:nsid w:val="5A9E2171"/>
    <w:multiLevelType w:val="multilevel"/>
    <w:tmpl w:val="3C526EDE"/>
    <w:numStyleLink w:val="Headings"/>
  </w:abstractNum>
  <w:abstractNum w:abstractNumId="22" w15:restartNumberingAfterBreak="0">
    <w:nsid w:val="61A25780"/>
    <w:multiLevelType w:val="multilevel"/>
    <w:tmpl w:val="3C526EDE"/>
    <w:numStyleLink w:val="Headings"/>
  </w:abstractNum>
  <w:abstractNum w:abstractNumId="23" w15:restartNumberingAfterBreak="0">
    <w:nsid w:val="6C122E27"/>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9A0AFE"/>
    <w:multiLevelType w:val="multilevel"/>
    <w:tmpl w:val="18F4A5AC"/>
    <w:numStyleLink w:val="FoFCoLOP"/>
  </w:abstractNum>
  <w:num w:numId="1" w16cid:durableId="140774137">
    <w:abstractNumId w:val="4"/>
  </w:num>
  <w:num w:numId="2" w16cid:durableId="973756952">
    <w:abstractNumId w:val="15"/>
  </w:num>
  <w:num w:numId="3" w16cid:durableId="816924040">
    <w:abstractNumId w:val="1"/>
  </w:num>
  <w:num w:numId="4" w16cid:durableId="1046904381">
    <w:abstractNumId w:val="23"/>
  </w:num>
  <w:num w:numId="5" w16cid:durableId="63143694">
    <w:abstractNumId w:val="21"/>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808784239">
    <w:abstractNumId w:val="5"/>
  </w:num>
  <w:num w:numId="7" w16cid:durableId="1028524508">
    <w:abstractNumId w:val="10"/>
  </w:num>
  <w:num w:numId="8" w16cid:durableId="192770088">
    <w:abstractNumId w:val="19"/>
  </w:num>
  <w:num w:numId="9" w16cid:durableId="1473139805">
    <w:abstractNumId w:val="17"/>
    <w:lvlOverride w:ilvl="0">
      <w:lvl w:ilvl="0">
        <w:start w:val="1"/>
        <w:numFmt w:val="lowerLetter"/>
        <w:pStyle w:val="ListNumber"/>
        <w:lvlText w:val="(%1)"/>
        <w:lvlJc w:val="left"/>
        <w:pPr>
          <w:ind w:left="720" w:firstLine="0"/>
        </w:pPr>
        <w:rPr>
          <w:rFonts w:ascii="Book Antiqua" w:hAnsi="Book Antiqua" w:hint="default"/>
          <w:b w:val="0"/>
          <w:i w:val="0"/>
          <w:sz w:val="26"/>
        </w:rPr>
      </w:lvl>
    </w:lvlOverride>
  </w:num>
  <w:num w:numId="10" w16cid:durableId="1990477634">
    <w:abstractNumId w:val="6"/>
  </w:num>
  <w:num w:numId="11" w16cid:durableId="1796289858">
    <w:abstractNumId w:val="20"/>
  </w:num>
  <w:num w:numId="12" w16cid:durableId="960956816">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1474592372">
    <w:abstractNumId w:val="25"/>
    <w:lvlOverride w:ilvl="0">
      <w:lvl w:ilvl="0">
        <w:start w:val="1"/>
        <w:numFmt w:val="decimal"/>
        <w:pStyle w:val="OP"/>
        <w:lvlText w:val="%1."/>
        <w:lvlJc w:val="right"/>
        <w:pPr>
          <w:ind w:left="0" w:firstLine="540"/>
        </w:pPr>
        <w:rPr>
          <w:rFonts w:hint="default"/>
        </w:rPr>
      </w:lvl>
    </w:lvlOverride>
  </w:num>
  <w:num w:numId="14" w16cid:durableId="946305245">
    <w:abstractNumId w:val="2"/>
  </w:num>
  <w:num w:numId="15" w16cid:durableId="1357972352">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6" w16cid:durableId="2099709685">
    <w:abstractNumId w:val="3"/>
  </w:num>
  <w:num w:numId="17" w16cid:durableId="1086995977">
    <w:abstractNumId w:val="13"/>
  </w:num>
  <w:num w:numId="18" w16cid:durableId="2060127086">
    <w:abstractNumId w:val="6"/>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19" w16cid:durableId="455636764">
    <w:abstractNumId w:val="18"/>
  </w:num>
  <w:num w:numId="20" w16cid:durableId="1354526949">
    <w:abstractNumId w:val="21"/>
  </w:num>
  <w:num w:numId="21" w16cid:durableId="827667741">
    <w:abstractNumId w:val="9"/>
  </w:num>
  <w:num w:numId="22" w16cid:durableId="1760327020">
    <w:abstractNumId w:val="24"/>
  </w:num>
  <w:num w:numId="23" w16cid:durableId="1817916489">
    <w:abstractNumId w:val="8"/>
  </w:num>
  <w:num w:numId="24" w16cid:durableId="291985460">
    <w:abstractNumId w:val="11"/>
  </w:num>
  <w:num w:numId="25" w16cid:durableId="467941983">
    <w:abstractNumId w:val="7"/>
  </w:num>
  <w:num w:numId="26" w16cid:durableId="712996464">
    <w:abstractNumId w:val="12"/>
  </w:num>
  <w:num w:numId="27" w16cid:durableId="1303778653">
    <w:abstractNumId w:val="14"/>
  </w:num>
  <w:num w:numId="28" w16cid:durableId="1714382259">
    <w:abstractNumId w:val="22"/>
  </w:num>
  <w:num w:numId="29" w16cid:durableId="548107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3284467">
    <w:abstractNumId w:val="0"/>
  </w:num>
  <w:num w:numId="31" w16cid:durableId="536697950">
    <w:abstractNumId w:val="16"/>
  </w:num>
  <w:num w:numId="32" w16cid:durableId="273485402">
    <w:abstractNumId w:val="22"/>
  </w:num>
  <w:num w:numId="33" w16cid:durableId="974145095">
    <w:abstractNumId w:val="22"/>
  </w:num>
  <w:num w:numId="34" w16cid:durableId="1079592347">
    <w:abstractNumId w:val="22"/>
  </w:num>
  <w:num w:numId="35" w16cid:durableId="63450824">
    <w:abstractNumId w:val="22"/>
  </w:num>
  <w:num w:numId="36" w16cid:durableId="992174698">
    <w:abstractNumId w:val="22"/>
  </w:num>
  <w:num w:numId="37" w16cid:durableId="489172485">
    <w:abstractNumId w:val="22"/>
  </w:num>
  <w:num w:numId="38" w16cid:durableId="757139760">
    <w:abstractNumId w:val="22"/>
  </w:num>
  <w:num w:numId="39" w16cid:durableId="99494303">
    <w:abstractNumId w:val="22"/>
  </w:num>
  <w:num w:numId="40" w16cid:durableId="336663541">
    <w:abstractNumId w:val="22"/>
  </w:num>
  <w:num w:numId="41" w16cid:durableId="1918972402">
    <w:abstractNumId w:val="22"/>
  </w:num>
  <w:num w:numId="42" w16cid:durableId="201702902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4E"/>
    <w:rsid w:val="00000F6A"/>
    <w:rsid w:val="000013EC"/>
    <w:rsid w:val="000017D7"/>
    <w:rsid w:val="0000264B"/>
    <w:rsid w:val="00003A0F"/>
    <w:rsid w:val="000045E2"/>
    <w:rsid w:val="0000494C"/>
    <w:rsid w:val="000050DD"/>
    <w:rsid w:val="000062DB"/>
    <w:rsid w:val="00006C35"/>
    <w:rsid w:val="00007888"/>
    <w:rsid w:val="00007A7F"/>
    <w:rsid w:val="0001124D"/>
    <w:rsid w:val="000112E1"/>
    <w:rsid w:val="00011FE0"/>
    <w:rsid w:val="00013D70"/>
    <w:rsid w:val="0001418F"/>
    <w:rsid w:val="0001515E"/>
    <w:rsid w:val="00015E8B"/>
    <w:rsid w:val="0001787C"/>
    <w:rsid w:val="000200FE"/>
    <w:rsid w:val="000210E6"/>
    <w:rsid w:val="00021350"/>
    <w:rsid w:val="00025154"/>
    <w:rsid w:val="000267A9"/>
    <w:rsid w:val="0003041B"/>
    <w:rsid w:val="00031350"/>
    <w:rsid w:val="00032360"/>
    <w:rsid w:val="00033C10"/>
    <w:rsid w:val="00033F98"/>
    <w:rsid w:val="00036415"/>
    <w:rsid w:val="00036444"/>
    <w:rsid w:val="000365F6"/>
    <w:rsid w:val="00036CDA"/>
    <w:rsid w:val="00037EAA"/>
    <w:rsid w:val="00040221"/>
    <w:rsid w:val="00040C62"/>
    <w:rsid w:val="0004245B"/>
    <w:rsid w:val="00042D1D"/>
    <w:rsid w:val="00042DFD"/>
    <w:rsid w:val="00043301"/>
    <w:rsid w:val="00044AF4"/>
    <w:rsid w:val="00045385"/>
    <w:rsid w:val="00046132"/>
    <w:rsid w:val="0004727F"/>
    <w:rsid w:val="00047FE5"/>
    <w:rsid w:val="00050136"/>
    <w:rsid w:val="00052A2A"/>
    <w:rsid w:val="00052A96"/>
    <w:rsid w:val="00053386"/>
    <w:rsid w:val="00054B34"/>
    <w:rsid w:val="00055F3A"/>
    <w:rsid w:val="000561E6"/>
    <w:rsid w:val="00056F82"/>
    <w:rsid w:val="00057B90"/>
    <w:rsid w:val="00057CEF"/>
    <w:rsid w:val="00060200"/>
    <w:rsid w:val="00061A42"/>
    <w:rsid w:val="00061FFB"/>
    <w:rsid w:val="00062CC3"/>
    <w:rsid w:val="00062EDF"/>
    <w:rsid w:val="00063AC1"/>
    <w:rsid w:val="00064C02"/>
    <w:rsid w:val="000651AC"/>
    <w:rsid w:val="00065254"/>
    <w:rsid w:val="00065493"/>
    <w:rsid w:val="0006571D"/>
    <w:rsid w:val="000658DB"/>
    <w:rsid w:val="0006669A"/>
    <w:rsid w:val="00070394"/>
    <w:rsid w:val="0007115A"/>
    <w:rsid w:val="00071440"/>
    <w:rsid w:val="000732D2"/>
    <w:rsid w:val="00073529"/>
    <w:rsid w:val="0007355F"/>
    <w:rsid w:val="00073B57"/>
    <w:rsid w:val="00073B91"/>
    <w:rsid w:val="000750DC"/>
    <w:rsid w:val="0007526C"/>
    <w:rsid w:val="00075307"/>
    <w:rsid w:val="0007534A"/>
    <w:rsid w:val="000754CF"/>
    <w:rsid w:val="0007581C"/>
    <w:rsid w:val="00075BB7"/>
    <w:rsid w:val="0007615C"/>
    <w:rsid w:val="00080B29"/>
    <w:rsid w:val="00081C11"/>
    <w:rsid w:val="00082526"/>
    <w:rsid w:val="0008265B"/>
    <w:rsid w:val="00082D70"/>
    <w:rsid w:val="00084028"/>
    <w:rsid w:val="00084881"/>
    <w:rsid w:val="000849F5"/>
    <w:rsid w:val="00084AC3"/>
    <w:rsid w:val="000855A8"/>
    <w:rsid w:val="000859B2"/>
    <w:rsid w:val="000868F4"/>
    <w:rsid w:val="00086DF8"/>
    <w:rsid w:val="000904D9"/>
    <w:rsid w:val="000912FC"/>
    <w:rsid w:val="00092EF2"/>
    <w:rsid w:val="000957F9"/>
    <w:rsid w:val="0009591E"/>
    <w:rsid w:val="00095A28"/>
    <w:rsid w:val="00096456"/>
    <w:rsid w:val="00096C91"/>
    <w:rsid w:val="000973C8"/>
    <w:rsid w:val="000A0449"/>
    <w:rsid w:val="000A122F"/>
    <w:rsid w:val="000A17EF"/>
    <w:rsid w:val="000A2337"/>
    <w:rsid w:val="000A2534"/>
    <w:rsid w:val="000A2AA9"/>
    <w:rsid w:val="000A41A3"/>
    <w:rsid w:val="000A56F2"/>
    <w:rsid w:val="000A659F"/>
    <w:rsid w:val="000A6E05"/>
    <w:rsid w:val="000A7902"/>
    <w:rsid w:val="000B06EA"/>
    <w:rsid w:val="000B12FA"/>
    <w:rsid w:val="000B1881"/>
    <w:rsid w:val="000B2BB8"/>
    <w:rsid w:val="000B2C3E"/>
    <w:rsid w:val="000B2D33"/>
    <w:rsid w:val="000B4CC8"/>
    <w:rsid w:val="000B61E1"/>
    <w:rsid w:val="000C08BF"/>
    <w:rsid w:val="000C165E"/>
    <w:rsid w:val="000C380D"/>
    <w:rsid w:val="000C3B9A"/>
    <w:rsid w:val="000C3CA6"/>
    <w:rsid w:val="000C4579"/>
    <w:rsid w:val="000C6360"/>
    <w:rsid w:val="000C64D3"/>
    <w:rsid w:val="000C7617"/>
    <w:rsid w:val="000D0F22"/>
    <w:rsid w:val="000D14EA"/>
    <w:rsid w:val="000D1785"/>
    <w:rsid w:val="000D25A8"/>
    <w:rsid w:val="000D28D1"/>
    <w:rsid w:val="000D2C87"/>
    <w:rsid w:val="000D34E8"/>
    <w:rsid w:val="000D371E"/>
    <w:rsid w:val="000D4651"/>
    <w:rsid w:val="000D4EBA"/>
    <w:rsid w:val="000D5824"/>
    <w:rsid w:val="000D5C22"/>
    <w:rsid w:val="000D6BF6"/>
    <w:rsid w:val="000D7636"/>
    <w:rsid w:val="000DE56A"/>
    <w:rsid w:val="000E1136"/>
    <w:rsid w:val="000E1C37"/>
    <w:rsid w:val="000E270A"/>
    <w:rsid w:val="000E414B"/>
    <w:rsid w:val="000E4C53"/>
    <w:rsid w:val="000E58EB"/>
    <w:rsid w:val="000E6BBB"/>
    <w:rsid w:val="000F16C8"/>
    <w:rsid w:val="000F1C24"/>
    <w:rsid w:val="000F28BE"/>
    <w:rsid w:val="000F2FB3"/>
    <w:rsid w:val="000F309B"/>
    <w:rsid w:val="000F48C6"/>
    <w:rsid w:val="000F4F0D"/>
    <w:rsid w:val="000F5D02"/>
    <w:rsid w:val="000F6870"/>
    <w:rsid w:val="000F6B3A"/>
    <w:rsid w:val="000F7203"/>
    <w:rsid w:val="000F7535"/>
    <w:rsid w:val="000F7A94"/>
    <w:rsid w:val="00100017"/>
    <w:rsid w:val="00101894"/>
    <w:rsid w:val="00102D7D"/>
    <w:rsid w:val="001043B9"/>
    <w:rsid w:val="00105D04"/>
    <w:rsid w:val="001064DC"/>
    <w:rsid w:val="0011028B"/>
    <w:rsid w:val="0011187F"/>
    <w:rsid w:val="00112C96"/>
    <w:rsid w:val="0011346C"/>
    <w:rsid w:val="0011363F"/>
    <w:rsid w:val="001152C5"/>
    <w:rsid w:val="00115C82"/>
    <w:rsid w:val="001204BD"/>
    <w:rsid w:val="00121089"/>
    <w:rsid w:val="00122C51"/>
    <w:rsid w:val="00123F88"/>
    <w:rsid w:val="001263A3"/>
    <w:rsid w:val="0012657F"/>
    <w:rsid w:val="00127CBD"/>
    <w:rsid w:val="00127F35"/>
    <w:rsid w:val="00130398"/>
    <w:rsid w:val="00132489"/>
    <w:rsid w:val="0013411C"/>
    <w:rsid w:val="001346B2"/>
    <w:rsid w:val="00134D6F"/>
    <w:rsid w:val="00136A9C"/>
    <w:rsid w:val="00137A30"/>
    <w:rsid w:val="00137FB6"/>
    <w:rsid w:val="001405AD"/>
    <w:rsid w:val="00140F76"/>
    <w:rsid w:val="00141F1F"/>
    <w:rsid w:val="0014406E"/>
    <w:rsid w:val="00144652"/>
    <w:rsid w:val="00145084"/>
    <w:rsid w:val="00145538"/>
    <w:rsid w:val="001458EB"/>
    <w:rsid w:val="00145DF5"/>
    <w:rsid w:val="00147278"/>
    <w:rsid w:val="00147F6A"/>
    <w:rsid w:val="00150B87"/>
    <w:rsid w:val="001510D9"/>
    <w:rsid w:val="001544EB"/>
    <w:rsid w:val="00155A46"/>
    <w:rsid w:val="00156298"/>
    <w:rsid w:val="001562DB"/>
    <w:rsid w:val="00161502"/>
    <w:rsid w:val="00163DF4"/>
    <w:rsid w:val="00164CAB"/>
    <w:rsid w:val="001657A7"/>
    <w:rsid w:val="00165D7A"/>
    <w:rsid w:val="00166F2F"/>
    <w:rsid w:val="00167CCB"/>
    <w:rsid w:val="00171729"/>
    <w:rsid w:val="0017396A"/>
    <w:rsid w:val="00176B7B"/>
    <w:rsid w:val="00176E9D"/>
    <w:rsid w:val="00176F20"/>
    <w:rsid w:val="00177A90"/>
    <w:rsid w:val="00180DE7"/>
    <w:rsid w:val="001829C2"/>
    <w:rsid w:val="001838C1"/>
    <w:rsid w:val="00183D54"/>
    <w:rsid w:val="00184A8F"/>
    <w:rsid w:val="00184E19"/>
    <w:rsid w:val="00185948"/>
    <w:rsid w:val="0018668A"/>
    <w:rsid w:val="0018723A"/>
    <w:rsid w:val="001904AD"/>
    <w:rsid w:val="00190F50"/>
    <w:rsid w:val="001913AD"/>
    <w:rsid w:val="001942C8"/>
    <w:rsid w:val="00194301"/>
    <w:rsid w:val="0019455F"/>
    <w:rsid w:val="001946A5"/>
    <w:rsid w:val="00196520"/>
    <w:rsid w:val="0019796B"/>
    <w:rsid w:val="001A048A"/>
    <w:rsid w:val="001A09A8"/>
    <w:rsid w:val="001A0F19"/>
    <w:rsid w:val="001A211B"/>
    <w:rsid w:val="001A3ECC"/>
    <w:rsid w:val="001A7CF1"/>
    <w:rsid w:val="001B055F"/>
    <w:rsid w:val="001B10C0"/>
    <w:rsid w:val="001B124B"/>
    <w:rsid w:val="001B1970"/>
    <w:rsid w:val="001B26C3"/>
    <w:rsid w:val="001B337C"/>
    <w:rsid w:val="001B3D0D"/>
    <w:rsid w:val="001B55A1"/>
    <w:rsid w:val="001B6145"/>
    <w:rsid w:val="001B78E2"/>
    <w:rsid w:val="001C04B1"/>
    <w:rsid w:val="001C0826"/>
    <w:rsid w:val="001C181C"/>
    <w:rsid w:val="001C1A2C"/>
    <w:rsid w:val="001C3406"/>
    <w:rsid w:val="001C363F"/>
    <w:rsid w:val="001C4B5E"/>
    <w:rsid w:val="001C4EB4"/>
    <w:rsid w:val="001C51E9"/>
    <w:rsid w:val="001C72AF"/>
    <w:rsid w:val="001C7435"/>
    <w:rsid w:val="001C7D47"/>
    <w:rsid w:val="001D26A7"/>
    <w:rsid w:val="001D285E"/>
    <w:rsid w:val="001D317E"/>
    <w:rsid w:val="001D5BC6"/>
    <w:rsid w:val="001D5E45"/>
    <w:rsid w:val="001D6697"/>
    <w:rsid w:val="001D747A"/>
    <w:rsid w:val="001E0184"/>
    <w:rsid w:val="001E2A62"/>
    <w:rsid w:val="001E2CD5"/>
    <w:rsid w:val="001E3771"/>
    <w:rsid w:val="001E4CDE"/>
    <w:rsid w:val="001E4E70"/>
    <w:rsid w:val="001E4EC0"/>
    <w:rsid w:val="001E5E52"/>
    <w:rsid w:val="001E6A58"/>
    <w:rsid w:val="001E6FA2"/>
    <w:rsid w:val="001E7CF7"/>
    <w:rsid w:val="001E7F11"/>
    <w:rsid w:val="001F17E6"/>
    <w:rsid w:val="001F2819"/>
    <w:rsid w:val="001F2924"/>
    <w:rsid w:val="001F2C60"/>
    <w:rsid w:val="001F3BFB"/>
    <w:rsid w:val="001F3F03"/>
    <w:rsid w:val="001F43DC"/>
    <w:rsid w:val="001F6411"/>
    <w:rsid w:val="001F6D22"/>
    <w:rsid w:val="001F7512"/>
    <w:rsid w:val="001F7BCC"/>
    <w:rsid w:val="00200560"/>
    <w:rsid w:val="00200A7A"/>
    <w:rsid w:val="002027C9"/>
    <w:rsid w:val="002043EC"/>
    <w:rsid w:val="0021005A"/>
    <w:rsid w:val="002107F2"/>
    <w:rsid w:val="002113D9"/>
    <w:rsid w:val="00211898"/>
    <w:rsid w:val="002120B3"/>
    <w:rsid w:val="00212661"/>
    <w:rsid w:val="00213051"/>
    <w:rsid w:val="002142C8"/>
    <w:rsid w:val="0021437E"/>
    <w:rsid w:val="0021468D"/>
    <w:rsid w:val="00214F60"/>
    <w:rsid w:val="002158CA"/>
    <w:rsid w:val="002174E6"/>
    <w:rsid w:val="00217AB5"/>
    <w:rsid w:val="00221200"/>
    <w:rsid w:val="00221797"/>
    <w:rsid w:val="0022190D"/>
    <w:rsid w:val="00222FAF"/>
    <w:rsid w:val="00223623"/>
    <w:rsid w:val="002248F1"/>
    <w:rsid w:val="00225635"/>
    <w:rsid w:val="00225819"/>
    <w:rsid w:val="002261FD"/>
    <w:rsid w:val="002262E7"/>
    <w:rsid w:val="002318E2"/>
    <w:rsid w:val="00231E70"/>
    <w:rsid w:val="00231F8C"/>
    <w:rsid w:val="00233D57"/>
    <w:rsid w:val="0023409A"/>
    <w:rsid w:val="00234285"/>
    <w:rsid w:val="00234C35"/>
    <w:rsid w:val="00234F59"/>
    <w:rsid w:val="00235775"/>
    <w:rsid w:val="00236262"/>
    <w:rsid w:val="00236C83"/>
    <w:rsid w:val="00237E82"/>
    <w:rsid w:val="002408C1"/>
    <w:rsid w:val="00242004"/>
    <w:rsid w:val="002432DA"/>
    <w:rsid w:val="00243DC0"/>
    <w:rsid w:val="00243E40"/>
    <w:rsid w:val="0024443E"/>
    <w:rsid w:val="002445A0"/>
    <w:rsid w:val="00246567"/>
    <w:rsid w:val="00247477"/>
    <w:rsid w:val="0024767C"/>
    <w:rsid w:val="0025070A"/>
    <w:rsid w:val="002510FD"/>
    <w:rsid w:val="0025170F"/>
    <w:rsid w:val="002529BA"/>
    <w:rsid w:val="00253A94"/>
    <w:rsid w:val="00254434"/>
    <w:rsid w:val="00255992"/>
    <w:rsid w:val="00255D1E"/>
    <w:rsid w:val="00257890"/>
    <w:rsid w:val="002578DB"/>
    <w:rsid w:val="002609E7"/>
    <w:rsid w:val="00260BDC"/>
    <w:rsid w:val="00260FA9"/>
    <w:rsid w:val="00261138"/>
    <w:rsid w:val="00262439"/>
    <w:rsid w:val="002625C1"/>
    <w:rsid w:val="002630B8"/>
    <w:rsid w:val="00263E97"/>
    <w:rsid w:val="00263FFF"/>
    <w:rsid w:val="00264A33"/>
    <w:rsid w:val="00267042"/>
    <w:rsid w:val="00270440"/>
    <w:rsid w:val="002724C8"/>
    <w:rsid w:val="0027272A"/>
    <w:rsid w:val="00272797"/>
    <w:rsid w:val="002731FB"/>
    <w:rsid w:val="002733E7"/>
    <w:rsid w:val="00274312"/>
    <w:rsid w:val="0027586D"/>
    <w:rsid w:val="00275D12"/>
    <w:rsid w:val="002768B8"/>
    <w:rsid w:val="00276CB3"/>
    <w:rsid w:val="002773F8"/>
    <w:rsid w:val="0028179D"/>
    <w:rsid w:val="00281E8E"/>
    <w:rsid w:val="00283523"/>
    <w:rsid w:val="00283A68"/>
    <w:rsid w:val="0028421B"/>
    <w:rsid w:val="00284D8D"/>
    <w:rsid w:val="00285111"/>
    <w:rsid w:val="00285424"/>
    <w:rsid w:val="00285FD5"/>
    <w:rsid w:val="00286077"/>
    <w:rsid w:val="00286B98"/>
    <w:rsid w:val="00286F4E"/>
    <w:rsid w:val="00287251"/>
    <w:rsid w:val="00287BC5"/>
    <w:rsid w:val="0029041B"/>
    <w:rsid w:val="00290CB8"/>
    <w:rsid w:val="002920DA"/>
    <w:rsid w:val="00292FC5"/>
    <w:rsid w:val="00293DEE"/>
    <w:rsid w:val="00295B30"/>
    <w:rsid w:val="002973AB"/>
    <w:rsid w:val="00297E0F"/>
    <w:rsid w:val="002A0B5D"/>
    <w:rsid w:val="002A10B0"/>
    <w:rsid w:val="002A1E00"/>
    <w:rsid w:val="002A30F4"/>
    <w:rsid w:val="002A36F5"/>
    <w:rsid w:val="002A38BA"/>
    <w:rsid w:val="002A40DE"/>
    <w:rsid w:val="002A4D24"/>
    <w:rsid w:val="002A5F72"/>
    <w:rsid w:val="002A7543"/>
    <w:rsid w:val="002A7D39"/>
    <w:rsid w:val="002A7F50"/>
    <w:rsid w:val="002B0037"/>
    <w:rsid w:val="002B28CE"/>
    <w:rsid w:val="002B3561"/>
    <w:rsid w:val="002B3D87"/>
    <w:rsid w:val="002B5358"/>
    <w:rsid w:val="002B5F0A"/>
    <w:rsid w:val="002B6230"/>
    <w:rsid w:val="002B6858"/>
    <w:rsid w:val="002B7C5E"/>
    <w:rsid w:val="002C0DCE"/>
    <w:rsid w:val="002C1212"/>
    <w:rsid w:val="002C15C2"/>
    <w:rsid w:val="002C1AA5"/>
    <w:rsid w:val="002C2069"/>
    <w:rsid w:val="002C2F37"/>
    <w:rsid w:val="002C3EB3"/>
    <w:rsid w:val="002C4124"/>
    <w:rsid w:val="002C42FF"/>
    <w:rsid w:val="002C435A"/>
    <w:rsid w:val="002C5BE9"/>
    <w:rsid w:val="002C5BEB"/>
    <w:rsid w:val="002C6DB8"/>
    <w:rsid w:val="002C7FE9"/>
    <w:rsid w:val="002D03CB"/>
    <w:rsid w:val="002D0D7C"/>
    <w:rsid w:val="002D0DC5"/>
    <w:rsid w:val="002D1643"/>
    <w:rsid w:val="002D4453"/>
    <w:rsid w:val="002D4EFD"/>
    <w:rsid w:val="002D70D7"/>
    <w:rsid w:val="002E0BF3"/>
    <w:rsid w:val="002E0D63"/>
    <w:rsid w:val="002E13BB"/>
    <w:rsid w:val="002E1F0B"/>
    <w:rsid w:val="002E304E"/>
    <w:rsid w:val="002E40DF"/>
    <w:rsid w:val="002E5261"/>
    <w:rsid w:val="002E5875"/>
    <w:rsid w:val="002E63AD"/>
    <w:rsid w:val="002E78D9"/>
    <w:rsid w:val="002F17D0"/>
    <w:rsid w:val="002F2031"/>
    <w:rsid w:val="002F22BB"/>
    <w:rsid w:val="002F27A5"/>
    <w:rsid w:val="002F4597"/>
    <w:rsid w:val="002F4966"/>
    <w:rsid w:val="002F4AB3"/>
    <w:rsid w:val="002F509B"/>
    <w:rsid w:val="002F51E1"/>
    <w:rsid w:val="002F5F44"/>
    <w:rsid w:val="002F5FA0"/>
    <w:rsid w:val="002F681B"/>
    <w:rsid w:val="002F7E0A"/>
    <w:rsid w:val="003016B6"/>
    <w:rsid w:val="003016DB"/>
    <w:rsid w:val="00301E71"/>
    <w:rsid w:val="00301EBA"/>
    <w:rsid w:val="003024A6"/>
    <w:rsid w:val="00304836"/>
    <w:rsid w:val="00305488"/>
    <w:rsid w:val="003070D4"/>
    <w:rsid w:val="0030772A"/>
    <w:rsid w:val="003108A7"/>
    <w:rsid w:val="00310B78"/>
    <w:rsid w:val="00312111"/>
    <w:rsid w:val="0031215C"/>
    <w:rsid w:val="00312371"/>
    <w:rsid w:val="00312C09"/>
    <w:rsid w:val="00312FA9"/>
    <w:rsid w:val="003136BE"/>
    <w:rsid w:val="003140CD"/>
    <w:rsid w:val="00314D6E"/>
    <w:rsid w:val="00315506"/>
    <w:rsid w:val="00315A97"/>
    <w:rsid w:val="00315AA4"/>
    <w:rsid w:val="00315DC1"/>
    <w:rsid w:val="00316071"/>
    <w:rsid w:val="0031657F"/>
    <w:rsid w:val="0031664B"/>
    <w:rsid w:val="0031738A"/>
    <w:rsid w:val="003177B9"/>
    <w:rsid w:val="003201F6"/>
    <w:rsid w:val="00321863"/>
    <w:rsid w:val="003224A6"/>
    <w:rsid w:val="003229FF"/>
    <w:rsid w:val="00322BC3"/>
    <w:rsid w:val="003234DC"/>
    <w:rsid w:val="003235DA"/>
    <w:rsid w:val="0032445A"/>
    <w:rsid w:val="003246AE"/>
    <w:rsid w:val="00325CBC"/>
    <w:rsid w:val="003268B5"/>
    <w:rsid w:val="00327159"/>
    <w:rsid w:val="00327709"/>
    <w:rsid w:val="003279A0"/>
    <w:rsid w:val="003306B0"/>
    <w:rsid w:val="0033079A"/>
    <w:rsid w:val="00330E6B"/>
    <w:rsid w:val="00330EFF"/>
    <w:rsid w:val="00332BE8"/>
    <w:rsid w:val="00332D71"/>
    <w:rsid w:val="00333188"/>
    <w:rsid w:val="00333366"/>
    <w:rsid w:val="00333E34"/>
    <w:rsid w:val="00335C0D"/>
    <w:rsid w:val="00336FF5"/>
    <w:rsid w:val="003378D0"/>
    <w:rsid w:val="00340A64"/>
    <w:rsid w:val="00340F9D"/>
    <w:rsid w:val="00342A82"/>
    <w:rsid w:val="00343778"/>
    <w:rsid w:val="00343BB0"/>
    <w:rsid w:val="00343E5C"/>
    <w:rsid w:val="00344749"/>
    <w:rsid w:val="00344FB8"/>
    <w:rsid w:val="0034556F"/>
    <w:rsid w:val="00346C83"/>
    <w:rsid w:val="00347711"/>
    <w:rsid w:val="00350483"/>
    <w:rsid w:val="00351BD1"/>
    <w:rsid w:val="00352852"/>
    <w:rsid w:val="00352AEC"/>
    <w:rsid w:val="00353421"/>
    <w:rsid w:val="003540B4"/>
    <w:rsid w:val="0036017B"/>
    <w:rsid w:val="00360698"/>
    <w:rsid w:val="00360922"/>
    <w:rsid w:val="00362755"/>
    <w:rsid w:val="00364193"/>
    <w:rsid w:val="0036466F"/>
    <w:rsid w:val="00364E97"/>
    <w:rsid w:val="00365744"/>
    <w:rsid w:val="003705A1"/>
    <w:rsid w:val="00371E32"/>
    <w:rsid w:val="00371F07"/>
    <w:rsid w:val="00372016"/>
    <w:rsid w:val="00372A58"/>
    <w:rsid w:val="00373484"/>
    <w:rsid w:val="00373B93"/>
    <w:rsid w:val="00374934"/>
    <w:rsid w:val="00374CFA"/>
    <w:rsid w:val="00375C1B"/>
    <w:rsid w:val="0037631D"/>
    <w:rsid w:val="00377BCF"/>
    <w:rsid w:val="00380ACF"/>
    <w:rsid w:val="00380CD1"/>
    <w:rsid w:val="00380F9E"/>
    <w:rsid w:val="003824FA"/>
    <w:rsid w:val="00383D63"/>
    <w:rsid w:val="00383E4F"/>
    <w:rsid w:val="00384017"/>
    <w:rsid w:val="003849EB"/>
    <w:rsid w:val="003865E5"/>
    <w:rsid w:val="00387509"/>
    <w:rsid w:val="003901F2"/>
    <w:rsid w:val="00390C95"/>
    <w:rsid w:val="00391F66"/>
    <w:rsid w:val="0039252D"/>
    <w:rsid w:val="00392948"/>
    <w:rsid w:val="00394A88"/>
    <w:rsid w:val="0039615A"/>
    <w:rsid w:val="00396535"/>
    <w:rsid w:val="003A02CA"/>
    <w:rsid w:val="003A2394"/>
    <w:rsid w:val="003A23C2"/>
    <w:rsid w:val="003A24FA"/>
    <w:rsid w:val="003A2EBD"/>
    <w:rsid w:val="003A38F0"/>
    <w:rsid w:val="003A6254"/>
    <w:rsid w:val="003A6EE3"/>
    <w:rsid w:val="003A7650"/>
    <w:rsid w:val="003B10B8"/>
    <w:rsid w:val="003B112B"/>
    <w:rsid w:val="003B32E3"/>
    <w:rsid w:val="003B3796"/>
    <w:rsid w:val="003B3BD8"/>
    <w:rsid w:val="003B7DFB"/>
    <w:rsid w:val="003B9CFD"/>
    <w:rsid w:val="003C120C"/>
    <w:rsid w:val="003C160B"/>
    <w:rsid w:val="003C1CB9"/>
    <w:rsid w:val="003C22B3"/>
    <w:rsid w:val="003C2BB5"/>
    <w:rsid w:val="003C3003"/>
    <w:rsid w:val="003C3A8C"/>
    <w:rsid w:val="003C4B4D"/>
    <w:rsid w:val="003C4E01"/>
    <w:rsid w:val="003C59C1"/>
    <w:rsid w:val="003C5CED"/>
    <w:rsid w:val="003D020C"/>
    <w:rsid w:val="003D1830"/>
    <w:rsid w:val="003D1FAE"/>
    <w:rsid w:val="003D285E"/>
    <w:rsid w:val="003D3003"/>
    <w:rsid w:val="003D3032"/>
    <w:rsid w:val="003D3A99"/>
    <w:rsid w:val="003D5623"/>
    <w:rsid w:val="003D5F00"/>
    <w:rsid w:val="003E0C6B"/>
    <w:rsid w:val="003E14D8"/>
    <w:rsid w:val="003E253F"/>
    <w:rsid w:val="003E28DD"/>
    <w:rsid w:val="003E3183"/>
    <w:rsid w:val="003E34B3"/>
    <w:rsid w:val="003E38D6"/>
    <w:rsid w:val="003E4D28"/>
    <w:rsid w:val="003E561D"/>
    <w:rsid w:val="003E5CC5"/>
    <w:rsid w:val="003E6C85"/>
    <w:rsid w:val="003E7CEB"/>
    <w:rsid w:val="003F0157"/>
    <w:rsid w:val="003F0596"/>
    <w:rsid w:val="003F069A"/>
    <w:rsid w:val="003F06A0"/>
    <w:rsid w:val="003F0C49"/>
    <w:rsid w:val="003F0D10"/>
    <w:rsid w:val="003F13C3"/>
    <w:rsid w:val="003F19E9"/>
    <w:rsid w:val="003F23D4"/>
    <w:rsid w:val="003F2DFB"/>
    <w:rsid w:val="003F3382"/>
    <w:rsid w:val="003F4329"/>
    <w:rsid w:val="003F511C"/>
    <w:rsid w:val="003F561C"/>
    <w:rsid w:val="003F5748"/>
    <w:rsid w:val="003F5EE9"/>
    <w:rsid w:val="00400C0B"/>
    <w:rsid w:val="00400F07"/>
    <w:rsid w:val="004016B1"/>
    <w:rsid w:val="00401DAC"/>
    <w:rsid w:val="0040238D"/>
    <w:rsid w:val="00405562"/>
    <w:rsid w:val="00405AA8"/>
    <w:rsid w:val="00405F2C"/>
    <w:rsid w:val="00406E2F"/>
    <w:rsid w:val="00406E4C"/>
    <w:rsid w:val="00407101"/>
    <w:rsid w:val="00407D59"/>
    <w:rsid w:val="0041000A"/>
    <w:rsid w:val="00411AB2"/>
    <w:rsid w:val="004123DE"/>
    <w:rsid w:val="00412534"/>
    <w:rsid w:val="004127AE"/>
    <w:rsid w:val="004129CD"/>
    <w:rsid w:val="00412C83"/>
    <w:rsid w:val="0041400F"/>
    <w:rsid w:val="00414B1F"/>
    <w:rsid w:val="00415D45"/>
    <w:rsid w:val="0041612E"/>
    <w:rsid w:val="0041615A"/>
    <w:rsid w:val="00417605"/>
    <w:rsid w:val="00420556"/>
    <w:rsid w:val="00421249"/>
    <w:rsid w:val="004223BA"/>
    <w:rsid w:val="004226DA"/>
    <w:rsid w:val="00422AC0"/>
    <w:rsid w:val="004232D8"/>
    <w:rsid w:val="00423EB0"/>
    <w:rsid w:val="00425A64"/>
    <w:rsid w:val="00426014"/>
    <w:rsid w:val="0042629C"/>
    <w:rsid w:val="004277A3"/>
    <w:rsid w:val="00427ED6"/>
    <w:rsid w:val="00432411"/>
    <w:rsid w:val="00433B76"/>
    <w:rsid w:val="00435181"/>
    <w:rsid w:val="004412C5"/>
    <w:rsid w:val="0044169C"/>
    <w:rsid w:val="00443DF7"/>
    <w:rsid w:val="00444BF3"/>
    <w:rsid w:val="00444E30"/>
    <w:rsid w:val="00445738"/>
    <w:rsid w:val="00445D59"/>
    <w:rsid w:val="0044617E"/>
    <w:rsid w:val="0045023A"/>
    <w:rsid w:val="004503AF"/>
    <w:rsid w:val="00450491"/>
    <w:rsid w:val="00450E9B"/>
    <w:rsid w:val="0045267C"/>
    <w:rsid w:val="00454CF1"/>
    <w:rsid w:val="004551FF"/>
    <w:rsid w:val="0045570A"/>
    <w:rsid w:val="00457A68"/>
    <w:rsid w:val="00457FED"/>
    <w:rsid w:val="00460745"/>
    <w:rsid w:val="0046078B"/>
    <w:rsid w:val="00460B7D"/>
    <w:rsid w:val="004632BB"/>
    <w:rsid w:val="0046556D"/>
    <w:rsid w:val="00465EFC"/>
    <w:rsid w:val="0046617B"/>
    <w:rsid w:val="004662F5"/>
    <w:rsid w:val="004664C2"/>
    <w:rsid w:val="00467590"/>
    <w:rsid w:val="0046776D"/>
    <w:rsid w:val="00467ED7"/>
    <w:rsid w:val="00470B51"/>
    <w:rsid w:val="00471366"/>
    <w:rsid w:val="004713FB"/>
    <w:rsid w:val="0047216D"/>
    <w:rsid w:val="004730A4"/>
    <w:rsid w:val="0047433D"/>
    <w:rsid w:val="00476F2C"/>
    <w:rsid w:val="0047722D"/>
    <w:rsid w:val="00477C4D"/>
    <w:rsid w:val="004802D9"/>
    <w:rsid w:val="00480C42"/>
    <w:rsid w:val="00480CB0"/>
    <w:rsid w:val="0048207F"/>
    <w:rsid w:val="00482EA7"/>
    <w:rsid w:val="00483041"/>
    <w:rsid w:val="00483603"/>
    <w:rsid w:val="00483797"/>
    <w:rsid w:val="0048441F"/>
    <w:rsid w:val="00484FD5"/>
    <w:rsid w:val="00485C88"/>
    <w:rsid w:val="0048601F"/>
    <w:rsid w:val="00486F23"/>
    <w:rsid w:val="00490638"/>
    <w:rsid w:val="00494BD5"/>
    <w:rsid w:val="00494E8C"/>
    <w:rsid w:val="00494EB6"/>
    <w:rsid w:val="0049552F"/>
    <w:rsid w:val="0049784F"/>
    <w:rsid w:val="004A06B7"/>
    <w:rsid w:val="004A097B"/>
    <w:rsid w:val="004A1E84"/>
    <w:rsid w:val="004A1EAD"/>
    <w:rsid w:val="004A47BE"/>
    <w:rsid w:val="004A537A"/>
    <w:rsid w:val="004A5464"/>
    <w:rsid w:val="004A5F7C"/>
    <w:rsid w:val="004A65DF"/>
    <w:rsid w:val="004A6801"/>
    <w:rsid w:val="004A6DF2"/>
    <w:rsid w:val="004A6FE5"/>
    <w:rsid w:val="004A732F"/>
    <w:rsid w:val="004A7BE4"/>
    <w:rsid w:val="004B00CF"/>
    <w:rsid w:val="004B1853"/>
    <w:rsid w:val="004B1BF9"/>
    <w:rsid w:val="004B25C7"/>
    <w:rsid w:val="004B2D9B"/>
    <w:rsid w:val="004B34EA"/>
    <w:rsid w:val="004B4004"/>
    <w:rsid w:val="004B4A15"/>
    <w:rsid w:val="004B5494"/>
    <w:rsid w:val="004B5BB0"/>
    <w:rsid w:val="004C198B"/>
    <w:rsid w:val="004C1BEF"/>
    <w:rsid w:val="004C1D31"/>
    <w:rsid w:val="004C257C"/>
    <w:rsid w:val="004C35A2"/>
    <w:rsid w:val="004C419F"/>
    <w:rsid w:val="004C4643"/>
    <w:rsid w:val="004C4BE6"/>
    <w:rsid w:val="004C503F"/>
    <w:rsid w:val="004C54CB"/>
    <w:rsid w:val="004C5992"/>
    <w:rsid w:val="004C6C90"/>
    <w:rsid w:val="004C71AE"/>
    <w:rsid w:val="004C7A2B"/>
    <w:rsid w:val="004C7D3A"/>
    <w:rsid w:val="004C7F8A"/>
    <w:rsid w:val="004D0819"/>
    <w:rsid w:val="004D0B0B"/>
    <w:rsid w:val="004D2097"/>
    <w:rsid w:val="004D32CD"/>
    <w:rsid w:val="004D36AB"/>
    <w:rsid w:val="004D4065"/>
    <w:rsid w:val="004D4523"/>
    <w:rsid w:val="004D7176"/>
    <w:rsid w:val="004D74D6"/>
    <w:rsid w:val="004D7FDB"/>
    <w:rsid w:val="004E0DD3"/>
    <w:rsid w:val="004E3E39"/>
    <w:rsid w:val="004E4060"/>
    <w:rsid w:val="004E4D7D"/>
    <w:rsid w:val="004E4FCB"/>
    <w:rsid w:val="004E4FF5"/>
    <w:rsid w:val="004E52E7"/>
    <w:rsid w:val="004E6BF7"/>
    <w:rsid w:val="004E7513"/>
    <w:rsid w:val="004F02CA"/>
    <w:rsid w:val="004F0AB5"/>
    <w:rsid w:val="004F0EB0"/>
    <w:rsid w:val="004F1FC1"/>
    <w:rsid w:val="004F47B7"/>
    <w:rsid w:val="004F5147"/>
    <w:rsid w:val="004F5AC3"/>
    <w:rsid w:val="004F5D9C"/>
    <w:rsid w:val="004F6F03"/>
    <w:rsid w:val="004F7197"/>
    <w:rsid w:val="0050010D"/>
    <w:rsid w:val="00500E96"/>
    <w:rsid w:val="005018A8"/>
    <w:rsid w:val="00501BC0"/>
    <w:rsid w:val="0050255F"/>
    <w:rsid w:val="00502CC7"/>
    <w:rsid w:val="005046C5"/>
    <w:rsid w:val="00505A39"/>
    <w:rsid w:val="00506013"/>
    <w:rsid w:val="00506391"/>
    <w:rsid w:val="005064F1"/>
    <w:rsid w:val="005077F7"/>
    <w:rsid w:val="00510AF5"/>
    <w:rsid w:val="00510DE3"/>
    <w:rsid w:val="005112A9"/>
    <w:rsid w:val="00512C6C"/>
    <w:rsid w:val="00513FDD"/>
    <w:rsid w:val="0051498D"/>
    <w:rsid w:val="0051547C"/>
    <w:rsid w:val="00517652"/>
    <w:rsid w:val="00517676"/>
    <w:rsid w:val="00521866"/>
    <w:rsid w:val="00522199"/>
    <w:rsid w:val="00523822"/>
    <w:rsid w:val="005240BF"/>
    <w:rsid w:val="00524959"/>
    <w:rsid w:val="0052572B"/>
    <w:rsid w:val="005263E4"/>
    <w:rsid w:val="0052674C"/>
    <w:rsid w:val="005268FA"/>
    <w:rsid w:val="00526CBE"/>
    <w:rsid w:val="0053108B"/>
    <w:rsid w:val="00531CE7"/>
    <w:rsid w:val="00531E35"/>
    <w:rsid w:val="0053291E"/>
    <w:rsid w:val="0053335E"/>
    <w:rsid w:val="00533C3D"/>
    <w:rsid w:val="00534BDB"/>
    <w:rsid w:val="00535133"/>
    <w:rsid w:val="00535AF2"/>
    <w:rsid w:val="0053714A"/>
    <w:rsid w:val="00537C12"/>
    <w:rsid w:val="00537DB2"/>
    <w:rsid w:val="0054297F"/>
    <w:rsid w:val="00543324"/>
    <w:rsid w:val="00547E87"/>
    <w:rsid w:val="00551A40"/>
    <w:rsid w:val="005526CF"/>
    <w:rsid w:val="0055376B"/>
    <w:rsid w:val="0055509E"/>
    <w:rsid w:val="00555208"/>
    <w:rsid w:val="0055671F"/>
    <w:rsid w:val="00557158"/>
    <w:rsid w:val="0055793F"/>
    <w:rsid w:val="00557AD1"/>
    <w:rsid w:val="00560F7E"/>
    <w:rsid w:val="00562D6B"/>
    <w:rsid w:val="00563392"/>
    <w:rsid w:val="00564471"/>
    <w:rsid w:val="005647CA"/>
    <w:rsid w:val="0057013B"/>
    <w:rsid w:val="00570E5D"/>
    <w:rsid w:val="00571794"/>
    <w:rsid w:val="005746AB"/>
    <w:rsid w:val="00574B31"/>
    <w:rsid w:val="00575B9C"/>
    <w:rsid w:val="00575E8F"/>
    <w:rsid w:val="00577A4A"/>
    <w:rsid w:val="00577D99"/>
    <w:rsid w:val="00580621"/>
    <w:rsid w:val="00580DA1"/>
    <w:rsid w:val="00581009"/>
    <w:rsid w:val="00581811"/>
    <w:rsid w:val="00582660"/>
    <w:rsid w:val="00583C35"/>
    <w:rsid w:val="00584128"/>
    <w:rsid w:val="00584D5D"/>
    <w:rsid w:val="005852F3"/>
    <w:rsid w:val="00585390"/>
    <w:rsid w:val="00585BDC"/>
    <w:rsid w:val="00585C54"/>
    <w:rsid w:val="005868A2"/>
    <w:rsid w:val="00586A5A"/>
    <w:rsid w:val="00586D8B"/>
    <w:rsid w:val="00586E71"/>
    <w:rsid w:val="00590032"/>
    <w:rsid w:val="005900E1"/>
    <w:rsid w:val="0059069B"/>
    <w:rsid w:val="00590DC2"/>
    <w:rsid w:val="00592B9B"/>
    <w:rsid w:val="005933E1"/>
    <w:rsid w:val="005939A5"/>
    <w:rsid w:val="00594732"/>
    <w:rsid w:val="00594A89"/>
    <w:rsid w:val="00595015"/>
    <w:rsid w:val="00595362"/>
    <w:rsid w:val="00595604"/>
    <w:rsid w:val="00595F93"/>
    <w:rsid w:val="005962AF"/>
    <w:rsid w:val="00596588"/>
    <w:rsid w:val="00596FD2"/>
    <w:rsid w:val="005972AB"/>
    <w:rsid w:val="00597BFA"/>
    <w:rsid w:val="005A0658"/>
    <w:rsid w:val="005A148C"/>
    <w:rsid w:val="005A6230"/>
    <w:rsid w:val="005A78CA"/>
    <w:rsid w:val="005A7BB4"/>
    <w:rsid w:val="005A7F2E"/>
    <w:rsid w:val="005B00D9"/>
    <w:rsid w:val="005B090A"/>
    <w:rsid w:val="005B1E20"/>
    <w:rsid w:val="005B29A1"/>
    <w:rsid w:val="005B2F33"/>
    <w:rsid w:val="005B4EB8"/>
    <w:rsid w:val="005B57D5"/>
    <w:rsid w:val="005B5D33"/>
    <w:rsid w:val="005B662D"/>
    <w:rsid w:val="005B6BBA"/>
    <w:rsid w:val="005B75B7"/>
    <w:rsid w:val="005C10D9"/>
    <w:rsid w:val="005C1794"/>
    <w:rsid w:val="005C1AD3"/>
    <w:rsid w:val="005C1EA5"/>
    <w:rsid w:val="005C2DB2"/>
    <w:rsid w:val="005C3FF1"/>
    <w:rsid w:val="005C546E"/>
    <w:rsid w:val="005C58FA"/>
    <w:rsid w:val="005C5A68"/>
    <w:rsid w:val="005C5E53"/>
    <w:rsid w:val="005C6F5B"/>
    <w:rsid w:val="005D0AF1"/>
    <w:rsid w:val="005D1846"/>
    <w:rsid w:val="005D2F17"/>
    <w:rsid w:val="005D4F3D"/>
    <w:rsid w:val="005D5700"/>
    <w:rsid w:val="005D5E57"/>
    <w:rsid w:val="005D6F79"/>
    <w:rsid w:val="005D758A"/>
    <w:rsid w:val="005D7BFC"/>
    <w:rsid w:val="005E0168"/>
    <w:rsid w:val="005E019D"/>
    <w:rsid w:val="005E08C7"/>
    <w:rsid w:val="005E09E3"/>
    <w:rsid w:val="005E3953"/>
    <w:rsid w:val="005E3BD4"/>
    <w:rsid w:val="005E48A5"/>
    <w:rsid w:val="005E48CA"/>
    <w:rsid w:val="005E6041"/>
    <w:rsid w:val="005E608E"/>
    <w:rsid w:val="005E7201"/>
    <w:rsid w:val="005E78A0"/>
    <w:rsid w:val="005E7A9B"/>
    <w:rsid w:val="005E7C24"/>
    <w:rsid w:val="005F0614"/>
    <w:rsid w:val="005F06D2"/>
    <w:rsid w:val="005F0A12"/>
    <w:rsid w:val="005F12D2"/>
    <w:rsid w:val="005F16F7"/>
    <w:rsid w:val="005F18CC"/>
    <w:rsid w:val="005F2A47"/>
    <w:rsid w:val="005F2B9D"/>
    <w:rsid w:val="005F3AC5"/>
    <w:rsid w:val="005F47FD"/>
    <w:rsid w:val="005F4B51"/>
    <w:rsid w:val="005F5B85"/>
    <w:rsid w:val="005F786E"/>
    <w:rsid w:val="00603238"/>
    <w:rsid w:val="00603975"/>
    <w:rsid w:val="00604857"/>
    <w:rsid w:val="006075EE"/>
    <w:rsid w:val="00610D20"/>
    <w:rsid w:val="00611B10"/>
    <w:rsid w:val="00611BD9"/>
    <w:rsid w:val="00611DE6"/>
    <w:rsid w:val="0061258D"/>
    <w:rsid w:val="00613CCD"/>
    <w:rsid w:val="006143F5"/>
    <w:rsid w:val="00614CEC"/>
    <w:rsid w:val="006150DB"/>
    <w:rsid w:val="00615CB4"/>
    <w:rsid w:val="00615ED7"/>
    <w:rsid w:val="00616EF5"/>
    <w:rsid w:val="00621558"/>
    <w:rsid w:val="00621A05"/>
    <w:rsid w:val="006226EA"/>
    <w:rsid w:val="006231CA"/>
    <w:rsid w:val="00626BDA"/>
    <w:rsid w:val="0063023F"/>
    <w:rsid w:val="006311A4"/>
    <w:rsid w:val="00631730"/>
    <w:rsid w:val="00632207"/>
    <w:rsid w:val="00632D00"/>
    <w:rsid w:val="0063491C"/>
    <w:rsid w:val="00636983"/>
    <w:rsid w:val="00636B23"/>
    <w:rsid w:val="00637712"/>
    <w:rsid w:val="00640AE9"/>
    <w:rsid w:val="00641A5C"/>
    <w:rsid w:val="006453C3"/>
    <w:rsid w:val="00645716"/>
    <w:rsid w:val="00645FF5"/>
    <w:rsid w:val="00646402"/>
    <w:rsid w:val="0064644A"/>
    <w:rsid w:val="00647556"/>
    <w:rsid w:val="006476C8"/>
    <w:rsid w:val="00647954"/>
    <w:rsid w:val="0065099B"/>
    <w:rsid w:val="00653881"/>
    <w:rsid w:val="006548D8"/>
    <w:rsid w:val="00654C46"/>
    <w:rsid w:val="00657364"/>
    <w:rsid w:val="00661AE6"/>
    <w:rsid w:val="00661AFE"/>
    <w:rsid w:val="00661DDA"/>
    <w:rsid w:val="00664AF0"/>
    <w:rsid w:val="00664CF4"/>
    <w:rsid w:val="006666CF"/>
    <w:rsid w:val="00670FD9"/>
    <w:rsid w:val="006711B5"/>
    <w:rsid w:val="0067129D"/>
    <w:rsid w:val="006738C3"/>
    <w:rsid w:val="006745CB"/>
    <w:rsid w:val="00674680"/>
    <w:rsid w:val="00674D6B"/>
    <w:rsid w:val="00674DFA"/>
    <w:rsid w:val="0067522A"/>
    <w:rsid w:val="00675CD7"/>
    <w:rsid w:val="00675EFC"/>
    <w:rsid w:val="00677FE7"/>
    <w:rsid w:val="00680893"/>
    <w:rsid w:val="00680F19"/>
    <w:rsid w:val="00682EB9"/>
    <w:rsid w:val="0068323E"/>
    <w:rsid w:val="00683B2C"/>
    <w:rsid w:val="0068535F"/>
    <w:rsid w:val="00685F66"/>
    <w:rsid w:val="0068655C"/>
    <w:rsid w:val="0068690B"/>
    <w:rsid w:val="00691ACD"/>
    <w:rsid w:val="00691F8A"/>
    <w:rsid w:val="00692EA3"/>
    <w:rsid w:val="0069316C"/>
    <w:rsid w:val="006943DB"/>
    <w:rsid w:val="0069684E"/>
    <w:rsid w:val="006A086C"/>
    <w:rsid w:val="006A0DA9"/>
    <w:rsid w:val="006A3301"/>
    <w:rsid w:val="006A385A"/>
    <w:rsid w:val="006A3EB0"/>
    <w:rsid w:val="006A51E4"/>
    <w:rsid w:val="006A635F"/>
    <w:rsid w:val="006A6799"/>
    <w:rsid w:val="006A6A0D"/>
    <w:rsid w:val="006B1876"/>
    <w:rsid w:val="006B1FBA"/>
    <w:rsid w:val="006B249F"/>
    <w:rsid w:val="006B29B8"/>
    <w:rsid w:val="006B30C8"/>
    <w:rsid w:val="006B51B3"/>
    <w:rsid w:val="006B559C"/>
    <w:rsid w:val="006B5DE1"/>
    <w:rsid w:val="006B61B0"/>
    <w:rsid w:val="006B7612"/>
    <w:rsid w:val="006C0206"/>
    <w:rsid w:val="006C0C63"/>
    <w:rsid w:val="006C1F10"/>
    <w:rsid w:val="006C1FD0"/>
    <w:rsid w:val="006C2584"/>
    <w:rsid w:val="006C2659"/>
    <w:rsid w:val="006C31FC"/>
    <w:rsid w:val="006C324E"/>
    <w:rsid w:val="006C4D9D"/>
    <w:rsid w:val="006C4EF4"/>
    <w:rsid w:val="006C7048"/>
    <w:rsid w:val="006C78A0"/>
    <w:rsid w:val="006D0E03"/>
    <w:rsid w:val="006D0F6C"/>
    <w:rsid w:val="006D398C"/>
    <w:rsid w:val="006D4562"/>
    <w:rsid w:val="006D5F48"/>
    <w:rsid w:val="006D617F"/>
    <w:rsid w:val="006D6437"/>
    <w:rsid w:val="006E04CB"/>
    <w:rsid w:val="006E21B3"/>
    <w:rsid w:val="006E5E28"/>
    <w:rsid w:val="006E6574"/>
    <w:rsid w:val="006E747E"/>
    <w:rsid w:val="006F0781"/>
    <w:rsid w:val="006F107F"/>
    <w:rsid w:val="006F1196"/>
    <w:rsid w:val="006F1655"/>
    <w:rsid w:val="006F1AA4"/>
    <w:rsid w:val="006F1E7A"/>
    <w:rsid w:val="006F240B"/>
    <w:rsid w:val="006F2F25"/>
    <w:rsid w:val="006F35FE"/>
    <w:rsid w:val="006F508A"/>
    <w:rsid w:val="006F5203"/>
    <w:rsid w:val="006F5C12"/>
    <w:rsid w:val="006F708E"/>
    <w:rsid w:val="00700189"/>
    <w:rsid w:val="00700E4A"/>
    <w:rsid w:val="00700F56"/>
    <w:rsid w:val="00703243"/>
    <w:rsid w:val="00705B17"/>
    <w:rsid w:val="0070769F"/>
    <w:rsid w:val="00712011"/>
    <w:rsid w:val="00712AE1"/>
    <w:rsid w:val="00713439"/>
    <w:rsid w:val="00714383"/>
    <w:rsid w:val="007143F0"/>
    <w:rsid w:val="00714CF2"/>
    <w:rsid w:val="00714DF6"/>
    <w:rsid w:val="00714E13"/>
    <w:rsid w:val="007156B9"/>
    <w:rsid w:val="00715D43"/>
    <w:rsid w:val="00716529"/>
    <w:rsid w:val="007174F3"/>
    <w:rsid w:val="00717EE7"/>
    <w:rsid w:val="0072027F"/>
    <w:rsid w:val="007205D2"/>
    <w:rsid w:val="00720817"/>
    <w:rsid w:val="00721442"/>
    <w:rsid w:val="00722850"/>
    <w:rsid w:val="00722933"/>
    <w:rsid w:val="00723787"/>
    <w:rsid w:val="00723F4A"/>
    <w:rsid w:val="007266FE"/>
    <w:rsid w:val="00726D99"/>
    <w:rsid w:val="00727A6D"/>
    <w:rsid w:val="00731D5F"/>
    <w:rsid w:val="007328A4"/>
    <w:rsid w:val="00732A4F"/>
    <w:rsid w:val="00732EDE"/>
    <w:rsid w:val="0073353F"/>
    <w:rsid w:val="00733C0E"/>
    <w:rsid w:val="00735A91"/>
    <w:rsid w:val="00736BE4"/>
    <w:rsid w:val="00736C99"/>
    <w:rsid w:val="0074043C"/>
    <w:rsid w:val="007404AD"/>
    <w:rsid w:val="00740788"/>
    <w:rsid w:val="00740D60"/>
    <w:rsid w:val="00741D2E"/>
    <w:rsid w:val="007423D4"/>
    <w:rsid w:val="00742603"/>
    <w:rsid w:val="0074299F"/>
    <w:rsid w:val="00742E45"/>
    <w:rsid w:val="00743048"/>
    <w:rsid w:val="00743124"/>
    <w:rsid w:val="00744256"/>
    <w:rsid w:val="007447AF"/>
    <w:rsid w:val="00750816"/>
    <w:rsid w:val="0075193C"/>
    <w:rsid w:val="00752DFE"/>
    <w:rsid w:val="00754089"/>
    <w:rsid w:val="00754EAF"/>
    <w:rsid w:val="007560B6"/>
    <w:rsid w:val="00757A6A"/>
    <w:rsid w:val="00760415"/>
    <w:rsid w:val="0076134F"/>
    <w:rsid w:val="00761ACF"/>
    <w:rsid w:val="00762E35"/>
    <w:rsid w:val="00762F8D"/>
    <w:rsid w:val="00763397"/>
    <w:rsid w:val="0076381B"/>
    <w:rsid w:val="00764FE5"/>
    <w:rsid w:val="007650A8"/>
    <w:rsid w:val="007656A8"/>
    <w:rsid w:val="0076575E"/>
    <w:rsid w:val="007657C1"/>
    <w:rsid w:val="00765BD3"/>
    <w:rsid w:val="007666ED"/>
    <w:rsid w:val="007668BD"/>
    <w:rsid w:val="00767628"/>
    <w:rsid w:val="00767D50"/>
    <w:rsid w:val="0077063C"/>
    <w:rsid w:val="00772A4D"/>
    <w:rsid w:val="00772E6A"/>
    <w:rsid w:val="00773E19"/>
    <w:rsid w:val="007764FF"/>
    <w:rsid w:val="0077667B"/>
    <w:rsid w:val="00776837"/>
    <w:rsid w:val="0077755F"/>
    <w:rsid w:val="00782800"/>
    <w:rsid w:val="00782E8E"/>
    <w:rsid w:val="00782F3A"/>
    <w:rsid w:val="0078484E"/>
    <w:rsid w:val="007860DE"/>
    <w:rsid w:val="00787A88"/>
    <w:rsid w:val="0078C136"/>
    <w:rsid w:val="0079068B"/>
    <w:rsid w:val="00790FFD"/>
    <w:rsid w:val="00793133"/>
    <w:rsid w:val="007946A0"/>
    <w:rsid w:val="007948DB"/>
    <w:rsid w:val="00795C8E"/>
    <w:rsid w:val="00796B0F"/>
    <w:rsid w:val="00796B70"/>
    <w:rsid w:val="00797034"/>
    <w:rsid w:val="00797FBB"/>
    <w:rsid w:val="007A10D4"/>
    <w:rsid w:val="007A3523"/>
    <w:rsid w:val="007A406D"/>
    <w:rsid w:val="007A519E"/>
    <w:rsid w:val="007A5875"/>
    <w:rsid w:val="007A5BFE"/>
    <w:rsid w:val="007A62B0"/>
    <w:rsid w:val="007A6576"/>
    <w:rsid w:val="007A79CD"/>
    <w:rsid w:val="007A7D3E"/>
    <w:rsid w:val="007B07DF"/>
    <w:rsid w:val="007B18B5"/>
    <w:rsid w:val="007B1A47"/>
    <w:rsid w:val="007B21FE"/>
    <w:rsid w:val="007B3429"/>
    <w:rsid w:val="007B5494"/>
    <w:rsid w:val="007B5A29"/>
    <w:rsid w:val="007B6131"/>
    <w:rsid w:val="007B7D37"/>
    <w:rsid w:val="007C0478"/>
    <w:rsid w:val="007C0D24"/>
    <w:rsid w:val="007C1836"/>
    <w:rsid w:val="007C2354"/>
    <w:rsid w:val="007C4C1D"/>
    <w:rsid w:val="007C5259"/>
    <w:rsid w:val="007C5A0C"/>
    <w:rsid w:val="007C6EB3"/>
    <w:rsid w:val="007C760E"/>
    <w:rsid w:val="007D21C3"/>
    <w:rsid w:val="007D34EA"/>
    <w:rsid w:val="007D49DC"/>
    <w:rsid w:val="007D55B4"/>
    <w:rsid w:val="007D60A1"/>
    <w:rsid w:val="007D6DFC"/>
    <w:rsid w:val="007D76A7"/>
    <w:rsid w:val="007E09A9"/>
    <w:rsid w:val="007E0FEE"/>
    <w:rsid w:val="007E18BC"/>
    <w:rsid w:val="007E1F65"/>
    <w:rsid w:val="007E3940"/>
    <w:rsid w:val="007E3D35"/>
    <w:rsid w:val="007E4391"/>
    <w:rsid w:val="007E48E0"/>
    <w:rsid w:val="007E4FFE"/>
    <w:rsid w:val="007E5264"/>
    <w:rsid w:val="007E61EB"/>
    <w:rsid w:val="007E740D"/>
    <w:rsid w:val="007F2017"/>
    <w:rsid w:val="007F2064"/>
    <w:rsid w:val="007F23A0"/>
    <w:rsid w:val="007F2D8C"/>
    <w:rsid w:val="007F35F1"/>
    <w:rsid w:val="007F4AA1"/>
    <w:rsid w:val="007F5768"/>
    <w:rsid w:val="007F5EC6"/>
    <w:rsid w:val="007F5F47"/>
    <w:rsid w:val="007F67A2"/>
    <w:rsid w:val="007F6A5F"/>
    <w:rsid w:val="007F6D09"/>
    <w:rsid w:val="007F7697"/>
    <w:rsid w:val="007F7AA3"/>
    <w:rsid w:val="008007E8"/>
    <w:rsid w:val="008033C5"/>
    <w:rsid w:val="00803893"/>
    <w:rsid w:val="0080390E"/>
    <w:rsid w:val="0080700F"/>
    <w:rsid w:val="00807EFE"/>
    <w:rsid w:val="008105F5"/>
    <w:rsid w:val="00813731"/>
    <w:rsid w:val="008159CF"/>
    <w:rsid w:val="00815A4B"/>
    <w:rsid w:val="00815F65"/>
    <w:rsid w:val="0081671E"/>
    <w:rsid w:val="00816E05"/>
    <w:rsid w:val="00816FD3"/>
    <w:rsid w:val="00820E27"/>
    <w:rsid w:val="008216B4"/>
    <w:rsid w:val="008222CC"/>
    <w:rsid w:val="00822AD3"/>
    <w:rsid w:val="00823E39"/>
    <w:rsid w:val="00823F20"/>
    <w:rsid w:val="00824BD9"/>
    <w:rsid w:val="00824EBD"/>
    <w:rsid w:val="00825072"/>
    <w:rsid w:val="00825E2C"/>
    <w:rsid w:val="00826840"/>
    <w:rsid w:val="00826C93"/>
    <w:rsid w:val="00830043"/>
    <w:rsid w:val="0083022C"/>
    <w:rsid w:val="0083152F"/>
    <w:rsid w:val="008326B8"/>
    <w:rsid w:val="00832A94"/>
    <w:rsid w:val="00833988"/>
    <w:rsid w:val="008339BB"/>
    <w:rsid w:val="0083713B"/>
    <w:rsid w:val="00837240"/>
    <w:rsid w:val="00840455"/>
    <w:rsid w:val="008453BE"/>
    <w:rsid w:val="00845730"/>
    <w:rsid w:val="00845F78"/>
    <w:rsid w:val="0084691F"/>
    <w:rsid w:val="0084778F"/>
    <w:rsid w:val="0085303F"/>
    <w:rsid w:val="008544E6"/>
    <w:rsid w:val="0085481A"/>
    <w:rsid w:val="00854AC5"/>
    <w:rsid w:val="00857B5C"/>
    <w:rsid w:val="00857C7D"/>
    <w:rsid w:val="0086136E"/>
    <w:rsid w:val="00861DB5"/>
    <w:rsid w:val="008620CF"/>
    <w:rsid w:val="0086419A"/>
    <w:rsid w:val="00864B6B"/>
    <w:rsid w:val="00865B8C"/>
    <w:rsid w:val="00865C32"/>
    <w:rsid w:val="008673B5"/>
    <w:rsid w:val="00867C41"/>
    <w:rsid w:val="00867C85"/>
    <w:rsid w:val="0087023B"/>
    <w:rsid w:val="00870681"/>
    <w:rsid w:val="00871A57"/>
    <w:rsid w:val="00872025"/>
    <w:rsid w:val="00872620"/>
    <w:rsid w:val="00873ACA"/>
    <w:rsid w:val="00874AFE"/>
    <w:rsid w:val="00874E1C"/>
    <w:rsid w:val="00876539"/>
    <w:rsid w:val="00876593"/>
    <w:rsid w:val="008801DC"/>
    <w:rsid w:val="0088113D"/>
    <w:rsid w:val="00881EA1"/>
    <w:rsid w:val="0088217B"/>
    <w:rsid w:val="00882688"/>
    <w:rsid w:val="008843B6"/>
    <w:rsid w:val="008855AE"/>
    <w:rsid w:val="00885C70"/>
    <w:rsid w:val="00886CEF"/>
    <w:rsid w:val="008872B9"/>
    <w:rsid w:val="008903F9"/>
    <w:rsid w:val="008913B0"/>
    <w:rsid w:val="0089178E"/>
    <w:rsid w:val="008919CF"/>
    <w:rsid w:val="00896E13"/>
    <w:rsid w:val="008A08BF"/>
    <w:rsid w:val="008A179F"/>
    <w:rsid w:val="008A3609"/>
    <w:rsid w:val="008A5559"/>
    <w:rsid w:val="008B0864"/>
    <w:rsid w:val="008B175A"/>
    <w:rsid w:val="008B259D"/>
    <w:rsid w:val="008B3CF3"/>
    <w:rsid w:val="008B4575"/>
    <w:rsid w:val="008B477B"/>
    <w:rsid w:val="008B4A27"/>
    <w:rsid w:val="008B4AE4"/>
    <w:rsid w:val="008B4F82"/>
    <w:rsid w:val="008C2434"/>
    <w:rsid w:val="008C3CB7"/>
    <w:rsid w:val="008C441A"/>
    <w:rsid w:val="008C5855"/>
    <w:rsid w:val="008C5A2E"/>
    <w:rsid w:val="008C5D48"/>
    <w:rsid w:val="008C636B"/>
    <w:rsid w:val="008C7413"/>
    <w:rsid w:val="008C77DB"/>
    <w:rsid w:val="008D0D3B"/>
    <w:rsid w:val="008D147D"/>
    <w:rsid w:val="008D16B7"/>
    <w:rsid w:val="008D2B47"/>
    <w:rsid w:val="008D3287"/>
    <w:rsid w:val="008D38A3"/>
    <w:rsid w:val="008D3DFA"/>
    <w:rsid w:val="008D4F61"/>
    <w:rsid w:val="008D5521"/>
    <w:rsid w:val="008D56DD"/>
    <w:rsid w:val="008D5A7B"/>
    <w:rsid w:val="008D5EAA"/>
    <w:rsid w:val="008D670C"/>
    <w:rsid w:val="008E0820"/>
    <w:rsid w:val="008E095A"/>
    <w:rsid w:val="008E0FBB"/>
    <w:rsid w:val="008E1D94"/>
    <w:rsid w:val="008E210F"/>
    <w:rsid w:val="008E35F4"/>
    <w:rsid w:val="008E4DD9"/>
    <w:rsid w:val="008E4FEF"/>
    <w:rsid w:val="008E5A46"/>
    <w:rsid w:val="008E6623"/>
    <w:rsid w:val="008E6A6A"/>
    <w:rsid w:val="008E6AE6"/>
    <w:rsid w:val="008E7110"/>
    <w:rsid w:val="008E73C0"/>
    <w:rsid w:val="008E7512"/>
    <w:rsid w:val="008F0116"/>
    <w:rsid w:val="008F08B2"/>
    <w:rsid w:val="008F143D"/>
    <w:rsid w:val="008F19A6"/>
    <w:rsid w:val="008F1B36"/>
    <w:rsid w:val="008F3C39"/>
    <w:rsid w:val="008F43E6"/>
    <w:rsid w:val="008F5E5F"/>
    <w:rsid w:val="008F6D39"/>
    <w:rsid w:val="008F79B3"/>
    <w:rsid w:val="008F7DC1"/>
    <w:rsid w:val="00900E00"/>
    <w:rsid w:val="00901F4F"/>
    <w:rsid w:val="00901FC0"/>
    <w:rsid w:val="00902EA3"/>
    <w:rsid w:val="00904617"/>
    <w:rsid w:val="009062A3"/>
    <w:rsid w:val="009064EB"/>
    <w:rsid w:val="00907C44"/>
    <w:rsid w:val="00910844"/>
    <w:rsid w:val="00912E82"/>
    <w:rsid w:val="009131A9"/>
    <w:rsid w:val="009134E7"/>
    <w:rsid w:val="009135AC"/>
    <w:rsid w:val="00914D1E"/>
    <w:rsid w:val="0091712E"/>
    <w:rsid w:val="00920CD1"/>
    <w:rsid w:val="0092173D"/>
    <w:rsid w:val="0092178D"/>
    <w:rsid w:val="00922283"/>
    <w:rsid w:val="00923F03"/>
    <w:rsid w:val="00924219"/>
    <w:rsid w:val="0092583B"/>
    <w:rsid w:val="009264A4"/>
    <w:rsid w:val="00927552"/>
    <w:rsid w:val="00927A23"/>
    <w:rsid w:val="00930DA8"/>
    <w:rsid w:val="00931519"/>
    <w:rsid w:val="009315C0"/>
    <w:rsid w:val="00931885"/>
    <w:rsid w:val="00931AF0"/>
    <w:rsid w:val="00932865"/>
    <w:rsid w:val="00933051"/>
    <w:rsid w:val="00933806"/>
    <w:rsid w:val="00933B18"/>
    <w:rsid w:val="009348A7"/>
    <w:rsid w:val="00934F8F"/>
    <w:rsid w:val="00935198"/>
    <w:rsid w:val="00936B18"/>
    <w:rsid w:val="00937820"/>
    <w:rsid w:val="009378F7"/>
    <w:rsid w:val="00940379"/>
    <w:rsid w:val="0094064A"/>
    <w:rsid w:val="00941A42"/>
    <w:rsid w:val="00941EDE"/>
    <w:rsid w:val="009433C8"/>
    <w:rsid w:val="00945220"/>
    <w:rsid w:val="00945261"/>
    <w:rsid w:val="009478D2"/>
    <w:rsid w:val="009508E7"/>
    <w:rsid w:val="00950E0C"/>
    <w:rsid w:val="0095239F"/>
    <w:rsid w:val="009523F7"/>
    <w:rsid w:val="00952C3E"/>
    <w:rsid w:val="00952C6C"/>
    <w:rsid w:val="00952F7E"/>
    <w:rsid w:val="00954604"/>
    <w:rsid w:val="009551EA"/>
    <w:rsid w:val="00955921"/>
    <w:rsid w:val="009561E3"/>
    <w:rsid w:val="009565D3"/>
    <w:rsid w:val="00956D4B"/>
    <w:rsid w:val="009573F5"/>
    <w:rsid w:val="00957762"/>
    <w:rsid w:val="0095785D"/>
    <w:rsid w:val="00957B7A"/>
    <w:rsid w:val="00960EF4"/>
    <w:rsid w:val="0096177C"/>
    <w:rsid w:val="009619ED"/>
    <w:rsid w:val="009630D4"/>
    <w:rsid w:val="00963A53"/>
    <w:rsid w:val="00965387"/>
    <w:rsid w:val="009658DB"/>
    <w:rsid w:val="00966EB7"/>
    <w:rsid w:val="00967491"/>
    <w:rsid w:val="009676C7"/>
    <w:rsid w:val="00969919"/>
    <w:rsid w:val="00970E6F"/>
    <w:rsid w:val="00970ECB"/>
    <w:rsid w:val="00971B79"/>
    <w:rsid w:val="00971BCA"/>
    <w:rsid w:val="00971CFD"/>
    <w:rsid w:val="009734A0"/>
    <w:rsid w:val="009744C5"/>
    <w:rsid w:val="009756FE"/>
    <w:rsid w:val="009777C6"/>
    <w:rsid w:val="0097782A"/>
    <w:rsid w:val="009801AF"/>
    <w:rsid w:val="0098138E"/>
    <w:rsid w:val="00981AD6"/>
    <w:rsid w:val="00981C38"/>
    <w:rsid w:val="00982618"/>
    <w:rsid w:val="00982C35"/>
    <w:rsid w:val="00983D25"/>
    <w:rsid w:val="009855B1"/>
    <w:rsid w:val="00985DE1"/>
    <w:rsid w:val="0098655A"/>
    <w:rsid w:val="0098758F"/>
    <w:rsid w:val="0099004D"/>
    <w:rsid w:val="00990BD9"/>
    <w:rsid w:val="009911D3"/>
    <w:rsid w:val="0099203A"/>
    <w:rsid w:val="0099337C"/>
    <w:rsid w:val="00993BBB"/>
    <w:rsid w:val="00994117"/>
    <w:rsid w:val="00994F0A"/>
    <w:rsid w:val="00994F12"/>
    <w:rsid w:val="0099631C"/>
    <w:rsid w:val="00996A0E"/>
    <w:rsid w:val="0099710F"/>
    <w:rsid w:val="0099798E"/>
    <w:rsid w:val="009A0002"/>
    <w:rsid w:val="009A1D93"/>
    <w:rsid w:val="009A1FD1"/>
    <w:rsid w:val="009A2C85"/>
    <w:rsid w:val="009A3935"/>
    <w:rsid w:val="009A3E80"/>
    <w:rsid w:val="009A6E36"/>
    <w:rsid w:val="009A7DBC"/>
    <w:rsid w:val="009B1757"/>
    <w:rsid w:val="009B1F80"/>
    <w:rsid w:val="009B2226"/>
    <w:rsid w:val="009B3530"/>
    <w:rsid w:val="009B369A"/>
    <w:rsid w:val="009B4697"/>
    <w:rsid w:val="009B4E41"/>
    <w:rsid w:val="009B734D"/>
    <w:rsid w:val="009B7466"/>
    <w:rsid w:val="009C0C95"/>
    <w:rsid w:val="009C0E73"/>
    <w:rsid w:val="009C34D0"/>
    <w:rsid w:val="009C4784"/>
    <w:rsid w:val="009C4C7B"/>
    <w:rsid w:val="009C5D3C"/>
    <w:rsid w:val="009C6865"/>
    <w:rsid w:val="009C6B24"/>
    <w:rsid w:val="009C7E8F"/>
    <w:rsid w:val="009D06F4"/>
    <w:rsid w:val="009D1889"/>
    <w:rsid w:val="009D28C8"/>
    <w:rsid w:val="009D2AE5"/>
    <w:rsid w:val="009D316F"/>
    <w:rsid w:val="009D33D8"/>
    <w:rsid w:val="009D36CF"/>
    <w:rsid w:val="009D3ECD"/>
    <w:rsid w:val="009D6C74"/>
    <w:rsid w:val="009D746B"/>
    <w:rsid w:val="009D7C32"/>
    <w:rsid w:val="009E02CA"/>
    <w:rsid w:val="009E25A2"/>
    <w:rsid w:val="009E2A0A"/>
    <w:rsid w:val="009E32B2"/>
    <w:rsid w:val="009E358C"/>
    <w:rsid w:val="009E43EC"/>
    <w:rsid w:val="009E5005"/>
    <w:rsid w:val="009E5627"/>
    <w:rsid w:val="009E6052"/>
    <w:rsid w:val="009E7C7F"/>
    <w:rsid w:val="009F124D"/>
    <w:rsid w:val="009F3BAA"/>
    <w:rsid w:val="009F3E3B"/>
    <w:rsid w:val="009F5AFC"/>
    <w:rsid w:val="009F6178"/>
    <w:rsid w:val="009F6222"/>
    <w:rsid w:val="009F75FB"/>
    <w:rsid w:val="009F7840"/>
    <w:rsid w:val="00A01509"/>
    <w:rsid w:val="00A02672"/>
    <w:rsid w:val="00A029E2"/>
    <w:rsid w:val="00A0301C"/>
    <w:rsid w:val="00A03687"/>
    <w:rsid w:val="00A03AAA"/>
    <w:rsid w:val="00A0481B"/>
    <w:rsid w:val="00A04D48"/>
    <w:rsid w:val="00A05392"/>
    <w:rsid w:val="00A053EA"/>
    <w:rsid w:val="00A05D9E"/>
    <w:rsid w:val="00A06424"/>
    <w:rsid w:val="00A077F0"/>
    <w:rsid w:val="00A107B1"/>
    <w:rsid w:val="00A12516"/>
    <w:rsid w:val="00A14105"/>
    <w:rsid w:val="00A1492D"/>
    <w:rsid w:val="00A15260"/>
    <w:rsid w:val="00A1640F"/>
    <w:rsid w:val="00A17CE0"/>
    <w:rsid w:val="00A232F1"/>
    <w:rsid w:val="00A23D48"/>
    <w:rsid w:val="00A23E1A"/>
    <w:rsid w:val="00A24454"/>
    <w:rsid w:val="00A24915"/>
    <w:rsid w:val="00A25068"/>
    <w:rsid w:val="00A25360"/>
    <w:rsid w:val="00A261C6"/>
    <w:rsid w:val="00A27714"/>
    <w:rsid w:val="00A27FC3"/>
    <w:rsid w:val="00A28342"/>
    <w:rsid w:val="00A341D7"/>
    <w:rsid w:val="00A34AAF"/>
    <w:rsid w:val="00A36652"/>
    <w:rsid w:val="00A37B33"/>
    <w:rsid w:val="00A37B76"/>
    <w:rsid w:val="00A414C4"/>
    <w:rsid w:val="00A420BB"/>
    <w:rsid w:val="00A42306"/>
    <w:rsid w:val="00A42511"/>
    <w:rsid w:val="00A42A25"/>
    <w:rsid w:val="00A43279"/>
    <w:rsid w:val="00A4374B"/>
    <w:rsid w:val="00A43AFB"/>
    <w:rsid w:val="00A44E8D"/>
    <w:rsid w:val="00A46CBB"/>
    <w:rsid w:val="00A46EA8"/>
    <w:rsid w:val="00A477CA"/>
    <w:rsid w:val="00A53F78"/>
    <w:rsid w:val="00A54A2F"/>
    <w:rsid w:val="00A54D7A"/>
    <w:rsid w:val="00A55ACD"/>
    <w:rsid w:val="00A56305"/>
    <w:rsid w:val="00A56CE6"/>
    <w:rsid w:val="00A5703E"/>
    <w:rsid w:val="00A57F5C"/>
    <w:rsid w:val="00A604F4"/>
    <w:rsid w:val="00A62937"/>
    <w:rsid w:val="00A62A87"/>
    <w:rsid w:val="00A676D2"/>
    <w:rsid w:val="00A67C97"/>
    <w:rsid w:val="00A70F81"/>
    <w:rsid w:val="00A71411"/>
    <w:rsid w:val="00A7370F"/>
    <w:rsid w:val="00A737CF"/>
    <w:rsid w:val="00A754AE"/>
    <w:rsid w:val="00A75F30"/>
    <w:rsid w:val="00A76CA5"/>
    <w:rsid w:val="00A772E9"/>
    <w:rsid w:val="00A7754C"/>
    <w:rsid w:val="00A8092B"/>
    <w:rsid w:val="00A82F29"/>
    <w:rsid w:val="00A83658"/>
    <w:rsid w:val="00A83B10"/>
    <w:rsid w:val="00A840C9"/>
    <w:rsid w:val="00A84A80"/>
    <w:rsid w:val="00A85810"/>
    <w:rsid w:val="00A85A7D"/>
    <w:rsid w:val="00A85D27"/>
    <w:rsid w:val="00A85FF7"/>
    <w:rsid w:val="00A8664D"/>
    <w:rsid w:val="00A86B27"/>
    <w:rsid w:val="00A87077"/>
    <w:rsid w:val="00A90828"/>
    <w:rsid w:val="00A9189C"/>
    <w:rsid w:val="00A9198B"/>
    <w:rsid w:val="00A92732"/>
    <w:rsid w:val="00A944E7"/>
    <w:rsid w:val="00A94BCF"/>
    <w:rsid w:val="00A951CB"/>
    <w:rsid w:val="00A956F8"/>
    <w:rsid w:val="00A959CA"/>
    <w:rsid w:val="00A96056"/>
    <w:rsid w:val="00A966EE"/>
    <w:rsid w:val="00A97A68"/>
    <w:rsid w:val="00A97D35"/>
    <w:rsid w:val="00A97DF5"/>
    <w:rsid w:val="00AA10F6"/>
    <w:rsid w:val="00AA1196"/>
    <w:rsid w:val="00AA18B0"/>
    <w:rsid w:val="00AA1963"/>
    <w:rsid w:val="00AA3945"/>
    <w:rsid w:val="00AA4454"/>
    <w:rsid w:val="00AA4A22"/>
    <w:rsid w:val="00AA73DE"/>
    <w:rsid w:val="00AA7498"/>
    <w:rsid w:val="00AA792B"/>
    <w:rsid w:val="00AB05C1"/>
    <w:rsid w:val="00AB1B41"/>
    <w:rsid w:val="00AB3822"/>
    <w:rsid w:val="00AB41B3"/>
    <w:rsid w:val="00AB5C76"/>
    <w:rsid w:val="00AB5EC7"/>
    <w:rsid w:val="00AB63A1"/>
    <w:rsid w:val="00AB6EB2"/>
    <w:rsid w:val="00AB73A6"/>
    <w:rsid w:val="00AB7875"/>
    <w:rsid w:val="00AB7EF6"/>
    <w:rsid w:val="00AC1E82"/>
    <w:rsid w:val="00AC391E"/>
    <w:rsid w:val="00AC5FCD"/>
    <w:rsid w:val="00AC6533"/>
    <w:rsid w:val="00AC68EE"/>
    <w:rsid w:val="00AC7A5B"/>
    <w:rsid w:val="00ACC8C1"/>
    <w:rsid w:val="00AD20EC"/>
    <w:rsid w:val="00AD2CF4"/>
    <w:rsid w:val="00AD4D03"/>
    <w:rsid w:val="00AD503D"/>
    <w:rsid w:val="00AD635E"/>
    <w:rsid w:val="00AD7009"/>
    <w:rsid w:val="00AD7379"/>
    <w:rsid w:val="00AE0089"/>
    <w:rsid w:val="00AE0CF2"/>
    <w:rsid w:val="00AE1013"/>
    <w:rsid w:val="00AE1E59"/>
    <w:rsid w:val="00AE4E09"/>
    <w:rsid w:val="00AE5BF4"/>
    <w:rsid w:val="00AE6709"/>
    <w:rsid w:val="00AF061C"/>
    <w:rsid w:val="00AF0892"/>
    <w:rsid w:val="00AF12BF"/>
    <w:rsid w:val="00AF2E35"/>
    <w:rsid w:val="00AF2EA2"/>
    <w:rsid w:val="00AF405E"/>
    <w:rsid w:val="00AF4E9D"/>
    <w:rsid w:val="00AF506A"/>
    <w:rsid w:val="00AF558E"/>
    <w:rsid w:val="00AF5E00"/>
    <w:rsid w:val="00AF64FC"/>
    <w:rsid w:val="00B000F0"/>
    <w:rsid w:val="00B00756"/>
    <w:rsid w:val="00B00973"/>
    <w:rsid w:val="00B00D35"/>
    <w:rsid w:val="00B01A76"/>
    <w:rsid w:val="00B01F7E"/>
    <w:rsid w:val="00B030DE"/>
    <w:rsid w:val="00B031B5"/>
    <w:rsid w:val="00B0377F"/>
    <w:rsid w:val="00B0393B"/>
    <w:rsid w:val="00B03C3F"/>
    <w:rsid w:val="00B0456A"/>
    <w:rsid w:val="00B051C5"/>
    <w:rsid w:val="00B05E27"/>
    <w:rsid w:val="00B07B5F"/>
    <w:rsid w:val="00B10231"/>
    <w:rsid w:val="00B112D4"/>
    <w:rsid w:val="00B11D7E"/>
    <w:rsid w:val="00B128DD"/>
    <w:rsid w:val="00B135CB"/>
    <w:rsid w:val="00B13FE6"/>
    <w:rsid w:val="00B1448C"/>
    <w:rsid w:val="00B14797"/>
    <w:rsid w:val="00B15057"/>
    <w:rsid w:val="00B15689"/>
    <w:rsid w:val="00B1649C"/>
    <w:rsid w:val="00B1672B"/>
    <w:rsid w:val="00B167D1"/>
    <w:rsid w:val="00B16C2A"/>
    <w:rsid w:val="00B22555"/>
    <w:rsid w:val="00B2270F"/>
    <w:rsid w:val="00B2272A"/>
    <w:rsid w:val="00B228A7"/>
    <w:rsid w:val="00B23F3C"/>
    <w:rsid w:val="00B24679"/>
    <w:rsid w:val="00B2576E"/>
    <w:rsid w:val="00B25F7F"/>
    <w:rsid w:val="00B27523"/>
    <w:rsid w:val="00B27A87"/>
    <w:rsid w:val="00B3007D"/>
    <w:rsid w:val="00B3087D"/>
    <w:rsid w:val="00B318A8"/>
    <w:rsid w:val="00B31DBA"/>
    <w:rsid w:val="00B326CC"/>
    <w:rsid w:val="00B32937"/>
    <w:rsid w:val="00B32FB3"/>
    <w:rsid w:val="00B32FC0"/>
    <w:rsid w:val="00B33394"/>
    <w:rsid w:val="00B33726"/>
    <w:rsid w:val="00B33B48"/>
    <w:rsid w:val="00B34794"/>
    <w:rsid w:val="00B34835"/>
    <w:rsid w:val="00B3492A"/>
    <w:rsid w:val="00B34EBA"/>
    <w:rsid w:val="00B35FAF"/>
    <w:rsid w:val="00B3625D"/>
    <w:rsid w:val="00B367DE"/>
    <w:rsid w:val="00B37019"/>
    <w:rsid w:val="00B3728E"/>
    <w:rsid w:val="00B37F5F"/>
    <w:rsid w:val="00B401B6"/>
    <w:rsid w:val="00B40A81"/>
    <w:rsid w:val="00B41D22"/>
    <w:rsid w:val="00B42191"/>
    <w:rsid w:val="00B43114"/>
    <w:rsid w:val="00B435C6"/>
    <w:rsid w:val="00B43D2B"/>
    <w:rsid w:val="00B44CB6"/>
    <w:rsid w:val="00B44DEA"/>
    <w:rsid w:val="00B45BE9"/>
    <w:rsid w:val="00B46AAA"/>
    <w:rsid w:val="00B46DD7"/>
    <w:rsid w:val="00B47F7F"/>
    <w:rsid w:val="00B50FB8"/>
    <w:rsid w:val="00B5242D"/>
    <w:rsid w:val="00B53EB5"/>
    <w:rsid w:val="00B54ECF"/>
    <w:rsid w:val="00B55D56"/>
    <w:rsid w:val="00B56711"/>
    <w:rsid w:val="00B56EB3"/>
    <w:rsid w:val="00B57681"/>
    <w:rsid w:val="00B57746"/>
    <w:rsid w:val="00B57C68"/>
    <w:rsid w:val="00B60421"/>
    <w:rsid w:val="00B60C59"/>
    <w:rsid w:val="00B6138F"/>
    <w:rsid w:val="00B61A17"/>
    <w:rsid w:val="00B61EA4"/>
    <w:rsid w:val="00B61F3C"/>
    <w:rsid w:val="00B61F63"/>
    <w:rsid w:val="00B62B08"/>
    <w:rsid w:val="00B6554B"/>
    <w:rsid w:val="00B65910"/>
    <w:rsid w:val="00B6594F"/>
    <w:rsid w:val="00B66EC9"/>
    <w:rsid w:val="00B67AF1"/>
    <w:rsid w:val="00B70E99"/>
    <w:rsid w:val="00B73347"/>
    <w:rsid w:val="00B73D13"/>
    <w:rsid w:val="00B7433E"/>
    <w:rsid w:val="00B7479C"/>
    <w:rsid w:val="00B75163"/>
    <w:rsid w:val="00B75E0E"/>
    <w:rsid w:val="00B76740"/>
    <w:rsid w:val="00B76921"/>
    <w:rsid w:val="00B772C1"/>
    <w:rsid w:val="00B80D10"/>
    <w:rsid w:val="00B812CF"/>
    <w:rsid w:val="00B81AA5"/>
    <w:rsid w:val="00B81EB6"/>
    <w:rsid w:val="00B81F7C"/>
    <w:rsid w:val="00B83049"/>
    <w:rsid w:val="00B83324"/>
    <w:rsid w:val="00B8375B"/>
    <w:rsid w:val="00B85CA9"/>
    <w:rsid w:val="00B85F30"/>
    <w:rsid w:val="00B86050"/>
    <w:rsid w:val="00B871D1"/>
    <w:rsid w:val="00B90AD7"/>
    <w:rsid w:val="00B9136E"/>
    <w:rsid w:val="00B91448"/>
    <w:rsid w:val="00B91DE7"/>
    <w:rsid w:val="00B92318"/>
    <w:rsid w:val="00B92375"/>
    <w:rsid w:val="00B92FD8"/>
    <w:rsid w:val="00B93792"/>
    <w:rsid w:val="00B937AD"/>
    <w:rsid w:val="00B951E4"/>
    <w:rsid w:val="00B95337"/>
    <w:rsid w:val="00B95642"/>
    <w:rsid w:val="00B9728E"/>
    <w:rsid w:val="00BA0014"/>
    <w:rsid w:val="00BA10A0"/>
    <w:rsid w:val="00BA4182"/>
    <w:rsid w:val="00BA4A9C"/>
    <w:rsid w:val="00BA4EB8"/>
    <w:rsid w:val="00BA52DF"/>
    <w:rsid w:val="00BA59DE"/>
    <w:rsid w:val="00BA7DC9"/>
    <w:rsid w:val="00BB0243"/>
    <w:rsid w:val="00BB1A85"/>
    <w:rsid w:val="00BB1D7A"/>
    <w:rsid w:val="00BB3C3F"/>
    <w:rsid w:val="00BB444C"/>
    <w:rsid w:val="00BB563D"/>
    <w:rsid w:val="00BB5974"/>
    <w:rsid w:val="00BB5E9C"/>
    <w:rsid w:val="00BB701B"/>
    <w:rsid w:val="00BB721A"/>
    <w:rsid w:val="00BB7B85"/>
    <w:rsid w:val="00BB7F93"/>
    <w:rsid w:val="00BC00F5"/>
    <w:rsid w:val="00BC1545"/>
    <w:rsid w:val="00BC1BF8"/>
    <w:rsid w:val="00BC2917"/>
    <w:rsid w:val="00BC3257"/>
    <w:rsid w:val="00BC33EB"/>
    <w:rsid w:val="00BC3BBC"/>
    <w:rsid w:val="00BC3FD1"/>
    <w:rsid w:val="00BC472D"/>
    <w:rsid w:val="00BC5106"/>
    <w:rsid w:val="00BC5C8D"/>
    <w:rsid w:val="00BD02C8"/>
    <w:rsid w:val="00BD15A1"/>
    <w:rsid w:val="00BD185E"/>
    <w:rsid w:val="00BD20BD"/>
    <w:rsid w:val="00BD2CD1"/>
    <w:rsid w:val="00BD2E60"/>
    <w:rsid w:val="00BD2FDC"/>
    <w:rsid w:val="00BD3AFD"/>
    <w:rsid w:val="00BD4C8D"/>
    <w:rsid w:val="00BD5A7C"/>
    <w:rsid w:val="00BD6B64"/>
    <w:rsid w:val="00BD7532"/>
    <w:rsid w:val="00BD779D"/>
    <w:rsid w:val="00BE06FB"/>
    <w:rsid w:val="00BE0F34"/>
    <w:rsid w:val="00BE1893"/>
    <w:rsid w:val="00BE2AD3"/>
    <w:rsid w:val="00BE34A0"/>
    <w:rsid w:val="00BE3587"/>
    <w:rsid w:val="00BE519F"/>
    <w:rsid w:val="00BE58A3"/>
    <w:rsid w:val="00BE5C43"/>
    <w:rsid w:val="00BE5E9B"/>
    <w:rsid w:val="00BE791A"/>
    <w:rsid w:val="00BE7AD6"/>
    <w:rsid w:val="00BF058C"/>
    <w:rsid w:val="00BF1A61"/>
    <w:rsid w:val="00BF2DD9"/>
    <w:rsid w:val="00BF380A"/>
    <w:rsid w:val="00BF3E88"/>
    <w:rsid w:val="00BF5A9A"/>
    <w:rsid w:val="00BF6621"/>
    <w:rsid w:val="00BF6AD5"/>
    <w:rsid w:val="00BF6C84"/>
    <w:rsid w:val="00BF7B6F"/>
    <w:rsid w:val="00BF7DBA"/>
    <w:rsid w:val="00BF7F84"/>
    <w:rsid w:val="00C01FD8"/>
    <w:rsid w:val="00C02FC5"/>
    <w:rsid w:val="00C030D8"/>
    <w:rsid w:val="00C038A3"/>
    <w:rsid w:val="00C03A3B"/>
    <w:rsid w:val="00C03B2E"/>
    <w:rsid w:val="00C03E8E"/>
    <w:rsid w:val="00C04D9A"/>
    <w:rsid w:val="00C05BC4"/>
    <w:rsid w:val="00C06DB8"/>
    <w:rsid w:val="00C07550"/>
    <w:rsid w:val="00C07E03"/>
    <w:rsid w:val="00C07FA8"/>
    <w:rsid w:val="00C10B5F"/>
    <w:rsid w:val="00C113C8"/>
    <w:rsid w:val="00C11C68"/>
    <w:rsid w:val="00C12D5D"/>
    <w:rsid w:val="00C12E3C"/>
    <w:rsid w:val="00C13720"/>
    <w:rsid w:val="00C16354"/>
    <w:rsid w:val="00C169FE"/>
    <w:rsid w:val="00C206E5"/>
    <w:rsid w:val="00C209BB"/>
    <w:rsid w:val="00C22206"/>
    <w:rsid w:val="00C2275C"/>
    <w:rsid w:val="00C22A3D"/>
    <w:rsid w:val="00C2400D"/>
    <w:rsid w:val="00C25584"/>
    <w:rsid w:val="00C259BA"/>
    <w:rsid w:val="00C26AB6"/>
    <w:rsid w:val="00C3140E"/>
    <w:rsid w:val="00C32A7A"/>
    <w:rsid w:val="00C34747"/>
    <w:rsid w:val="00C353D6"/>
    <w:rsid w:val="00C35422"/>
    <w:rsid w:val="00C373EE"/>
    <w:rsid w:val="00C401A8"/>
    <w:rsid w:val="00C40B7D"/>
    <w:rsid w:val="00C429A5"/>
    <w:rsid w:val="00C44762"/>
    <w:rsid w:val="00C44B43"/>
    <w:rsid w:val="00C45D56"/>
    <w:rsid w:val="00C46006"/>
    <w:rsid w:val="00C462BA"/>
    <w:rsid w:val="00C46D97"/>
    <w:rsid w:val="00C4713D"/>
    <w:rsid w:val="00C5021E"/>
    <w:rsid w:val="00C5063A"/>
    <w:rsid w:val="00C50A9D"/>
    <w:rsid w:val="00C51EB4"/>
    <w:rsid w:val="00C54492"/>
    <w:rsid w:val="00C5627E"/>
    <w:rsid w:val="00C56E5D"/>
    <w:rsid w:val="00C5709B"/>
    <w:rsid w:val="00C57934"/>
    <w:rsid w:val="00C57ED3"/>
    <w:rsid w:val="00C6142B"/>
    <w:rsid w:val="00C62365"/>
    <w:rsid w:val="00C6321A"/>
    <w:rsid w:val="00C64F65"/>
    <w:rsid w:val="00C6562A"/>
    <w:rsid w:val="00C6651E"/>
    <w:rsid w:val="00C6692B"/>
    <w:rsid w:val="00C66E3F"/>
    <w:rsid w:val="00C66FC8"/>
    <w:rsid w:val="00C67500"/>
    <w:rsid w:val="00C70CE6"/>
    <w:rsid w:val="00C71A42"/>
    <w:rsid w:val="00C71EC6"/>
    <w:rsid w:val="00C72694"/>
    <w:rsid w:val="00C73327"/>
    <w:rsid w:val="00C7350F"/>
    <w:rsid w:val="00C73C37"/>
    <w:rsid w:val="00C7415D"/>
    <w:rsid w:val="00C752E9"/>
    <w:rsid w:val="00C755D4"/>
    <w:rsid w:val="00C76678"/>
    <w:rsid w:val="00C8002C"/>
    <w:rsid w:val="00C818CA"/>
    <w:rsid w:val="00C81EBE"/>
    <w:rsid w:val="00C824BD"/>
    <w:rsid w:val="00C86CDC"/>
    <w:rsid w:val="00C878D5"/>
    <w:rsid w:val="00C87938"/>
    <w:rsid w:val="00C9033B"/>
    <w:rsid w:val="00C903C9"/>
    <w:rsid w:val="00C90833"/>
    <w:rsid w:val="00C91040"/>
    <w:rsid w:val="00C9108E"/>
    <w:rsid w:val="00C913A1"/>
    <w:rsid w:val="00C913D8"/>
    <w:rsid w:val="00C915FE"/>
    <w:rsid w:val="00C91963"/>
    <w:rsid w:val="00C92B2B"/>
    <w:rsid w:val="00C92C4B"/>
    <w:rsid w:val="00C9567B"/>
    <w:rsid w:val="00C96DFD"/>
    <w:rsid w:val="00C9786B"/>
    <w:rsid w:val="00CA112E"/>
    <w:rsid w:val="00CA153E"/>
    <w:rsid w:val="00CA2EC5"/>
    <w:rsid w:val="00CA3806"/>
    <w:rsid w:val="00CA4664"/>
    <w:rsid w:val="00CA4731"/>
    <w:rsid w:val="00CA4BE3"/>
    <w:rsid w:val="00CA532C"/>
    <w:rsid w:val="00CA5A45"/>
    <w:rsid w:val="00CA63C5"/>
    <w:rsid w:val="00CA6624"/>
    <w:rsid w:val="00CA6A6F"/>
    <w:rsid w:val="00CA6BEE"/>
    <w:rsid w:val="00CB0710"/>
    <w:rsid w:val="00CB0DE2"/>
    <w:rsid w:val="00CB1346"/>
    <w:rsid w:val="00CB1F2B"/>
    <w:rsid w:val="00CB2418"/>
    <w:rsid w:val="00CB2E41"/>
    <w:rsid w:val="00CB53BD"/>
    <w:rsid w:val="00CB5C25"/>
    <w:rsid w:val="00CB603B"/>
    <w:rsid w:val="00CB66FE"/>
    <w:rsid w:val="00CB7E5C"/>
    <w:rsid w:val="00CC0B22"/>
    <w:rsid w:val="00CC196B"/>
    <w:rsid w:val="00CC218B"/>
    <w:rsid w:val="00CC4C14"/>
    <w:rsid w:val="00CC6A99"/>
    <w:rsid w:val="00CC702C"/>
    <w:rsid w:val="00CC7067"/>
    <w:rsid w:val="00CD058B"/>
    <w:rsid w:val="00CD072A"/>
    <w:rsid w:val="00CD0EE1"/>
    <w:rsid w:val="00CD1C6A"/>
    <w:rsid w:val="00CD1FFE"/>
    <w:rsid w:val="00CD3889"/>
    <w:rsid w:val="00CD3AD8"/>
    <w:rsid w:val="00CD3C3C"/>
    <w:rsid w:val="00CD432F"/>
    <w:rsid w:val="00CD47F5"/>
    <w:rsid w:val="00CD5838"/>
    <w:rsid w:val="00CD5EAB"/>
    <w:rsid w:val="00CD617B"/>
    <w:rsid w:val="00CD62FD"/>
    <w:rsid w:val="00CE0F12"/>
    <w:rsid w:val="00CE111A"/>
    <w:rsid w:val="00CE1431"/>
    <w:rsid w:val="00CE1A53"/>
    <w:rsid w:val="00CE3084"/>
    <w:rsid w:val="00CE33FA"/>
    <w:rsid w:val="00CE378A"/>
    <w:rsid w:val="00CE4BB5"/>
    <w:rsid w:val="00CE4C7B"/>
    <w:rsid w:val="00CF0F15"/>
    <w:rsid w:val="00CF17F5"/>
    <w:rsid w:val="00CF3DBD"/>
    <w:rsid w:val="00CF4C4F"/>
    <w:rsid w:val="00CF4CA5"/>
    <w:rsid w:val="00CF5906"/>
    <w:rsid w:val="00CF5B5C"/>
    <w:rsid w:val="00CF612D"/>
    <w:rsid w:val="00CF75BD"/>
    <w:rsid w:val="00D00AA3"/>
    <w:rsid w:val="00D04268"/>
    <w:rsid w:val="00D0504E"/>
    <w:rsid w:val="00D05D79"/>
    <w:rsid w:val="00D06B8B"/>
    <w:rsid w:val="00D07ADF"/>
    <w:rsid w:val="00D07F73"/>
    <w:rsid w:val="00D116CB"/>
    <w:rsid w:val="00D12851"/>
    <w:rsid w:val="00D12BFD"/>
    <w:rsid w:val="00D13E99"/>
    <w:rsid w:val="00D14643"/>
    <w:rsid w:val="00D14844"/>
    <w:rsid w:val="00D1676A"/>
    <w:rsid w:val="00D16798"/>
    <w:rsid w:val="00D1700D"/>
    <w:rsid w:val="00D17435"/>
    <w:rsid w:val="00D175E7"/>
    <w:rsid w:val="00D17803"/>
    <w:rsid w:val="00D17844"/>
    <w:rsid w:val="00D17988"/>
    <w:rsid w:val="00D17A5D"/>
    <w:rsid w:val="00D17FF4"/>
    <w:rsid w:val="00D2041C"/>
    <w:rsid w:val="00D20B2D"/>
    <w:rsid w:val="00D21FE3"/>
    <w:rsid w:val="00D239AD"/>
    <w:rsid w:val="00D25613"/>
    <w:rsid w:val="00D25ADE"/>
    <w:rsid w:val="00D26381"/>
    <w:rsid w:val="00D30FEE"/>
    <w:rsid w:val="00D32417"/>
    <w:rsid w:val="00D343E9"/>
    <w:rsid w:val="00D3510F"/>
    <w:rsid w:val="00D35C5B"/>
    <w:rsid w:val="00D36748"/>
    <w:rsid w:val="00D37288"/>
    <w:rsid w:val="00D37948"/>
    <w:rsid w:val="00D4029F"/>
    <w:rsid w:val="00D40520"/>
    <w:rsid w:val="00D4148E"/>
    <w:rsid w:val="00D42026"/>
    <w:rsid w:val="00D425E5"/>
    <w:rsid w:val="00D42D07"/>
    <w:rsid w:val="00D43297"/>
    <w:rsid w:val="00D44BFB"/>
    <w:rsid w:val="00D44CA3"/>
    <w:rsid w:val="00D44DB6"/>
    <w:rsid w:val="00D461A1"/>
    <w:rsid w:val="00D46A88"/>
    <w:rsid w:val="00D47295"/>
    <w:rsid w:val="00D47543"/>
    <w:rsid w:val="00D50119"/>
    <w:rsid w:val="00D50629"/>
    <w:rsid w:val="00D50A10"/>
    <w:rsid w:val="00D51571"/>
    <w:rsid w:val="00D51EAB"/>
    <w:rsid w:val="00D5449F"/>
    <w:rsid w:val="00D5474A"/>
    <w:rsid w:val="00D55266"/>
    <w:rsid w:val="00D558C6"/>
    <w:rsid w:val="00D55D83"/>
    <w:rsid w:val="00D561CA"/>
    <w:rsid w:val="00D56397"/>
    <w:rsid w:val="00D5741D"/>
    <w:rsid w:val="00D604FB"/>
    <w:rsid w:val="00D64040"/>
    <w:rsid w:val="00D6474A"/>
    <w:rsid w:val="00D64CE7"/>
    <w:rsid w:val="00D65264"/>
    <w:rsid w:val="00D65DF9"/>
    <w:rsid w:val="00D67694"/>
    <w:rsid w:val="00D67722"/>
    <w:rsid w:val="00D67FBA"/>
    <w:rsid w:val="00D707E3"/>
    <w:rsid w:val="00D741DC"/>
    <w:rsid w:val="00D74225"/>
    <w:rsid w:val="00D74E14"/>
    <w:rsid w:val="00D77402"/>
    <w:rsid w:val="00D776B3"/>
    <w:rsid w:val="00D80C5D"/>
    <w:rsid w:val="00D81379"/>
    <w:rsid w:val="00D82A1E"/>
    <w:rsid w:val="00D82A43"/>
    <w:rsid w:val="00D842D8"/>
    <w:rsid w:val="00D847EF"/>
    <w:rsid w:val="00D84C0D"/>
    <w:rsid w:val="00D84DC4"/>
    <w:rsid w:val="00D9005D"/>
    <w:rsid w:val="00D90A32"/>
    <w:rsid w:val="00D91345"/>
    <w:rsid w:val="00D9271D"/>
    <w:rsid w:val="00D93731"/>
    <w:rsid w:val="00D94C9B"/>
    <w:rsid w:val="00D959C9"/>
    <w:rsid w:val="00D95DAB"/>
    <w:rsid w:val="00D96EEA"/>
    <w:rsid w:val="00D9783E"/>
    <w:rsid w:val="00D97ADA"/>
    <w:rsid w:val="00D97C7C"/>
    <w:rsid w:val="00DA099B"/>
    <w:rsid w:val="00DA0E0C"/>
    <w:rsid w:val="00DA1A9F"/>
    <w:rsid w:val="00DA2532"/>
    <w:rsid w:val="00DA2D02"/>
    <w:rsid w:val="00DA36AF"/>
    <w:rsid w:val="00DA3D15"/>
    <w:rsid w:val="00DA3EBB"/>
    <w:rsid w:val="00DA4D62"/>
    <w:rsid w:val="00DA5399"/>
    <w:rsid w:val="00DA55C7"/>
    <w:rsid w:val="00DA5E45"/>
    <w:rsid w:val="00DA68D4"/>
    <w:rsid w:val="00DA7294"/>
    <w:rsid w:val="00DA7A1F"/>
    <w:rsid w:val="00DA7B5D"/>
    <w:rsid w:val="00DA7EFC"/>
    <w:rsid w:val="00DB0D2F"/>
    <w:rsid w:val="00DB1500"/>
    <w:rsid w:val="00DB16EB"/>
    <w:rsid w:val="00DB3775"/>
    <w:rsid w:val="00DB46CE"/>
    <w:rsid w:val="00DB49DB"/>
    <w:rsid w:val="00DB54DE"/>
    <w:rsid w:val="00DB5D50"/>
    <w:rsid w:val="00DB60E4"/>
    <w:rsid w:val="00DB6D70"/>
    <w:rsid w:val="00DB7214"/>
    <w:rsid w:val="00DB7901"/>
    <w:rsid w:val="00DC11CA"/>
    <w:rsid w:val="00DC11ED"/>
    <w:rsid w:val="00DC12E8"/>
    <w:rsid w:val="00DC1313"/>
    <w:rsid w:val="00DC1932"/>
    <w:rsid w:val="00DC1D38"/>
    <w:rsid w:val="00DC27A6"/>
    <w:rsid w:val="00DC2A6F"/>
    <w:rsid w:val="00DC413B"/>
    <w:rsid w:val="00DC4B1D"/>
    <w:rsid w:val="00DC4B8E"/>
    <w:rsid w:val="00DC5060"/>
    <w:rsid w:val="00DC531A"/>
    <w:rsid w:val="00DC5F5E"/>
    <w:rsid w:val="00DC65C4"/>
    <w:rsid w:val="00DC67A9"/>
    <w:rsid w:val="00DD361D"/>
    <w:rsid w:val="00DD38FA"/>
    <w:rsid w:val="00DD3BBD"/>
    <w:rsid w:val="00DD724C"/>
    <w:rsid w:val="00DD7885"/>
    <w:rsid w:val="00DD7A33"/>
    <w:rsid w:val="00DE070D"/>
    <w:rsid w:val="00DE075F"/>
    <w:rsid w:val="00DE0974"/>
    <w:rsid w:val="00DE0FA9"/>
    <w:rsid w:val="00DE2B4F"/>
    <w:rsid w:val="00DE43C5"/>
    <w:rsid w:val="00DE46D2"/>
    <w:rsid w:val="00DE47CE"/>
    <w:rsid w:val="00DE4894"/>
    <w:rsid w:val="00DE50E6"/>
    <w:rsid w:val="00DE5595"/>
    <w:rsid w:val="00DE5B3B"/>
    <w:rsid w:val="00DE6C6E"/>
    <w:rsid w:val="00DE752C"/>
    <w:rsid w:val="00DE7E85"/>
    <w:rsid w:val="00DF05C6"/>
    <w:rsid w:val="00DF14CF"/>
    <w:rsid w:val="00DF17B2"/>
    <w:rsid w:val="00DF2086"/>
    <w:rsid w:val="00DF2779"/>
    <w:rsid w:val="00DF3F58"/>
    <w:rsid w:val="00DF509C"/>
    <w:rsid w:val="00DF54DD"/>
    <w:rsid w:val="00DF551C"/>
    <w:rsid w:val="00DF58E7"/>
    <w:rsid w:val="00DF5B10"/>
    <w:rsid w:val="00DF677F"/>
    <w:rsid w:val="00DF7D39"/>
    <w:rsid w:val="00E00225"/>
    <w:rsid w:val="00E00776"/>
    <w:rsid w:val="00E01404"/>
    <w:rsid w:val="00E01735"/>
    <w:rsid w:val="00E021F8"/>
    <w:rsid w:val="00E02573"/>
    <w:rsid w:val="00E04775"/>
    <w:rsid w:val="00E04A83"/>
    <w:rsid w:val="00E050BF"/>
    <w:rsid w:val="00E05778"/>
    <w:rsid w:val="00E05850"/>
    <w:rsid w:val="00E06528"/>
    <w:rsid w:val="00E11876"/>
    <w:rsid w:val="00E11892"/>
    <w:rsid w:val="00E1317B"/>
    <w:rsid w:val="00E13285"/>
    <w:rsid w:val="00E133EB"/>
    <w:rsid w:val="00E13857"/>
    <w:rsid w:val="00E13EBA"/>
    <w:rsid w:val="00E15462"/>
    <w:rsid w:val="00E15F0D"/>
    <w:rsid w:val="00E21BF1"/>
    <w:rsid w:val="00E23CBB"/>
    <w:rsid w:val="00E241D7"/>
    <w:rsid w:val="00E24A74"/>
    <w:rsid w:val="00E2592E"/>
    <w:rsid w:val="00E26644"/>
    <w:rsid w:val="00E275A2"/>
    <w:rsid w:val="00E32828"/>
    <w:rsid w:val="00E33253"/>
    <w:rsid w:val="00E34010"/>
    <w:rsid w:val="00E34396"/>
    <w:rsid w:val="00E34772"/>
    <w:rsid w:val="00E34E3E"/>
    <w:rsid w:val="00E35A2B"/>
    <w:rsid w:val="00E36B22"/>
    <w:rsid w:val="00E373E0"/>
    <w:rsid w:val="00E37B59"/>
    <w:rsid w:val="00E40A0F"/>
    <w:rsid w:val="00E41429"/>
    <w:rsid w:val="00E42918"/>
    <w:rsid w:val="00E44112"/>
    <w:rsid w:val="00E44974"/>
    <w:rsid w:val="00E44985"/>
    <w:rsid w:val="00E45F32"/>
    <w:rsid w:val="00E4754F"/>
    <w:rsid w:val="00E47F7C"/>
    <w:rsid w:val="00E47FF5"/>
    <w:rsid w:val="00E50001"/>
    <w:rsid w:val="00E50BC5"/>
    <w:rsid w:val="00E510A6"/>
    <w:rsid w:val="00E5225E"/>
    <w:rsid w:val="00E526EE"/>
    <w:rsid w:val="00E53438"/>
    <w:rsid w:val="00E53C69"/>
    <w:rsid w:val="00E55D24"/>
    <w:rsid w:val="00E55D9D"/>
    <w:rsid w:val="00E57EA7"/>
    <w:rsid w:val="00E60953"/>
    <w:rsid w:val="00E61BFA"/>
    <w:rsid w:val="00E61C54"/>
    <w:rsid w:val="00E61E9A"/>
    <w:rsid w:val="00E62DF8"/>
    <w:rsid w:val="00E63807"/>
    <w:rsid w:val="00E64CA1"/>
    <w:rsid w:val="00E65699"/>
    <w:rsid w:val="00E65AD5"/>
    <w:rsid w:val="00E65DEF"/>
    <w:rsid w:val="00E66299"/>
    <w:rsid w:val="00E66A9C"/>
    <w:rsid w:val="00E67E29"/>
    <w:rsid w:val="00E67ED6"/>
    <w:rsid w:val="00E67FDB"/>
    <w:rsid w:val="00E703A9"/>
    <w:rsid w:val="00E70A66"/>
    <w:rsid w:val="00E70AAE"/>
    <w:rsid w:val="00E70C30"/>
    <w:rsid w:val="00E70E53"/>
    <w:rsid w:val="00E7108A"/>
    <w:rsid w:val="00E71685"/>
    <w:rsid w:val="00E71A48"/>
    <w:rsid w:val="00E725FC"/>
    <w:rsid w:val="00E73975"/>
    <w:rsid w:val="00E74547"/>
    <w:rsid w:val="00E769FB"/>
    <w:rsid w:val="00E80248"/>
    <w:rsid w:val="00E80961"/>
    <w:rsid w:val="00E825D8"/>
    <w:rsid w:val="00E84873"/>
    <w:rsid w:val="00E854A3"/>
    <w:rsid w:val="00E8578F"/>
    <w:rsid w:val="00E85F18"/>
    <w:rsid w:val="00E85FD7"/>
    <w:rsid w:val="00E865E4"/>
    <w:rsid w:val="00E86D88"/>
    <w:rsid w:val="00E87318"/>
    <w:rsid w:val="00E87CDF"/>
    <w:rsid w:val="00E90226"/>
    <w:rsid w:val="00E908D3"/>
    <w:rsid w:val="00E9157C"/>
    <w:rsid w:val="00E91E99"/>
    <w:rsid w:val="00E92B44"/>
    <w:rsid w:val="00E938E9"/>
    <w:rsid w:val="00E94AEF"/>
    <w:rsid w:val="00E94C5C"/>
    <w:rsid w:val="00E94F67"/>
    <w:rsid w:val="00E95148"/>
    <w:rsid w:val="00E9516C"/>
    <w:rsid w:val="00E95795"/>
    <w:rsid w:val="00E95A0E"/>
    <w:rsid w:val="00E9742D"/>
    <w:rsid w:val="00E97C3E"/>
    <w:rsid w:val="00EA1EC6"/>
    <w:rsid w:val="00EA27EF"/>
    <w:rsid w:val="00EA2CCC"/>
    <w:rsid w:val="00EA307A"/>
    <w:rsid w:val="00EA339A"/>
    <w:rsid w:val="00EA36C6"/>
    <w:rsid w:val="00EA4034"/>
    <w:rsid w:val="00EA48D8"/>
    <w:rsid w:val="00EA4CD0"/>
    <w:rsid w:val="00EA7423"/>
    <w:rsid w:val="00EB0B87"/>
    <w:rsid w:val="00EB12A7"/>
    <w:rsid w:val="00EB3002"/>
    <w:rsid w:val="00EB5A0E"/>
    <w:rsid w:val="00EC05F9"/>
    <w:rsid w:val="00EC30F9"/>
    <w:rsid w:val="00EC3341"/>
    <w:rsid w:val="00EC39F0"/>
    <w:rsid w:val="00EC4740"/>
    <w:rsid w:val="00EC4CC9"/>
    <w:rsid w:val="00EC4EF3"/>
    <w:rsid w:val="00EC53F8"/>
    <w:rsid w:val="00ED1B03"/>
    <w:rsid w:val="00ED22AD"/>
    <w:rsid w:val="00ED3DC9"/>
    <w:rsid w:val="00ED41B6"/>
    <w:rsid w:val="00ED5725"/>
    <w:rsid w:val="00ED6105"/>
    <w:rsid w:val="00ED7031"/>
    <w:rsid w:val="00ED7AA1"/>
    <w:rsid w:val="00ED7D06"/>
    <w:rsid w:val="00EE0722"/>
    <w:rsid w:val="00EE107C"/>
    <w:rsid w:val="00EE20D6"/>
    <w:rsid w:val="00EE2591"/>
    <w:rsid w:val="00EE283B"/>
    <w:rsid w:val="00EE28B7"/>
    <w:rsid w:val="00EE2DF6"/>
    <w:rsid w:val="00EE3060"/>
    <w:rsid w:val="00EE3EFE"/>
    <w:rsid w:val="00EE4315"/>
    <w:rsid w:val="00EE5972"/>
    <w:rsid w:val="00EE59CF"/>
    <w:rsid w:val="00EE5B17"/>
    <w:rsid w:val="00EE65B6"/>
    <w:rsid w:val="00EE754D"/>
    <w:rsid w:val="00EE7CF1"/>
    <w:rsid w:val="00EF02CE"/>
    <w:rsid w:val="00EF077F"/>
    <w:rsid w:val="00EF1BE9"/>
    <w:rsid w:val="00EF1D64"/>
    <w:rsid w:val="00EF23AA"/>
    <w:rsid w:val="00EF25E9"/>
    <w:rsid w:val="00EF2F4B"/>
    <w:rsid w:val="00EF3464"/>
    <w:rsid w:val="00EF4B11"/>
    <w:rsid w:val="00EF58AD"/>
    <w:rsid w:val="00EF66C6"/>
    <w:rsid w:val="00EF6925"/>
    <w:rsid w:val="00EF6A36"/>
    <w:rsid w:val="00EF6EB4"/>
    <w:rsid w:val="00F00B87"/>
    <w:rsid w:val="00F00BB6"/>
    <w:rsid w:val="00F00CF5"/>
    <w:rsid w:val="00F01B9D"/>
    <w:rsid w:val="00F02865"/>
    <w:rsid w:val="00F0373D"/>
    <w:rsid w:val="00F047D7"/>
    <w:rsid w:val="00F04D4A"/>
    <w:rsid w:val="00F05341"/>
    <w:rsid w:val="00F05AAA"/>
    <w:rsid w:val="00F05CB9"/>
    <w:rsid w:val="00F064D1"/>
    <w:rsid w:val="00F0682B"/>
    <w:rsid w:val="00F072B0"/>
    <w:rsid w:val="00F11761"/>
    <w:rsid w:val="00F1176B"/>
    <w:rsid w:val="00F12118"/>
    <w:rsid w:val="00F12512"/>
    <w:rsid w:val="00F142AF"/>
    <w:rsid w:val="00F14632"/>
    <w:rsid w:val="00F1475F"/>
    <w:rsid w:val="00F1659F"/>
    <w:rsid w:val="00F16BE0"/>
    <w:rsid w:val="00F16C00"/>
    <w:rsid w:val="00F17C38"/>
    <w:rsid w:val="00F20B89"/>
    <w:rsid w:val="00F20B8A"/>
    <w:rsid w:val="00F22456"/>
    <w:rsid w:val="00F22764"/>
    <w:rsid w:val="00F23BA7"/>
    <w:rsid w:val="00F24C3A"/>
    <w:rsid w:val="00F25311"/>
    <w:rsid w:val="00F26ED3"/>
    <w:rsid w:val="00F275D9"/>
    <w:rsid w:val="00F27B37"/>
    <w:rsid w:val="00F27E86"/>
    <w:rsid w:val="00F30384"/>
    <w:rsid w:val="00F304FF"/>
    <w:rsid w:val="00F30881"/>
    <w:rsid w:val="00F31FFC"/>
    <w:rsid w:val="00F3342A"/>
    <w:rsid w:val="00F33807"/>
    <w:rsid w:val="00F34B2A"/>
    <w:rsid w:val="00F35561"/>
    <w:rsid w:val="00F3782C"/>
    <w:rsid w:val="00F37EC3"/>
    <w:rsid w:val="00F40956"/>
    <w:rsid w:val="00F43754"/>
    <w:rsid w:val="00F43940"/>
    <w:rsid w:val="00F43A4F"/>
    <w:rsid w:val="00F46452"/>
    <w:rsid w:val="00F46F9D"/>
    <w:rsid w:val="00F47C37"/>
    <w:rsid w:val="00F47DE9"/>
    <w:rsid w:val="00F47FD6"/>
    <w:rsid w:val="00F50D83"/>
    <w:rsid w:val="00F50F21"/>
    <w:rsid w:val="00F51572"/>
    <w:rsid w:val="00F52E7B"/>
    <w:rsid w:val="00F53C8D"/>
    <w:rsid w:val="00F543D7"/>
    <w:rsid w:val="00F54678"/>
    <w:rsid w:val="00F554C3"/>
    <w:rsid w:val="00F56A33"/>
    <w:rsid w:val="00F60ECC"/>
    <w:rsid w:val="00F61CE3"/>
    <w:rsid w:val="00F62B7A"/>
    <w:rsid w:val="00F6397D"/>
    <w:rsid w:val="00F648F0"/>
    <w:rsid w:val="00F65574"/>
    <w:rsid w:val="00F668C7"/>
    <w:rsid w:val="00F671AA"/>
    <w:rsid w:val="00F675E8"/>
    <w:rsid w:val="00F67CCB"/>
    <w:rsid w:val="00F67F3E"/>
    <w:rsid w:val="00F70B4E"/>
    <w:rsid w:val="00F7103C"/>
    <w:rsid w:val="00F7293E"/>
    <w:rsid w:val="00F72DF8"/>
    <w:rsid w:val="00F737BC"/>
    <w:rsid w:val="00F744DE"/>
    <w:rsid w:val="00F75032"/>
    <w:rsid w:val="00F75056"/>
    <w:rsid w:val="00F76650"/>
    <w:rsid w:val="00F76A3E"/>
    <w:rsid w:val="00F77E1B"/>
    <w:rsid w:val="00F80687"/>
    <w:rsid w:val="00F80FA2"/>
    <w:rsid w:val="00F81B32"/>
    <w:rsid w:val="00F8347B"/>
    <w:rsid w:val="00F84190"/>
    <w:rsid w:val="00F84E20"/>
    <w:rsid w:val="00F85243"/>
    <w:rsid w:val="00F85862"/>
    <w:rsid w:val="00F859B0"/>
    <w:rsid w:val="00F86419"/>
    <w:rsid w:val="00F87881"/>
    <w:rsid w:val="00F9187B"/>
    <w:rsid w:val="00F91AEC"/>
    <w:rsid w:val="00F92385"/>
    <w:rsid w:val="00F9286C"/>
    <w:rsid w:val="00F92E59"/>
    <w:rsid w:val="00F92ED5"/>
    <w:rsid w:val="00F933CD"/>
    <w:rsid w:val="00F933D0"/>
    <w:rsid w:val="00F949FB"/>
    <w:rsid w:val="00F94CA7"/>
    <w:rsid w:val="00F95C3D"/>
    <w:rsid w:val="00F9643C"/>
    <w:rsid w:val="00FA1B4F"/>
    <w:rsid w:val="00FA2DB1"/>
    <w:rsid w:val="00FA522C"/>
    <w:rsid w:val="00FA55B6"/>
    <w:rsid w:val="00FA565A"/>
    <w:rsid w:val="00FA56C9"/>
    <w:rsid w:val="00FA63F9"/>
    <w:rsid w:val="00FA7AA2"/>
    <w:rsid w:val="00FB0177"/>
    <w:rsid w:val="00FB36F6"/>
    <w:rsid w:val="00FB377D"/>
    <w:rsid w:val="00FB3F74"/>
    <w:rsid w:val="00FB66A9"/>
    <w:rsid w:val="00FC000F"/>
    <w:rsid w:val="00FC0DCA"/>
    <w:rsid w:val="00FC2A92"/>
    <w:rsid w:val="00FC2CE9"/>
    <w:rsid w:val="00FC33A8"/>
    <w:rsid w:val="00FC3FD7"/>
    <w:rsid w:val="00FC469D"/>
    <w:rsid w:val="00FC47F9"/>
    <w:rsid w:val="00FC6062"/>
    <w:rsid w:val="00FC6437"/>
    <w:rsid w:val="00FC66D0"/>
    <w:rsid w:val="00FC73ED"/>
    <w:rsid w:val="00FC76E6"/>
    <w:rsid w:val="00FD05D8"/>
    <w:rsid w:val="00FD2949"/>
    <w:rsid w:val="00FD2A20"/>
    <w:rsid w:val="00FD2A61"/>
    <w:rsid w:val="00FD2E47"/>
    <w:rsid w:val="00FD39EB"/>
    <w:rsid w:val="00FD3C5F"/>
    <w:rsid w:val="00FD4B31"/>
    <w:rsid w:val="00FD5584"/>
    <w:rsid w:val="00FD6FB8"/>
    <w:rsid w:val="00FE02C3"/>
    <w:rsid w:val="00FE123E"/>
    <w:rsid w:val="00FE1D03"/>
    <w:rsid w:val="00FE21ED"/>
    <w:rsid w:val="00FE22CC"/>
    <w:rsid w:val="00FE2351"/>
    <w:rsid w:val="00FE30AD"/>
    <w:rsid w:val="00FE31AE"/>
    <w:rsid w:val="00FE337D"/>
    <w:rsid w:val="00FE3634"/>
    <w:rsid w:val="00FE4A3A"/>
    <w:rsid w:val="00FE4B6B"/>
    <w:rsid w:val="00FE547B"/>
    <w:rsid w:val="00FE54A0"/>
    <w:rsid w:val="00FE5580"/>
    <w:rsid w:val="00FE70DF"/>
    <w:rsid w:val="00FE7863"/>
    <w:rsid w:val="00FE7D46"/>
    <w:rsid w:val="00FF0209"/>
    <w:rsid w:val="00FF02E4"/>
    <w:rsid w:val="00FF08ED"/>
    <w:rsid w:val="00FF110C"/>
    <w:rsid w:val="00FF2486"/>
    <w:rsid w:val="00FF2865"/>
    <w:rsid w:val="00FF2DF2"/>
    <w:rsid w:val="00FF3080"/>
    <w:rsid w:val="00FF314C"/>
    <w:rsid w:val="00FF454C"/>
    <w:rsid w:val="00FF4D4D"/>
    <w:rsid w:val="00FF5E60"/>
    <w:rsid w:val="00FF6373"/>
    <w:rsid w:val="00FF6F41"/>
    <w:rsid w:val="00FF71E5"/>
    <w:rsid w:val="01199DE2"/>
    <w:rsid w:val="0127C430"/>
    <w:rsid w:val="0147039E"/>
    <w:rsid w:val="0159F62D"/>
    <w:rsid w:val="01A4655A"/>
    <w:rsid w:val="01ACA751"/>
    <w:rsid w:val="01D91B96"/>
    <w:rsid w:val="01E078BD"/>
    <w:rsid w:val="0209636D"/>
    <w:rsid w:val="022D3DCF"/>
    <w:rsid w:val="02346515"/>
    <w:rsid w:val="0266341C"/>
    <w:rsid w:val="029A9694"/>
    <w:rsid w:val="02B51255"/>
    <w:rsid w:val="02C319D8"/>
    <w:rsid w:val="030AA96B"/>
    <w:rsid w:val="03156273"/>
    <w:rsid w:val="035AAB07"/>
    <w:rsid w:val="0365CAFB"/>
    <w:rsid w:val="037556EE"/>
    <w:rsid w:val="03759FD3"/>
    <w:rsid w:val="038F2CBB"/>
    <w:rsid w:val="03B21E77"/>
    <w:rsid w:val="03C2BE11"/>
    <w:rsid w:val="03EC2047"/>
    <w:rsid w:val="041CA92A"/>
    <w:rsid w:val="04296E35"/>
    <w:rsid w:val="04354742"/>
    <w:rsid w:val="04435E48"/>
    <w:rsid w:val="044CF2B7"/>
    <w:rsid w:val="046FB5D6"/>
    <w:rsid w:val="047A8ED7"/>
    <w:rsid w:val="04913AE9"/>
    <w:rsid w:val="04D675DF"/>
    <w:rsid w:val="04F2113A"/>
    <w:rsid w:val="04F5E33F"/>
    <w:rsid w:val="04F6546F"/>
    <w:rsid w:val="04FE2564"/>
    <w:rsid w:val="05091B65"/>
    <w:rsid w:val="052DAB9E"/>
    <w:rsid w:val="0589E86F"/>
    <w:rsid w:val="0598E476"/>
    <w:rsid w:val="05A37BFA"/>
    <w:rsid w:val="05D54046"/>
    <w:rsid w:val="05EFAFDE"/>
    <w:rsid w:val="05F61776"/>
    <w:rsid w:val="065DB559"/>
    <w:rsid w:val="06719CB9"/>
    <w:rsid w:val="06D2D0C3"/>
    <w:rsid w:val="06D377F8"/>
    <w:rsid w:val="06F9FEBE"/>
    <w:rsid w:val="07077939"/>
    <w:rsid w:val="073B1B2C"/>
    <w:rsid w:val="07443B7E"/>
    <w:rsid w:val="075A635C"/>
    <w:rsid w:val="07B5BBF8"/>
    <w:rsid w:val="07B71D2A"/>
    <w:rsid w:val="07E27BCE"/>
    <w:rsid w:val="080857AE"/>
    <w:rsid w:val="08137018"/>
    <w:rsid w:val="08314FC4"/>
    <w:rsid w:val="08765155"/>
    <w:rsid w:val="08771D81"/>
    <w:rsid w:val="08BF8F61"/>
    <w:rsid w:val="08D17D5A"/>
    <w:rsid w:val="08E4E1D5"/>
    <w:rsid w:val="08E769BF"/>
    <w:rsid w:val="090C371D"/>
    <w:rsid w:val="094557B4"/>
    <w:rsid w:val="095FE021"/>
    <w:rsid w:val="09609A26"/>
    <w:rsid w:val="09AA187F"/>
    <w:rsid w:val="0A0B69D3"/>
    <w:rsid w:val="0A1A9113"/>
    <w:rsid w:val="0A310BF0"/>
    <w:rsid w:val="0A3440B5"/>
    <w:rsid w:val="0A93B6BA"/>
    <w:rsid w:val="0AA130CC"/>
    <w:rsid w:val="0AD171D1"/>
    <w:rsid w:val="0AD29485"/>
    <w:rsid w:val="0AD4320C"/>
    <w:rsid w:val="0AEBBB7F"/>
    <w:rsid w:val="0AEEB934"/>
    <w:rsid w:val="0B0532E5"/>
    <w:rsid w:val="0B2FCAAC"/>
    <w:rsid w:val="0B33810E"/>
    <w:rsid w:val="0B38D6C6"/>
    <w:rsid w:val="0B5CB5C7"/>
    <w:rsid w:val="0BB3112D"/>
    <w:rsid w:val="0BB52CAF"/>
    <w:rsid w:val="0BD8F52E"/>
    <w:rsid w:val="0BE045C7"/>
    <w:rsid w:val="0BF28060"/>
    <w:rsid w:val="0BF65590"/>
    <w:rsid w:val="0C04438E"/>
    <w:rsid w:val="0C04D78F"/>
    <w:rsid w:val="0C53A814"/>
    <w:rsid w:val="0C62A2A6"/>
    <w:rsid w:val="0C9D2143"/>
    <w:rsid w:val="0CCFF770"/>
    <w:rsid w:val="0CD08AB8"/>
    <w:rsid w:val="0CE151F7"/>
    <w:rsid w:val="0D24DBE0"/>
    <w:rsid w:val="0D79D94C"/>
    <w:rsid w:val="0DAD4C70"/>
    <w:rsid w:val="0DD438AD"/>
    <w:rsid w:val="0DEB6770"/>
    <w:rsid w:val="0E5A44FC"/>
    <w:rsid w:val="0E823515"/>
    <w:rsid w:val="0E905C2C"/>
    <w:rsid w:val="0E9B3EEB"/>
    <w:rsid w:val="0EE658A9"/>
    <w:rsid w:val="0F11F39B"/>
    <w:rsid w:val="0F46CBBC"/>
    <w:rsid w:val="0FB02ADD"/>
    <w:rsid w:val="0FD45A0D"/>
    <w:rsid w:val="0FD648AB"/>
    <w:rsid w:val="0FD6F048"/>
    <w:rsid w:val="100D28EA"/>
    <w:rsid w:val="101AE12B"/>
    <w:rsid w:val="102106D3"/>
    <w:rsid w:val="10526167"/>
    <w:rsid w:val="1074CCAB"/>
    <w:rsid w:val="107D81D4"/>
    <w:rsid w:val="10980FD1"/>
    <w:rsid w:val="109CE29B"/>
    <w:rsid w:val="10A36FB0"/>
    <w:rsid w:val="10A8E3CC"/>
    <w:rsid w:val="10C91C8B"/>
    <w:rsid w:val="10E7C841"/>
    <w:rsid w:val="1123E068"/>
    <w:rsid w:val="112C9AF4"/>
    <w:rsid w:val="11331C95"/>
    <w:rsid w:val="113A4AF2"/>
    <w:rsid w:val="1187F750"/>
    <w:rsid w:val="119436FD"/>
    <w:rsid w:val="119D6F9E"/>
    <w:rsid w:val="11A171C5"/>
    <w:rsid w:val="11B30143"/>
    <w:rsid w:val="11D95115"/>
    <w:rsid w:val="11DABEAB"/>
    <w:rsid w:val="11DD769E"/>
    <w:rsid w:val="12748196"/>
    <w:rsid w:val="1274D392"/>
    <w:rsid w:val="1275654F"/>
    <w:rsid w:val="128DCD64"/>
    <w:rsid w:val="12A7A55A"/>
    <w:rsid w:val="12BBD8DC"/>
    <w:rsid w:val="12CBABCF"/>
    <w:rsid w:val="12D27A40"/>
    <w:rsid w:val="1301DE38"/>
    <w:rsid w:val="13443BAD"/>
    <w:rsid w:val="13AF0458"/>
    <w:rsid w:val="13ECFA17"/>
    <w:rsid w:val="13EFB1D0"/>
    <w:rsid w:val="140DC6FB"/>
    <w:rsid w:val="14246F34"/>
    <w:rsid w:val="143BE498"/>
    <w:rsid w:val="146C753A"/>
    <w:rsid w:val="147B801C"/>
    <w:rsid w:val="148D42D4"/>
    <w:rsid w:val="148EFDAB"/>
    <w:rsid w:val="14D04003"/>
    <w:rsid w:val="14DCDEB6"/>
    <w:rsid w:val="14DFF38B"/>
    <w:rsid w:val="14F1555D"/>
    <w:rsid w:val="150666E8"/>
    <w:rsid w:val="15A3321D"/>
    <w:rsid w:val="15A38D66"/>
    <w:rsid w:val="15ADAA8D"/>
    <w:rsid w:val="15D473AB"/>
    <w:rsid w:val="1601AF91"/>
    <w:rsid w:val="1623A1E1"/>
    <w:rsid w:val="162C70D3"/>
    <w:rsid w:val="163DD6AE"/>
    <w:rsid w:val="16773ADD"/>
    <w:rsid w:val="168248A0"/>
    <w:rsid w:val="168FFAF2"/>
    <w:rsid w:val="169D5F43"/>
    <w:rsid w:val="16CA3E79"/>
    <w:rsid w:val="16CF3292"/>
    <w:rsid w:val="16F11946"/>
    <w:rsid w:val="17151617"/>
    <w:rsid w:val="1738B92D"/>
    <w:rsid w:val="17459EA6"/>
    <w:rsid w:val="176F5ADE"/>
    <w:rsid w:val="1775B61D"/>
    <w:rsid w:val="17812FBB"/>
    <w:rsid w:val="17A0F466"/>
    <w:rsid w:val="17B7607F"/>
    <w:rsid w:val="17D63A1A"/>
    <w:rsid w:val="17E07BB7"/>
    <w:rsid w:val="180A1E25"/>
    <w:rsid w:val="189738CD"/>
    <w:rsid w:val="189BE05F"/>
    <w:rsid w:val="189D59D2"/>
    <w:rsid w:val="18D36EAC"/>
    <w:rsid w:val="18F0769A"/>
    <w:rsid w:val="18F70DDE"/>
    <w:rsid w:val="1973324F"/>
    <w:rsid w:val="197846C7"/>
    <w:rsid w:val="19804A14"/>
    <w:rsid w:val="1980914E"/>
    <w:rsid w:val="19D20B53"/>
    <w:rsid w:val="19E3E88F"/>
    <w:rsid w:val="19E8BE6D"/>
    <w:rsid w:val="1A2173AE"/>
    <w:rsid w:val="1A2EF050"/>
    <w:rsid w:val="1A5FDA53"/>
    <w:rsid w:val="1A636B41"/>
    <w:rsid w:val="1A6426E8"/>
    <w:rsid w:val="1A68065A"/>
    <w:rsid w:val="1AA386A5"/>
    <w:rsid w:val="1AC1CDE7"/>
    <w:rsid w:val="1AD143CF"/>
    <w:rsid w:val="1ADF057B"/>
    <w:rsid w:val="1AE8622E"/>
    <w:rsid w:val="1AF9C7AC"/>
    <w:rsid w:val="1B8BD559"/>
    <w:rsid w:val="1B9FA170"/>
    <w:rsid w:val="1BA5324C"/>
    <w:rsid w:val="1BC7845E"/>
    <w:rsid w:val="1BD25779"/>
    <w:rsid w:val="1BE47A32"/>
    <w:rsid w:val="1BF8EA7C"/>
    <w:rsid w:val="1CB5703B"/>
    <w:rsid w:val="1CCDD14D"/>
    <w:rsid w:val="1D60E3CC"/>
    <w:rsid w:val="1D6D2C85"/>
    <w:rsid w:val="1DA0A559"/>
    <w:rsid w:val="1DB092DD"/>
    <w:rsid w:val="1DBEE7FD"/>
    <w:rsid w:val="1E09E010"/>
    <w:rsid w:val="1E246003"/>
    <w:rsid w:val="1EAA7A7A"/>
    <w:rsid w:val="1EBF6A2D"/>
    <w:rsid w:val="1F3BB798"/>
    <w:rsid w:val="1F4354AE"/>
    <w:rsid w:val="1F52CA1D"/>
    <w:rsid w:val="1F5F9186"/>
    <w:rsid w:val="1FA09971"/>
    <w:rsid w:val="1FB2CCAA"/>
    <w:rsid w:val="1FC1D393"/>
    <w:rsid w:val="1FEE6F9F"/>
    <w:rsid w:val="1FFEF09C"/>
    <w:rsid w:val="201469F1"/>
    <w:rsid w:val="2055F28E"/>
    <w:rsid w:val="206882FB"/>
    <w:rsid w:val="209A314B"/>
    <w:rsid w:val="20E18CD2"/>
    <w:rsid w:val="20E8C041"/>
    <w:rsid w:val="2111065F"/>
    <w:rsid w:val="2123F433"/>
    <w:rsid w:val="212DAB8F"/>
    <w:rsid w:val="213A9EFA"/>
    <w:rsid w:val="21480627"/>
    <w:rsid w:val="2160907E"/>
    <w:rsid w:val="21C75A7B"/>
    <w:rsid w:val="2210F2EF"/>
    <w:rsid w:val="22321A0A"/>
    <w:rsid w:val="223561A4"/>
    <w:rsid w:val="224F2B4C"/>
    <w:rsid w:val="2250F3D5"/>
    <w:rsid w:val="22677BAF"/>
    <w:rsid w:val="226D2DB0"/>
    <w:rsid w:val="228018D0"/>
    <w:rsid w:val="229A892D"/>
    <w:rsid w:val="22A1E70A"/>
    <w:rsid w:val="22AAFE9A"/>
    <w:rsid w:val="22ABCFA4"/>
    <w:rsid w:val="230491B0"/>
    <w:rsid w:val="23428C5E"/>
    <w:rsid w:val="2350843C"/>
    <w:rsid w:val="23610D9A"/>
    <w:rsid w:val="23A636E4"/>
    <w:rsid w:val="23E36485"/>
    <w:rsid w:val="24104D0E"/>
    <w:rsid w:val="24177B2C"/>
    <w:rsid w:val="24252B44"/>
    <w:rsid w:val="242D0E14"/>
    <w:rsid w:val="244386B9"/>
    <w:rsid w:val="244F092E"/>
    <w:rsid w:val="246382B1"/>
    <w:rsid w:val="24912A2C"/>
    <w:rsid w:val="24A03AC3"/>
    <w:rsid w:val="24E93F85"/>
    <w:rsid w:val="24F41ECD"/>
    <w:rsid w:val="250D7D7F"/>
    <w:rsid w:val="2516A36C"/>
    <w:rsid w:val="251AC426"/>
    <w:rsid w:val="25309D76"/>
    <w:rsid w:val="25310BC9"/>
    <w:rsid w:val="254FB31F"/>
    <w:rsid w:val="2566F29A"/>
    <w:rsid w:val="259DB808"/>
    <w:rsid w:val="25A23E09"/>
    <w:rsid w:val="25F48D25"/>
    <w:rsid w:val="260B56D2"/>
    <w:rsid w:val="26168EAE"/>
    <w:rsid w:val="26294E2C"/>
    <w:rsid w:val="262EFB6B"/>
    <w:rsid w:val="266208E1"/>
    <w:rsid w:val="26E9438B"/>
    <w:rsid w:val="27058C24"/>
    <w:rsid w:val="271E2E30"/>
    <w:rsid w:val="2726908A"/>
    <w:rsid w:val="273B594D"/>
    <w:rsid w:val="2770F928"/>
    <w:rsid w:val="277D5146"/>
    <w:rsid w:val="278227FC"/>
    <w:rsid w:val="279CD200"/>
    <w:rsid w:val="27BE268B"/>
    <w:rsid w:val="27C043BD"/>
    <w:rsid w:val="27F399C5"/>
    <w:rsid w:val="2809FDDB"/>
    <w:rsid w:val="2819E468"/>
    <w:rsid w:val="2842468B"/>
    <w:rsid w:val="28606A81"/>
    <w:rsid w:val="2866D180"/>
    <w:rsid w:val="28AD55F1"/>
    <w:rsid w:val="28B657C3"/>
    <w:rsid w:val="28CC3C12"/>
    <w:rsid w:val="28E262D4"/>
    <w:rsid w:val="290A6395"/>
    <w:rsid w:val="296569A3"/>
    <w:rsid w:val="29809897"/>
    <w:rsid w:val="2989A619"/>
    <w:rsid w:val="298F6610"/>
    <w:rsid w:val="29906A30"/>
    <w:rsid w:val="29918470"/>
    <w:rsid w:val="29A8D17E"/>
    <w:rsid w:val="29DAB32D"/>
    <w:rsid w:val="29DB33B9"/>
    <w:rsid w:val="29FF13B7"/>
    <w:rsid w:val="2A013F27"/>
    <w:rsid w:val="2A53B38E"/>
    <w:rsid w:val="2A79714A"/>
    <w:rsid w:val="2AA61480"/>
    <w:rsid w:val="2AB17F20"/>
    <w:rsid w:val="2AC80F37"/>
    <w:rsid w:val="2AD6E285"/>
    <w:rsid w:val="2ADFB9F7"/>
    <w:rsid w:val="2AF2AA52"/>
    <w:rsid w:val="2B2F2EE6"/>
    <w:rsid w:val="2B38CF86"/>
    <w:rsid w:val="2B4D81E4"/>
    <w:rsid w:val="2B5D2637"/>
    <w:rsid w:val="2B7AD266"/>
    <w:rsid w:val="2B8E4B2F"/>
    <w:rsid w:val="2BA6F3D6"/>
    <w:rsid w:val="2BC8A6EE"/>
    <w:rsid w:val="2BE7C761"/>
    <w:rsid w:val="2BEB1894"/>
    <w:rsid w:val="2C02F063"/>
    <w:rsid w:val="2C0E4066"/>
    <w:rsid w:val="2C15533E"/>
    <w:rsid w:val="2C17720D"/>
    <w:rsid w:val="2C243374"/>
    <w:rsid w:val="2C465939"/>
    <w:rsid w:val="2C5F8550"/>
    <w:rsid w:val="2C8E91F7"/>
    <w:rsid w:val="2CA7D922"/>
    <w:rsid w:val="2CBBCEF1"/>
    <w:rsid w:val="2CEF99F6"/>
    <w:rsid w:val="2CF0D28A"/>
    <w:rsid w:val="2D30D29E"/>
    <w:rsid w:val="2D550E3D"/>
    <w:rsid w:val="2D7FF720"/>
    <w:rsid w:val="2DDAD190"/>
    <w:rsid w:val="2E07EE7F"/>
    <w:rsid w:val="2E19BF39"/>
    <w:rsid w:val="2E5062F9"/>
    <w:rsid w:val="2E888272"/>
    <w:rsid w:val="2EA09A4F"/>
    <w:rsid w:val="2EA25BA8"/>
    <w:rsid w:val="2EEB11ED"/>
    <w:rsid w:val="2F858444"/>
    <w:rsid w:val="2F938FDD"/>
    <w:rsid w:val="2FC1CF2D"/>
    <w:rsid w:val="2FD30151"/>
    <w:rsid w:val="2FDE661A"/>
    <w:rsid w:val="301723C0"/>
    <w:rsid w:val="301AE799"/>
    <w:rsid w:val="3035A069"/>
    <w:rsid w:val="3042B412"/>
    <w:rsid w:val="3093A928"/>
    <w:rsid w:val="318DBECF"/>
    <w:rsid w:val="31B0AAF6"/>
    <w:rsid w:val="31B6E645"/>
    <w:rsid w:val="31D87F68"/>
    <w:rsid w:val="31EE0FA2"/>
    <w:rsid w:val="31F31196"/>
    <w:rsid w:val="3291A13C"/>
    <w:rsid w:val="32E1A829"/>
    <w:rsid w:val="330E6F63"/>
    <w:rsid w:val="3330E002"/>
    <w:rsid w:val="333815A9"/>
    <w:rsid w:val="334580E2"/>
    <w:rsid w:val="33695943"/>
    <w:rsid w:val="338FF9A8"/>
    <w:rsid w:val="33C46F4C"/>
    <w:rsid w:val="340736D8"/>
    <w:rsid w:val="3424E69B"/>
    <w:rsid w:val="342F8DA6"/>
    <w:rsid w:val="34A9A287"/>
    <w:rsid w:val="34DBE2CE"/>
    <w:rsid w:val="34EFBCC4"/>
    <w:rsid w:val="34FF26B2"/>
    <w:rsid w:val="3534A612"/>
    <w:rsid w:val="3537B895"/>
    <w:rsid w:val="35421FE5"/>
    <w:rsid w:val="3565E682"/>
    <w:rsid w:val="357AEAB8"/>
    <w:rsid w:val="35CA62C8"/>
    <w:rsid w:val="35D800FD"/>
    <w:rsid w:val="362356EE"/>
    <w:rsid w:val="3647CD6F"/>
    <w:rsid w:val="364C623E"/>
    <w:rsid w:val="367088B2"/>
    <w:rsid w:val="3674BACD"/>
    <w:rsid w:val="36AE5DF7"/>
    <w:rsid w:val="36B247A2"/>
    <w:rsid w:val="36DC5962"/>
    <w:rsid w:val="36EB749F"/>
    <w:rsid w:val="37206D7A"/>
    <w:rsid w:val="374CA705"/>
    <w:rsid w:val="378A6B9D"/>
    <w:rsid w:val="37A509AD"/>
    <w:rsid w:val="37DCDE72"/>
    <w:rsid w:val="37F06C65"/>
    <w:rsid w:val="3805F59B"/>
    <w:rsid w:val="382176D3"/>
    <w:rsid w:val="385B589D"/>
    <w:rsid w:val="3878D23A"/>
    <w:rsid w:val="389C8B8A"/>
    <w:rsid w:val="38B8BE21"/>
    <w:rsid w:val="38BBE40D"/>
    <w:rsid w:val="38C50160"/>
    <w:rsid w:val="38DFCC5E"/>
    <w:rsid w:val="38E31187"/>
    <w:rsid w:val="38F24CC4"/>
    <w:rsid w:val="39008EB5"/>
    <w:rsid w:val="392A74B2"/>
    <w:rsid w:val="3957975B"/>
    <w:rsid w:val="3975333B"/>
    <w:rsid w:val="39C9CEE8"/>
    <w:rsid w:val="39EAD2E6"/>
    <w:rsid w:val="3A052B18"/>
    <w:rsid w:val="3A0C7DB0"/>
    <w:rsid w:val="3A1C5262"/>
    <w:rsid w:val="3A734704"/>
    <w:rsid w:val="3A8CD8C0"/>
    <w:rsid w:val="3AA0DBB0"/>
    <w:rsid w:val="3AC9F05F"/>
    <w:rsid w:val="3B041BFA"/>
    <w:rsid w:val="3B272860"/>
    <w:rsid w:val="3B581FF1"/>
    <w:rsid w:val="3BAC7DE0"/>
    <w:rsid w:val="3BB34D67"/>
    <w:rsid w:val="3BDA6CBF"/>
    <w:rsid w:val="3C0FCA4C"/>
    <w:rsid w:val="3C32E5DE"/>
    <w:rsid w:val="3C6A4F98"/>
    <w:rsid w:val="3C6ACEB2"/>
    <w:rsid w:val="3C6EDBC6"/>
    <w:rsid w:val="3C732F14"/>
    <w:rsid w:val="3C76B4B9"/>
    <w:rsid w:val="3C79FF4E"/>
    <w:rsid w:val="3C9793E0"/>
    <w:rsid w:val="3CB4450C"/>
    <w:rsid w:val="3CF6B7E4"/>
    <w:rsid w:val="3CFE5FB2"/>
    <w:rsid w:val="3D07A6A5"/>
    <w:rsid w:val="3D1295CD"/>
    <w:rsid w:val="3D20F9C8"/>
    <w:rsid w:val="3D776625"/>
    <w:rsid w:val="3D80D2A2"/>
    <w:rsid w:val="3D9F519F"/>
    <w:rsid w:val="3DCF26CE"/>
    <w:rsid w:val="3DD68DEA"/>
    <w:rsid w:val="3DF184F9"/>
    <w:rsid w:val="3E126801"/>
    <w:rsid w:val="3E3659AB"/>
    <w:rsid w:val="3E564E8F"/>
    <w:rsid w:val="3E5AAA3F"/>
    <w:rsid w:val="3EE619F9"/>
    <w:rsid w:val="3F16DFEC"/>
    <w:rsid w:val="3F26B0B7"/>
    <w:rsid w:val="3F3975B9"/>
    <w:rsid w:val="3F56C8D2"/>
    <w:rsid w:val="3F7C4052"/>
    <w:rsid w:val="3F81F18A"/>
    <w:rsid w:val="3F9AC5F8"/>
    <w:rsid w:val="3FDEC353"/>
    <w:rsid w:val="3FEB372A"/>
    <w:rsid w:val="3FFF61C7"/>
    <w:rsid w:val="400DBF0D"/>
    <w:rsid w:val="40157551"/>
    <w:rsid w:val="407BBC9E"/>
    <w:rsid w:val="40AA82FA"/>
    <w:rsid w:val="40B041C3"/>
    <w:rsid w:val="40BAD29B"/>
    <w:rsid w:val="40C0E537"/>
    <w:rsid w:val="40D88AEE"/>
    <w:rsid w:val="41060F11"/>
    <w:rsid w:val="41096A36"/>
    <w:rsid w:val="41AC68E4"/>
    <w:rsid w:val="41B2F914"/>
    <w:rsid w:val="41CA003E"/>
    <w:rsid w:val="41D1FC90"/>
    <w:rsid w:val="41DD2705"/>
    <w:rsid w:val="41EBF0A6"/>
    <w:rsid w:val="41F04312"/>
    <w:rsid w:val="41FACCCB"/>
    <w:rsid w:val="42287CA0"/>
    <w:rsid w:val="42311583"/>
    <w:rsid w:val="424EB0AE"/>
    <w:rsid w:val="42583903"/>
    <w:rsid w:val="426C9923"/>
    <w:rsid w:val="427B3A0D"/>
    <w:rsid w:val="42C871F3"/>
    <w:rsid w:val="4368A2B2"/>
    <w:rsid w:val="43FE41C5"/>
    <w:rsid w:val="44419C54"/>
    <w:rsid w:val="447651A5"/>
    <w:rsid w:val="44A49642"/>
    <w:rsid w:val="44BAD3C9"/>
    <w:rsid w:val="44CD26A1"/>
    <w:rsid w:val="44D127DF"/>
    <w:rsid w:val="44D587AE"/>
    <w:rsid w:val="44F8D465"/>
    <w:rsid w:val="4530B993"/>
    <w:rsid w:val="4534D67B"/>
    <w:rsid w:val="454E28A7"/>
    <w:rsid w:val="45880B54"/>
    <w:rsid w:val="45AD7A9F"/>
    <w:rsid w:val="45AE0F81"/>
    <w:rsid w:val="45DC93E4"/>
    <w:rsid w:val="45FAA557"/>
    <w:rsid w:val="45FE698B"/>
    <w:rsid w:val="46045B90"/>
    <w:rsid w:val="4620343A"/>
    <w:rsid w:val="4643D597"/>
    <w:rsid w:val="468E4266"/>
    <w:rsid w:val="46909CC8"/>
    <w:rsid w:val="46A9B278"/>
    <w:rsid w:val="46EC439C"/>
    <w:rsid w:val="47516247"/>
    <w:rsid w:val="475A0C90"/>
    <w:rsid w:val="475B17D1"/>
    <w:rsid w:val="4763DAF2"/>
    <w:rsid w:val="477311AF"/>
    <w:rsid w:val="47D68F46"/>
    <w:rsid w:val="47E3A1E1"/>
    <w:rsid w:val="486B6302"/>
    <w:rsid w:val="4872B5FF"/>
    <w:rsid w:val="48742268"/>
    <w:rsid w:val="48CE6D63"/>
    <w:rsid w:val="4910B1D5"/>
    <w:rsid w:val="49493A70"/>
    <w:rsid w:val="49A3908E"/>
    <w:rsid w:val="49E0F9E2"/>
    <w:rsid w:val="49E1AD65"/>
    <w:rsid w:val="4A0293E8"/>
    <w:rsid w:val="4A0A32A5"/>
    <w:rsid w:val="4A2D2DBF"/>
    <w:rsid w:val="4A365F6A"/>
    <w:rsid w:val="4A4A3299"/>
    <w:rsid w:val="4A5BEF1F"/>
    <w:rsid w:val="4A63A909"/>
    <w:rsid w:val="4A656B13"/>
    <w:rsid w:val="4A73A48F"/>
    <w:rsid w:val="4A8777DA"/>
    <w:rsid w:val="4A8AAB35"/>
    <w:rsid w:val="4A97F329"/>
    <w:rsid w:val="4A9D0E14"/>
    <w:rsid w:val="4AB48CCA"/>
    <w:rsid w:val="4AB59CD8"/>
    <w:rsid w:val="4AC9CB28"/>
    <w:rsid w:val="4B42854C"/>
    <w:rsid w:val="4B544265"/>
    <w:rsid w:val="4B7839E8"/>
    <w:rsid w:val="4B7DD3EF"/>
    <w:rsid w:val="4BD7BB79"/>
    <w:rsid w:val="4BF11A36"/>
    <w:rsid w:val="4C0392FE"/>
    <w:rsid w:val="4C497219"/>
    <w:rsid w:val="4C6CE0C8"/>
    <w:rsid w:val="4C91590D"/>
    <w:rsid w:val="4CA44E34"/>
    <w:rsid w:val="4CC2343A"/>
    <w:rsid w:val="4CD26CE1"/>
    <w:rsid w:val="4D4D7849"/>
    <w:rsid w:val="4D551FAE"/>
    <w:rsid w:val="4D85C972"/>
    <w:rsid w:val="4D8E32DB"/>
    <w:rsid w:val="4DB6DF58"/>
    <w:rsid w:val="4DE242F3"/>
    <w:rsid w:val="4DE7A211"/>
    <w:rsid w:val="4E19CA0B"/>
    <w:rsid w:val="4E26B4EB"/>
    <w:rsid w:val="4E28F057"/>
    <w:rsid w:val="4E608642"/>
    <w:rsid w:val="4EBCA97C"/>
    <w:rsid w:val="4F27A41E"/>
    <w:rsid w:val="4F2DB511"/>
    <w:rsid w:val="4F50D6CA"/>
    <w:rsid w:val="4FB913AB"/>
    <w:rsid w:val="50297BF3"/>
    <w:rsid w:val="502B96FD"/>
    <w:rsid w:val="50833349"/>
    <w:rsid w:val="50B2BA95"/>
    <w:rsid w:val="50BDAE4F"/>
    <w:rsid w:val="50C5CB98"/>
    <w:rsid w:val="50CEFF6E"/>
    <w:rsid w:val="50D55F0A"/>
    <w:rsid w:val="50D5EC7B"/>
    <w:rsid w:val="50D964AF"/>
    <w:rsid w:val="50E51928"/>
    <w:rsid w:val="50E76D61"/>
    <w:rsid w:val="50EBEF1F"/>
    <w:rsid w:val="50ED7D98"/>
    <w:rsid w:val="5123D07F"/>
    <w:rsid w:val="51368BE6"/>
    <w:rsid w:val="513F80C7"/>
    <w:rsid w:val="51CAD71D"/>
    <w:rsid w:val="521FA5EF"/>
    <w:rsid w:val="522267B5"/>
    <w:rsid w:val="52319F6C"/>
    <w:rsid w:val="52361108"/>
    <w:rsid w:val="525BBBBE"/>
    <w:rsid w:val="525FF858"/>
    <w:rsid w:val="52A187AE"/>
    <w:rsid w:val="52A34DD9"/>
    <w:rsid w:val="52A9154B"/>
    <w:rsid w:val="52AB68DA"/>
    <w:rsid w:val="52BA34D3"/>
    <w:rsid w:val="52CF2CDD"/>
    <w:rsid w:val="5302EED1"/>
    <w:rsid w:val="532D1054"/>
    <w:rsid w:val="536BDE81"/>
    <w:rsid w:val="53920920"/>
    <w:rsid w:val="53C15699"/>
    <w:rsid w:val="53E4257B"/>
    <w:rsid w:val="542776DC"/>
    <w:rsid w:val="544C6C4D"/>
    <w:rsid w:val="54691E52"/>
    <w:rsid w:val="5472489E"/>
    <w:rsid w:val="54787A6D"/>
    <w:rsid w:val="54916272"/>
    <w:rsid w:val="5510CD53"/>
    <w:rsid w:val="55262C2A"/>
    <w:rsid w:val="558DF19B"/>
    <w:rsid w:val="55976150"/>
    <w:rsid w:val="55DE7197"/>
    <w:rsid w:val="566D947D"/>
    <w:rsid w:val="56B27D6E"/>
    <w:rsid w:val="56BA336D"/>
    <w:rsid w:val="56EEAB4D"/>
    <w:rsid w:val="570CD196"/>
    <w:rsid w:val="5733E9BB"/>
    <w:rsid w:val="5734FF36"/>
    <w:rsid w:val="5778B69D"/>
    <w:rsid w:val="5787BA87"/>
    <w:rsid w:val="57960F10"/>
    <w:rsid w:val="57BFBC32"/>
    <w:rsid w:val="57D09852"/>
    <w:rsid w:val="57D0E19E"/>
    <w:rsid w:val="57F1FCA6"/>
    <w:rsid w:val="581FC0DC"/>
    <w:rsid w:val="582EBC6B"/>
    <w:rsid w:val="58B39E0A"/>
    <w:rsid w:val="58B5E452"/>
    <w:rsid w:val="58D2DC81"/>
    <w:rsid w:val="58F247A5"/>
    <w:rsid w:val="58F42D6C"/>
    <w:rsid w:val="58F5DAA6"/>
    <w:rsid w:val="591BF74B"/>
    <w:rsid w:val="594BD07B"/>
    <w:rsid w:val="5963E0C5"/>
    <w:rsid w:val="59869522"/>
    <w:rsid w:val="599CBFE9"/>
    <w:rsid w:val="59BD8EB3"/>
    <w:rsid w:val="59D5044B"/>
    <w:rsid w:val="59D99C2D"/>
    <w:rsid w:val="59E06C91"/>
    <w:rsid w:val="59EDB2A2"/>
    <w:rsid w:val="5A040D82"/>
    <w:rsid w:val="5A1E51C6"/>
    <w:rsid w:val="5A403EFF"/>
    <w:rsid w:val="5A57829B"/>
    <w:rsid w:val="5A9862A5"/>
    <w:rsid w:val="5A9D45FE"/>
    <w:rsid w:val="5A9F88F5"/>
    <w:rsid w:val="5AAD447C"/>
    <w:rsid w:val="5AB71FF1"/>
    <w:rsid w:val="5ABDCAD9"/>
    <w:rsid w:val="5ACE9DB8"/>
    <w:rsid w:val="5ACEB3B7"/>
    <w:rsid w:val="5ADF50B8"/>
    <w:rsid w:val="5AF29957"/>
    <w:rsid w:val="5B1E6763"/>
    <w:rsid w:val="5B341515"/>
    <w:rsid w:val="5B399C2A"/>
    <w:rsid w:val="5B43BBF7"/>
    <w:rsid w:val="5B6FF26E"/>
    <w:rsid w:val="5B7FB092"/>
    <w:rsid w:val="5B806197"/>
    <w:rsid w:val="5BA8B54B"/>
    <w:rsid w:val="5BB35A2E"/>
    <w:rsid w:val="5BCB4DA4"/>
    <w:rsid w:val="5BE8FDC3"/>
    <w:rsid w:val="5BEFD921"/>
    <w:rsid w:val="5C2CC7F1"/>
    <w:rsid w:val="5C71D0FA"/>
    <w:rsid w:val="5C91476B"/>
    <w:rsid w:val="5CA528C0"/>
    <w:rsid w:val="5CAAB59C"/>
    <w:rsid w:val="5CD01EF5"/>
    <w:rsid w:val="5CD90E89"/>
    <w:rsid w:val="5CDB8888"/>
    <w:rsid w:val="5CEC7CF0"/>
    <w:rsid w:val="5D3F62DF"/>
    <w:rsid w:val="5D6B4F55"/>
    <w:rsid w:val="5D71CDA5"/>
    <w:rsid w:val="5D874924"/>
    <w:rsid w:val="5DA1EA9B"/>
    <w:rsid w:val="5E29280F"/>
    <w:rsid w:val="5E3032B1"/>
    <w:rsid w:val="5E35EED1"/>
    <w:rsid w:val="5E7C344A"/>
    <w:rsid w:val="5EBEDF02"/>
    <w:rsid w:val="5EF3DE5E"/>
    <w:rsid w:val="5F745DA0"/>
    <w:rsid w:val="5FB8FFD6"/>
    <w:rsid w:val="5FF36855"/>
    <w:rsid w:val="60452D8E"/>
    <w:rsid w:val="608BC622"/>
    <w:rsid w:val="6106E4ED"/>
    <w:rsid w:val="615CEF0E"/>
    <w:rsid w:val="6168078E"/>
    <w:rsid w:val="617060F9"/>
    <w:rsid w:val="61942A85"/>
    <w:rsid w:val="619F9DEC"/>
    <w:rsid w:val="61A7F9FD"/>
    <w:rsid w:val="61B88579"/>
    <w:rsid w:val="61BF2D9B"/>
    <w:rsid w:val="61BF3399"/>
    <w:rsid w:val="61D1DF0A"/>
    <w:rsid w:val="61DAE957"/>
    <w:rsid w:val="62718551"/>
    <w:rsid w:val="62853350"/>
    <w:rsid w:val="628E57CF"/>
    <w:rsid w:val="62B83179"/>
    <w:rsid w:val="62BD85AC"/>
    <w:rsid w:val="635B7EA1"/>
    <w:rsid w:val="6375C727"/>
    <w:rsid w:val="639D46EC"/>
    <w:rsid w:val="63A23B40"/>
    <w:rsid w:val="63A96F72"/>
    <w:rsid w:val="63E6C09D"/>
    <w:rsid w:val="640A71D8"/>
    <w:rsid w:val="640AEA43"/>
    <w:rsid w:val="64420EC0"/>
    <w:rsid w:val="64548AF1"/>
    <w:rsid w:val="645F1943"/>
    <w:rsid w:val="647A664F"/>
    <w:rsid w:val="647FAB02"/>
    <w:rsid w:val="6497F3C4"/>
    <w:rsid w:val="649FB5EF"/>
    <w:rsid w:val="64D34D1E"/>
    <w:rsid w:val="64D48DBB"/>
    <w:rsid w:val="650B26EA"/>
    <w:rsid w:val="657FF693"/>
    <w:rsid w:val="658E6D03"/>
    <w:rsid w:val="65962E15"/>
    <w:rsid w:val="65AA3CD7"/>
    <w:rsid w:val="65BE009B"/>
    <w:rsid w:val="65BF0B2D"/>
    <w:rsid w:val="65C27CAF"/>
    <w:rsid w:val="65F7B385"/>
    <w:rsid w:val="664DED3A"/>
    <w:rsid w:val="6655F325"/>
    <w:rsid w:val="66810580"/>
    <w:rsid w:val="66A90123"/>
    <w:rsid w:val="66AF5733"/>
    <w:rsid w:val="66C41EF7"/>
    <w:rsid w:val="66D026AC"/>
    <w:rsid w:val="66F748AC"/>
    <w:rsid w:val="6701CF7F"/>
    <w:rsid w:val="675828C0"/>
    <w:rsid w:val="67609DD1"/>
    <w:rsid w:val="6768298D"/>
    <w:rsid w:val="67D09B34"/>
    <w:rsid w:val="67E6E8AD"/>
    <w:rsid w:val="6896C3F5"/>
    <w:rsid w:val="68C2DD7A"/>
    <w:rsid w:val="68CE63F0"/>
    <w:rsid w:val="68D182B3"/>
    <w:rsid w:val="68E7BCFF"/>
    <w:rsid w:val="68E9950E"/>
    <w:rsid w:val="690302AB"/>
    <w:rsid w:val="690B0E2F"/>
    <w:rsid w:val="69517E5E"/>
    <w:rsid w:val="695C3C14"/>
    <w:rsid w:val="695DB01E"/>
    <w:rsid w:val="69611B02"/>
    <w:rsid w:val="6990B134"/>
    <w:rsid w:val="699B08B7"/>
    <w:rsid w:val="69BE8C72"/>
    <w:rsid w:val="69EF41A4"/>
    <w:rsid w:val="69FBB82C"/>
    <w:rsid w:val="69FF2C86"/>
    <w:rsid w:val="6A042FB5"/>
    <w:rsid w:val="6A293621"/>
    <w:rsid w:val="6A399796"/>
    <w:rsid w:val="6ADCFC39"/>
    <w:rsid w:val="6B093004"/>
    <w:rsid w:val="6B7A8BC3"/>
    <w:rsid w:val="6B9FAB41"/>
    <w:rsid w:val="6BB3F5E3"/>
    <w:rsid w:val="6BDAE3B1"/>
    <w:rsid w:val="6BDFF939"/>
    <w:rsid w:val="6C178A04"/>
    <w:rsid w:val="6C317F02"/>
    <w:rsid w:val="6C3CE147"/>
    <w:rsid w:val="6C427BBC"/>
    <w:rsid w:val="6CACB898"/>
    <w:rsid w:val="6CC56300"/>
    <w:rsid w:val="6D1204B7"/>
    <w:rsid w:val="6D1E1CC7"/>
    <w:rsid w:val="6D45F164"/>
    <w:rsid w:val="6D5A0B1E"/>
    <w:rsid w:val="6DA7B4B2"/>
    <w:rsid w:val="6DB13912"/>
    <w:rsid w:val="6E30B9E6"/>
    <w:rsid w:val="6E4C19E4"/>
    <w:rsid w:val="6E5CC792"/>
    <w:rsid w:val="6E5EC33F"/>
    <w:rsid w:val="6EB7CB97"/>
    <w:rsid w:val="6EDF9163"/>
    <w:rsid w:val="6EEDE13D"/>
    <w:rsid w:val="6F1BE3C2"/>
    <w:rsid w:val="6F1DCB7D"/>
    <w:rsid w:val="6F2CBCE3"/>
    <w:rsid w:val="6F2F4E55"/>
    <w:rsid w:val="6F39142B"/>
    <w:rsid w:val="6F39C65F"/>
    <w:rsid w:val="6F451004"/>
    <w:rsid w:val="6F95355A"/>
    <w:rsid w:val="70042252"/>
    <w:rsid w:val="7020D6A5"/>
    <w:rsid w:val="705B1203"/>
    <w:rsid w:val="70C8AD88"/>
    <w:rsid w:val="70D3C477"/>
    <w:rsid w:val="70DC5148"/>
    <w:rsid w:val="7124E3EB"/>
    <w:rsid w:val="712DF13C"/>
    <w:rsid w:val="7194CD6F"/>
    <w:rsid w:val="7198420B"/>
    <w:rsid w:val="71A63F78"/>
    <w:rsid w:val="71B253F9"/>
    <w:rsid w:val="71F19FC5"/>
    <w:rsid w:val="71FC201C"/>
    <w:rsid w:val="7211DC6F"/>
    <w:rsid w:val="721F4905"/>
    <w:rsid w:val="724E4088"/>
    <w:rsid w:val="7276EE4F"/>
    <w:rsid w:val="727CAD06"/>
    <w:rsid w:val="728CEE16"/>
    <w:rsid w:val="7296FD73"/>
    <w:rsid w:val="729F25A9"/>
    <w:rsid w:val="72E07AB4"/>
    <w:rsid w:val="72E5B5AB"/>
    <w:rsid w:val="72F3D5F6"/>
    <w:rsid w:val="7303F78C"/>
    <w:rsid w:val="7311B7B7"/>
    <w:rsid w:val="732644BE"/>
    <w:rsid w:val="73492ADF"/>
    <w:rsid w:val="740A2B7C"/>
    <w:rsid w:val="74431E9D"/>
    <w:rsid w:val="746195CF"/>
    <w:rsid w:val="7488B2A8"/>
    <w:rsid w:val="748C6E4E"/>
    <w:rsid w:val="74CE8AD8"/>
    <w:rsid w:val="74D2212F"/>
    <w:rsid w:val="751409E9"/>
    <w:rsid w:val="7519137B"/>
    <w:rsid w:val="75342804"/>
    <w:rsid w:val="75430BE7"/>
    <w:rsid w:val="7550CBDA"/>
    <w:rsid w:val="7551F6B6"/>
    <w:rsid w:val="75582612"/>
    <w:rsid w:val="756D6405"/>
    <w:rsid w:val="7571BE73"/>
    <w:rsid w:val="7575CDC5"/>
    <w:rsid w:val="75920BF9"/>
    <w:rsid w:val="75B9E084"/>
    <w:rsid w:val="75C8AD71"/>
    <w:rsid w:val="75D27301"/>
    <w:rsid w:val="75E7AC54"/>
    <w:rsid w:val="764329F8"/>
    <w:rsid w:val="765AEB69"/>
    <w:rsid w:val="76667867"/>
    <w:rsid w:val="7680AE75"/>
    <w:rsid w:val="769A04EC"/>
    <w:rsid w:val="76B2C804"/>
    <w:rsid w:val="76E3774E"/>
    <w:rsid w:val="76F0E39F"/>
    <w:rsid w:val="771AF50B"/>
    <w:rsid w:val="773CBB79"/>
    <w:rsid w:val="773E3E27"/>
    <w:rsid w:val="776F67CC"/>
    <w:rsid w:val="77A664E5"/>
    <w:rsid w:val="77B76944"/>
    <w:rsid w:val="77C84543"/>
    <w:rsid w:val="78658410"/>
    <w:rsid w:val="7868DE87"/>
    <w:rsid w:val="789D2127"/>
    <w:rsid w:val="78B3F8D4"/>
    <w:rsid w:val="78CA63E2"/>
    <w:rsid w:val="78D7C64E"/>
    <w:rsid w:val="78D930B8"/>
    <w:rsid w:val="78E7F1D6"/>
    <w:rsid w:val="78EFD32D"/>
    <w:rsid w:val="78FF7229"/>
    <w:rsid w:val="795CD087"/>
    <w:rsid w:val="79670C1F"/>
    <w:rsid w:val="798F8EB3"/>
    <w:rsid w:val="799043DD"/>
    <w:rsid w:val="79DABB8B"/>
    <w:rsid w:val="79FB6C9A"/>
    <w:rsid w:val="7A3D5D94"/>
    <w:rsid w:val="7A3E670A"/>
    <w:rsid w:val="7A3F988F"/>
    <w:rsid w:val="7A49F1B9"/>
    <w:rsid w:val="7A6271D3"/>
    <w:rsid w:val="7A656CED"/>
    <w:rsid w:val="7A81BB2D"/>
    <w:rsid w:val="7A9DF7A5"/>
    <w:rsid w:val="7AB3248C"/>
    <w:rsid w:val="7ACC4842"/>
    <w:rsid w:val="7B27A5C8"/>
    <w:rsid w:val="7B32D239"/>
    <w:rsid w:val="7B49F7AF"/>
    <w:rsid w:val="7B5B14A0"/>
    <w:rsid w:val="7B6B9CD4"/>
    <w:rsid w:val="7B6F12FB"/>
    <w:rsid w:val="7B770139"/>
    <w:rsid w:val="7BB155D6"/>
    <w:rsid w:val="7BCFB3B5"/>
    <w:rsid w:val="7BEA194C"/>
    <w:rsid w:val="7C1ECD33"/>
    <w:rsid w:val="7C58E84B"/>
    <w:rsid w:val="7C6686BB"/>
    <w:rsid w:val="7C67297F"/>
    <w:rsid w:val="7C6CE4D3"/>
    <w:rsid w:val="7C6E271D"/>
    <w:rsid w:val="7C91E644"/>
    <w:rsid w:val="7CB4CFE8"/>
    <w:rsid w:val="7CE9B008"/>
    <w:rsid w:val="7D1E20E0"/>
    <w:rsid w:val="7D45E193"/>
    <w:rsid w:val="7D582A63"/>
    <w:rsid w:val="7D5F1D6F"/>
    <w:rsid w:val="7DCE03A3"/>
    <w:rsid w:val="7DF40063"/>
    <w:rsid w:val="7DF4C7F9"/>
    <w:rsid w:val="7E015FEC"/>
    <w:rsid w:val="7E0B36DA"/>
    <w:rsid w:val="7E0D19BF"/>
    <w:rsid w:val="7E15054C"/>
    <w:rsid w:val="7E1DC559"/>
    <w:rsid w:val="7E2327CB"/>
    <w:rsid w:val="7E450EA2"/>
    <w:rsid w:val="7E4700DD"/>
    <w:rsid w:val="7E59D38B"/>
    <w:rsid w:val="7EC17AD4"/>
    <w:rsid w:val="7F00FFA3"/>
    <w:rsid w:val="7F099459"/>
    <w:rsid w:val="7F0DF3F9"/>
    <w:rsid w:val="7F0F307D"/>
    <w:rsid w:val="7F226C0B"/>
    <w:rsid w:val="7F25AE45"/>
    <w:rsid w:val="7F533C70"/>
    <w:rsid w:val="7F883960"/>
    <w:rsid w:val="7F937F49"/>
    <w:rsid w:val="7FB2F216"/>
    <w:rsid w:val="7FBB698D"/>
    <w:rsid w:val="7FC57B76"/>
    <w:rsid w:val="7FD3D9D1"/>
    <w:rsid w:val="7FDF6757"/>
    <w:rsid w:val="7FFD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EF5B"/>
  <w15:chartTrackingRefBased/>
  <w15:docId w15:val="{26C660D4-7172-4ECC-B4F3-842FB07E680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317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1D317E"/>
    <w:pPr>
      <w:numPr>
        <w:numId w:val="28"/>
      </w:numPr>
      <w:ind w:right="2160"/>
    </w:pPr>
    <w:rPr>
      <w:rFonts w:eastAsiaTheme="majorEastAsia" w:cstheme="majorBidi"/>
      <w:szCs w:val="32"/>
    </w:rPr>
  </w:style>
  <w:style w:type="paragraph" w:styleId="Heading2">
    <w:name w:val="heading 2"/>
    <w:basedOn w:val="Dummy"/>
    <w:next w:val="Standard"/>
    <w:link w:val="Heading2Char"/>
    <w:uiPriority w:val="4"/>
    <w:qFormat/>
    <w:rsid w:val="001D317E"/>
    <w:pPr>
      <w:numPr>
        <w:ilvl w:val="1"/>
        <w:numId w:val="28"/>
      </w:numPr>
      <w:ind w:right="2160"/>
      <w:outlineLvl w:val="1"/>
    </w:pPr>
  </w:style>
  <w:style w:type="paragraph" w:styleId="Heading3">
    <w:name w:val="heading 3"/>
    <w:basedOn w:val="Dummy"/>
    <w:next w:val="Standard"/>
    <w:link w:val="Heading3Char"/>
    <w:uiPriority w:val="4"/>
    <w:qFormat/>
    <w:rsid w:val="001D317E"/>
    <w:pPr>
      <w:numPr>
        <w:ilvl w:val="2"/>
        <w:numId w:val="2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1D317E"/>
    <w:pPr>
      <w:numPr>
        <w:ilvl w:val="3"/>
        <w:numId w:val="28"/>
      </w:numPr>
      <w:ind w:right="2160"/>
      <w:outlineLvl w:val="3"/>
    </w:pPr>
    <w:rPr>
      <w:rFonts w:eastAsiaTheme="majorEastAsia" w:cstheme="majorBidi"/>
      <w:iCs/>
    </w:rPr>
  </w:style>
  <w:style w:type="paragraph" w:styleId="Heading5">
    <w:name w:val="heading 5"/>
    <w:basedOn w:val="Dummy"/>
    <w:next w:val="Standard"/>
    <w:link w:val="Heading5Char"/>
    <w:uiPriority w:val="4"/>
    <w:rsid w:val="001D317E"/>
    <w:pPr>
      <w:numPr>
        <w:ilvl w:val="4"/>
        <w:numId w:val="28"/>
      </w:numPr>
      <w:ind w:right="2160"/>
      <w:outlineLvl w:val="4"/>
    </w:pPr>
    <w:rPr>
      <w:rFonts w:eastAsiaTheme="majorEastAsia" w:cstheme="majorBidi"/>
    </w:rPr>
  </w:style>
  <w:style w:type="paragraph" w:styleId="Heading6">
    <w:name w:val="heading 6"/>
    <w:basedOn w:val="Dummy"/>
    <w:next w:val="Standard"/>
    <w:link w:val="Heading6Char"/>
    <w:uiPriority w:val="4"/>
    <w:rsid w:val="001D317E"/>
    <w:pPr>
      <w:numPr>
        <w:ilvl w:val="5"/>
        <w:numId w:val="28"/>
      </w:numPr>
      <w:spacing w:before="40"/>
      <w:ind w:right="2160"/>
      <w:outlineLvl w:val="5"/>
    </w:pPr>
    <w:rPr>
      <w:rFonts w:eastAsiaTheme="majorEastAsia" w:cstheme="majorBidi"/>
    </w:rPr>
  </w:style>
  <w:style w:type="character" w:default="1" w:styleId="DefaultParagraphFont">
    <w:name w:val="Default Paragraph Font"/>
    <w:uiPriority w:val="1"/>
    <w:semiHidden/>
    <w:unhideWhenUsed/>
    <w:rsid w:val="001D31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317E"/>
  </w:style>
  <w:style w:type="table" w:styleId="TableGrid">
    <w:name w:val="Table Grid"/>
    <w:basedOn w:val="TableNormal"/>
    <w:uiPriority w:val="39"/>
    <w:rsid w:val="001D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1D317E"/>
    <w:rPr>
      <w:rFonts w:ascii="Arial" w:eastAsiaTheme="majorEastAsia" w:hAnsi="Arial" w:cstheme="majorBidi"/>
      <w:b/>
      <w:sz w:val="26"/>
      <w:szCs w:val="32"/>
    </w:rPr>
  </w:style>
  <w:style w:type="paragraph" w:styleId="TOCHeading">
    <w:name w:val="TOC Heading"/>
    <w:next w:val="Normal"/>
    <w:uiPriority w:val="39"/>
    <w:unhideWhenUsed/>
    <w:rsid w:val="001D317E"/>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D317E"/>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1D317E"/>
    <w:rPr>
      <w:rFonts w:ascii="Arial" w:eastAsiaTheme="majorEastAsia" w:hAnsi="Arial" w:cstheme="majorBidi"/>
      <w:b/>
      <w:caps/>
      <w:sz w:val="26"/>
      <w:szCs w:val="56"/>
    </w:rPr>
  </w:style>
  <w:style w:type="paragraph" w:customStyle="1" w:styleId="Dummy">
    <w:name w:val="Dummy"/>
    <w:next w:val="Normal"/>
    <w:uiPriority w:val="19"/>
    <w:rsid w:val="001D317E"/>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1D317E"/>
    <w:rPr>
      <w:rFonts w:ascii="Arial" w:hAnsi="Arial" w:cs="Arial"/>
      <w:b/>
      <w:sz w:val="26"/>
      <w:szCs w:val="26"/>
    </w:rPr>
  </w:style>
  <w:style w:type="character" w:customStyle="1" w:styleId="Heading3Char">
    <w:name w:val="Heading 3 Char"/>
    <w:basedOn w:val="DefaultParagraphFont"/>
    <w:link w:val="Heading3"/>
    <w:uiPriority w:val="4"/>
    <w:rsid w:val="001D317E"/>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1D317E"/>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1D317E"/>
    <w:rPr>
      <w:rFonts w:ascii="Arial" w:eastAsiaTheme="majorEastAsia" w:hAnsi="Arial" w:cstheme="majorBidi"/>
      <w:b/>
      <w:sz w:val="26"/>
      <w:szCs w:val="26"/>
    </w:rPr>
  </w:style>
  <w:style w:type="paragraph" w:customStyle="1" w:styleId="Main">
    <w:name w:val="Main"/>
    <w:next w:val="Normal"/>
    <w:uiPriority w:val="19"/>
    <w:rsid w:val="001D317E"/>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1D317E"/>
    <w:pPr>
      <w:keepNext/>
      <w:spacing w:before="180" w:line="360" w:lineRule="auto"/>
      <w:outlineLvl w:val="0"/>
    </w:pPr>
    <w:rPr>
      <w:spacing w:val="120"/>
    </w:rPr>
  </w:style>
  <w:style w:type="paragraph" w:styleId="TOC2">
    <w:name w:val="toc 2"/>
    <w:basedOn w:val="Normal"/>
    <w:next w:val="Normal"/>
    <w:uiPriority w:val="39"/>
    <w:unhideWhenUsed/>
    <w:rsid w:val="001D317E"/>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1D317E"/>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1D317E"/>
    <w:pPr>
      <w:spacing w:line="240" w:lineRule="auto"/>
      <w:ind w:left="1296" w:right="720" w:hanging="864"/>
    </w:pPr>
    <w:rPr>
      <w:rFonts w:eastAsiaTheme="minorEastAsia" w:cs="Times New Roman"/>
    </w:rPr>
  </w:style>
  <w:style w:type="character" w:styleId="Hyperlink">
    <w:name w:val="Hyperlink"/>
    <w:basedOn w:val="DefaultParagraphFont"/>
    <w:uiPriority w:val="99"/>
    <w:rsid w:val="001D317E"/>
    <w:rPr>
      <w:color w:val="0563C1" w:themeColor="hyperlink"/>
      <w:u w:val="single"/>
    </w:rPr>
  </w:style>
  <w:style w:type="numbering" w:customStyle="1" w:styleId="FoFCoLOP">
    <w:name w:val="FoF/CoL/OP"/>
    <w:uiPriority w:val="99"/>
    <w:rsid w:val="001D317E"/>
    <w:pPr>
      <w:numPr>
        <w:numId w:val="1"/>
      </w:numPr>
    </w:pPr>
  </w:style>
  <w:style w:type="paragraph" w:styleId="TOC9">
    <w:name w:val="toc 9"/>
    <w:basedOn w:val="Normal"/>
    <w:next w:val="Normal"/>
    <w:autoRedefine/>
    <w:uiPriority w:val="39"/>
    <w:semiHidden/>
    <w:unhideWhenUsed/>
    <w:rsid w:val="001D317E"/>
    <w:pPr>
      <w:spacing w:after="100"/>
      <w:ind w:left="2080"/>
    </w:pPr>
  </w:style>
  <w:style w:type="paragraph" w:styleId="Header">
    <w:name w:val="header"/>
    <w:basedOn w:val="Normal"/>
    <w:link w:val="HeaderChar"/>
    <w:uiPriority w:val="99"/>
    <w:semiHidden/>
    <w:rsid w:val="001D31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D317E"/>
    <w:rPr>
      <w:rFonts w:ascii="Book Antiqua" w:hAnsi="Book Antiqua"/>
      <w:sz w:val="26"/>
    </w:rPr>
  </w:style>
  <w:style w:type="paragraph" w:styleId="Footer">
    <w:name w:val="footer"/>
    <w:basedOn w:val="Normal"/>
    <w:link w:val="FooterChar"/>
    <w:uiPriority w:val="99"/>
    <w:semiHidden/>
    <w:rsid w:val="001D317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D317E"/>
    <w:rPr>
      <w:rFonts w:ascii="Book Antiqua" w:hAnsi="Book Antiqua"/>
      <w:sz w:val="26"/>
    </w:rPr>
  </w:style>
  <w:style w:type="paragraph" w:customStyle="1" w:styleId="BlockQuote">
    <w:name w:val="Block Quote"/>
    <w:basedOn w:val="Standard"/>
    <w:uiPriority w:val="5"/>
    <w:qFormat/>
    <w:rsid w:val="001D317E"/>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
    <w:basedOn w:val="Normal"/>
    <w:link w:val="FootnoteTextChar"/>
    <w:uiPriority w:val="40"/>
    <w:rsid w:val="001D31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ootnote Text Cha Char"/>
    <w:basedOn w:val="DefaultParagraphFont"/>
    <w:link w:val="FootnoteText"/>
    <w:uiPriority w:val="40"/>
    <w:rsid w:val="001D317E"/>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
    <w:basedOn w:val="DefaultParagraphFont"/>
    <w:uiPriority w:val="99"/>
    <w:unhideWhenUsed/>
    <w:rsid w:val="001D317E"/>
    <w:rPr>
      <w:vertAlign w:val="superscript"/>
    </w:rPr>
  </w:style>
  <w:style w:type="paragraph" w:customStyle="1" w:styleId="FoF">
    <w:name w:val="FoF"/>
    <w:basedOn w:val="Standard"/>
    <w:uiPriority w:val="6"/>
    <w:qFormat/>
    <w:rsid w:val="001D317E"/>
    <w:pPr>
      <w:numPr>
        <w:numId w:val="11"/>
      </w:numPr>
      <w:ind w:firstLine="547"/>
    </w:pPr>
  </w:style>
  <w:style w:type="paragraph" w:customStyle="1" w:styleId="CoL">
    <w:name w:val="CoL"/>
    <w:basedOn w:val="Standard"/>
    <w:uiPriority w:val="7"/>
    <w:qFormat/>
    <w:rsid w:val="001D317E"/>
    <w:pPr>
      <w:numPr>
        <w:numId w:val="10"/>
      </w:numPr>
      <w:ind w:firstLine="547"/>
    </w:pPr>
  </w:style>
  <w:style w:type="paragraph" w:styleId="NoSpacing">
    <w:name w:val="No Spacing"/>
    <w:basedOn w:val="Standard"/>
    <w:uiPriority w:val="1"/>
    <w:rsid w:val="001D317E"/>
    <w:pPr>
      <w:spacing w:after="120" w:line="240" w:lineRule="auto"/>
      <w:ind w:firstLine="0"/>
      <w:contextualSpacing/>
    </w:pPr>
  </w:style>
  <w:style w:type="paragraph" w:customStyle="1" w:styleId="OP">
    <w:name w:val="OP"/>
    <w:basedOn w:val="Standard"/>
    <w:uiPriority w:val="8"/>
    <w:qFormat/>
    <w:rsid w:val="001D317E"/>
    <w:pPr>
      <w:numPr>
        <w:numId w:val="42"/>
      </w:numPr>
    </w:pPr>
  </w:style>
  <w:style w:type="paragraph" w:styleId="BalloonText">
    <w:name w:val="Balloon Text"/>
    <w:basedOn w:val="Normal"/>
    <w:link w:val="BalloonTextChar"/>
    <w:uiPriority w:val="99"/>
    <w:semiHidden/>
    <w:unhideWhenUsed/>
    <w:rsid w:val="001D31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17E"/>
    <w:rPr>
      <w:rFonts w:ascii="Segoe UI" w:hAnsi="Segoe UI" w:cs="Segoe UI"/>
      <w:sz w:val="18"/>
      <w:szCs w:val="18"/>
    </w:rPr>
  </w:style>
  <w:style w:type="numbering" w:customStyle="1" w:styleId="Headings">
    <w:name w:val="Headings"/>
    <w:uiPriority w:val="99"/>
    <w:rsid w:val="001D317E"/>
    <w:pPr>
      <w:numPr>
        <w:numId w:val="2"/>
      </w:numPr>
    </w:pPr>
  </w:style>
  <w:style w:type="paragraph" w:customStyle="1" w:styleId="Standard">
    <w:name w:val="Standard"/>
    <w:basedOn w:val="Normal"/>
    <w:qFormat/>
    <w:rsid w:val="001D317E"/>
  </w:style>
  <w:style w:type="paragraph" w:customStyle="1" w:styleId="ListAlpha">
    <w:name w:val="List Alpha"/>
    <w:basedOn w:val="Standard"/>
    <w:uiPriority w:val="4"/>
    <w:qFormat/>
    <w:rsid w:val="001D317E"/>
    <w:pPr>
      <w:numPr>
        <w:ilvl w:val="7"/>
        <w:numId w:val="28"/>
      </w:numPr>
      <w:spacing w:after="120" w:line="240" w:lineRule="auto"/>
    </w:pPr>
  </w:style>
  <w:style w:type="paragraph" w:styleId="ListBullet">
    <w:name w:val="List Bullet"/>
    <w:basedOn w:val="Standard"/>
    <w:uiPriority w:val="4"/>
    <w:qFormat/>
    <w:rsid w:val="001D317E"/>
    <w:pPr>
      <w:numPr>
        <w:numId w:val="3"/>
      </w:numPr>
      <w:tabs>
        <w:tab w:val="clear" w:pos="360"/>
      </w:tabs>
      <w:spacing w:after="120" w:line="240" w:lineRule="auto"/>
      <w:ind w:left="1080" w:right="1440"/>
    </w:pPr>
  </w:style>
  <w:style w:type="character" w:customStyle="1" w:styleId="Heading6Char">
    <w:name w:val="Heading 6 Char"/>
    <w:basedOn w:val="DefaultParagraphFont"/>
    <w:link w:val="Heading6"/>
    <w:uiPriority w:val="4"/>
    <w:rsid w:val="001D317E"/>
    <w:rPr>
      <w:rFonts w:ascii="Arial" w:eastAsiaTheme="majorEastAsia" w:hAnsi="Arial" w:cstheme="majorBidi"/>
      <w:b/>
      <w:sz w:val="26"/>
      <w:szCs w:val="26"/>
    </w:rPr>
  </w:style>
  <w:style w:type="paragraph" w:styleId="TOC4">
    <w:name w:val="toc 4"/>
    <w:basedOn w:val="Normal"/>
    <w:next w:val="Normal"/>
    <w:autoRedefine/>
    <w:uiPriority w:val="39"/>
    <w:unhideWhenUsed/>
    <w:rsid w:val="001D317E"/>
    <w:pPr>
      <w:spacing w:line="240" w:lineRule="auto"/>
      <w:ind w:left="1728" w:right="720" w:hanging="1080"/>
    </w:pPr>
  </w:style>
  <w:style w:type="paragraph" w:styleId="TOC5">
    <w:name w:val="toc 5"/>
    <w:basedOn w:val="Normal"/>
    <w:next w:val="Normal"/>
    <w:autoRedefine/>
    <w:uiPriority w:val="39"/>
    <w:unhideWhenUsed/>
    <w:rsid w:val="001D317E"/>
    <w:pPr>
      <w:spacing w:line="240" w:lineRule="auto"/>
      <w:ind w:left="2160" w:right="720" w:hanging="1296"/>
    </w:pPr>
  </w:style>
  <w:style w:type="paragraph" w:styleId="TOC6">
    <w:name w:val="toc 6"/>
    <w:basedOn w:val="Normal"/>
    <w:next w:val="Normal"/>
    <w:autoRedefine/>
    <w:uiPriority w:val="39"/>
    <w:unhideWhenUsed/>
    <w:rsid w:val="001D317E"/>
    <w:pPr>
      <w:spacing w:line="240" w:lineRule="auto"/>
      <w:ind w:left="2592" w:right="720" w:hanging="1512"/>
    </w:pPr>
  </w:style>
  <w:style w:type="paragraph" w:customStyle="1" w:styleId="TableText">
    <w:name w:val="Table Text"/>
    <w:basedOn w:val="NoSpacing"/>
    <w:uiPriority w:val="5"/>
    <w:rsid w:val="001D317E"/>
    <w:pPr>
      <w:spacing w:after="0"/>
    </w:pPr>
    <w:rPr>
      <w:sz w:val="22"/>
    </w:rPr>
  </w:style>
  <w:style w:type="paragraph" w:customStyle="1" w:styleId="ListNum">
    <w:name w:val="List Num"/>
    <w:basedOn w:val="Standard"/>
    <w:uiPriority w:val="4"/>
    <w:rsid w:val="001D317E"/>
    <w:pPr>
      <w:numPr>
        <w:ilvl w:val="6"/>
        <w:numId w:val="28"/>
      </w:numPr>
      <w:spacing w:after="120" w:line="240" w:lineRule="auto"/>
    </w:pPr>
  </w:style>
  <w:style w:type="character" w:styleId="CommentReference">
    <w:name w:val="annotation reference"/>
    <w:basedOn w:val="DefaultParagraphFont"/>
    <w:uiPriority w:val="99"/>
    <w:semiHidden/>
    <w:unhideWhenUsed/>
    <w:rsid w:val="007E09A9"/>
    <w:rPr>
      <w:sz w:val="16"/>
      <w:szCs w:val="16"/>
    </w:rPr>
  </w:style>
  <w:style w:type="paragraph" w:styleId="CommentText">
    <w:name w:val="annotation text"/>
    <w:basedOn w:val="Normal"/>
    <w:link w:val="CommentTextChar"/>
    <w:uiPriority w:val="99"/>
    <w:unhideWhenUsed/>
    <w:rsid w:val="007E09A9"/>
    <w:pPr>
      <w:spacing w:line="240" w:lineRule="auto"/>
    </w:pPr>
    <w:rPr>
      <w:sz w:val="20"/>
      <w:szCs w:val="20"/>
    </w:rPr>
  </w:style>
  <w:style w:type="character" w:customStyle="1" w:styleId="CommentTextChar">
    <w:name w:val="Comment Text Char"/>
    <w:basedOn w:val="DefaultParagraphFont"/>
    <w:link w:val="CommentText"/>
    <w:uiPriority w:val="99"/>
    <w:rsid w:val="007E09A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E09A9"/>
    <w:rPr>
      <w:b/>
      <w:bCs/>
    </w:rPr>
  </w:style>
  <w:style w:type="character" w:customStyle="1" w:styleId="CommentSubjectChar">
    <w:name w:val="Comment Subject Char"/>
    <w:basedOn w:val="CommentTextChar"/>
    <w:link w:val="CommentSubject"/>
    <w:uiPriority w:val="99"/>
    <w:semiHidden/>
    <w:rsid w:val="007E09A9"/>
    <w:rPr>
      <w:rFonts w:ascii="Book Antiqua" w:hAnsi="Book Antiqua"/>
      <w:b/>
      <w:bCs/>
      <w:sz w:val="20"/>
      <w:szCs w:val="20"/>
    </w:rPr>
  </w:style>
  <w:style w:type="paragraph" w:styleId="ListParagraph">
    <w:name w:val="List Paragraph"/>
    <w:basedOn w:val="Normal"/>
    <w:uiPriority w:val="34"/>
    <w:rsid w:val="00DE50E6"/>
    <w:pPr>
      <w:ind w:left="720"/>
      <w:contextualSpacing/>
    </w:pPr>
  </w:style>
  <w:style w:type="paragraph" w:styleId="Revision">
    <w:name w:val="Revision"/>
    <w:hidden/>
    <w:uiPriority w:val="99"/>
    <w:semiHidden/>
    <w:rsid w:val="00664CF4"/>
    <w:pPr>
      <w:spacing w:after="0" w:line="240" w:lineRule="auto"/>
    </w:pPr>
    <w:rPr>
      <w:rFonts w:ascii="Book Antiqua" w:hAnsi="Book Antiqua"/>
      <w:sz w:val="26"/>
    </w:rPr>
  </w:style>
  <w:style w:type="paragraph" w:customStyle="1" w:styleId="pf0">
    <w:name w:val="pf0"/>
    <w:basedOn w:val="Normal"/>
    <w:rsid w:val="00837240"/>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f01">
    <w:name w:val="cf01"/>
    <w:basedOn w:val="DefaultParagraphFont"/>
    <w:rsid w:val="00837240"/>
    <w:rPr>
      <w:rFonts w:ascii="Segoe UI" w:hAnsi="Segoe UI" w:cs="Segoe UI" w:hint="default"/>
      <w:sz w:val="18"/>
      <w:szCs w:val="18"/>
    </w:rPr>
  </w:style>
  <w:style w:type="numbering" w:customStyle="1" w:styleId="Rules">
    <w:name w:val="Rules"/>
    <w:uiPriority w:val="99"/>
    <w:rsid w:val="001D317E"/>
    <w:pPr>
      <w:numPr>
        <w:numId w:val="8"/>
      </w:numPr>
    </w:pPr>
  </w:style>
  <w:style w:type="paragraph" w:styleId="ListNumber">
    <w:name w:val="List Number"/>
    <w:basedOn w:val="Normal"/>
    <w:uiPriority w:val="99"/>
    <w:unhideWhenUsed/>
    <w:rsid w:val="001D317E"/>
    <w:pPr>
      <w:numPr>
        <w:numId w:val="9"/>
      </w:numPr>
      <w:tabs>
        <w:tab w:val="left" w:pos="360"/>
      </w:tabs>
      <w:spacing w:after="120" w:line="240" w:lineRule="auto"/>
    </w:pPr>
  </w:style>
  <w:style w:type="paragraph" w:styleId="List2">
    <w:name w:val="List 2"/>
    <w:basedOn w:val="Normal"/>
    <w:uiPriority w:val="99"/>
    <w:unhideWhenUsed/>
    <w:rsid w:val="001D317E"/>
    <w:pPr>
      <w:numPr>
        <w:ilvl w:val="1"/>
        <w:numId w:val="9"/>
      </w:numPr>
      <w:spacing w:after="120" w:line="240" w:lineRule="auto"/>
    </w:pPr>
  </w:style>
  <w:style w:type="paragraph" w:styleId="List3">
    <w:name w:val="List 3"/>
    <w:basedOn w:val="Normal"/>
    <w:uiPriority w:val="99"/>
    <w:unhideWhenUsed/>
    <w:rsid w:val="001D317E"/>
    <w:pPr>
      <w:numPr>
        <w:ilvl w:val="2"/>
        <w:numId w:val="9"/>
      </w:numPr>
      <w:spacing w:after="120" w:line="240" w:lineRule="auto"/>
    </w:pPr>
  </w:style>
  <w:style w:type="paragraph" w:customStyle="1" w:styleId="PDTitle">
    <w:name w:val="PD Title"/>
    <w:basedOn w:val="Dummy"/>
    <w:rsid w:val="001D317E"/>
    <w:pPr>
      <w:spacing w:after="24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307823077">
      <w:bodyDiv w:val="1"/>
      <w:marLeft w:val="0"/>
      <w:marRight w:val="0"/>
      <w:marTop w:val="0"/>
      <w:marBottom w:val="0"/>
      <w:divBdr>
        <w:top w:val="none" w:sz="0" w:space="0" w:color="auto"/>
        <w:left w:val="none" w:sz="0" w:space="0" w:color="auto"/>
        <w:bottom w:val="none" w:sz="0" w:space="0" w:color="auto"/>
        <w:right w:val="none" w:sz="0" w:space="0" w:color="auto"/>
      </w:divBdr>
    </w:div>
    <w:div w:id="549919717">
      <w:bodyDiv w:val="1"/>
      <w:marLeft w:val="0"/>
      <w:marRight w:val="0"/>
      <w:marTop w:val="0"/>
      <w:marBottom w:val="0"/>
      <w:divBdr>
        <w:top w:val="none" w:sz="0" w:space="0" w:color="auto"/>
        <w:left w:val="none" w:sz="0" w:space="0" w:color="auto"/>
        <w:bottom w:val="none" w:sz="0" w:space="0" w:color="auto"/>
        <w:right w:val="none" w:sz="0" w:space="0" w:color="auto"/>
      </w:divBdr>
    </w:div>
    <w:div w:id="79012715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408261467">
      <w:bodyDiv w:val="1"/>
      <w:marLeft w:val="0"/>
      <w:marRight w:val="0"/>
      <w:marTop w:val="0"/>
      <w:marBottom w:val="0"/>
      <w:divBdr>
        <w:top w:val="none" w:sz="0" w:space="0" w:color="auto"/>
        <w:left w:val="none" w:sz="0" w:space="0" w:color="auto"/>
        <w:bottom w:val="none" w:sz="0" w:space="0" w:color="auto"/>
        <w:right w:val="none" w:sz="0" w:space="0" w:color="auto"/>
      </w:divBdr>
    </w:div>
    <w:div w:id="17472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hyperlink" Target="https://docs.cpuc.ca.gov/PublishedDocs/Published/G000/M584/K838/584838849.pdf" TargetMode="External" Id="Rb48b811d4f924f6b" /></Relationships>
</file>

<file path=word/_rels/footnotes.xml.rels><?xml version="1.0" encoding="UTF-8" standalone="yes"?>
<Relationships xmlns="http://schemas.openxmlformats.org/package/2006/relationships"><Relationship Id="rId8" Type="http://schemas.openxmlformats.org/officeDocument/2006/relationships/hyperlink" Target="https://casetext.com/case/kaufman-v-goldman" TargetMode="External"/><Relationship Id="rId13" Type="http://schemas.openxmlformats.org/officeDocument/2006/relationships/hyperlink" Target="https://casetext.com/case/timney-v-lin" TargetMode="External"/><Relationship Id="rId3" Type="http://schemas.openxmlformats.org/officeDocument/2006/relationships/hyperlink" Target="https://casetext.com/case/monster-energy-co-v-schechter-1" TargetMode="External"/><Relationship Id="rId7" Type="http://schemas.openxmlformats.org/officeDocument/2006/relationships/hyperlink" Target="https://casetext.com/case/kaufman-v-goldman" TargetMode="External"/><Relationship Id="rId12" Type="http://schemas.openxmlformats.org/officeDocument/2006/relationships/hyperlink" Target="https://casetext.com/case/timney-v-lin" TargetMode="External"/><Relationship Id="rId17" Type="http://schemas.openxmlformats.org/officeDocument/2006/relationships/hyperlink" Target="https://casetext.com/case/tunkl-v-regents-of-university-of-california" TargetMode="External"/><Relationship Id="rId2" Type="http://schemas.openxmlformats.org/officeDocument/2006/relationships/hyperlink" Target="https://casetext.com/case/monster-energy-co-v-schechter-1" TargetMode="External"/><Relationship Id="rId16" Type="http://schemas.openxmlformats.org/officeDocument/2006/relationships/hyperlink" Target="https://casetext.com/case/vitatech-intl-inc-v-sporn-1" TargetMode="External"/><Relationship Id="rId1" Type="http://schemas.openxmlformats.org/officeDocument/2006/relationships/hyperlink" Target="https://casetext.com/case/monster-energy-co-v-schechter-1" TargetMode="External"/><Relationship Id="rId6" Type="http://schemas.openxmlformats.org/officeDocument/2006/relationships/hyperlink" Target="https://casetext.com/case/zamora-v-clayborn-contracting" TargetMode="External"/><Relationship Id="rId11" Type="http://schemas.openxmlformats.org/officeDocument/2006/relationships/hyperlink" Target="https://casetext.com/case/mcclure-v-mcclure-97" TargetMode="External"/><Relationship Id="rId5" Type="http://schemas.openxmlformats.org/officeDocument/2006/relationships/hyperlink" Target="https://casetext.com/case/zamora-v-clayborn-contracting" TargetMode="External"/><Relationship Id="rId15" Type="http://schemas.openxmlformats.org/officeDocument/2006/relationships/hyperlink" Target="https://casetext.com/case/timney-v-lin" TargetMode="External"/><Relationship Id="rId10" Type="http://schemas.openxmlformats.org/officeDocument/2006/relationships/hyperlink" Target="https://casetext.com/case/osumi-v-sutton" TargetMode="External"/><Relationship Id="rId4" Type="http://schemas.openxmlformats.org/officeDocument/2006/relationships/hyperlink" Target="https://casetext.com/case/zamora-v-clayborn-contracting" TargetMode="External"/><Relationship Id="rId9" Type="http://schemas.openxmlformats.org/officeDocument/2006/relationships/hyperlink" Target="https://casetext.com/case/osumi-v-sutton" TargetMode="External"/><Relationship Id="rId14" Type="http://schemas.openxmlformats.org/officeDocument/2006/relationships/hyperlink" Target="https://casetext.com/case/timney-v-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f152d5d2f9d6bab36b71bff33a02dbee">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50740eb18709d7c7b73c238ff3a2760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712CD8FA-972E-49F5-A104-8DDD41E73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46</ap:Pages>
  <ap:Words>9552</ap:Words>
  <ap:Characters>54450</ap:Characters>
  <ap:Application>Microsoft Office Word</ap:Application>
  <ap:DocSecurity>0</ap:DocSecurity>
  <ap:Lines>453</ap:Lines>
  <ap:Paragraphs>127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63875</ap:CharactersWithSpaces>
  <ap:SharedDoc>false</ap:SharedDoc>
  <ap:HLinks>
    <vt:vector baseType="variant" size="186">
      <vt:variant>
        <vt:i4>1245228</vt:i4>
      </vt:variant>
      <vt:variant>
        <vt:i4>78</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_ftnref4</vt:lpwstr>
      </vt:variant>
      <vt:variant>
        <vt:i4>1310764</vt:i4>
      </vt:variant>
      <vt:variant>
        <vt:i4>75</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_ftnref3</vt:lpwstr>
      </vt:variant>
      <vt:variant>
        <vt:i4>4128803</vt:i4>
      </vt:variant>
      <vt:variant>
        <vt:i4>72</vt:i4>
      </vt:variant>
      <vt:variant>
        <vt:i4>0</vt:i4>
      </vt:variant>
      <vt:variant>
        <vt:i4>5</vt:i4>
      </vt:variant>
      <vt:variant>
        <vt:lpwstr>https://casetext.com/case/timney-v-lin</vt:lpwstr>
      </vt:variant>
      <vt:variant>
        <vt:lpwstr/>
      </vt:variant>
      <vt:variant>
        <vt:i4>3932258</vt:i4>
      </vt:variant>
      <vt:variant>
        <vt:i4>69</vt:i4>
      </vt:variant>
      <vt:variant>
        <vt:i4>0</vt:i4>
      </vt:variant>
      <vt:variant>
        <vt:i4>5</vt:i4>
      </vt:variant>
      <vt:variant>
        <vt:lpwstr>https://casetext.com/case/timney-v-lin</vt:lpwstr>
      </vt:variant>
      <vt:variant>
        <vt:lpwstr>p1127</vt:lpwstr>
      </vt:variant>
      <vt:variant>
        <vt:i4>1376300</vt:i4>
      </vt:variant>
      <vt:variant>
        <vt:i4>66</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_ftnref2</vt:lpwstr>
      </vt:variant>
      <vt:variant>
        <vt:i4>3080253</vt:i4>
      </vt:variant>
      <vt:variant>
        <vt:i4>63</vt:i4>
      </vt:variant>
      <vt:variant>
        <vt:i4>0</vt:i4>
      </vt:variant>
      <vt:variant>
        <vt:i4>5</vt:i4>
      </vt:variant>
      <vt:variant>
        <vt:lpwstr>https://casetext.com/case/mcclure-v-mcclure-97</vt:lpwstr>
      </vt:variant>
      <vt:variant>
        <vt:lpwstr>p343</vt:lpwstr>
      </vt:variant>
      <vt:variant>
        <vt:i4>4456539</vt:i4>
      </vt:variant>
      <vt:variant>
        <vt:i4>60</vt:i4>
      </vt:variant>
      <vt:variant>
        <vt:i4>0</vt:i4>
      </vt:variant>
      <vt:variant>
        <vt:i4>5</vt:i4>
      </vt:variant>
      <vt:variant>
        <vt:lpwstr>https://casetext.com/case/osumi-v-sutton</vt:lpwstr>
      </vt:variant>
      <vt:variant>
        <vt:lpwstr/>
      </vt:variant>
      <vt:variant>
        <vt:i4>4194328</vt:i4>
      </vt:variant>
      <vt:variant>
        <vt:i4>57</vt:i4>
      </vt:variant>
      <vt:variant>
        <vt:i4>0</vt:i4>
      </vt:variant>
      <vt:variant>
        <vt:i4>5</vt:i4>
      </vt:variant>
      <vt:variant>
        <vt:lpwstr>https://casetext.com/case/osumi-v-sutton</vt:lpwstr>
      </vt:variant>
      <vt:variant>
        <vt:lpwstr>p1359</vt:lpwstr>
      </vt:variant>
      <vt:variant>
        <vt:i4>3735611</vt:i4>
      </vt:variant>
      <vt:variant>
        <vt:i4>54</vt:i4>
      </vt:variant>
      <vt:variant>
        <vt:i4>0</vt:i4>
      </vt:variant>
      <vt:variant>
        <vt:i4>5</vt:i4>
      </vt:variant>
      <vt:variant>
        <vt:lpwstr>https://casetext.com/case/kaufman-v-goldman</vt:lpwstr>
      </vt:variant>
      <vt:variant>
        <vt:lpwstr/>
      </vt:variant>
      <vt:variant>
        <vt:i4>3866751</vt:i4>
      </vt:variant>
      <vt:variant>
        <vt:i4>51</vt:i4>
      </vt:variant>
      <vt:variant>
        <vt:i4>0</vt:i4>
      </vt:variant>
      <vt:variant>
        <vt:i4>5</vt:i4>
      </vt:variant>
      <vt:variant>
        <vt:lpwstr>https://casetext.com/case/kaufman-v-goldman</vt:lpwstr>
      </vt:variant>
      <vt:variant>
        <vt:lpwstr>p745</vt:lpwstr>
      </vt:variant>
      <vt:variant>
        <vt:i4>7536690</vt:i4>
      </vt:variant>
      <vt:variant>
        <vt:i4>48</vt:i4>
      </vt:variant>
      <vt:variant>
        <vt:i4>0</vt:i4>
      </vt:variant>
      <vt:variant>
        <vt:i4>5</vt:i4>
      </vt:variant>
      <vt:variant>
        <vt:lpwstr>https://casetext.com/case/zamora-v-clayborn-contracting</vt:lpwstr>
      </vt:variant>
      <vt:variant>
        <vt:lpwstr/>
      </vt:variant>
      <vt:variant>
        <vt:i4>7536690</vt:i4>
      </vt:variant>
      <vt:variant>
        <vt:i4>45</vt:i4>
      </vt:variant>
      <vt:variant>
        <vt:i4>0</vt:i4>
      </vt:variant>
      <vt:variant>
        <vt:i4>5</vt:i4>
      </vt:variant>
      <vt:variant>
        <vt:lpwstr>https://casetext.com/case/zamora-v-clayborn-contracting</vt:lpwstr>
      </vt:variant>
      <vt:variant>
        <vt:lpwstr/>
      </vt:variant>
      <vt:variant>
        <vt:i4>7405684</vt:i4>
      </vt:variant>
      <vt:variant>
        <vt:i4>42</vt:i4>
      </vt:variant>
      <vt:variant>
        <vt:i4>0</vt:i4>
      </vt:variant>
      <vt:variant>
        <vt:i4>5</vt:i4>
      </vt:variant>
      <vt:variant>
        <vt:lpwstr>https://casetext.com/case/zamora-v-clayborn-contracting</vt:lpwstr>
      </vt:variant>
      <vt:variant>
        <vt:lpwstr>p260</vt:lpwstr>
      </vt:variant>
      <vt:variant>
        <vt:i4>4259870</vt:i4>
      </vt:variant>
      <vt:variant>
        <vt:i4>39</vt:i4>
      </vt:variant>
      <vt:variant>
        <vt:i4>0</vt:i4>
      </vt:variant>
      <vt:variant>
        <vt:i4>5</vt:i4>
      </vt:variant>
      <vt:variant>
        <vt:lpwstr>https://casetext.com/case/monster-energy-co-v-schechter-1</vt:lpwstr>
      </vt:variant>
      <vt:variant>
        <vt:lpwstr/>
      </vt:variant>
      <vt:variant>
        <vt:i4>4259870</vt:i4>
      </vt:variant>
      <vt:variant>
        <vt:i4>36</vt:i4>
      </vt:variant>
      <vt:variant>
        <vt:i4>0</vt:i4>
      </vt:variant>
      <vt:variant>
        <vt:i4>5</vt:i4>
      </vt:variant>
      <vt:variant>
        <vt:lpwstr>https://casetext.com/case/monster-energy-co-v-schechter-1</vt:lpwstr>
      </vt:variant>
      <vt:variant>
        <vt:lpwstr/>
      </vt:variant>
      <vt:variant>
        <vt:i4>4522071</vt:i4>
      </vt:variant>
      <vt:variant>
        <vt:i4>33</vt:i4>
      </vt:variant>
      <vt:variant>
        <vt:i4>0</vt:i4>
      </vt:variant>
      <vt:variant>
        <vt:i4>5</vt:i4>
      </vt:variant>
      <vt:variant>
        <vt:lpwstr>https://casetext.com/case/monster-energy-co-v-schechter-1</vt:lpwstr>
      </vt:variant>
      <vt:variant>
        <vt:lpwstr>p793</vt:lpwstr>
      </vt:variant>
      <vt:variant>
        <vt:i4>1441836</vt:i4>
      </vt:variant>
      <vt:variant>
        <vt:i4>30</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_ftnref1</vt:lpwstr>
      </vt:variant>
      <vt:variant>
        <vt:i4>4325432</vt:i4>
      </vt:variant>
      <vt:variant>
        <vt:i4>27</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_ftn4</vt:lpwstr>
      </vt:variant>
      <vt:variant>
        <vt:i4>4325432</vt:i4>
      </vt:variant>
      <vt:variant>
        <vt:i4>24</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_ftn3</vt:lpwstr>
      </vt:variant>
      <vt:variant>
        <vt:i4>4325432</vt:i4>
      </vt:variant>
      <vt:variant>
        <vt:i4>21</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_ftn2</vt:lpwstr>
      </vt:variant>
      <vt:variant>
        <vt:i4>4325432</vt:i4>
      </vt:variant>
      <vt:variant>
        <vt:i4>18</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_ftn1</vt:lpwstr>
      </vt:variant>
      <vt:variant>
        <vt:i4>1441836</vt:i4>
      </vt:variant>
      <vt:variant>
        <vt:i4>15</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_ftnref1</vt:lpwstr>
      </vt:variant>
      <vt:variant>
        <vt:i4>1441836</vt:i4>
      </vt:variant>
      <vt:variant>
        <vt:i4>12</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_ftnref1</vt:lpwstr>
      </vt:variant>
      <vt:variant>
        <vt:i4>4325432</vt:i4>
      </vt:variant>
      <vt:variant>
        <vt:i4>9</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_ftn1</vt:lpwstr>
      </vt:variant>
      <vt:variant>
        <vt:i4>4325432</vt:i4>
      </vt:variant>
      <vt:variant>
        <vt:i4>6</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_ftn1</vt:lpwstr>
      </vt:variant>
      <vt:variant>
        <vt:i4>1441836</vt:i4>
      </vt:variant>
      <vt:variant>
        <vt:i4>3</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_ftnref1</vt:lpwstr>
      </vt:variant>
      <vt:variant>
        <vt:i4>4325432</vt:i4>
      </vt:variant>
      <vt:variant>
        <vt:i4>0</vt:i4>
      </vt:variant>
      <vt:variant>
        <vt:i4>0</vt:i4>
      </vt:variant>
      <vt:variant>
        <vt:i4>5</vt:i4>
      </vt:variant>
      <vt:variant>
        <vt:lpwstr>https://gbc-word-edit.officeapps.live.com/we/wordeditorframe.aspx?ui=en-US&amp;rs=en-US&amp;wopisrc=https%3A%2F%2Fcapuc-my.sharepoint.com%2Fpersonal%2Fkimberly_kim_cpuc_ca_gov%2F_vti_bin%2Fwopi.ashx%2Ffiles%2F0c4824c34ca546fa94fa54bdf91ad184&amp;wdlor=cE46B3851-3E0F-49E1-ACC0-DD9C9BABF2A0&amp;wdenableroaming=1&amp;mscc=1&amp;wdodb=1&amp;hid=7A416020-4B75-4532-AF94-C258F0B37E52.0&amp;uih=sharepointcom&amp;wdlcid=en-US&amp;jsapi=1&amp;jsapiver=v2&amp;corrid=2b51ca24-2b3f-db3e-e94f-cb51c54d6758&amp;usid=2b51ca24-2b3f-db3e-e94f-cb51c54d6758&amp;newsession=1&amp;sftc=1&amp;uihit=docaspx&amp;muv=1&amp;ats=PairwiseBroker&amp;cac=1&amp;sams=1&amp;mtf=1&amp;sfp=1&amp;sdp=1&amp;hch=1&amp;hwfh=1&amp;dchat=1&amp;sc=%7B%22pmo%22%3A%22https%3A%2F%2Fcapuc-my.sharepoint.com%22%2C%22pmshare%22%3Atrue%7D&amp;ctp=LeastProtected&amp;rct=Normal&amp;wdorigin=AuthPrompt.Outlook-Body.Sharing.DirectLink.Copy&amp;csc=1&amp;csiro=1&amp;instantedit=1&amp;wopicomplete=1&amp;wdredirectionreason=Unified_SingleFlush</vt:lpwstr>
      </vt:variant>
      <vt:variant>
        <vt:lpwstr>_ftn1</vt:lpwstr>
      </vt:variant>
      <vt:variant>
        <vt:i4>5439565</vt:i4>
      </vt:variant>
      <vt:variant>
        <vt:i4>9</vt:i4>
      </vt:variant>
      <vt:variant>
        <vt:i4>0</vt:i4>
      </vt:variant>
      <vt:variant>
        <vt:i4>5</vt:i4>
      </vt:variant>
      <vt:variant>
        <vt:lpwstr>https://casetext.com/case/tunkl-v-regents-of-university-of-california</vt:lpwstr>
      </vt:variant>
      <vt:variant>
        <vt:lpwstr/>
      </vt:variant>
      <vt:variant>
        <vt:i4>5111874</vt:i4>
      </vt:variant>
      <vt:variant>
        <vt:i4>6</vt:i4>
      </vt:variant>
      <vt:variant>
        <vt:i4>0</vt:i4>
      </vt:variant>
      <vt:variant>
        <vt:i4>5</vt:i4>
      </vt:variant>
      <vt:variant>
        <vt:lpwstr>https://casetext.com/case/vitatech-intl-inc-v-sporn-1</vt:lpwstr>
      </vt:variant>
      <vt:variant>
        <vt:lpwstr>p807</vt:lpwstr>
      </vt:variant>
      <vt:variant>
        <vt:i4>4128803</vt:i4>
      </vt:variant>
      <vt:variant>
        <vt:i4>3</vt:i4>
      </vt:variant>
      <vt:variant>
        <vt:i4>0</vt:i4>
      </vt:variant>
      <vt:variant>
        <vt:i4>5</vt:i4>
      </vt:variant>
      <vt:variant>
        <vt:lpwstr>https://casetext.com/case/timney-v-lin</vt:lpwstr>
      </vt:variant>
      <vt:variant>
        <vt:lpwstr/>
      </vt:variant>
      <vt:variant>
        <vt:i4>3932258</vt:i4>
      </vt:variant>
      <vt:variant>
        <vt:i4>0</vt:i4>
      </vt:variant>
      <vt:variant>
        <vt:i4>0</vt:i4>
      </vt:variant>
      <vt:variant>
        <vt:i4>5</vt:i4>
      </vt:variant>
      <vt:variant>
        <vt:lpwstr>https://casetext.com/case/timney-v-lin</vt:lpwstr>
      </vt:variant>
      <vt:variant>
        <vt:lpwstr>p1127</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2025-11-21T11:45:00Z</cp:lastPrinted>
  <dcterms:created xsi:type="dcterms:W3CDTF">2025-12-02T08:36:39Z</dcterms:created>
  <dcterms:modified xsi:type="dcterms:W3CDTF">2025-12-02T08:36:39Z</dcterms:modified>
</cp:coreProperties>
</file>