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67E3" w:rsidR="00BD6C3F" w:rsidP="00B83EAA" w:rsidRDefault="00BD6C3F" w14:paraId="36E8DCE8" w14:textId="435CC6B6">
      <w:pPr>
        <w:pBdr>
          <w:top w:val="double" w:color="auto" w:sz="6" w:space="1"/>
        </w:pBdr>
        <w:jc w:val="both"/>
        <w:rPr>
          <w:b/>
          <w:i/>
        </w:rPr>
      </w:pPr>
      <w:bookmarkStart w:name="_Hlk35420093" w:id="0"/>
    </w:p>
    <w:p w:rsidRPr="00C567E3" w:rsidR="00BD6C3F" w:rsidRDefault="00F91FB5" w14:paraId="1E6F8C98" w14:textId="77777777">
      <w:pPr>
        <w:jc w:val="center"/>
        <w:rPr>
          <w:b/>
          <w:i/>
        </w:rPr>
      </w:pPr>
      <w:r>
        <w:rPr>
          <w:noProof/>
        </w:rPr>
        <mc:AlternateContent>
          <mc:Choice Requires="wps">
            <w:drawing>
              <wp:anchor distT="0" distB="0" distL="114300" distR="114300" simplePos="0" relativeHeight="251657216" behindDoc="0" locked="0" layoutInCell="0" allowOverlap="1" wp14:editId="6241D0B7" wp14:anchorId="35E30BA0">
                <wp:simplePos x="0" y="0"/>
                <wp:positionH relativeFrom="margin">
                  <wp:align>center</wp:align>
                </wp:positionH>
                <wp:positionV relativeFrom="paragraph">
                  <wp:posOffset>58420</wp:posOffset>
                </wp:positionV>
                <wp:extent cx="2195195" cy="274320"/>
                <wp:effectExtent l="19050" t="20320" r="1460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5195" cy="274320"/>
                        </a:xfrm>
                        <a:prstGeom prst="rect">
                          <a:avLst/>
                        </a:prstGeom>
                        <a:solidFill>
                          <a:srgbClr val="CCCCCC"/>
                        </a:solidFill>
                        <a:ln w="25400">
                          <a:solidFill>
                            <a:srgbClr val="000000"/>
                          </a:solidFill>
                          <a:miter lim="800000"/>
                          <a:headEnd/>
                          <a:tailEnd/>
                        </a:ln>
                      </wps:spPr>
                      <wps:txbx>
                        <w:txbxContent>
                          <w:p w:rsidR="006A0B79" w:rsidRDefault="006A0B79" w14:paraId="6F6EB8B2" w14:textId="2D67A04A">
                            <w:pPr>
                              <w:jc w:val="center"/>
                              <w:rPr>
                                <w:rFonts w:ascii="Arial" w:hAnsi="Arial"/>
                                <w:sz w:val="28"/>
                              </w:rPr>
                            </w:pPr>
                            <w:r>
                              <w:rPr>
                                <w:rFonts w:ascii="Arial" w:hAnsi="Arial"/>
                                <w:sz w:val="28"/>
                              </w:rPr>
                              <w:t xml:space="preserve">Closed to the </w:t>
                            </w:r>
                            <w:r w:rsidR="004A455E">
                              <w:rPr>
                                <w:rFonts w:ascii="Arial" w:hAnsi="Arial"/>
                                <w:sz w:val="28"/>
                              </w:rPr>
                              <w:t>Public</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left:0;text-align:left;margin-left:0;margin-top:4.6pt;width:172.85pt;height:21.6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o:allowincell="f" fillcolor="#ccc" strokeweight="2pt" w14:anchorId="35E30B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">
                <v:textbox inset="1pt,1pt,1pt,1pt">
                  <w:txbxContent>
                    <w:p w:rsidR="006A0B79" w:rsidRDefault="006A0B79" w14:paraId="6F6EB8B2" w14:textId="2D67A04A">
                      <w:pPr>
                        <w:jc w:val="center"/>
                        <w:rPr>
                          <w:rFonts w:ascii="Arial" w:hAnsi="Arial"/>
                          <w:sz w:val="28"/>
                        </w:rPr>
                      </w:pPr>
                      <w:r>
                        <w:rPr>
                          <w:rFonts w:ascii="Arial" w:hAnsi="Arial"/>
                          <w:sz w:val="28"/>
                        </w:rPr>
                        <w:t xml:space="preserve">Closed to the </w:t>
                      </w:r>
                      <w:r w:rsidR="004A455E">
                        <w:rPr>
                          <w:rFonts w:ascii="Arial" w:hAnsi="Arial"/>
                          <w:sz w:val="28"/>
                        </w:rPr>
                        <w:t>Public</w:t>
                      </w:r>
                    </w:p>
                  </w:txbxContent>
                </v:textbox>
                <w10:wrap anchorx="margin"/>
              </v:rect>
            </w:pict>
          </mc:Fallback>
        </mc:AlternateContent>
      </w:r>
    </w:p>
    <w:p w:rsidRPr="00C567E3" w:rsidR="00BD6C3F" w:rsidRDefault="00BD6C3F" w14:paraId="387174AB" w14:textId="77777777">
      <w:pPr>
        <w:jc w:val="both"/>
        <w:rPr>
          <w:b/>
          <w:i/>
        </w:rPr>
      </w:pPr>
    </w:p>
    <w:p w:rsidRPr="00C567E3" w:rsidR="00BD6C3F" w:rsidRDefault="00BD6C3F" w14:paraId="7395889A" w14:textId="77777777">
      <w:pPr>
        <w:jc w:val="center"/>
        <w:rPr>
          <w:b/>
          <w:i/>
        </w:rPr>
      </w:pPr>
    </w:p>
    <w:p w:rsidRPr="00673366" w:rsidR="00BD6C3F" w:rsidRDefault="00BD6C3F" w14:paraId="4AA67CE6" w14:textId="77777777">
      <w:pPr>
        <w:jc w:val="center"/>
        <w:rPr>
          <w:b/>
          <w:i/>
          <w:sz w:val="26"/>
          <w:szCs w:val="26"/>
        </w:rPr>
      </w:pPr>
      <w:r w:rsidRPr="00673366">
        <w:rPr>
          <w:b/>
          <w:i/>
          <w:sz w:val="26"/>
          <w:szCs w:val="26"/>
        </w:rPr>
        <w:t>Public Utilities Commission of the State of California</w:t>
      </w:r>
    </w:p>
    <w:p w:rsidRPr="00673366" w:rsidR="00BD6C3F" w:rsidRDefault="00BD6C3F" w14:paraId="70124E41" w14:textId="77777777">
      <w:pPr>
        <w:jc w:val="center"/>
        <w:rPr>
          <w:b/>
          <w:i/>
          <w:sz w:val="26"/>
          <w:szCs w:val="26"/>
        </w:rPr>
      </w:pPr>
    </w:p>
    <w:p w:rsidRPr="00673366" w:rsidR="00BD6C3F" w:rsidRDefault="00BD6C3F" w14:paraId="0951177E" w14:textId="4AC70BF7">
      <w:pPr>
        <w:jc w:val="center"/>
        <w:rPr>
          <w:b/>
          <w:i/>
          <w:sz w:val="26"/>
          <w:szCs w:val="26"/>
        </w:rPr>
      </w:pPr>
      <w:r w:rsidRPr="00673366">
        <w:rPr>
          <w:b/>
          <w:i/>
          <w:sz w:val="26"/>
          <w:szCs w:val="26"/>
        </w:rPr>
        <w:t xml:space="preserve">Ratesetting Deliberative Meeting Agenda No. </w:t>
      </w:r>
      <w:r w:rsidRPr="00673366" w:rsidR="007852F3">
        <w:rPr>
          <w:b/>
          <w:i/>
          <w:sz w:val="26"/>
          <w:szCs w:val="26"/>
        </w:rPr>
        <w:t>1</w:t>
      </w:r>
      <w:r w:rsidRPr="00673366" w:rsidR="004E09A5">
        <w:rPr>
          <w:b/>
          <w:i/>
          <w:sz w:val="26"/>
          <w:szCs w:val="26"/>
        </w:rPr>
        <w:t>8</w:t>
      </w:r>
      <w:r w:rsidR="00A87FD6">
        <w:rPr>
          <w:b/>
          <w:i/>
          <w:sz w:val="26"/>
          <w:szCs w:val="26"/>
        </w:rPr>
        <w:t>9</w:t>
      </w:r>
    </w:p>
    <w:p w:rsidRPr="00673366" w:rsidR="00BD6C3F" w:rsidRDefault="00955AAA" w14:paraId="06FEE444" w14:textId="4A2A99E4">
      <w:pPr>
        <w:jc w:val="center"/>
        <w:rPr>
          <w:b/>
          <w:i/>
          <w:sz w:val="26"/>
          <w:szCs w:val="26"/>
        </w:rPr>
      </w:pPr>
      <w:r w:rsidRPr="00673366">
        <w:rPr>
          <w:b/>
          <w:i/>
          <w:sz w:val="26"/>
          <w:szCs w:val="26"/>
        </w:rPr>
        <w:t>Monday</w:t>
      </w:r>
      <w:r w:rsidRPr="00673366" w:rsidR="00BD6C3F">
        <w:rPr>
          <w:b/>
          <w:i/>
          <w:sz w:val="26"/>
          <w:szCs w:val="26"/>
        </w:rPr>
        <w:t>,</w:t>
      </w:r>
      <w:r w:rsidRPr="00673366" w:rsidR="00775D95">
        <w:rPr>
          <w:b/>
          <w:i/>
          <w:sz w:val="26"/>
          <w:szCs w:val="26"/>
        </w:rPr>
        <w:t xml:space="preserve"> </w:t>
      </w:r>
      <w:r w:rsidRPr="00673366" w:rsidR="002C2241">
        <w:rPr>
          <w:b/>
          <w:i/>
          <w:sz w:val="26"/>
          <w:szCs w:val="26"/>
        </w:rPr>
        <w:t>October</w:t>
      </w:r>
      <w:r w:rsidRPr="00673366" w:rsidR="00412ED6">
        <w:rPr>
          <w:b/>
          <w:i/>
          <w:sz w:val="26"/>
          <w:szCs w:val="26"/>
        </w:rPr>
        <w:t xml:space="preserve"> </w:t>
      </w:r>
      <w:r w:rsidR="002773A4">
        <w:rPr>
          <w:b/>
          <w:i/>
          <w:sz w:val="26"/>
          <w:szCs w:val="26"/>
        </w:rPr>
        <w:t>2</w:t>
      </w:r>
      <w:r w:rsidR="00A87FD6">
        <w:rPr>
          <w:b/>
          <w:i/>
          <w:sz w:val="26"/>
          <w:szCs w:val="26"/>
        </w:rPr>
        <w:t>7</w:t>
      </w:r>
      <w:r w:rsidRPr="00673366" w:rsidR="00A56A47">
        <w:rPr>
          <w:b/>
          <w:i/>
          <w:sz w:val="26"/>
          <w:szCs w:val="26"/>
        </w:rPr>
        <w:t>, 202</w:t>
      </w:r>
      <w:r w:rsidRPr="00673366" w:rsidR="002C2241">
        <w:rPr>
          <w:b/>
          <w:i/>
          <w:sz w:val="26"/>
          <w:szCs w:val="26"/>
        </w:rPr>
        <w:t>5</w:t>
      </w:r>
      <w:r w:rsidRPr="00673366" w:rsidR="00A56A47">
        <w:rPr>
          <w:b/>
          <w:i/>
          <w:sz w:val="26"/>
          <w:szCs w:val="26"/>
        </w:rPr>
        <w:t>,</w:t>
      </w:r>
      <w:r w:rsidRPr="00673366" w:rsidR="0089231D">
        <w:rPr>
          <w:b/>
          <w:i/>
          <w:sz w:val="26"/>
          <w:szCs w:val="26"/>
        </w:rPr>
        <w:t xml:space="preserve"> </w:t>
      </w:r>
      <w:r w:rsidRPr="00673366" w:rsidR="00792EF7">
        <w:rPr>
          <w:b/>
          <w:i/>
          <w:sz w:val="26"/>
          <w:szCs w:val="26"/>
        </w:rPr>
        <w:t>1</w:t>
      </w:r>
      <w:r w:rsidRPr="00673366" w:rsidR="00673366">
        <w:rPr>
          <w:b/>
          <w:i/>
          <w:sz w:val="26"/>
          <w:szCs w:val="26"/>
        </w:rPr>
        <w:t>0</w:t>
      </w:r>
      <w:r w:rsidRPr="00673366" w:rsidR="00BD6C3F">
        <w:rPr>
          <w:b/>
          <w:i/>
          <w:sz w:val="26"/>
          <w:szCs w:val="26"/>
        </w:rPr>
        <w:t>:</w:t>
      </w:r>
      <w:r w:rsidRPr="00673366" w:rsidR="00FB5E93">
        <w:rPr>
          <w:b/>
          <w:i/>
          <w:sz w:val="26"/>
          <w:szCs w:val="26"/>
        </w:rPr>
        <w:t>0</w:t>
      </w:r>
      <w:r w:rsidRPr="00673366" w:rsidR="000E491C">
        <w:rPr>
          <w:b/>
          <w:i/>
          <w:sz w:val="26"/>
          <w:szCs w:val="26"/>
        </w:rPr>
        <w:t>0</w:t>
      </w:r>
      <w:r w:rsidRPr="00673366" w:rsidR="00F918E8">
        <w:rPr>
          <w:b/>
          <w:i/>
          <w:sz w:val="26"/>
          <w:szCs w:val="26"/>
        </w:rPr>
        <w:t xml:space="preserve"> </w:t>
      </w:r>
      <w:r w:rsidRPr="00673366" w:rsidR="00FB5E93">
        <w:rPr>
          <w:b/>
          <w:i/>
          <w:sz w:val="26"/>
          <w:szCs w:val="26"/>
        </w:rPr>
        <w:t>a</w:t>
      </w:r>
      <w:r w:rsidRPr="00673366" w:rsidR="00BD6C3F">
        <w:rPr>
          <w:b/>
          <w:i/>
          <w:sz w:val="26"/>
          <w:szCs w:val="26"/>
        </w:rPr>
        <w:t>.m</w:t>
      </w:r>
      <w:r w:rsidRPr="00673366" w:rsidR="00740B49">
        <w:rPr>
          <w:b/>
          <w:i/>
          <w:sz w:val="26"/>
          <w:szCs w:val="26"/>
        </w:rPr>
        <w:t>.</w:t>
      </w:r>
    </w:p>
    <w:p w:rsidRPr="00673366" w:rsidR="00BD6C3F" w:rsidRDefault="00673366" w14:paraId="7B87AD9C" w14:textId="61765C01">
      <w:pPr>
        <w:jc w:val="center"/>
        <w:rPr>
          <w:b/>
          <w:i/>
          <w:sz w:val="26"/>
          <w:szCs w:val="26"/>
        </w:rPr>
      </w:pPr>
      <w:r w:rsidRPr="00673366">
        <w:rPr>
          <w:b/>
          <w:i/>
          <w:sz w:val="26"/>
          <w:szCs w:val="26"/>
        </w:rPr>
        <w:t>Sacramento</w:t>
      </w:r>
      <w:r w:rsidRPr="00673366" w:rsidR="00D9225C">
        <w:rPr>
          <w:b/>
          <w:i/>
          <w:sz w:val="26"/>
          <w:szCs w:val="26"/>
        </w:rPr>
        <w:t>, California</w:t>
      </w:r>
    </w:p>
    <w:p w:rsidR="00BD6C3F" w:rsidRDefault="00BD6C3F" w14:paraId="1F1C409F" w14:textId="77777777">
      <w:pPr>
        <w:jc w:val="center"/>
        <w:rPr>
          <w:b/>
          <w:i/>
        </w:rPr>
      </w:pPr>
    </w:p>
    <w:p w:rsidRPr="00C567E3" w:rsidR="00D01779" w:rsidRDefault="00D01779" w14:paraId="19E7CC7C" w14:textId="77777777">
      <w:pPr>
        <w:jc w:val="center"/>
        <w:rPr>
          <w:b/>
          <w:i/>
        </w:rPr>
      </w:pPr>
    </w:p>
    <w:p w:rsidRPr="005D7BD0" w:rsidR="00BD6C3F" w:rsidRDefault="00BD6C3F" w14:paraId="6C9C77C7" w14:textId="3A21E521">
      <w:pPr>
        <w:jc w:val="center"/>
        <w:rPr>
          <w:b/>
          <w:u w:val="single"/>
        </w:rPr>
      </w:pPr>
      <w:r w:rsidRPr="005D7BD0">
        <w:rPr>
          <w:b/>
          <w:u w:val="single"/>
        </w:rPr>
        <w:t>Commissioners</w:t>
      </w:r>
    </w:p>
    <w:p w:rsidRPr="00C567E3" w:rsidR="007C30DB" w:rsidRDefault="007C30DB" w14:paraId="415FF69C" w14:textId="77777777">
      <w:pPr>
        <w:jc w:val="center"/>
        <w:rPr>
          <w:b/>
        </w:rPr>
      </w:pPr>
    </w:p>
    <w:p w:rsidR="00FB5E93" w:rsidP="00FB5E93" w:rsidRDefault="00FB5E93" w14:paraId="7F61E532" w14:textId="7FB5CD58">
      <w:pPr>
        <w:jc w:val="center"/>
        <w:rPr>
          <w:b/>
          <w:bCs/>
        </w:rPr>
      </w:pPr>
      <w:r w:rsidRPr="00FB5E93">
        <w:rPr>
          <w:b/>
          <w:bCs/>
        </w:rPr>
        <w:t>Alice Reynolds, President</w:t>
      </w:r>
    </w:p>
    <w:p w:rsidRPr="00FB5E93" w:rsidR="0010621F" w:rsidP="00FB5E93" w:rsidRDefault="00D9225C" w14:paraId="7C939BAE" w14:textId="7AD6EFF8">
      <w:pPr>
        <w:jc w:val="center"/>
        <w:rPr>
          <w:b/>
          <w:bCs/>
        </w:rPr>
      </w:pPr>
      <w:r>
        <w:rPr>
          <w:b/>
          <w:bCs/>
        </w:rPr>
        <w:t>Matthew</w:t>
      </w:r>
      <w:r w:rsidR="0010621F">
        <w:rPr>
          <w:b/>
          <w:bCs/>
        </w:rPr>
        <w:t xml:space="preserve"> </w:t>
      </w:r>
      <w:r>
        <w:rPr>
          <w:b/>
          <w:bCs/>
        </w:rPr>
        <w:t>Baker</w:t>
      </w:r>
    </w:p>
    <w:p w:rsidRPr="00FB5E93" w:rsidR="00FB5E93" w:rsidP="00FB5E93" w:rsidRDefault="00D9225C" w14:paraId="2125DB36" w14:textId="45E5DE72">
      <w:pPr>
        <w:jc w:val="center"/>
        <w:rPr>
          <w:b/>
          <w:bCs/>
        </w:rPr>
      </w:pPr>
      <w:r>
        <w:rPr>
          <w:b/>
          <w:bCs/>
        </w:rPr>
        <w:t>Karen</w:t>
      </w:r>
      <w:r w:rsidRPr="00FB5E93" w:rsidR="00FB5E93">
        <w:rPr>
          <w:b/>
          <w:bCs/>
        </w:rPr>
        <w:t xml:space="preserve"> </w:t>
      </w:r>
      <w:r>
        <w:rPr>
          <w:b/>
          <w:bCs/>
        </w:rPr>
        <w:t>Douglas</w:t>
      </w:r>
    </w:p>
    <w:p w:rsidRPr="00FB5E93" w:rsidR="00FB5E93" w:rsidP="00FB5E93" w:rsidRDefault="00FB5E93" w14:paraId="44576602" w14:textId="77777777">
      <w:pPr>
        <w:jc w:val="center"/>
        <w:rPr>
          <w:b/>
          <w:bCs/>
        </w:rPr>
      </w:pPr>
      <w:r w:rsidRPr="00FB5E93">
        <w:rPr>
          <w:b/>
          <w:bCs/>
        </w:rPr>
        <w:t>Darcie L. Houck</w:t>
      </w:r>
    </w:p>
    <w:p w:rsidR="00A56A47" w:rsidP="00FB5E93" w:rsidRDefault="00FB5E93" w14:paraId="5C710E3A" w14:textId="67F127D3">
      <w:pPr>
        <w:jc w:val="center"/>
        <w:rPr>
          <w:b/>
        </w:rPr>
      </w:pPr>
      <w:r w:rsidRPr="00FB5E93">
        <w:rPr>
          <w:b/>
          <w:bCs/>
        </w:rPr>
        <w:t>John Reynolds</w:t>
      </w:r>
    </w:p>
    <w:p w:rsidR="00BD6C3F" w:rsidRDefault="00BD6C3F" w14:paraId="70D97865" w14:textId="6E7DFEB4">
      <w:pPr>
        <w:rPr>
          <w:b/>
        </w:rPr>
      </w:pPr>
    </w:p>
    <w:p w:rsidR="0035756D" w:rsidP="0035756D" w:rsidRDefault="0035756D" w14:paraId="37652C96" w14:textId="77777777">
      <w:pPr>
        <w:jc w:val="center"/>
      </w:pPr>
      <w:r>
        <w:t>Commissioners may participate remotely from teleconferencing locations.</w:t>
      </w:r>
    </w:p>
    <w:p w:rsidR="0035756D" w:rsidP="0035756D" w:rsidRDefault="0035756D" w14:paraId="3F6C3FFF" w14:textId="77777777">
      <w:pPr>
        <w:jc w:val="center"/>
      </w:pPr>
      <w:r>
        <w:t>This Ratesetting Deliberative Meeting may be continued from day to day up to the business</w:t>
      </w:r>
    </w:p>
    <w:p w:rsidR="0035756D" w:rsidP="0035756D" w:rsidRDefault="0035756D" w14:paraId="36DFFABF" w14:textId="77777777">
      <w:pPr>
        <w:jc w:val="center"/>
      </w:pPr>
      <w:r>
        <w:t>meeting on which an item appears.</w:t>
      </w:r>
    </w:p>
    <w:p w:rsidR="0035756D" w:rsidP="0035756D" w:rsidRDefault="0035756D" w14:paraId="49A33473" w14:textId="77777777">
      <w:pPr>
        <w:jc w:val="center"/>
      </w:pPr>
      <w:r>
        <w:t>This Ratesetting Deliberative Meeting is being held pursuant to Pub. Util. Code § 1701.9(a).</w:t>
      </w:r>
    </w:p>
    <w:p w:rsidR="0035756D" w:rsidP="0035756D" w:rsidRDefault="0035756D" w14:paraId="151FE90F" w14:textId="77777777">
      <w:pPr>
        <w:jc w:val="center"/>
      </w:pPr>
      <w:r>
        <w:t xml:space="preserve">Website: </w:t>
      </w:r>
      <w:hyperlink w:history="1" r:id="rId8">
        <w:r w:rsidRPr="00213119">
          <w:rPr>
            <w:rStyle w:val="Hyperlink"/>
          </w:rPr>
          <w:t>http://www.cpuc.ca.gov</w:t>
        </w:r>
      </w:hyperlink>
    </w:p>
    <w:p w:rsidRPr="00C567E3" w:rsidR="00BD6C3F" w:rsidRDefault="00BD6C3F" w14:paraId="3ACB257E" w14:textId="77777777">
      <w:pPr>
        <w:jc w:val="center"/>
      </w:pPr>
    </w:p>
    <w:p w:rsidRPr="00C567E3" w:rsidR="00BD6C3F" w:rsidRDefault="00BD6C3F" w14:paraId="1E6A2413" w14:textId="77777777">
      <w:pPr>
        <w:jc w:val="center"/>
      </w:pPr>
      <w:r w:rsidRPr="00C567E3">
        <w:t>Ratesetting Deliberative Meeting</w:t>
      </w:r>
    </w:p>
    <w:p w:rsidR="00BD6C3F" w:rsidRDefault="00792EF7" w14:paraId="68F6A373" w14:textId="2FB0E8B8">
      <w:pPr>
        <w:jc w:val="center"/>
      </w:pPr>
      <w:r>
        <w:t>1</w:t>
      </w:r>
      <w:r w:rsidR="0035756D">
        <w:t>0</w:t>
      </w:r>
      <w:r w:rsidR="004A086E">
        <w:t>:</w:t>
      </w:r>
      <w:r w:rsidR="00FB5E93">
        <w:t>0</w:t>
      </w:r>
      <w:r w:rsidRPr="00C567E3" w:rsidR="000E491C">
        <w:t>0</w:t>
      </w:r>
      <w:r w:rsidR="00566CCC">
        <w:t xml:space="preserve"> </w:t>
      </w:r>
      <w:r w:rsidR="00FB5E93">
        <w:t>a</w:t>
      </w:r>
      <w:r w:rsidRPr="00C567E3" w:rsidR="00BD6C3F">
        <w:t>.m.</w:t>
      </w:r>
    </w:p>
    <w:p w:rsidRPr="00C567E3" w:rsidR="00D9225C" w:rsidRDefault="00D9225C" w14:paraId="4EE28E1C" w14:textId="77777777">
      <w:pPr>
        <w:jc w:val="center"/>
      </w:pPr>
    </w:p>
    <w:p w:rsidRPr="0035756D" w:rsidR="0035756D" w:rsidP="0035756D" w:rsidRDefault="0035756D" w14:paraId="1B43065A" w14:textId="77777777">
      <w:pPr>
        <w:jc w:val="center"/>
        <w:rPr>
          <w:b/>
          <w:bCs/>
        </w:rPr>
      </w:pPr>
      <w:r w:rsidRPr="0035756D">
        <w:rPr>
          <w:b/>
          <w:bCs/>
        </w:rPr>
        <w:t>California Public Utilities Commission</w:t>
      </w:r>
    </w:p>
    <w:p w:rsidRPr="0035756D" w:rsidR="0035756D" w:rsidP="0035756D" w:rsidRDefault="0035756D" w14:paraId="75575973" w14:textId="77777777">
      <w:pPr>
        <w:jc w:val="center"/>
        <w:rPr>
          <w:b/>
          <w:bCs/>
        </w:rPr>
      </w:pPr>
      <w:r w:rsidRPr="0035756D">
        <w:rPr>
          <w:b/>
          <w:bCs/>
        </w:rPr>
        <w:t>300 Capitol Mall, Rm. 502</w:t>
      </w:r>
    </w:p>
    <w:p w:rsidR="00D9225C" w:rsidP="0035756D" w:rsidRDefault="0035756D" w14:paraId="211CB6FF" w14:textId="330F77CE">
      <w:pPr>
        <w:jc w:val="center"/>
        <w:rPr>
          <w:b/>
          <w:bCs/>
        </w:rPr>
      </w:pPr>
      <w:r w:rsidRPr="0035756D">
        <w:rPr>
          <w:b/>
          <w:bCs/>
        </w:rPr>
        <w:t>Sacramento, California</w:t>
      </w:r>
    </w:p>
    <w:p w:rsidR="0035756D" w:rsidP="0035756D" w:rsidRDefault="0035756D" w14:paraId="08760C95" w14:textId="77777777">
      <w:pPr>
        <w:jc w:val="center"/>
        <w:rPr>
          <w:b/>
          <w:bCs/>
        </w:rPr>
      </w:pPr>
    </w:p>
    <w:p w:rsidR="00D9225C" w:rsidP="00294431" w:rsidRDefault="00D9225C" w14:paraId="0BAD1EBD" w14:textId="77777777">
      <w:pPr>
        <w:jc w:val="center"/>
      </w:pPr>
    </w:p>
    <w:p w:rsidRPr="00C567E3" w:rsidR="00D865FC" w:rsidP="00D865FC" w:rsidRDefault="00D865FC" w14:paraId="7096C304" w14:textId="77777777">
      <w:pPr>
        <w:jc w:val="center"/>
      </w:pPr>
    </w:p>
    <w:p w:rsidRPr="00C567E3" w:rsidR="00BD6C3F" w:rsidRDefault="00F91FB5" w14:paraId="62C461F8" w14:textId="77777777">
      <w:r>
        <w:rPr>
          <w:noProof/>
        </w:rPr>
        <mc:AlternateContent>
          <mc:Choice Requires="wps">
            <w:drawing>
              <wp:anchor distT="0" distB="0" distL="114300" distR="114300" simplePos="0" relativeHeight="251658240" behindDoc="0" locked="0" layoutInCell="0" allowOverlap="1" wp14:editId="614C2316" wp14:anchorId="11F0E349">
                <wp:simplePos x="0" y="0"/>
                <wp:positionH relativeFrom="margin">
                  <wp:align>center</wp:align>
                </wp:positionH>
                <wp:positionV relativeFrom="paragraph">
                  <wp:posOffset>-7620</wp:posOffset>
                </wp:positionV>
                <wp:extent cx="4846955" cy="458470"/>
                <wp:effectExtent l="19050" t="20955" r="20320"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6955" cy="458470"/>
                        </a:xfrm>
                        <a:prstGeom prst="rect">
                          <a:avLst/>
                        </a:prstGeom>
                        <a:solidFill>
                          <a:srgbClr val="CCCCCC"/>
                        </a:solidFill>
                        <a:ln w="25400">
                          <a:solidFill>
                            <a:srgbClr val="000000"/>
                          </a:solidFill>
                          <a:miter lim="800000"/>
                          <a:headEnd/>
                          <a:tailEnd/>
                        </a:ln>
                      </wps:spPr>
                      <wps:txbx>
                        <w:txbxContent>
                          <w:p w:rsidRPr="00D01779" w:rsidR="006A0B79" w:rsidP="001F4B5D" w:rsidRDefault="006A0B79" w14:paraId="60A98199" w14:textId="77777777">
                            <w:pPr>
                              <w:tabs>
                                <w:tab w:val="left" w:pos="1350"/>
                              </w:tabs>
                              <w:spacing w:after="60"/>
                              <w:jc w:val="center"/>
                              <w:rPr>
                                <w:sz w:val="22"/>
                              </w:rPr>
                            </w:pPr>
                            <w:r w:rsidRPr="00D01779">
                              <w:rPr>
                                <w:sz w:val="22"/>
                              </w:rPr>
                              <w:t>For further information contact the Public Advisor</w:t>
                            </w:r>
                          </w:p>
                          <w:p w:rsidRPr="00D01779" w:rsidR="006A0B79" w:rsidRDefault="006A0B79" w14:paraId="61DDC59D" w14:textId="68B1E304">
                            <w:pPr>
                              <w:tabs>
                                <w:tab w:val="left" w:pos="1350"/>
                              </w:tabs>
                              <w:jc w:val="center"/>
                              <w:rPr>
                                <w:sz w:val="22"/>
                              </w:rPr>
                            </w:pPr>
                            <w:r w:rsidRPr="00D01779">
                              <w:rPr>
                                <w:sz w:val="22"/>
                              </w:rPr>
                              <w:t xml:space="preserve">Phone: (415) 703-2074   </w:t>
                            </w:r>
                            <w:r w:rsidR="00294431">
                              <w:rPr>
                                <w:sz w:val="22"/>
                              </w:rPr>
                              <w:t>-</w:t>
                            </w:r>
                            <w:r w:rsidRPr="00D01779">
                              <w:rPr>
                                <w:sz w:val="22"/>
                              </w:rPr>
                              <w:t xml:space="preserve">   E-mail: </w:t>
                            </w:r>
                            <w:hyperlink w:history="1" r:id="rId9">
                              <w:r w:rsidRPr="00D01779" w:rsidR="002C6125">
                                <w:rPr>
                                  <w:rStyle w:val="Hyperlink"/>
                                  <w:sz w:val="22"/>
                                </w:rPr>
                                <w:t>public.advisor@cpuc.ca.gov</w:t>
                              </w:r>
                            </w:hyperlink>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0;margin-top:-.6pt;width:381.65pt;height:36.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7" o:allowincell="f" fillcolor="#ccc" strokeweight="2pt" w14:anchorId="11F0E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">
                <v:textbox inset="1pt,1pt,1pt,1pt">
                  <w:txbxContent>
                    <w:p w:rsidRPr="00D01779" w:rsidR="006A0B79" w:rsidP="001F4B5D" w:rsidRDefault="006A0B79" w14:paraId="60A98199" w14:textId="77777777">
                      <w:pPr>
                        <w:tabs>
                          <w:tab w:val="left" w:pos="1350"/>
                        </w:tabs>
                        <w:spacing w:after="60"/>
                        <w:jc w:val="center"/>
                        <w:rPr>
                          <w:sz w:val="22"/>
                        </w:rPr>
                      </w:pPr>
                      <w:r w:rsidRPr="00D01779">
                        <w:rPr>
                          <w:sz w:val="22"/>
                        </w:rPr>
                        <w:t>For further information contact the Public Advisor</w:t>
                      </w:r>
                    </w:p>
                    <w:p w:rsidRPr="00D01779" w:rsidR="006A0B79" w:rsidRDefault="006A0B79" w14:paraId="61DDC59D" w14:textId="68B1E304">
                      <w:pPr>
                        <w:tabs>
                          <w:tab w:val="left" w:pos="1350"/>
                        </w:tabs>
                        <w:jc w:val="center"/>
                        <w:rPr>
                          <w:sz w:val="22"/>
                        </w:rPr>
                      </w:pPr>
                      <w:r w:rsidRPr="00D01779">
                        <w:rPr>
                          <w:sz w:val="22"/>
                        </w:rPr>
                        <w:t xml:space="preserve">Phone: (415) 703-2074   </w:t>
                      </w:r>
                      <w:r w:rsidR="00294431">
                        <w:rPr>
                          <w:sz w:val="22"/>
                        </w:rPr>
                        <w:t>-</w:t>
                      </w:r>
                      <w:r w:rsidRPr="00D01779">
                        <w:rPr>
                          <w:sz w:val="22"/>
                        </w:rPr>
                        <w:t xml:space="preserve">   E-mail: </w:t>
                      </w:r>
                      <w:hyperlink w:history="1" r:id="rId10">
                        <w:r w:rsidRPr="00D01779" w:rsidR="002C6125">
                          <w:rPr>
                            <w:rStyle w:val="Hyperlink"/>
                            <w:sz w:val="22"/>
                          </w:rPr>
                          <w:t>public.advisor@cpuc.ca.gov</w:t>
                        </w:r>
                      </w:hyperlink>
                    </w:p>
                  </w:txbxContent>
                </v:textbox>
                <w10:wrap anchorx="margin"/>
              </v:rect>
            </w:pict>
          </mc:Fallback>
        </mc:AlternateContent>
      </w:r>
    </w:p>
    <w:p w:rsidRPr="00501A9C" w:rsidR="008B347B" w:rsidP="00501A9C" w:rsidRDefault="008B347B" w14:paraId="603EDFBE" w14:textId="77777777">
      <w:pPr>
        <w:sectPr w:rsidRPr="00501A9C" w:rsidR="008B347B" w:rsidSect="00B83EAA">
          <w:pgSz w:w="12240" w:h="15840" w:code="1"/>
          <w:pgMar w:top="1440" w:right="1440" w:bottom="1440" w:left="1440" w:header="720" w:footer="720" w:gutter="0"/>
          <w:cols w:space="720"/>
          <w:titlePg/>
        </w:sectPr>
      </w:pPr>
    </w:p>
    <w:p w:rsidR="00EB4AA6" w:rsidP="00395577" w:rsidRDefault="001552C4" w14:paraId="25C064CA" w14:textId="47884E8A">
      <w:pPr>
        <w:pStyle w:val="Heading1"/>
        <w:rPr>
          <w:rFonts w:ascii="Arial" w:hAnsi="Arial" w:cs="Arial"/>
          <w:sz w:val="20"/>
          <w:szCs w:val="20"/>
        </w:rPr>
      </w:pPr>
      <w:r w:rsidRPr="00395577">
        <w:rPr>
          <w:rFonts w:ascii="Arial" w:hAnsi="Arial" w:cs="Arial"/>
          <w:sz w:val="20"/>
          <w:szCs w:val="20"/>
        </w:rPr>
        <w:lastRenderedPageBreak/>
        <w:t>AGENDA</w:t>
      </w:r>
    </w:p>
    <w:p w:rsidRPr="00395577" w:rsidR="00395577" w:rsidP="00395577" w:rsidRDefault="00395577" w14:paraId="5339DAC0" w14:textId="77777777"/>
    <w:p w:rsidR="002672F1" w:rsidP="003C668E" w:rsidRDefault="001552C4" w14:paraId="2D1DFD9A" w14:textId="6F284538">
      <w:pPr>
        <w:jc w:val="center"/>
        <w:rPr>
          <w:rFonts w:ascii="Arial" w:hAnsi="Arial" w:cs="Arial"/>
          <w:i/>
          <w:sz w:val="20"/>
          <w:szCs w:val="20"/>
        </w:rPr>
      </w:pPr>
      <w:r w:rsidRPr="00395577">
        <w:rPr>
          <w:rFonts w:ascii="Arial" w:hAnsi="Arial" w:cs="Arial"/>
          <w:i/>
          <w:sz w:val="20"/>
          <w:szCs w:val="20"/>
        </w:rPr>
        <w:t>(Agenda ID number correspond</w:t>
      </w:r>
      <w:r w:rsidR="008F303D">
        <w:rPr>
          <w:rFonts w:ascii="Arial" w:hAnsi="Arial" w:cs="Arial"/>
          <w:i/>
          <w:sz w:val="20"/>
          <w:szCs w:val="20"/>
        </w:rPr>
        <w:t>s</w:t>
      </w:r>
      <w:r w:rsidRPr="00395577">
        <w:rPr>
          <w:rFonts w:ascii="Arial" w:hAnsi="Arial" w:cs="Arial"/>
          <w:i/>
          <w:sz w:val="20"/>
          <w:szCs w:val="20"/>
        </w:rPr>
        <w:t xml:space="preserve"> to</w:t>
      </w:r>
      <w:r w:rsidR="008A60EB">
        <w:rPr>
          <w:rFonts w:ascii="Arial" w:hAnsi="Arial" w:cs="Arial"/>
          <w:i/>
          <w:sz w:val="20"/>
          <w:szCs w:val="20"/>
        </w:rPr>
        <w:t xml:space="preserve"> </w:t>
      </w:r>
      <w:r w:rsidR="002C2241">
        <w:rPr>
          <w:rFonts w:ascii="Arial" w:hAnsi="Arial" w:cs="Arial"/>
          <w:i/>
          <w:sz w:val="20"/>
          <w:szCs w:val="20"/>
        </w:rPr>
        <w:t>October</w:t>
      </w:r>
      <w:r w:rsidR="002773A4">
        <w:rPr>
          <w:rFonts w:ascii="Arial" w:hAnsi="Arial" w:cs="Arial"/>
          <w:i/>
          <w:sz w:val="20"/>
          <w:szCs w:val="20"/>
        </w:rPr>
        <w:t xml:space="preserve"> 30</w:t>
      </w:r>
      <w:r w:rsidRPr="00395577" w:rsidR="00A56A47">
        <w:rPr>
          <w:rFonts w:ascii="Arial" w:hAnsi="Arial" w:cs="Arial"/>
          <w:i/>
          <w:sz w:val="20"/>
          <w:szCs w:val="20"/>
        </w:rPr>
        <w:t xml:space="preserve">, </w:t>
      </w:r>
      <w:r w:rsidRPr="00395577" w:rsidR="00135AC5">
        <w:rPr>
          <w:rFonts w:ascii="Arial" w:hAnsi="Arial" w:cs="Arial"/>
          <w:i/>
          <w:sz w:val="20"/>
          <w:szCs w:val="20"/>
        </w:rPr>
        <w:t>202</w:t>
      </w:r>
      <w:r w:rsidR="002C2241">
        <w:rPr>
          <w:rFonts w:ascii="Arial" w:hAnsi="Arial" w:cs="Arial"/>
          <w:i/>
          <w:sz w:val="20"/>
          <w:szCs w:val="20"/>
        </w:rPr>
        <w:t>5</w:t>
      </w:r>
      <w:r w:rsidRPr="00395577" w:rsidR="00135AC5">
        <w:rPr>
          <w:rFonts w:ascii="Arial" w:hAnsi="Arial" w:cs="Arial"/>
          <w:i/>
          <w:sz w:val="20"/>
          <w:szCs w:val="20"/>
        </w:rPr>
        <w:t>,</w:t>
      </w:r>
      <w:r w:rsidRPr="00395577">
        <w:rPr>
          <w:rFonts w:ascii="Arial" w:hAnsi="Arial" w:cs="Arial"/>
          <w:i/>
          <w:sz w:val="20"/>
          <w:szCs w:val="20"/>
        </w:rPr>
        <w:t xml:space="preserve"> Business Meeting Agenda)</w:t>
      </w:r>
    </w:p>
    <w:p w:rsidR="002672F1" w:rsidP="003C668E" w:rsidRDefault="002672F1" w14:paraId="1AB008C3" w14:textId="77777777">
      <w:pPr>
        <w:jc w:val="center"/>
        <w:rPr>
          <w:rFonts w:ascii="Arial" w:hAnsi="Arial" w:cs="Arial"/>
          <w:i/>
          <w:sz w:val="20"/>
          <w:szCs w:val="20"/>
        </w:rPr>
      </w:pPr>
    </w:p>
    <w:p w:rsidR="00CD7966" w:rsidP="003C668E" w:rsidRDefault="00CD7966" w14:paraId="32060984" w14:textId="77777777">
      <w:pPr>
        <w:jc w:val="center"/>
        <w:rPr>
          <w:rFonts w:ascii="Arial" w:hAnsi="Arial" w:cs="Arial"/>
          <w:i/>
          <w:sz w:val="20"/>
          <w:szCs w:val="20"/>
        </w:rPr>
      </w:pPr>
    </w:p>
    <w:tbl>
      <w:tblPr>
        <w:tblW w:w="4985" w:type="pct"/>
        <w:tblLook w:val="0000" w:firstRow="0" w:lastRow="0" w:firstColumn="0" w:lastColumn="0" w:noHBand="0" w:noVBand="0"/>
      </w:tblPr>
      <w:tblGrid>
        <w:gridCol w:w="1017"/>
        <w:gridCol w:w="8315"/>
      </w:tblGrid>
      <w:tr w:rsidRPr="00395577" w:rsidR="002672F1" w:rsidTr="00B64107" w14:paraId="7C8A67B0" w14:textId="77777777">
        <w:trPr>
          <w:trHeight w:val="8793"/>
        </w:trPr>
        <w:tc>
          <w:tcPr>
            <w:tcW w:w="545" w:type="pct"/>
          </w:tcPr>
          <w:p w:rsidRPr="00A5579B" w:rsidR="00A5579B" w:rsidP="00A5579B" w:rsidRDefault="00A5579B" w14:paraId="7D192CC1" w14:textId="40F3958E">
            <w:pPr>
              <w:rPr>
                <w:rFonts w:ascii="Arial" w:hAnsi="Arial" w:cs="Arial"/>
                <w:sz w:val="20"/>
                <w:szCs w:val="20"/>
              </w:rPr>
            </w:pPr>
            <w:bookmarkStart w:name="_Hlk117774369" w:id="1"/>
          </w:p>
          <w:p w:rsidRPr="00A5579B" w:rsidR="00A5579B" w:rsidP="00A5579B" w:rsidRDefault="00A5579B" w14:paraId="51652229" w14:textId="77777777">
            <w:pPr>
              <w:rPr>
                <w:rFonts w:ascii="Arial" w:hAnsi="Arial" w:cs="Arial"/>
                <w:sz w:val="20"/>
                <w:szCs w:val="20"/>
              </w:rPr>
            </w:pPr>
          </w:p>
          <w:p w:rsidRPr="00A5579B" w:rsidR="00A5579B" w:rsidP="00A5579B" w:rsidRDefault="00A5579B" w14:paraId="627BD80A" w14:textId="2FAD778D">
            <w:pPr>
              <w:rPr>
                <w:rFonts w:ascii="Arial" w:hAnsi="Arial" w:cs="Arial"/>
                <w:b/>
                <w:bCs/>
                <w:sz w:val="20"/>
                <w:szCs w:val="20"/>
              </w:rPr>
            </w:pPr>
            <w:r>
              <w:rPr>
                <w:rFonts w:ascii="Arial" w:hAnsi="Arial" w:cs="Arial"/>
                <w:b/>
                <w:bCs/>
                <w:sz w:val="20"/>
                <w:szCs w:val="20"/>
              </w:rPr>
              <w:t>[</w:t>
            </w:r>
            <w:r w:rsidRPr="00A87FD6" w:rsidR="00A87FD6">
              <w:rPr>
                <w:rFonts w:ascii="Arial" w:hAnsi="Arial" w:cs="Arial"/>
                <w:b/>
                <w:bCs/>
                <w:sz w:val="20"/>
                <w:szCs w:val="20"/>
              </w:rPr>
              <w:t>23736</w:t>
            </w:r>
            <w:r w:rsidR="009B6A35">
              <w:rPr>
                <w:rFonts w:ascii="Arial" w:hAnsi="Arial" w:cs="Arial"/>
                <w:b/>
                <w:bCs/>
                <w:sz w:val="20"/>
                <w:szCs w:val="20"/>
              </w:rPr>
              <w:t>]</w:t>
            </w:r>
          </w:p>
          <w:p w:rsidR="00A5579B" w:rsidP="00A5579B" w:rsidRDefault="00A5579B" w14:paraId="7AC9DA6B" w14:textId="77777777">
            <w:pPr>
              <w:rPr>
                <w:rFonts w:ascii="Arial" w:hAnsi="Arial" w:cs="Arial"/>
                <w:sz w:val="20"/>
                <w:szCs w:val="20"/>
              </w:rPr>
            </w:pPr>
          </w:p>
          <w:p w:rsidRPr="00A5579B" w:rsidR="00A5579B" w:rsidP="00A5579B" w:rsidRDefault="00A5579B" w14:paraId="41034DBC" w14:textId="441BD512">
            <w:pPr>
              <w:rPr>
                <w:rFonts w:ascii="Arial" w:hAnsi="Arial" w:cs="Arial"/>
                <w:sz w:val="20"/>
                <w:szCs w:val="20"/>
              </w:rPr>
            </w:pPr>
          </w:p>
        </w:tc>
        <w:tc>
          <w:tcPr>
            <w:tcW w:w="4455" w:type="pct"/>
          </w:tcPr>
          <w:p w:rsidR="00A5579B" w:rsidP="002672F1" w:rsidRDefault="00A5579B" w14:paraId="5F5CF7A7" w14:textId="633A1555">
            <w:pPr>
              <w:pStyle w:val="Default"/>
              <w:rPr>
                <w:b/>
                <w:bCs/>
                <w:sz w:val="20"/>
                <w:szCs w:val="20"/>
              </w:rPr>
            </w:pPr>
          </w:p>
          <w:p w:rsidR="002773A4" w:rsidP="002C2241" w:rsidRDefault="002773A4" w14:paraId="1B2BCF29" w14:textId="77777777">
            <w:pPr>
              <w:autoSpaceDE w:val="0"/>
              <w:autoSpaceDN w:val="0"/>
              <w:adjustRightInd w:val="0"/>
              <w:rPr>
                <w:rFonts w:ascii="Arial" w:hAnsi="Arial" w:cs="Arial"/>
                <w:b/>
                <w:bCs/>
                <w:sz w:val="22"/>
                <w:szCs w:val="22"/>
              </w:rPr>
            </w:pPr>
          </w:p>
          <w:p w:rsidRPr="00596B85" w:rsidR="00CD7966" w:rsidP="002C2241" w:rsidRDefault="00A87FD6" w14:paraId="08CA240F" w14:textId="4717F181">
            <w:pPr>
              <w:autoSpaceDE w:val="0"/>
              <w:autoSpaceDN w:val="0"/>
              <w:adjustRightInd w:val="0"/>
              <w:rPr>
                <w:rFonts w:ascii="Arial" w:hAnsi="Arial" w:cs="Arial"/>
                <w:b/>
                <w:bCs/>
                <w:sz w:val="20"/>
                <w:szCs w:val="20"/>
              </w:rPr>
            </w:pPr>
            <w:r w:rsidRPr="00596B85">
              <w:rPr>
                <w:rFonts w:ascii="Arial" w:hAnsi="Arial" w:cs="Arial"/>
                <w:b/>
                <w:bCs/>
                <w:sz w:val="20"/>
                <w:szCs w:val="20"/>
              </w:rPr>
              <w:t>San Diego Gas &amp; Electric Company Senate Bill 410 Ratemaking Mechanism</w:t>
            </w:r>
          </w:p>
          <w:p w:rsidRPr="002C2241" w:rsidR="00596B85" w:rsidP="002C2241" w:rsidRDefault="00596B85" w14:paraId="7DEF8271" w14:textId="77777777">
            <w:pPr>
              <w:autoSpaceDE w:val="0"/>
              <w:autoSpaceDN w:val="0"/>
              <w:adjustRightInd w:val="0"/>
              <w:rPr>
                <w:rFonts w:ascii="Arial" w:hAnsi="Arial" w:cs="Arial"/>
                <w:b/>
                <w:bCs/>
                <w:sz w:val="22"/>
                <w:szCs w:val="22"/>
              </w:rPr>
            </w:pPr>
          </w:p>
          <w:p w:rsidR="00955AAA" w:rsidP="00955AAA" w:rsidRDefault="00A87FD6" w14:paraId="1767D73D" w14:textId="38E9EC93">
            <w:pPr>
              <w:autoSpaceDE w:val="0"/>
              <w:autoSpaceDN w:val="0"/>
              <w:adjustRightInd w:val="0"/>
              <w:rPr>
                <w:rFonts w:ascii="Arial" w:hAnsi="Arial" w:cs="Arial"/>
                <w:b/>
                <w:bCs/>
                <w:sz w:val="20"/>
                <w:szCs w:val="20"/>
              </w:rPr>
            </w:pPr>
            <w:r w:rsidRPr="00A87FD6">
              <w:rPr>
                <w:rFonts w:ascii="Arial" w:hAnsi="Arial" w:cs="Arial"/>
                <w:b/>
                <w:bCs/>
                <w:sz w:val="20"/>
                <w:szCs w:val="20"/>
              </w:rPr>
              <w:t>A.25-04-015</w:t>
            </w:r>
          </w:p>
          <w:p w:rsidR="0035756D" w:rsidP="00955AAA" w:rsidRDefault="00A87FD6" w14:paraId="684DD02B" w14:textId="676E0211">
            <w:pPr>
              <w:autoSpaceDE w:val="0"/>
              <w:autoSpaceDN w:val="0"/>
              <w:adjustRightInd w:val="0"/>
              <w:rPr>
                <w:rFonts w:ascii="Arial" w:hAnsi="Arial" w:cs="Arial"/>
                <w:sz w:val="20"/>
                <w:szCs w:val="20"/>
              </w:rPr>
            </w:pPr>
            <w:r w:rsidRPr="00A87FD6">
              <w:rPr>
                <w:rFonts w:ascii="Arial" w:hAnsi="Arial" w:cs="Arial"/>
                <w:sz w:val="20"/>
                <w:szCs w:val="20"/>
              </w:rPr>
              <w:t>Application of San Diego Gas &amp; Electric Company for Authority to Establish a Ratemaking Mechanism for Energization Projects Pursuant to Senate Bill 410.</w:t>
            </w:r>
          </w:p>
          <w:p w:rsidRPr="00395577" w:rsidR="00CD7966" w:rsidP="00955AAA" w:rsidRDefault="00CD7966" w14:paraId="2A0A5277" w14:textId="77777777">
            <w:pPr>
              <w:autoSpaceDE w:val="0"/>
              <w:autoSpaceDN w:val="0"/>
              <w:adjustRightInd w:val="0"/>
              <w:rPr>
                <w:rFonts w:ascii="Arial" w:hAnsi="Arial" w:cs="Arial"/>
                <w:iCs/>
                <w:sz w:val="20"/>
                <w:szCs w:val="20"/>
              </w:rPr>
            </w:pPr>
          </w:p>
          <w:p w:rsidRPr="00395577" w:rsidR="00A5579B" w:rsidP="00A5579B" w:rsidRDefault="00A5579B" w14:paraId="77D2A693" w14:textId="77777777">
            <w:pPr>
              <w:autoSpaceDE w:val="0"/>
              <w:autoSpaceDN w:val="0"/>
              <w:adjustRightInd w:val="0"/>
              <w:rPr>
                <w:rFonts w:ascii="Arial" w:hAnsi="Arial" w:cs="Arial"/>
                <w:b/>
                <w:bCs/>
                <w:sz w:val="20"/>
                <w:szCs w:val="20"/>
              </w:rPr>
            </w:pPr>
            <w:r w:rsidRPr="00395577">
              <w:rPr>
                <w:rFonts w:ascii="Arial" w:hAnsi="Arial" w:cs="Arial"/>
                <w:b/>
                <w:bCs/>
                <w:sz w:val="20"/>
                <w:szCs w:val="20"/>
              </w:rPr>
              <w:t>PROPOSED OUTCOME:</w:t>
            </w:r>
            <w:r w:rsidRPr="00395577">
              <w:rPr>
                <w:rFonts w:ascii="Arial" w:hAnsi="Arial" w:cs="Arial"/>
                <w:b/>
                <w:bCs/>
                <w:sz w:val="20"/>
                <w:szCs w:val="20"/>
              </w:rPr>
              <w:br/>
            </w:r>
          </w:p>
          <w:p w:rsidR="00A87FD6" w:rsidP="00A87FD6" w:rsidRDefault="00A87FD6" w14:paraId="6B0E4CC0" w14:textId="77777777">
            <w:pPr>
              <w:pStyle w:val="ListParagraph"/>
              <w:numPr>
                <w:ilvl w:val="0"/>
                <w:numId w:val="35"/>
              </w:numPr>
              <w:autoSpaceDE w:val="0"/>
              <w:autoSpaceDN w:val="0"/>
              <w:adjustRightInd w:val="0"/>
              <w:rPr>
                <w:rFonts w:ascii="Arial" w:hAnsi="Arial" w:cs="Arial"/>
                <w:sz w:val="20"/>
                <w:szCs w:val="20"/>
              </w:rPr>
            </w:pPr>
            <w:r w:rsidRPr="00A87FD6">
              <w:rPr>
                <w:rFonts w:ascii="Arial" w:hAnsi="Arial" w:cs="Arial"/>
                <w:sz w:val="20"/>
                <w:szCs w:val="20"/>
              </w:rPr>
              <w:t>Authorizes San Diego Gas &amp; Electric Company (SDG&amp;E) to establish a new memorandum account to record SDG&amp;E energization costs that are incremental to the energization costs approved in SDG&amp;E's 2024 General Rate Case (GRC). SDG&amp;E is authorized to record a total of $51.188 million of incremental costs in a new memorandum account: $10.561 million in 2024, $20.793 million in 2025, and $19.834 million in 2026.</w:t>
            </w:r>
          </w:p>
          <w:p w:rsidR="00A87FD6" w:rsidP="00A87FD6" w:rsidRDefault="00A87FD6" w14:paraId="452A1204" w14:textId="77777777">
            <w:pPr>
              <w:pStyle w:val="ListParagraph"/>
              <w:numPr>
                <w:ilvl w:val="0"/>
                <w:numId w:val="35"/>
              </w:numPr>
              <w:autoSpaceDE w:val="0"/>
              <w:autoSpaceDN w:val="0"/>
              <w:adjustRightInd w:val="0"/>
              <w:rPr>
                <w:rFonts w:ascii="Arial" w:hAnsi="Arial" w:cs="Arial"/>
                <w:sz w:val="20"/>
                <w:szCs w:val="20"/>
              </w:rPr>
            </w:pPr>
            <w:r w:rsidRPr="00A87FD6">
              <w:rPr>
                <w:rFonts w:ascii="Arial" w:hAnsi="Arial" w:cs="Arial"/>
                <w:sz w:val="20"/>
                <w:szCs w:val="20"/>
              </w:rPr>
              <w:t>Authorizes SDG&amp;E to, on an annual basis, begin recovering from customers any costs recorded to the new memorandum account once the projects funded by those costs are placed in service. In its next GRC application, SDG&amp;E shall demonstrate that the costs recorded to the new memorandum account were just and reasonable. Any costs the California Public Utilities Commission does not find to be just and reasonable will be refunded to customers.</w:t>
            </w:r>
          </w:p>
          <w:p w:rsidR="00A87FD6" w:rsidP="00A87FD6" w:rsidRDefault="00A87FD6" w14:paraId="37C29E64" w14:textId="77777777">
            <w:pPr>
              <w:pStyle w:val="ListParagraph"/>
              <w:numPr>
                <w:ilvl w:val="0"/>
                <w:numId w:val="35"/>
              </w:numPr>
              <w:autoSpaceDE w:val="0"/>
              <w:autoSpaceDN w:val="0"/>
              <w:adjustRightInd w:val="0"/>
              <w:rPr>
                <w:rFonts w:ascii="Arial" w:hAnsi="Arial" w:cs="Arial"/>
                <w:sz w:val="20"/>
                <w:szCs w:val="20"/>
              </w:rPr>
            </w:pPr>
            <w:r w:rsidRPr="00A87FD6">
              <w:rPr>
                <w:rFonts w:ascii="Arial" w:hAnsi="Arial" w:cs="Arial"/>
                <w:sz w:val="20"/>
                <w:szCs w:val="20"/>
              </w:rPr>
              <w:t>Provides SDG&amp;E with guidance for the content and timing of the reports to be produced by the Commission-selected, third-party auditor that SDG&amp;E will retain pursuant to Senate Bill 410.</w:t>
            </w:r>
          </w:p>
          <w:p w:rsidRPr="00CD7966" w:rsidR="00955AAA" w:rsidP="00A87FD6" w:rsidRDefault="00A87FD6" w14:paraId="20FA0BC9" w14:textId="6EFB6E13">
            <w:pPr>
              <w:pStyle w:val="ListParagraph"/>
              <w:numPr>
                <w:ilvl w:val="0"/>
                <w:numId w:val="35"/>
              </w:numPr>
              <w:autoSpaceDE w:val="0"/>
              <w:autoSpaceDN w:val="0"/>
              <w:adjustRightInd w:val="0"/>
              <w:rPr>
                <w:rFonts w:ascii="Arial" w:hAnsi="Arial" w:cs="Arial"/>
                <w:sz w:val="20"/>
                <w:szCs w:val="20"/>
              </w:rPr>
            </w:pPr>
            <w:r w:rsidRPr="00A87FD6">
              <w:rPr>
                <w:rFonts w:ascii="Arial" w:hAnsi="Arial" w:cs="Arial"/>
                <w:sz w:val="20"/>
                <w:szCs w:val="20"/>
              </w:rPr>
              <w:t>Closes the proceeding.</w:t>
            </w:r>
            <w:r w:rsidRPr="00CD7966" w:rsidR="00CD7966">
              <w:rPr>
                <w:rFonts w:ascii="Arial" w:hAnsi="Arial" w:cs="Arial"/>
                <w:sz w:val="20"/>
                <w:szCs w:val="20"/>
              </w:rPr>
              <w:cr/>
            </w:r>
          </w:p>
          <w:p w:rsidRPr="00395577" w:rsidR="00A5579B" w:rsidP="00A5579B" w:rsidRDefault="00A5579B" w14:paraId="5EAE0C8E" w14:textId="77777777">
            <w:pPr>
              <w:autoSpaceDE w:val="0"/>
              <w:autoSpaceDN w:val="0"/>
              <w:adjustRightInd w:val="0"/>
              <w:rPr>
                <w:rFonts w:ascii="Arial" w:hAnsi="Arial" w:cs="Arial"/>
                <w:b/>
                <w:bCs/>
                <w:sz w:val="20"/>
                <w:szCs w:val="20"/>
              </w:rPr>
            </w:pPr>
            <w:r w:rsidRPr="00395577">
              <w:rPr>
                <w:rFonts w:ascii="Arial" w:hAnsi="Arial" w:cs="Arial"/>
                <w:b/>
                <w:bCs/>
                <w:sz w:val="20"/>
                <w:szCs w:val="20"/>
              </w:rPr>
              <w:t>SAFETY CONSIDERATIONS:</w:t>
            </w:r>
            <w:r w:rsidRPr="00395577">
              <w:rPr>
                <w:rFonts w:ascii="Arial" w:hAnsi="Arial" w:cs="Arial"/>
                <w:b/>
                <w:bCs/>
                <w:sz w:val="20"/>
                <w:szCs w:val="20"/>
              </w:rPr>
              <w:br/>
            </w:r>
          </w:p>
          <w:p w:rsidR="00955AAA" w:rsidP="00A87FD6" w:rsidRDefault="00A87FD6" w14:paraId="5F691449" w14:textId="31F1C4D9">
            <w:pPr>
              <w:pStyle w:val="ListParagraph"/>
              <w:numPr>
                <w:ilvl w:val="0"/>
                <w:numId w:val="40"/>
              </w:numPr>
              <w:autoSpaceDE w:val="0"/>
              <w:autoSpaceDN w:val="0"/>
              <w:adjustRightInd w:val="0"/>
              <w:rPr>
                <w:rFonts w:ascii="Arial" w:hAnsi="Arial" w:cs="Arial"/>
                <w:sz w:val="20"/>
                <w:szCs w:val="20"/>
              </w:rPr>
            </w:pPr>
            <w:r w:rsidRPr="00A87FD6">
              <w:rPr>
                <w:rFonts w:ascii="Arial" w:hAnsi="Arial" w:cs="Arial"/>
                <w:sz w:val="20"/>
                <w:szCs w:val="20"/>
              </w:rPr>
              <w:t>There are no safety considerations associated with this decision.</w:t>
            </w:r>
          </w:p>
          <w:p w:rsidRPr="00955AAA" w:rsidR="002C2241" w:rsidP="002C2241" w:rsidRDefault="002C2241" w14:paraId="7870F600" w14:textId="77777777">
            <w:pPr>
              <w:pStyle w:val="ListParagraph"/>
              <w:autoSpaceDE w:val="0"/>
              <w:autoSpaceDN w:val="0"/>
              <w:adjustRightInd w:val="0"/>
              <w:rPr>
                <w:rFonts w:ascii="Arial" w:hAnsi="Arial" w:cs="Arial"/>
                <w:sz w:val="20"/>
                <w:szCs w:val="20"/>
              </w:rPr>
            </w:pPr>
          </w:p>
          <w:p w:rsidRPr="00395577" w:rsidR="00A5579B" w:rsidP="00A5579B" w:rsidRDefault="00A5579B" w14:paraId="60C5621F" w14:textId="77777777">
            <w:pPr>
              <w:autoSpaceDE w:val="0"/>
              <w:autoSpaceDN w:val="0"/>
              <w:adjustRightInd w:val="0"/>
              <w:rPr>
                <w:rFonts w:ascii="Arial" w:hAnsi="Arial" w:cs="Arial"/>
                <w:b/>
                <w:bCs/>
                <w:sz w:val="20"/>
                <w:szCs w:val="20"/>
              </w:rPr>
            </w:pPr>
            <w:r w:rsidRPr="00395577">
              <w:rPr>
                <w:rFonts w:ascii="Arial" w:hAnsi="Arial" w:cs="Arial"/>
                <w:b/>
                <w:bCs/>
                <w:sz w:val="20"/>
                <w:szCs w:val="20"/>
              </w:rPr>
              <w:t>ESTIMATED COST:</w:t>
            </w:r>
            <w:r w:rsidRPr="00395577">
              <w:rPr>
                <w:rFonts w:ascii="Arial" w:hAnsi="Arial" w:cs="Arial"/>
                <w:b/>
                <w:bCs/>
                <w:sz w:val="20"/>
                <w:szCs w:val="20"/>
              </w:rPr>
              <w:br/>
            </w:r>
          </w:p>
          <w:p w:rsidRPr="002C2241" w:rsidR="00CD7966" w:rsidP="002C2241" w:rsidRDefault="00A87FD6" w14:paraId="3FB93E4D" w14:textId="05F116D2">
            <w:pPr>
              <w:pStyle w:val="ListParagraph"/>
              <w:numPr>
                <w:ilvl w:val="0"/>
                <w:numId w:val="36"/>
              </w:numPr>
              <w:rPr>
                <w:rFonts w:ascii="Arial" w:hAnsi="Arial" w:cs="Arial"/>
                <w:iCs/>
                <w:sz w:val="20"/>
                <w:szCs w:val="20"/>
              </w:rPr>
            </w:pPr>
            <w:r w:rsidRPr="00A87FD6">
              <w:rPr>
                <w:rFonts w:ascii="Arial" w:hAnsi="Arial" w:cs="Arial"/>
                <w:sz w:val="20"/>
                <w:szCs w:val="20"/>
              </w:rPr>
              <w:t>This decision could result in SDG&amp;E spending up to $51.188 million in additional capital costs.</w:t>
            </w:r>
          </w:p>
          <w:p w:rsidR="002C2241" w:rsidP="002C2241" w:rsidRDefault="002C2241" w14:paraId="61FE7A24" w14:textId="77777777">
            <w:pPr>
              <w:pStyle w:val="ListParagraph"/>
              <w:rPr>
                <w:rFonts w:ascii="Arial" w:hAnsi="Arial" w:cs="Arial"/>
                <w:iCs/>
                <w:sz w:val="20"/>
                <w:szCs w:val="20"/>
              </w:rPr>
            </w:pPr>
          </w:p>
          <w:p w:rsidRPr="00A87FD6" w:rsidR="00CD7966" w:rsidP="00A87FD6" w:rsidRDefault="00A87FD6" w14:paraId="1D08F839" w14:textId="676ADE94">
            <w:pPr>
              <w:rPr>
                <w:rFonts w:ascii="Arial" w:hAnsi="Arial" w:cs="Arial"/>
                <w:iCs/>
                <w:sz w:val="20"/>
                <w:szCs w:val="20"/>
              </w:rPr>
            </w:pPr>
            <w:r w:rsidRPr="00A87FD6">
              <w:rPr>
                <w:rFonts w:ascii="Arial" w:hAnsi="Arial" w:cs="Arial"/>
                <w:iCs/>
                <w:sz w:val="20"/>
                <w:szCs w:val="20"/>
              </w:rPr>
              <w:t>(Comr Baker - Judge Dugowson)</w:t>
            </w:r>
          </w:p>
          <w:p w:rsidR="00A87FD6" w:rsidP="00A5579B" w:rsidRDefault="00A87FD6" w14:paraId="20387432" w14:textId="2A385078">
            <w:pPr>
              <w:autoSpaceDE w:val="0"/>
              <w:autoSpaceDN w:val="0"/>
              <w:adjustRightInd w:val="0"/>
              <w:rPr>
                <w:rStyle w:val="Hyperlink"/>
                <w:rFonts w:ascii="Arial" w:hAnsi="Arial" w:cs="Arial"/>
                <w:sz w:val="20"/>
                <w:szCs w:val="20"/>
              </w:rPr>
            </w:pPr>
            <w:hyperlink w:history="1" r:id="rId11">
              <w:r w:rsidRPr="00976E24">
                <w:rPr>
                  <w:rStyle w:val="Hyperlink"/>
                  <w:rFonts w:ascii="Arial" w:hAnsi="Arial" w:cs="Arial"/>
                  <w:sz w:val="20"/>
                  <w:szCs w:val="20"/>
                </w:rPr>
                <w:t>http://docs.cpuc.ca.gov/SearchRes.aspx?docformat=ALL&amp;docid=579066702</w:t>
              </w:r>
            </w:hyperlink>
          </w:p>
          <w:p w:rsidR="00A87FD6" w:rsidP="00A5579B" w:rsidRDefault="00A87FD6" w14:paraId="07144FBB" w14:textId="77777777">
            <w:pPr>
              <w:autoSpaceDE w:val="0"/>
              <w:autoSpaceDN w:val="0"/>
              <w:adjustRightInd w:val="0"/>
              <w:rPr>
                <w:rFonts w:ascii="Arial" w:hAnsi="Arial" w:cs="Arial"/>
                <w:sz w:val="20"/>
                <w:szCs w:val="20"/>
              </w:rPr>
            </w:pPr>
            <w:r w:rsidRPr="00A87FD6">
              <w:rPr>
                <w:rFonts w:ascii="Arial" w:hAnsi="Arial" w:cs="Arial"/>
                <w:sz w:val="20"/>
                <w:szCs w:val="20"/>
              </w:rPr>
              <w:t xml:space="preserve">Pub. Util. Code § 311 – This item was mailed for Public Comment. </w:t>
            </w:r>
          </w:p>
          <w:p w:rsidRPr="00A87FD6" w:rsidR="00A87FD6" w:rsidP="00A5579B" w:rsidRDefault="00A87FD6" w14:paraId="05128DC2" w14:textId="77777777">
            <w:pPr>
              <w:autoSpaceDE w:val="0"/>
              <w:autoSpaceDN w:val="0"/>
              <w:adjustRightInd w:val="0"/>
              <w:rPr>
                <w:rFonts w:ascii="Arial" w:hAnsi="Arial" w:cs="Arial"/>
                <w:sz w:val="20"/>
                <w:szCs w:val="20"/>
                <w:u w:val="single"/>
              </w:rPr>
            </w:pPr>
            <w:r w:rsidRPr="00A87FD6">
              <w:rPr>
                <w:rFonts w:ascii="Arial" w:hAnsi="Arial" w:cs="Arial"/>
                <w:sz w:val="20"/>
                <w:szCs w:val="20"/>
                <w:u w:val="single"/>
              </w:rPr>
              <w:t xml:space="preserve">Pub. Util. Code §1701.1 -- This proceeding is categorized as Ratesetting. </w:t>
            </w:r>
          </w:p>
          <w:p w:rsidR="0035756D" w:rsidP="00A5579B" w:rsidRDefault="00A87FD6" w14:paraId="5B5A50F2" w14:textId="31437CAC">
            <w:pPr>
              <w:autoSpaceDE w:val="0"/>
              <w:autoSpaceDN w:val="0"/>
              <w:adjustRightInd w:val="0"/>
              <w:rPr>
                <w:rFonts w:ascii="Arial" w:hAnsi="Arial" w:cs="Arial"/>
                <w:sz w:val="20"/>
                <w:szCs w:val="20"/>
              </w:rPr>
            </w:pPr>
            <w:r w:rsidRPr="00A87FD6">
              <w:rPr>
                <w:rFonts w:ascii="Arial" w:hAnsi="Arial" w:cs="Arial"/>
                <w:sz w:val="20"/>
                <w:szCs w:val="20"/>
              </w:rPr>
              <w:t>Agenda 3570, Item 15  10/9/2025 (Houck)</w:t>
            </w:r>
          </w:p>
          <w:p w:rsidRPr="0035756D" w:rsidR="002773A4" w:rsidP="00A5579B" w:rsidRDefault="002773A4" w14:paraId="5B3815D8" w14:textId="77777777">
            <w:pPr>
              <w:autoSpaceDE w:val="0"/>
              <w:autoSpaceDN w:val="0"/>
              <w:adjustRightInd w:val="0"/>
              <w:rPr>
                <w:sz w:val="20"/>
                <w:szCs w:val="20"/>
              </w:rPr>
            </w:pPr>
          </w:p>
          <w:p w:rsidRPr="004C5B29" w:rsidR="004C5B29" w:rsidP="0002291C" w:rsidRDefault="004C5B29" w14:paraId="36C9F35F" w14:textId="1C2CA41B">
            <w:pPr>
              <w:autoSpaceDE w:val="0"/>
              <w:autoSpaceDN w:val="0"/>
              <w:adjustRightInd w:val="0"/>
              <w:rPr>
                <w:bCs/>
                <w:iCs/>
                <w:sz w:val="20"/>
                <w:szCs w:val="20"/>
                <w:u w:val="single"/>
              </w:rPr>
            </w:pPr>
          </w:p>
        </w:tc>
      </w:tr>
      <w:bookmarkEnd w:id="0"/>
      <w:bookmarkEnd w:id="1"/>
      <w:tr w:rsidRPr="004C5B29" w:rsidR="00A87FD6" w:rsidTr="00A87FD6" w14:paraId="0121BD93" w14:textId="77777777">
        <w:trPr>
          <w:trHeight w:val="8793"/>
        </w:trPr>
        <w:tc>
          <w:tcPr>
            <w:tcW w:w="545" w:type="pct"/>
          </w:tcPr>
          <w:p w:rsidRPr="00A87FD6" w:rsidR="00A87FD6" w:rsidP="005E4C74" w:rsidRDefault="00A87FD6" w14:paraId="15BDBB79" w14:textId="635F7A55">
            <w:pPr>
              <w:rPr>
                <w:rFonts w:ascii="Arial" w:hAnsi="Arial" w:cs="Arial"/>
                <w:b/>
                <w:bCs/>
                <w:sz w:val="20"/>
                <w:szCs w:val="20"/>
              </w:rPr>
            </w:pPr>
            <w:r w:rsidRPr="00A87FD6">
              <w:rPr>
                <w:b/>
                <w:bCs/>
              </w:rPr>
              <w:lastRenderedPageBreak/>
              <w:br w:type="page"/>
            </w:r>
            <w:r w:rsidRPr="00A87FD6">
              <w:rPr>
                <w:b/>
                <w:bCs/>
              </w:rPr>
              <w:br w:type="page"/>
            </w:r>
          </w:p>
          <w:p w:rsidRPr="00A87FD6" w:rsidR="00A87FD6" w:rsidP="005E4C74" w:rsidRDefault="00A87FD6" w14:paraId="2ACDBCCB" w14:textId="2C03C6EF">
            <w:pPr>
              <w:rPr>
                <w:rFonts w:ascii="Arial" w:hAnsi="Arial" w:cs="Arial"/>
                <w:b/>
                <w:bCs/>
                <w:sz w:val="20"/>
                <w:szCs w:val="20"/>
              </w:rPr>
            </w:pPr>
            <w:r w:rsidRPr="00A87FD6">
              <w:rPr>
                <w:rFonts w:ascii="Arial" w:hAnsi="Arial" w:cs="Arial"/>
                <w:b/>
                <w:bCs/>
                <w:sz w:val="20"/>
                <w:szCs w:val="20"/>
              </w:rPr>
              <w:t>[23765]</w:t>
            </w:r>
          </w:p>
          <w:p w:rsidRPr="00A87FD6" w:rsidR="00A87FD6" w:rsidP="005E4C74" w:rsidRDefault="00A87FD6" w14:paraId="31D07530" w14:textId="77777777">
            <w:pPr>
              <w:rPr>
                <w:rFonts w:ascii="Arial" w:hAnsi="Arial" w:cs="Arial"/>
                <w:b/>
                <w:bCs/>
                <w:sz w:val="20"/>
                <w:szCs w:val="20"/>
              </w:rPr>
            </w:pPr>
          </w:p>
          <w:p w:rsidRPr="00A87FD6" w:rsidR="00A87FD6" w:rsidP="005E4C74" w:rsidRDefault="00A87FD6" w14:paraId="252C8A2E" w14:textId="77777777">
            <w:pPr>
              <w:rPr>
                <w:rFonts w:ascii="Arial" w:hAnsi="Arial" w:cs="Arial"/>
                <w:b/>
                <w:bCs/>
                <w:sz w:val="20"/>
                <w:szCs w:val="20"/>
              </w:rPr>
            </w:pPr>
          </w:p>
        </w:tc>
        <w:tc>
          <w:tcPr>
            <w:tcW w:w="4455" w:type="pct"/>
          </w:tcPr>
          <w:p w:rsidRPr="00A87FD6" w:rsidR="00A87FD6" w:rsidP="00A87FD6" w:rsidRDefault="00A87FD6" w14:paraId="65A486AE" w14:textId="77777777">
            <w:pPr>
              <w:pStyle w:val="Default"/>
              <w:rPr>
                <w:b/>
                <w:bCs/>
                <w:sz w:val="20"/>
                <w:szCs w:val="20"/>
              </w:rPr>
            </w:pPr>
          </w:p>
          <w:p w:rsidR="00A87FD6" w:rsidP="00A87FD6" w:rsidRDefault="00596B85" w14:paraId="73CFAB4E" w14:textId="0EB3D560">
            <w:pPr>
              <w:pStyle w:val="Default"/>
              <w:rPr>
                <w:b/>
                <w:bCs/>
                <w:sz w:val="20"/>
                <w:szCs w:val="20"/>
              </w:rPr>
            </w:pPr>
            <w:r w:rsidRPr="00596B85">
              <w:rPr>
                <w:b/>
                <w:bCs/>
                <w:sz w:val="20"/>
                <w:szCs w:val="20"/>
              </w:rPr>
              <w:t>Energy Efficiency Market Transformation Initiatives</w:t>
            </w:r>
          </w:p>
          <w:p w:rsidRPr="00A87FD6" w:rsidR="00596B85" w:rsidP="00A87FD6" w:rsidRDefault="00596B85" w14:paraId="367CE8C7" w14:textId="77777777">
            <w:pPr>
              <w:pStyle w:val="Default"/>
              <w:rPr>
                <w:b/>
                <w:bCs/>
                <w:sz w:val="20"/>
                <w:szCs w:val="20"/>
              </w:rPr>
            </w:pPr>
          </w:p>
          <w:p w:rsidR="00A87FD6" w:rsidP="00A87FD6" w:rsidRDefault="00596B85" w14:paraId="00EBD756" w14:textId="350B8D16">
            <w:pPr>
              <w:pStyle w:val="Default"/>
              <w:rPr>
                <w:b/>
                <w:bCs/>
                <w:sz w:val="20"/>
                <w:szCs w:val="20"/>
              </w:rPr>
            </w:pPr>
            <w:r w:rsidRPr="00596B85">
              <w:rPr>
                <w:b/>
                <w:bCs/>
                <w:sz w:val="20"/>
                <w:szCs w:val="20"/>
              </w:rPr>
              <w:t>A.24-12-009</w:t>
            </w:r>
          </w:p>
          <w:p w:rsidRPr="001B6F3E" w:rsidR="00A87FD6" w:rsidP="00A87FD6" w:rsidRDefault="00596B85" w14:paraId="72B0A56D" w14:textId="09695B95">
            <w:pPr>
              <w:pStyle w:val="Default"/>
              <w:rPr>
                <w:sz w:val="20"/>
                <w:szCs w:val="20"/>
              </w:rPr>
            </w:pPr>
            <w:r w:rsidRPr="001B6F3E">
              <w:rPr>
                <w:sz w:val="20"/>
                <w:szCs w:val="20"/>
              </w:rPr>
              <w:t>Application of Pacific Gas and Electric Company on Behalf of the California Market Transformation Administrator for the Approval of the Initial Tranche of Statewide Energy Efficiency Market Transformation Initiatives.</w:t>
            </w:r>
          </w:p>
          <w:p w:rsidRPr="00A87FD6" w:rsidR="00A87FD6" w:rsidP="00A87FD6" w:rsidRDefault="00A87FD6" w14:paraId="7DC746B9" w14:textId="77777777">
            <w:pPr>
              <w:pStyle w:val="Default"/>
              <w:rPr>
                <w:b/>
                <w:bCs/>
                <w:sz w:val="20"/>
                <w:szCs w:val="20"/>
              </w:rPr>
            </w:pPr>
          </w:p>
          <w:p w:rsidRPr="00395577" w:rsidR="00A87FD6" w:rsidP="00A87FD6" w:rsidRDefault="00A87FD6" w14:paraId="60F123D0" w14:textId="77777777">
            <w:pPr>
              <w:pStyle w:val="Default"/>
              <w:rPr>
                <w:b/>
                <w:bCs/>
                <w:sz w:val="20"/>
                <w:szCs w:val="20"/>
              </w:rPr>
            </w:pPr>
            <w:r w:rsidRPr="00395577">
              <w:rPr>
                <w:b/>
                <w:bCs/>
                <w:sz w:val="20"/>
                <w:szCs w:val="20"/>
              </w:rPr>
              <w:t>PROPOSED OUTCOME:</w:t>
            </w:r>
            <w:r w:rsidRPr="00395577">
              <w:rPr>
                <w:b/>
                <w:bCs/>
                <w:sz w:val="20"/>
                <w:szCs w:val="20"/>
              </w:rPr>
              <w:br/>
            </w:r>
          </w:p>
          <w:p w:rsidRPr="00060011" w:rsidR="00596B85" w:rsidP="005E4C74" w:rsidRDefault="00596B85" w14:paraId="682BD638" w14:textId="77777777">
            <w:pPr>
              <w:pStyle w:val="ListParagraph"/>
              <w:numPr>
                <w:ilvl w:val="0"/>
                <w:numId w:val="35"/>
              </w:numPr>
              <w:autoSpaceDE w:val="0"/>
              <w:autoSpaceDN w:val="0"/>
              <w:adjustRightInd w:val="0"/>
              <w:rPr>
                <w:rFonts w:ascii="Arial" w:hAnsi="Arial" w:cs="Arial"/>
                <w:color w:val="000000"/>
                <w:sz w:val="20"/>
                <w:szCs w:val="20"/>
              </w:rPr>
            </w:pPr>
            <w:r w:rsidRPr="00060011">
              <w:rPr>
                <w:rFonts w:ascii="Arial" w:hAnsi="Arial" w:cs="Arial"/>
                <w:color w:val="000000"/>
                <w:sz w:val="20"/>
                <w:szCs w:val="20"/>
              </w:rPr>
              <w:t xml:space="preserve">Approves two energy efficiency market transformation initiatives (MTIs) proposed by the California Market Transformation Administrator (CalMTA), for Room Heat Pumps and Induction Cooking. </w:t>
            </w:r>
          </w:p>
          <w:p w:rsidRPr="00060011" w:rsidR="00596B85" w:rsidP="005E4C74" w:rsidRDefault="00596B85" w14:paraId="6541C756" w14:textId="77777777">
            <w:pPr>
              <w:pStyle w:val="ListParagraph"/>
              <w:numPr>
                <w:ilvl w:val="0"/>
                <w:numId w:val="35"/>
              </w:numPr>
              <w:autoSpaceDE w:val="0"/>
              <w:autoSpaceDN w:val="0"/>
              <w:adjustRightInd w:val="0"/>
              <w:rPr>
                <w:rFonts w:ascii="Arial" w:hAnsi="Arial" w:cs="Arial"/>
                <w:color w:val="000000"/>
                <w:sz w:val="20"/>
                <w:szCs w:val="20"/>
              </w:rPr>
            </w:pPr>
            <w:r w:rsidRPr="00060011">
              <w:rPr>
                <w:rFonts w:ascii="Arial" w:hAnsi="Arial" w:cs="Arial"/>
                <w:color w:val="000000"/>
                <w:sz w:val="20"/>
                <w:szCs w:val="20"/>
              </w:rPr>
              <w:t xml:space="preserve">Prioritizes MTI deployment in environmental and social justice and/or disadvantaged communities, along with minimizing rate and bill impacts to participating customers. </w:t>
            </w:r>
          </w:p>
          <w:p w:rsidRPr="00060011" w:rsidR="00596B85" w:rsidP="005E4C74" w:rsidRDefault="00596B85" w14:paraId="3008E062" w14:textId="77777777">
            <w:pPr>
              <w:pStyle w:val="ListParagraph"/>
              <w:numPr>
                <w:ilvl w:val="0"/>
                <w:numId w:val="35"/>
              </w:numPr>
              <w:autoSpaceDE w:val="0"/>
              <w:autoSpaceDN w:val="0"/>
              <w:adjustRightInd w:val="0"/>
              <w:rPr>
                <w:rFonts w:ascii="Arial" w:hAnsi="Arial" w:cs="Arial"/>
                <w:color w:val="000000"/>
                <w:sz w:val="20"/>
                <w:szCs w:val="20"/>
              </w:rPr>
            </w:pPr>
            <w:r w:rsidRPr="00060011">
              <w:rPr>
                <w:rFonts w:ascii="Arial" w:hAnsi="Arial" w:cs="Arial"/>
                <w:color w:val="000000"/>
                <w:sz w:val="20"/>
                <w:szCs w:val="20"/>
              </w:rPr>
              <w:t xml:space="preserve">Approves a budget of $102.4 million over a six-year period 2026-2031. CalMTA must propose a Non-Profit Transition Plan by the end of 2028. </w:t>
            </w:r>
          </w:p>
          <w:p w:rsidRPr="00060011" w:rsidR="00596B85" w:rsidP="005E4C74" w:rsidRDefault="00596B85" w14:paraId="6C7BAF10" w14:textId="77777777">
            <w:pPr>
              <w:pStyle w:val="ListParagraph"/>
              <w:numPr>
                <w:ilvl w:val="0"/>
                <w:numId w:val="35"/>
              </w:numPr>
              <w:autoSpaceDE w:val="0"/>
              <w:autoSpaceDN w:val="0"/>
              <w:adjustRightInd w:val="0"/>
              <w:rPr>
                <w:rFonts w:ascii="Arial" w:hAnsi="Arial" w:cs="Arial"/>
                <w:color w:val="000000"/>
                <w:sz w:val="20"/>
                <w:szCs w:val="20"/>
              </w:rPr>
            </w:pPr>
            <w:r w:rsidRPr="00060011">
              <w:rPr>
                <w:rFonts w:ascii="Arial" w:hAnsi="Arial" w:cs="Arial"/>
                <w:color w:val="000000"/>
                <w:sz w:val="20"/>
                <w:szCs w:val="20"/>
              </w:rPr>
              <w:t xml:space="preserve">Requires New MTIs to file a new application, preferably coincident with the filing of portfolios by energy efficiency portfolio administrators. Discontinuing MTIs requires filing of a Tier 2 advice letter. </w:t>
            </w:r>
          </w:p>
          <w:p w:rsidRPr="00A87FD6" w:rsidR="00A87FD6" w:rsidP="005E4C74" w:rsidRDefault="00596B85" w14:paraId="0AD4A8EA" w14:textId="4ACE6EC1">
            <w:pPr>
              <w:pStyle w:val="ListParagraph"/>
              <w:numPr>
                <w:ilvl w:val="0"/>
                <w:numId w:val="35"/>
              </w:numPr>
              <w:autoSpaceDE w:val="0"/>
              <w:autoSpaceDN w:val="0"/>
              <w:adjustRightInd w:val="0"/>
              <w:rPr>
                <w:rFonts w:ascii="Arial" w:hAnsi="Arial" w:cs="Arial"/>
                <w:b/>
                <w:bCs/>
                <w:color w:val="000000"/>
                <w:sz w:val="20"/>
                <w:szCs w:val="20"/>
              </w:rPr>
            </w:pPr>
            <w:r w:rsidRPr="00060011">
              <w:rPr>
                <w:rFonts w:ascii="Arial" w:hAnsi="Arial" w:cs="Arial"/>
                <w:color w:val="000000"/>
                <w:sz w:val="20"/>
                <w:szCs w:val="20"/>
              </w:rPr>
              <w:t>Closes the proceeding.</w:t>
            </w:r>
            <w:r w:rsidRPr="00A87FD6" w:rsidR="00A87FD6">
              <w:rPr>
                <w:rFonts w:ascii="Arial" w:hAnsi="Arial" w:cs="Arial"/>
                <w:b/>
                <w:bCs/>
                <w:color w:val="000000"/>
                <w:sz w:val="20"/>
                <w:szCs w:val="20"/>
              </w:rPr>
              <w:cr/>
            </w:r>
          </w:p>
          <w:p w:rsidRPr="00395577" w:rsidR="00A87FD6" w:rsidP="00A87FD6" w:rsidRDefault="00A87FD6" w14:paraId="1B60D913" w14:textId="77777777">
            <w:pPr>
              <w:pStyle w:val="Default"/>
              <w:rPr>
                <w:b/>
                <w:bCs/>
                <w:sz w:val="20"/>
                <w:szCs w:val="20"/>
              </w:rPr>
            </w:pPr>
            <w:r w:rsidRPr="00395577">
              <w:rPr>
                <w:b/>
                <w:bCs/>
                <w:sz w:val="20"/>
                <w:szCs w:val="20"/>
              </w:rPr>
              <w:t>SAFETY CONSIDERATIONS:</w:t>
            </w:r>
            <w:r w:rsidRPr="00395577">
              <w:rPr>
                <w:b/>
                <w:bCs/>
                <w:sz w:val="20"/>
                <w:szCs w:val="20"/>
              </w:rPr>
              <w:br/>
            </w:r>
          </w:p>
          <w:p w:rsidRPr="00060011" w:rsidR="00A87FD6" w:rsidP="005E4C74" w:rsidRDefault="00596B85" w14:paraId="6D746CFD" w14:textId="468E3F2D">
            <w:pPr>
              <w:pStyle w:val="ListParagraph"/>
              <w:numPr>
                <w:ilvl w:val="0"/>
                <w:numId w:val="40"/>
              </w:numPr>
              <w:autoSpaceDE w:val="0"/>
              <w:autoSpaceDN w:val="0"/>
              <w:adjustRightInd w:val="0"/>
              <w:rPr>
                <w:rFonts w:ascii="Arial" w:hAnsi="Arial" w:cs="Arial"/>
                <w:color w:val="000000"/>
                <w:sz w:val="20"/>
                <w:szCs w:val="20"/>
              </w:rPr>
            </w:pPr>
            <w:r w:rsidRPr="00060011">
              <w:rPr>
                <w:rFonts w:ascii="Arial" w:hAnsi="Arial" w:cs="Arial"/>
                <w:color w:val="000000"/>
                <w:sz w:val="20"/>
                <w:szCs w:val="20"/>
              </w:rPr>
              <w:t>MTIs approved in this decision may result in improved safety and comfort for consumers who install the room heat pumps and induction cooktops in their homes.</w:t>
            </w:r>
          </w:p>
          <w:p w:rsidRPr="00A87FD6" w:rsidR="00A87FD6" w:rsidP="00A87FD6" w:rsidRDefault="00A87FD6" w14:paraId="268623DE" w14:textId="77777777">
            <w:pPr>
              <w:pStyle w:val="Default"/>
              <w:rPr>
                <w:b/>
                <w:bCs/>
                <w:sz w:val="20"/>
                <w:szCs w:val="20"/>
              </w:rPr>
            </w:pPr>
          </w:p>
          <w:p w:rsidRPr="00395577" w:rsidR="00A87FD6" w:rsidP="00A87FD6" w:rsidRDefault="00A87FD6" w14:paraId="031ABC2A" w14:textId="77777777">
            <w:pPr>
              <w:pStyle w:val="Default"/>
              <w:rPr>
                <w:b/>
                <w:bCs/>
                <w:sz w:val="20"/>
                <w:szCs w:val="20"/>
              </w:rPr>
            </w:pPr>
            <w:r w:rsidRPr="00395577">
              <w:rPr>
                <w:b/>
                <w:bCs/>
                <w:sz w:val="20"/>
                <w:szCs w:val="20"/>
              </w:rPr>
              <w:t>ESTIMATED COST:</w:t>
            </w:r>
            <w:r w:rsidRPr="00395577">
              <w:rPr>
                <w:b/>
                <w:bCs/>
                <w:sz w:val="20"/>
                <w:szCs w:val="20"/>
              </w:rPr>
              <w:br/>
            </w:r>
          </w:p>
          <w:p w:rsidRPr="00060011" w:rsidR="00A87FD6" w:rsidP="005E4C74" w:rsidRDefault="00596B85" w14:paraId="33B159CC" w14:textId="6902E734">
            <w:pPr>
              <w:pStyle w:val="ListParagraph"/>
              <w:numPr>
                <w:ilvl w:val="0"/>
                <w:numId w:val="36"/>
              </w:numPr>
              <w:rPr>
                <w:rFonts w:ascii="Arial" w:hAnsi="Arial" w:cs="Arial"/>
                <w:color w:val="000000"/>
                <w:sz w:val="20"/>
                <w:szCs w:val="20"/>
              </w:rPr>
            </w:pPr>
            <w:r w:rsidRPr="00060011">
              <w:rPr>
                <w:rFonts w:ascii="Arial" w:hAnsi="Arial" w:cs="Arial"/>
                <w:color w:val="000000"/>
                <w:sz w:val="20"/>
                <w:szCs w:val="20"/>
              </w:rPr>
              <w:t>Approximately $102.4 million from the ratepayers of Pacific Gas and Electric Company, San Diego Gas &amp; Electric Company, Southern California Edison Company, and Southern California Gas Company over a six-year period 2026-2031. The benefits produced in the form of energy savings and avoided costs for these utilities are projected to total approximately $216 million over the same period.</w:t>
            </w:r>
          </w:p>
          <w:p w:rsidRPr="00A87FD6" w:rsidR="00A87FD6" w:rsidP="00A87FD6" w:rsidRDefault="00A87FD6" w14:paraId="35CEA5FA" w14:textId="77777777">
            <w:pPr>
              <w:pStyle w:val="Default"/>
              <w:rPr>
                <w:b/>
                <w:bCs/>
                <w:sz w:val="20"/>
                <w:szCs w:val="20"/>
              </w:rPr>
            </w:pPr>
          </w:p>
          <w:p w:rsidRPr="00CB2959" w:rsidR="00A87FD6" w:rsidP="00A87FD6" w:rsidRDefault="00A87FD6" w14:paraId="53C24182" w14:textId="6F6607E9">
            <w:pPr>
              <w:pStyle w:val="Default"/>
              <w:rPr>
                <w:sz w:val="20"/>
                <w:szCs w:val="20"/>
              </w:rPr>
            </w:pPr>
            <w:r w:rsidRPr="00CB2959">
              <w:rPr>
                <w:sz w:val="20"/>
                <w:szCs w:val="20"/>
              </w:rPr>
              <w:t xml:space="preserve">(Comr Baker - </w:t>
            </w:r>
            <w:r w:rsidRPr="00CB2959" w:rsidR="00596B85">
              <w:rPr>
                <w:sz w:val="20"/>
                <w:szCs w:val="20"/>
              </w:rPr>
              <w:t>Judge Fitch - Judge Kao</w:t>
            </w:r>
            <w:r w:rsidRPr="00CB2959">
              <w:rPr>
                <w:sz w:val="20"/>
                <w:szCs w:val="20"/>
              </w:rPr>
              <w:t>)</w:t>
            </w:r>
          </w:p>
          <w:p w:rsidRPr="00CB2959" w:rsidR="00596B85" w:rsidP="00A87FD6" w:rsidRDefault="00596B85" w14:paraId="1AE59F99" w14:textId="4EA33FA0">
            <w:pPr>
              <w:pStyle w:val="Default"/>
              <w:rPr>
                <w:sz w:val="20"/>
                <w:szCs w:val="20"/>
              </w:rPr>
            </w:pPr>
            <w:hyperlink w:history="1" r:id="rId12">
              <w:r w:rsidRPr="00CB2959">
                <w:rPr>
                  <w:rStyle w:val="Hyperlink"/>
                  <w:sz w:val="20"/>
                  <w:szCs w:val="20"/>
                </w:rPr>
                <w:t>http://docs.cpuc.ca.gov/SearchRes.aspx?docformat=ALL&amp;docid=581151908</w:t>
              </w:r>
            </w:hyperlink>
          </w:p>
          <w:p w:rsidRPr="00CB2959" w:rsidR="00A87FD6" w:rsidP="00A87FD6" w:rsidRDefault="00A87FD6" w14:paraId="715E0BC8" w14:textId="77777777">
            <w:pPr>
              <w:pStyle w:val="Default"/>
              <w:rPr>
                <w:sz w:val="20"/>
                <w:szCs w:val="20"/>
              </w:rPr>
            </w:pPr>
            <w:r w:rsidRPr="00CB2959">
              <w:rPr>
                <w:sz w:val="20"/>
                <w:szCs w:val="20"/>
              </w:rPr>
              <w:t xml:space="preserve">Pub. Util. Code § 311 – This item was mailed for Public Comment. </w:t>
            </w:r>
          </w:p>
          <w:p w:rsidRPr="00CB2959" w:rsidR="00A87FD6" w:rsidP="00A87FD6" w:rsidRDefault="00A87FD6" w14:paraId="09821465" w14:textId="36E6CD1F">
            <w:pPr>
              <w:pStyle w:val="Default"/>
              <w:rPr>
                <w:sz w:val="20"/>
                <w:szCs w:val="20"/>
              </w:rPr>
            </w:pPr>
            <w:r w:rsidRPr="00CB2959">
              <w:rPr>
                <w:sz w:val="20"/>
                <w:szCs w:val="20"/>
              </w:rPr>
              <w:t xml:space="preserve">Pub. Util. Code §1701.1 -- This proceeding is categorized as Ratesetting. </w:t>
            </w:r>
          </w:p>
          <w:p w:rsidRPr="00A87FD6" w:rsidR="00A87FD6" w:rsidP="00A87FD6" w:rsidRDefault="00A87FD6" w14:paraId="5E55155F" w14:textId="77777777">
            <w:pPr>
              <w:pStyle w:val="Default"/>
              <w:rPr>
                <w:b/>
                <w:bCs/>
                <w:sz w:val="20"/>
                <w:szCs w:val="20"/>
              </w:rPr>
            </w:pPr>
          </w:p>
        </w:tc>
      </w:tr>
      <w:tr w:rsidRPr="004C5B29" w:rsidR="00A87FD6" w:rsidTr="005E4C74" w14:paraId="0D91305F" w14:textId="77777777">
        <w:trPr>
          <w:trHeight w:val="8793"/>
        </w:trPr>
        <w:tc>
          <w:tcPr>
            <w:tcW w:w="545" w:type="pct"/>
          </w:tcPr>
          <w:p w:rsidRPr="00A5579B" w:rsidR="00A87FD6" w:rsidP="005E4C74" w:rsidRDefault="00A87FD6" w14:paraId="08F2074C" w14:textId="63CD6823">
            <w:pPr>
              <w:rPr>
                <w:rFonts w:ascii="Arial" w:hAnsi="Arial" w:cs="Arial"/>
                <w:b/>
                <w:bCs/>
                <w:sz w:val="20"/>
                <w:szCs w:val="20"/>
              </w:rPr>
            </w:pPr>
            <w:r>
              <w:rPr>
                <w:rFonts w:ascii="Arial" w:hAnsi="Arial" w:cs="Arial"/>
                <w:b/>
                <w:bCs/>
                <w:sz w:val="20"/>
                <w:szCs w:val="20"/>
              </w:rPr>
              <w:lastRenderedPageBreak/>
              <w:t>[</w:t>
            </w:r>
            <w:r w:rsidRPr="00596B85" w:rsidR="00596B85">
              <w:rPr>
                <w:rFonts w:ascii="Arial" w:hAnsi="Arial" w:cs="Arial"/>
                <w:b/>
                <w:bCs/>
                <w:sz w:val="20"/>
                <w:szCs w:val="20"/>
              </w:rPr>
              <w:t>23766</w:t>
            </w:r>
            <w:r>
              <w:rPr>
                <w:rFonts w:ascii="Arial" w:hAnsi="Arial" w:cs="Arial"/>
                <w:b/>
                <w:bCs/>
                <w:sz w:val="20"/>
                <w:szCs w:val="20"/>
              </w:rPr>
              <w:t>]</w:t>
            </w:r>
          </w:p>
          <w:p w:rsidR="00A87FD6" w:rsidP="005E4C74" w:rsidRDefault="00A87FD6" w14:paraId="480E9499" w14:textId="77777777">
            <w:pPr>
              <w:rPr>
                <w:rFonts w:ascii="Arial" w:hAnsi="Arial" w:cs="Arial"/>
                <w:sz w:val="20"/>
                <w:szCs w:val="20"/>
              </w:rPr>
            </w:pPr>
          </w:p>
          <w:p w:rsidRPr="00A5579B" w:rsidR="00A87FD6" w:rsidP="005E4C74" w:rsidRDefault="00A87FD6" w14:paraId="72678EF1" w14:textId="77777777">
            <w:pPr>
              <w:rPr>
                <w:rFonts w:ascii="Arial" w:hAnsi="Arial" w:cs="Arial"/>
                <w:sz w:val="20"/>
                <w:szCs w:val="20"/>
              </w:rPr>
            </w:pPr>
          </w:p>
        </w:tc>
        <w:tc>
          <w:tcPr>
            <w:tcW w:w="4455" w:type="pct"/>
          </w:tcPr>
          <w:p w:rsidR="00A87FD6" w:rsidP="005E4C74" w:rsidRDefault="00596B85" w14:paraId="0C28EE1D" w14:textId="63C016C8">
            <w:pPr>
              <w:autoSpaceDE w:val="0"/>
              <w:autoSpaceDN w:val="0"/>
              <w:adjustRightInd w:val="0"/>
              <w:rPr>
                <w:rFonts w:ascii="Arial" w:hAnsi="Arial" w:cs="Arial"/>
                <w:b/>
                <w:bCs/>
                <w:sz w:val="22"/>
                <w:szCs w:val="22"/>
              </w:rPr>
            </w:pPr>
            <w:r w:rsidRPr="00596B85">
              <w:rPr>
                <w:rFonts w:ascii="Arial" w:hAnsi="Arial" w:cs="Arial"/>
                <w:b/>
                <w:bCs/>
                <w:sz w:val="20"/>
                <w:szCs w:val="20"/>
              </w:rPr>
              <w:t>Commissioner Baker's Alternate Proposed Decision to Agenda Id # 23765</w:t>
            </w:r>
          </w:p>
          <w:p w:rsidRPr="002C2241" w:rsidR="00596B85" w:rsidP="005E4C74" w:rsidRDefault="00596B85" w14:paraId="65EB7021" w14:textId="77777777">
            <w:pPr>
              <w:autoSpaceDE w:val="0"/>
              <w:autoSpaceDN w:val="0"/>
              <w:adjustRightInd w:val="0"/>
              <w:rPr>
                <w:rFonts w:ascii="Arial" w:hAnsi="Arial" w:cs="Arial"/>
                <w:b/>
                <w:bCs/>
                <w:sz w:val="22"/>
                <w:szCs w:val="22"/>
              </w:rPr>
            </w:pPr>
          </w:p>
          <w:p w:rsidR="00A87FD6" w:rsidP="005E4C74" w:rsidRDefault="00596B85" w14:paraId="19438A1B" w14:textId="08ABA118">
            <w:pPr>
              <w:autoSpaceDE w:val="0"/>
              <w:autoSpaceDN w:val="0"/>
              <w:adjustRightInd w:val="0"/>
              <w:rPr>
                <w:rFonts w:ascii="Arial" w:hAnsi="Arial" w:cs="Arial"/>
                <w:b/>
                <w:bCs/>
                <w:sz w:val="20"/>
                <w:szCs w:val="20"/>
              </w:rPr>
            </w:pPr>
            <w:r w:rsidRPr="00596B85">
              <w:rPr>
                <w:rFonts w:ascii="Arial" w:hAnsi="Arial" w:cs="Arial"/>
                <w:b/>
                <w:bCs/>
                <w:sz w:val="20"/>
                <w:szCs w:val="20"/>
              </w:rPr>
              <w:t>A.24-12-009</w:t>
            </w:r>
          </w:p>
          <w:p w:rsidRPr="001B6F3E" w:rsidR="00A87FD6" w:rsidP="005E4C74" w:rsidRDefault="00596B85" w14:paraId="4F15F0CB" w14:textId="518F4E3D">
            <w:pPr>
              <w:autoSpaceDE w:val="0"/>
              <w:autoSpaceDN w:val="0"/>
              <w:adjustRightInd w:val="0"/>
              <w:rPr>
                <w:rFonts w:ascii="Arial" w:hAnsi="Arial" w:cs="Arial"/>
                <w:sz w:val="20"/>
                <w:szCs w:val="20"/>
              </w:rPr>
            </w:pPr>
            <w:r w:rsidRPr="001B6F3E">
              <w:rPr>
                <w:rFonts w:ascii="Arial" w:hAnsi="Arial" w:cs="Arial"/>
                <w:sz w:val="20"/>
                <w:szCs w:val="20"/>
              </w:rPr>
              <w:t>Application of Pacific Gas and Electric Company on Behalf of the California Market Transformation Administrator for the Approval of the Initial Tranche of Statewide Energy Efficiency Market Transformation Initiatives</w:t>
            </w:r>
          </w:p>
          <w:p w:rsidRPr="00395577" w:rsidR="00A87FD6" w:rsidP="005E4C74" w:rsidRDefault="00A87FD6" w14:paraId="17C3846C" w14:textId="77777777">
            <w:pPr>
              <w:autoSpaceDE w:val="0"/>
              <w:autoSpaceDN w:val="0"/>
              <w:adjustRightInd w:val="0"/>
              <w:rPr>
                <w:rFonts w:ascii="Arial" w:hAnsi="Arial" w:cs="Arial"/>
                <w:iCs/>
                <w:sz w:val="20"/>
                <w:szCs w:val="20"/>
              </w:rPr>
            </w:pPr>
          </w:p>
          <w:p w:rsidRPr="00395577" w:rsidR="00A87FD6" w:rsidP="005E4C74" w:rsidRDefault="00A87FD6" w14:paraId="42BBF38F" w14:textId="77777777">
            <w:pPr>
              <w:autoSpaceDE w:val="0"/>
              <w:autoSpaceDN w:val="0"/>
              <w:adjustRightInd w:val="0"/>
              <w:rPr>
                <w:rFonts w:ascii="Arial" w:hAnsi="Arial" w:cs="Arial"/>
                <w:b/>
                <w:bCs/>
                <w:sz w:val="20"/>
                <w:szCs w:val="20"/>
              </w:rPr>
            </w:pPr>
            <w:r w:rsidRPr="00395577">
              <w:rPr>
                <w:rFonts w:ascii="Arial" w:hAnsi="Arial" w:cs="Arial"/>
                <w:b/>
                <w:bCs/>
                <w:sz w:val="20"/>
                <w:szCs w:val="20"/>
              </w:rPr>
              <w:t>PROPOSED OUTCOME:</w:t>
            </w:r>
            <w:r w:rsidRPr="00395577">
              <w:rPr>
                <w:rFonts w:ascii="Arial" w:hAnsi="Arial" w:cs="Arial"/>
                <w:b/>
                <w:bCs/>
                <w:sz w:val="20"/>
                <w:szCs w:val="20"/>
              </w:rPr>
              <w:br/>
            </w:r>
          </w:p>
          <w:p w:rsidR="00596B85" w:rsidP="005E4C74" w:rsidRDefault="00596B85" w14:paraId="10FE8A86" w14:textId="77777777">
            <w:pPr>
              <w:pStyle w:val="ListParagraph"/>
              <w:numPr>
                <w:ilvl w:val="0"/>
                <w:numId w:val="35"/>
              </w:numPr>
              <w:autoSpaceDE w:val="0"/>
              <w:autoSpaceDN w:val="0"/>
              <w:adjustRightInd w:val="0"/>
              <w:rPr>
                <w:rFonts w:ascii="Arial" w:hAnsi="Arial" w:cs="Arial"/>
                <w:sz w:val="20"/>
                <w:szCs w:val="20"/>
              </w:rPr>
            </w:pPr>
            <w:r w:rsidRPr="00596B85">
              <w:rPr>
                <w:rFonts w:ascii="Arial" w:hAnsi="Arial" w:cs="Arial"/>
                <w:sz w:val="20"/>
                <w:szCs w:val="20"/>
              </w:rPr>
              <w:t xml:space="preserve">Approves one energy efficiency market transformation initiative (MTI) proposed by the California Market Transformation Administrator (CalMTA), for Room Heat Pumps. Prioritizes deployment in environmental and social justice and/or disadvantaged communities, along with minimizing rate and bill impacts to participating customers. </w:t>
            </w:r>
          </w:p>
          <w:p w:rsidR="00596B85" w:rsidP="005E4C74" w:rsidRDefault="00596B85" w14:paraId="4EAB95A9" w14:textId="77777777">
            <w:pPr>
              <w:pStyle w:val="ListParagraph"/>
              <w:numPr>
                <w:ilvl w:val="0"/>
                <w:numId w:val="35"/>
              </w:numPr>
              <w:autoSpaceDE w:val="0"/>
              <w:autoSpaceDN w:val="0"/>
              <w:adjustRightInd w:val="0"/>
              <w:rPr>
                <w:rFonts w:ascii="Arial" w:hAnsi="Arial" w:cs="Arial"/>
                <w:sz w:val="20"/>
                <w:szCs w:val="20"/>
              </w:rPr>
            </w:pPr>
            <w:r w:rsidRPr="00596B85">
              <w:rPr>
                <w:rFonts w:ascii="Arial" w:hAnsi="Arial" w:cs="Arial"/>
                <w:sz w:val="20"/>
                <w:szCs w:val="20"/>
              </w:rPr>
              <w:t xml:space="preserve">Approves a budget of $54.87 million over a six-year period 2026-2031. CalMTA must propose a Non-Profit Transition Plan by the end of 2028 that also details how CalMTA will pursue non-ratepayer funds. CalMTA is also required to grant access to its MTI cost-effectiveness tool and undergo an annual audit (2026 to 2028). </w:t>
            </w:r>
          </w:p>
          <w:p w:rsidR="00596B85" w:rsidP="005E4C74" w:rsidRDefault="00596B85" w14:paraId="0047AEFF" w14:textId="77777777">
            <w:pPr>
              <w:pStyle w:val="ListParagraph"/>
              <w:numPr>
                <w:ilvl w:val="0"/>
                <w:numId w:val="35"/>
              </w:numPr>
              <w:autoSpaceDE w:val="0"/>
              <w:autoSpaceDN w:val="0"/>
              <w:adjustRightInd w:val="0"/>
              <w:rPr>
                <w:rFonts w:ascii="Arial" w:hAnsi="Arial" w:cs="Arial"/>
                <w:sz w:val="20"/>
                <w:szCs w:val="20"/>
              </w:rPr>
            </w:pPr>
            <w:r w:rsidRPr="00596B85">
              <w:rPr>
                <w:rFonts w:ascii="Arial" w:hAnsi="Arial" w:cs="Arial"/>
                <w:sz w:val="20"/>
                <w:szCs w:val="20"/>
              </w:rPr>
              <w:t xml:space="preserve">Requires New MTIs to file a new application, along with Sensitivity Analyses to support forecasts for Total Market Adoption and Baseline Market Adoption models. Discontinuing the Room Heat Pump MTI requires filing of a Tier 2 advice letter. </w:t>
            </w:r>
          </w:p>
          <w:p w:rsidRPr="00CD7966" w:rsidR="00A87FD6" w:rsidP="005E4C74" w:rsidRDefault="00596B85" w14:paraId="68B5B859" w14:textId="166A1F83">
            <w:pPr>
              <w:pStyle w:val="ListParagraph"/>
              <w:numPr>
                <w:ilvl w:val="0"/>
                <w:numId w:val="35"/>
              </w:numPr>
              <w:autoSpaceDE w:val="0"/>
              <w:autoSpaceDN w:val="0"/>
              <w:adjustRightInd w:val="0"/>
              <w:rPr>
                <w:rFonts w:ascii="Arial" w:hAnsi="Arial" w:cs="Arial"/>
                <w:sz w:val="20"/>
                <w:szCs w:val="20"/>
              </w:rPr>
            </w:pPr>
            <w:r w:rsidRPr="00596B85">
              <w:rPr>
                <w:rFonts w:ascii="Arial" w:hAnsi="Arial" w:cs="Arial"/>
                <w:sz w:val="20"/>
                <w:szCs w:val="20"/>
              </w:rPr>
              <w:t>Closes the proceeding.</w:t>
            </w:r>
            <w:r w:rsidRPr="00CD7966" w:rsidR="00A87FD6">
              <w:rPr>
                <w:rFonts w:ascii="Arial" w:hAnsi="Arial" w:cs="Arial"/>
                <w:sz w:val="20"/>
                <w:szCs w:val="20"/>
              </w:rPr>
              <w:cr/>
            </w:r>
          </w:p>
          <w:p w:rsidRPr="00395577" w:rsidR="00A87FD6" w:rsidP="005E4C74" w:rsidRDefault="00A87FD6" w14:paraId="1E6E0DF1" w14:textId="77777777">
            <w:pPr>
              <w:autoSpaceDE w:val="0"/>
              <w:autoSpaceDN w:val="0"/>
              <w:adjustRightInd w:val="0"/>
              <w:rPr>
                <w:rFonts w:ascii="Arial" w:hAnsi="Arial" w:cs="Arial"/>
                <w:b/>
                <w:bCs/>
                <w:sz w:val="20"/>
                <w:szCs w:val="20"/>
              </w:rPr>
            </w:pPr>
            <w:r w:rsidRPr="00395577">
              <w:rPr>
                <w:rFonts w:ascii="Arial" w:hAnsi="Arial" w:cs="Arial"/>
                <w:b/>
                <w:bCs/>
                <w:sz w:val="20"/>
                <w:szCs w:val="20"/>
              </w:rPr>
              <w:t>SAFETY CONSIDERATIONS:</w:t>
            </w:r>
            <w:r w:rsidRPr="00395577">
              <w:rPr>
                <w:rFonts w:ascii="Arial" w:hAnsi="Arial" w:cs="Arial"/>
                <w:b/>
                <w:bCs/>
                <w:sz w:val="20"/>
                <w:szCs w:val="20"/>
              </w:rPr>
              <w:br/>
            </w:r>
          </w:p>
          <w:p w:rsidR="00A87FD6" w:rsidP="005E4C74" w:rsidRDefault="00A87FD6" w14:paraId="7F19A7B2" w14:textId="77777777">
            <w:pPr>
              <w:pStyle w:val="ListParagraph"/>
              <w:numPr>
                <w:ilvl w:val="0"/>
                <w:numId w:val="40"/>
              </w:numPr>
              <w:autoSpaceDE w:val="0"/>
              <w:autoSpaceDN w:val="0"/>
              <w:adjustRightInd w:val="0"/>
              <w:rPr>
                <w:rFonts w:ascii="Arial" w:hAnsi="Arial" w:cs="Arial"/>
                <w:sz w:val="20"/>
                <w:szCs w:val="20"/>
              </w:rPr>
            </w:pPr>
            <w:r w:rsidRPr="00A87FD6">
              <w:rPr>
                <w:rFonts w:ascii="Arial" w:hAnsi="Arial" w:cs="Arial"/>
                <w:sz w:val="20"/>
                <w:szCs w:val="20"/>
              </w:rPr>
              <w:t>There are no safety considerations associated with this decision.</w:t>
            </w:r>
          </w:p>
          <w:p w:rsidRPr="00955AAA" w:rsidR="00A87FD6" w:rsidP="005E4C74" w:rsidRDefault="00A87FD6" w14:paraId="16434D01" w14:textId="77777777">
            <w:pPr>
              <w:pStyle w:val="ListParagraph"/>
              <w:autoSpaceDE w:val="0"/>
              <w:autoSpaceDN w:val="0"/>
              <w:adjustRightInd w:val="0"/>
              <w:rPr>
                <w:rFonts w:ascii="Arial" w:hAnsi="Arial" w:cs="Arial"/>
                <w:sz w:val="20"/>
                <w:szCs w:val="20"/>
              </w:rPr>
            </w:pPr>
          </w:p>
          <w:p w:rsidRPr="00395577" w:rsidR="00A87FD6" w:rsidP="005E4C74" w:rsidRDefault="00A87FD6" w14:paraId="2EEDE439" w14:textId="77777777">
            <w:pPr>
              <w:autoSpaceDE w:val="0"/>
              <w:autoSpaceDN w:val="0"/>
              <w:adjustRightInd w:val="0"/>
              <w:rPr>
                <w:rFonts w:ascii="Arial" w:hAnsi="Arial" w:cs="Arial"/>
                <w:b/>
                <w:bCs/>
                <w:sz w:val="20"/>
                <w:szCs w:val="20"/>
              </w:rPr>
            </w:pPr>
            <w:r w:rsidRPr="00395577">
              <w:rPr>
                <w:rFonts w:ascii="Arial" w:hAnsi="Arial" w:cs="Arial"/>
                <w:b/>
                <w:bCs/>
                <w:sz w:val="20"/>
                <w:szCs w:val="20"/>
              </w:rPr>
              <w:t>ESTIMATED COST:</w:t>
            </w:r>
            <w:r w:rsidRPr="00395577">
              <w:rPr>
                <w:rFonts w:ascii="Arial" w:hAnsi="Arial" w:cs="Arial"/>
                <w:b/>
                <w:bCs/>
                <w:sz w:val="20"/>
                <w:szCs w:val="20"/>
              </w:rPr>
              <w:br/>
            </w:r>
          </w:p>
          <w:p w:rsidRPr="002C2241" w:rsidR="00A87FD6" w:rsidP="005E4C74" w:rsidRDefault="00596B85" w14:paraId="775935C5" w14:textId="2459375D">
            <w:pPr>
              <w:pStyle w:val="ListParagraph"/>
              <w:numPr>
                <w:ilvl w:val="0"/>
                <w:numId w:val="36"/>
              </w:numPr>
              <w:rPr>
                <w:rFonts w:ascii="Arial" w:hAnsi="Arial" w:cs="Arial"/>
                <w:iCs/>
                <w:sz w:val="20"/>
                <w:szCs w:val="20"/>
              </w:rPr>
            </w:pPr>
            <w:r w:rsidRPr="00596B85">
              <w:rPr>
                <w:rFonts w:ascii="Arial" w:hAnsi="Arial" w:cs="Arial"/>
                <w:sz w:val="20"/>
                <w:szCs w:val="20"/>
              </w:rPr>
              <w:t>Approximately $54.87 million from the ratepayers of Pacific Gas and Electric Company, San Diego Gas &amp; Electric Company, Southern California Edison Company, and Southern California Gas Company over a six-year period 2026-2031.</w:t>
            </w:r>
          </w:p>
          <w:p w:rsidR="00A87FD6" w:rsidP="005E4C74" w:rsidRDefault="00A87FD6" w14:paraId="3470C951" w14:textId="77777777">
            <w:pPr>
              <w:pStyle w:val="ListParagraph"/>
              <w:rPr>
                <w:rFonts w:ascii="Arial" w:hAnsi="Arial" w:cs="Arial"/>
                <w:iCs/>
                <w:sz w:val="20"/>
                <w:szCs w:val="20"/>
              </w:rPr>
            </w:pPr>
          </w:p>
          <w:p w:rsidR="00A87FD6" w:rsidP="005E4C74" w:rsidRDefault="00A87FD6" w14:paraId="65E800EA" w14:textId="0DADC3BA">
            <w:pPr>
              <w:rPr>
                <w:rFonts w:ascii="Arial" w:hAnsi="Arial" w:cs="Arial"/>
                <w:iCs/>
                <w:sz w:val="20"/>
                <w:szCs w:val="20"/>
              </w:rPr>
            </w:pPr>
            <w:r w:rsidRPr="00A87FD6">
              <w:rPr>
                <w:rFonts w:ascii="Arial" w:hAnsi="Arial" w:cs="Arial"/>
                <w:iCs/>
                <w:sz w:val="20"/>
                <w:szCs w:val="20"/>
              </w:rPr>
              <w:t>(Comr Baker)</w:t>
            </w:r>
          </w:p>
          <w:p w:rsidR="00596B85" w:rsidP="005E4C74" w:rsidRDefault="00596B85" w14:paraId="058117D1" w14:textId="093835EE">
            <w:pPr>
              <w:rPr>
                <w:rFonts w:ascii="Arial" w:hAnsi="Arial" w:cs="Arial"/>
                <w:iCs/>
                <w:sz w:val="20"/>
                <w:szCs w:val="20"/>
              </w:rPr>
            </w:pPr>
            <w:hyperlink w:history="1" r:id="rId13">
              <w:r w:rsidRPr="00976E24">
                <w:rPr>
                  <w:rStyle w:val="Hyperlink"/>
                  <w:rFonts w:ascii="Arial" w:hAnsi="Arial" w:cs="Arial"/>
                  <w:iCs/>
                  <w:sz w:val="20"/>
                  <w:szCs w:val="20"/>
                </w:rPr>
                <w:t>http://docs.cpuc.ca.gov/SearchRes.aspx?docformat=ALL&amp;docid=581301683</w:t>
              </w:r>
            </w:hyperlink>
          </w:p>
          <w:p w:rsidR="00A87FD6" w:rsidP="005E4C74" w:rsidRDefault="00A87FD6" w14:paraId="6673163B" w14:textId="77777777">
            <w:pPr>
              <w:autoSpaceDE w:val="0"/>
              <w:autoSpaceDN w:val="0"/>
              <w:adjustRightInd w:val="0"/>
              <w:rPr>
                <w:rFonts w:ascii="Arial" w:hAnsi="Arial" w:cs="Arial"/>
                <w:sz w:val="20"/>
                <w:szCs w:val="20"/>
              </w:rPr>
            </w:pPr>
            <w:r w:rsidRPr="00A87FD6">
              <w:rPr>
                <w:rFonts w:ascii="Arial" w:hAnsi="Arial" w:cs="Arial"/>
                <w:sz w:val="20"/>
                <w:szCs w:val="20"/>
              </w:rPr>
              <w:t xml:space="preserve">Pub. Util. Code § 311 – This item was mailed for Public Comment. </w:t>
            </w:r>
          </w:p>
          <w:p w:rsidRPr="00596B85" w:rsidR="00A87FD6" w:rsidP="005E4C74" w:rsidRDefault="00A87FD6" w14:paraId="6828C347" w14:textId="77777777">
            <w:pPr>
              <w:autoSpaceDE w:val="0"/>
              <w:autoSpaceDN w:val="0"/>
              <w:adjustRightInd w:val="0"/>
              <w:rPr>
                <w:rFonts w:ascii="Arial" w:hAnsi="Arial" w:cs="Arial"/>
                <w:sz w:val="20"/>
                <w:szCs w:val="20"/>
              </w:rPr>
            </w:pPr>
            <w:r w:rsidRPr="00596B85">
              <w:rPr>
                <w:rFonts w:ascii="Arial" w:hAnsi="Arial" w:cs="Arial"/>
                <w:sz w:val="20"/>
                <w:szCs w:val="20"/>
              </w:rPr>
              <w:t xml:space="preserve">Pub. Util. Code §1701.1 -- This proceeding is categorized as Ratesetting. </w:t>
            </w:r>
          </w:p>
          <w:p w:rsidRPr="0035756D" w:rsidR="00A87FD6" w:rsidP="005E4C74" w:rsidRDefault="00A87FD6" w14:paraId="4DD749A4" w14:textId="77777777">
            <w:pPr>
              <w:autoSpaceDE w:val="0"/>
              <w:autoSpaceDN w:val="0"/>
              <w:adjustRightInd w:val="0"/>
              <w:rPr>
                <w:sz w:val="20"/>
                <w:szCs w:val="20"/>
              </w:rPr>
            </w:pPr>
          </w:p>
          <w:p w:rsidRPr="004C5B29" w:rsidR="00A87FD6" w:rsidP="005E4C74" w:rsidRDefault="00A87FD6" w14:paraId="5730FE1B" w14:textId="77777777">
            <w:pPr>
              <w:autoSpaceDE w:val="0"/>
              <w:autoSpaceDN w:val="0"/>
              <w:adjustRightInd w:val="0"/>
              <w:rPr>
                <w:bCs/>
                <w:iCs/>
                <w:sz w:val="20"/>
                <w:szCs w:val="20"/>
                <w:u w:val="single"/>
              </w:rPr>
            </w:pPr>
          </w:p>
        </w:tc>
      </w:tr>
    </w:tbl>
    <w:p w:rsidR="00A87FD6" w:rsidRDefault="00A87FD6" w14:paraId="6EAC96EA" w14:textId="4DE2F563"/>
    <w:p w:rsidR="00A87FD6" w:rsidRDefault="00A87FD6" w14:paraId="5759A77C" w14:textId="77777777"/>
    <w:tbl>
      <w:tblPr>
        <w:tblW w:w="4985" w:type="pct"/>
        <w:tblLook w:val="0000" w:firstRow="0" w:lastRow="0" w:firstColumn="0" w:lastColumn="0" w:noHBand="0" w:noVBand="0"/>
      </w:tblPr>
      <w:tblGrid>
        <w:gridCol w:w="1017"/>
        <w:gridCol w:w="8315"/>
      </w:tblGrid>
      <w:tr w:rsidRPr="002672F1" w:rsidR="000E7C98" w:rsidTr="000D02B4" w14:paraId="2C8FF1E7" w14:textId="77777777">
        <w:trPr>
          <w:trHeight w:val="1458"/>
        </w:trPr>
        <w:tc>
          <w:tcPr>
            <w:tcW w:w="545" w:type="pct"/>
          </w:tcPr>
          <w:p w:rsidRPr="00A5579B" w:rsidR="000E7C98" w:rsidP="000D02B4" w:rsidRDefault="000E7C98" w14:paraId="590376B2" w14:textId="4172DD9D">
            <w:pPr>
              <w:rPr>
                <w:rFonts w:ascii="Arial" w:hAnsi="Arial" w:cs="Arial"/>
                <w:sz w:val="20"/>
                <w:szCs w:val="20"/>
              </w:rPr>
            </w:pPr>
          </w:p>
        </w:tc>
        <w:tc>
          <w:tcPr>
            <w:tcW w:w="4455" w:type="pct"/>
          </w:tcPr>
          <w:p w:rsidR="000E7C98" w:rsidP="000D02B4" w:rsidRDefault="000E7C98" w14:paraId="0FEE5352" w14:textId="77777777">
            <w:pPr>
              <w:pStyle w:val="Default"/>
              <w:rPr>
                <w:b/>
                <w:bCs/>
                <w:sz w:val="20"/>
                <w:szCs w:val="20"/>
              </w:rPr>
            </w:pPr>
          </w:p>
          <w:p w:rsidR="004C5B29" w:rsidP="000D02B4" w:rsidRDefault="004C5B29" w14:paraId="0E832F52" w14:textId="77777777">
            <w:pPr>
              <w:pStyle w:val="Default"/>
              <w:rPr>
                <w:b/>
                <w:bCs/>
              </w:rPr>
            </w:pPr>
          </w:p>
          <w:p w:rsidR="004C5B29" w:rsidP="000D02B4" w:rsidRDefault="004C5B29" w14:paraId="7B90AE29" w14:textId="77777777">
            <w:pPr>
              <w:pStyle w:val="Default"/>
              <w:rPr>
                <w:b/>
                <w:bCs/>
              </w:rPr>
            </w:pPr>
          </w:p>
          <w:p w:rsidR="004C5B29" w:rsidP="000D02B4" w:rsidRDefault="004C5B29" w14:paraId="6F0D65C6" w14:textId="77777777">
            <w:pPr>
              <w:pStyle w:val="Default"/>
              <w:rPr>
                <w:b/>
                <w:bCs/>
              </w:rPr>
            </w:pPr>
          </w:p>
          <w:p w:rsidRPr="002672F1" w:rsidR="004C5B29" w:rsidP="000D02B4" w:rsidRDefault="004C5B29" w14:paraId="56D460BC" w14:textId="0EEF6A75">
            <w:pPr>
              <w:pStyle w:val="Default"/>
              <w:rPr>
                <w:b/>
                <w:bCs/>
                <w:sz w:val="20"/>
                <w:szCs w:val="20"/>
              </w:rPr>
            </w:pPr>
          </w:p>
        </w:tc>
      </w:tr>
    </w:tbl>
    <w:p w:rsidR="00911F91" w:rsidP="0010621F" w:rsidRDefault="00911F91" w14:paraId="00ECCD2C" w14:textId="5C432D26"/>
    <w:p w:rsidR="00911F91" w:rsidRDefault="00911F91" w14:paraId="182802FE" w14:textId="77777777">
      <w:r>
        <w:br w:type="page"/>
      </w:r>
    </w:p>
    <w:tbl>
      <w:tblPr>
        <w:tblW w:w="4985" w:type="pct"/>
        <w:tblLook w:val="0000" w:firstRow="0" w:lastRow="0" w:firstColumn="0" w:lastColumn="0" w:noHBand="0" w:noVBand="0"/>
      </w:tblPr>
      <w:tblGrid>
        <w:gridCol w:w="1017"/>
        <w:gridCol w:w="8315"/>
      </w:tblGrid>
      <w:tr w:rsidRPr="004C5B29" w:rsidR="00911F91" w:rsidTr="005E4C74" w14:paraId="48378B7D" w14:textId="77777777">
        <w:trPr>
          <w:trHeight w:val="8793"/>
        </w:trPr>
        <w:tc>
          <w:tcPr>
            <w:tcW w:w="545" w:type="pct"/>
          </w:tcPr>
          <w:p w:rsidRPr="00A5579B" w:rsidR="00911F91" w:rsidP="005E4C74" w:rsidRDefault="00911F91" w14:paraId="1F5D4566" w14:textId="77777777">
            <w:pPr>
              <w:rPr>
                <w:rFonts w:ascii="Arial" w:hAnsi="Arial" w:cs="Arial"/>
                <w:sz w:val="20"/>
                <w:szCs w:val="20"/>
              </w:rPr>
            </w:pPr>
          </w:p>
          <w:p w:rsidRPr="00A5579B" w:rsidR="00911F91" w:rsidP="005E4C74" w:rsidRDefault="00911F91" w14:paraId="583C1AA4" w14:textId="77777777">
            <w:pPr>
              <w:rPr>
                <w:rFonts w:ascii="Arial" w:hAnsi="Arial" w:cs="Arial"/>
                <w:sz w:val="20"/>
                <w:szCs w:val="20"/>
              </w:rPr>
            </w:pPr>
          </w:p>
          <w:p w:rsidRPr="00A5579B" w:rsidR="00911F91" w:rsidP="005E4C74" w:rsidRDefault="00911F91" w14:paraId="14D6F573" w14:textId="77777777">
            <w:pPr>
              <w:rPr>
                <w:rFonts w:ascii="Arial" w:hAnsi="Arial" w:cs="Arial"/>
                <w:b/>
                <w:bCs/>
                <w:sz w:val="20"/>
                <w:szCs w:val="20"/>
              </w:rPr>
            </w:pPr>
            <w:r>
              <w:rPr>
                <w:rFonts w:ascii="Arial" w:hAnsi="Arial" w:cs="Arial"/>
                <w:b/>
                <w:bCs/>
                <w:sz w:val="20"/>
                <w:szCs w:val="20"/>
              </w:rPr>
              <w:t>[23691]</w:t>
            </w:r>
          </w:p>
          <w:p w:rsidR="00911F91" w:rsidP="005E4C74" w:rsidRDefault="00911F91" w14:paraId="1592F786" w14:textId="77777777">
            <w:pPr>
              <w:rPr>
                <w:rFonts w:ascii="Arial" w:hAnsi="Arial" w:cs="Arial"/>
                <w:sz w:val="20"/>
                <w:szCs w:val="20"/>
              </w:rPr>
            </w:pPr>
          </w:p>
          <w:p w:rsidRPr="00A5579B" w:rsidR="00911F91" w:rsidP="005E4C74" w:rsidRDefault="00911F91" w14:paraId="422E92BE" w14:textId="77777777">
            <w:pPr>
              <w:rPr>
                <w:rFonts w:ascii="Arial" w:hAnsi="Arial" w:cs="Arial"/>
                <w:sz w:val="20"/>
                <w:szCs w:val="20"/>
              </w:rPr>
            </w:pPr>
          </w:p>
        </w:tc>
        <w:tc>
          <w:tcPr>
            <w:tcW w:w="4455" w:type="pct"/>
          </w:tcPr>
          <w:p w:rsidR="00911F91" w:rsidP="005E4C74" w:rsidRDefault="00911F91" w14:paraId="0FC04C4E" w14:textId="77777777">
            <w:pPr>
              <w:pStyle w:val="Default"/>
              <w:rPr>
                <w:b/>
                <w:bCs/>
                <w:sz w:val="20"/>
                <w:szCs w:val="20"/>
              </w:rPr>
            </w:pPr>
          </w:p>
          <w:p w:rsidR="00911F91" w:rsidP="005E4C74" w:rsidRDefault="00911F91" w14:paraId="5F3C1889" w14:textId="77777777">
            <w:pPr>
              <w:autoSpaceDE w:val="0"/>
              <w:autoSpaceDN w:val="0"/>
              <w:adjustRightInd w:val="0"/>
              <w:rPr>
                <w:rFonts w:ascii="Arial" w:hAnsi="Arial" w:cs="Arial"/>
                <w:b/>
                <w:bCs/>
                <w:sz w:val="22"/>
                <w:szCs w:val="22"/>
              </w:rPr>
            </w:pPr>
          </w:p>
          <w:p w:rsidRPr="002C2241" w:rsidR="00911F91" w:rsidP="005E4C74" w:rsidRDefault="00911F91" w14:paraId="1F86358F" w14:textId="77777777">
            <w:pPr>
              <w:autoSpaceDE w:val="0"/>
              <w:autoSpaceDN w:val="0"/>
              <w:adjustRightInd w:val="0"/>
              <w:rPr>
                <w:rFonts w:ascii="Arial" w:hAnsi="Arial" w:cs="Arial"/>
                <w:b/>
                <w:bCs/>
                <w:sz w:val="22"/>
                <w:szCs w:val="22"/>
              </w:rPr>
            </w:pPr>
            <w:r w:rsidRPr="00911F91">
              <w:rPr>
                <w:rFonts w:ascii="Arial" w:hAnsi="Arial" w:cs="Arial"/>
                <w:b/>
                <w:bCs/>
                <w:sz w:val="20"/>
                <w:szCs w:val="20"/>
              </w:rPr>
              <w:t>Undergrounding Distribution Equipment of Large Electrical Corporations</w:t>
            </w:r>
          </w:p>
          <w:p w:rsidR="00911F91" w:rsidP="005E4C74" w:rsidRDefault="00911F91" w14:paraId="7AC1771A" w14:textId="77777777">
            <w:pPr>
              <w:autoSpaceDE w:val="0"/>
              <w:autoSpaceDN w:val="0"/>
              <w:adjustRightInd w:val="0"/>
              <w:rPr>
                <w:rFonts w:ascii="Arial" w:hAnsi="Arial" w:cs="Arial"/>
                <w:sz w:val="20"/>
                <w:szCs w:val="20"/>
              </w:rPr>
            </w:pPr>
          </w:p>
          <w:p w:rsidR="00911F91" w:rsidP="005E4C74" w:rsidRDefault="00911F91" w14:paraId="6B031D93" w14:textId="77777777">
            <w:pPr>
              <w:autoSpaceDE w:val="0"/>
              <w:autoSpaceDN w:val="0"/>
              <w:adjustRightInd w:val="0"/>
              <w:rPr>
                <w:rFonts w:ascii="Arial" w:hAnsi="Arial" w:cs="Arial"/>
                <w:b/>
                <w:bCs/>
                <w:sz w:val="20"/>
                <w:szCs w:val="20"/>
              </w:rPr>
            </w:pPr>
            <w:r w:rsidRPr="002C2241">
              <w:rPr>
                <w:rFonts w:ascii="Arial" w:hAnsi="Arial" w:cs="Arial"/>
                <w:b/>
                <w:bCs/>
                <w:sz w:val="20"/>
                <w:szCs w:val="20"/>
              </w:rPr>
              <w:t>Res SPD-37</w:t>
            </w:r>
          </w:p>
          <w:p w:rsidR="00911F91" w:rsidP="005E4C74" w:rsidRDefault="00911F91" w14:paraId="7192776D" w14:textId="77777777">
            <w:pPr>
              <w:autoSpaceDE w:val="0"/>
              <w:autoSpaceDN w:val="0"/>
              <w:adjustRightInd w:val="0"/>
              <w:rPr>
                <w:rFonts w:ascii="Arial" w:hAnsi="Arial" w:cs="Arial"/>
                <w:sz w:val="20"/>
                <w:szCs w:val="20"/>
              </w:rPr>
            </w:pPr>
          </w:p>
          <w:p w:rsidRPr="00395577" w:rsidR="00911F91" w:rsidP="005E4C74" w:rsidRDefault="00911F91" w14:paraId="1AFC8783" w14:textId="77777777">
            <w:pPr>
              <w:autoSpaceDE w:val="0"/>
              <w:autoSpaceDN w:val="0"/>
              <w:adjustRightInd w:val="0"/>
              <w:rPr>
                <w:rFonts w:ascii="Arial" w:hAnsi="Arial" w:cs="Arial"/>
                <w:iCs/>
                <w:sz w:val="20"/>
                <w:szCs w:val="20"/>
              </w:rPr>
            </w:pPr>
          </w:p>
          <w:p w:rsidRPr="00395577" w:rsidR="00911F91" w:rsidP="005E4C74" w:rsidRDefault="00911F91" w14:paraId="64E76A41" w14:textId="77777777">
            <w:pPr>
              <w:autoSpaceDE w:val="0"/>
              <w:autoSpaceDN w:val="0"/>
              <w:adjustRightInd w:val="0"/>
              <w:rPr>
                <w:rFonts w:ascii="Arial" w:hAnsi="Arial" w:cs="Arial"/>
                <w:b/>
                <w:bCs/>
                <w:sz w:val="20"/>
                <w:szCs w:val="20"/>
              </w:rPr>
            </w:pPr>
            <w:r w:rsidRPr="00395577">
              <w:rPr>
                <w:rFonts w:ascii="Arial" w:hAnsi="Arial" w:cs="Arial"/>
                <w:b/>
                <w:bCs/>
                <w:sz w:val="20"/>
                <w:szCs w:val="20"/>
              </w:rPr>
              <w:t>PROPOSED OUTCOME:</w:t>
            </w:r>
            <w:r w:rsidRPr="00395577">
              <w:rPr>
                <w:rFonts w:ascii="Arial" w:hAnsi="Arial" w:cs="Arial"/>
                <w:b/>
                <w:bCs/>
                <w:sz w:val="20"/>
                <w:szCs w:val="20"/>
              </w:rPr>
              <w:br/>
            </w:r>
          </w:p>
          <w:p w:rsidRPr="002C2241" w:rsidR="00911F91" w:rsidP="005E4C74" w:rsidRDefault="00911F91" w14:paraId="1CE42C43" w14:textId="77777777">
            <w:pPr>
              <w:pStyle w:val="ListParagraph"/>
              <w:numPr>
                <w:ilvl w:val="0"/>
                <w:numId w:val="35"/>
              </w:numPr>
              <w:autoSpaceDE w:val="0"/>
              <w:autoSpaceDN w:val="0"/>
              <w:adjustRightInd w:val="0"/>
              <w:rPr>
                <w:rFonts w:ascii="Arial" w:hAnsi="Arial" w:cs="Arial"/>
                <w:sz w:val="20"/>
                <w:szCs w:val="20"/>
              </w:rPr>
            </w:pPr>
            <w:r w:rsidRPr="002C2241">
              <w:rPr>
                <w:rFonts w:ascii="Arial" w:hAnsi="Arial" w:cs="Arial"/>
                <w:sz w:val="20"/>
                <w:szCs w:val="20"/>
              </w:rPr>
              <w:t>Refines the Senate Bill (SB) 884 Program: CPUC Guidelines, Program for</w:t>
            </w:r>
          </w:p>
          <w:p w:rsidRPr="002C2241" w:rsidR="00911F91" w:rsidP="005E4C74" w:rsidRDefault="00911F91" w14:paraId="7882C859" w14:textId="77777777">
            <w:pPr>
              <w:pStyle w:val="ListParagraph"/>
              <w:autoSpaceDE w:val="0"/>
              <w:autoSpaceDN w:val="0"/>
              <w:adjustRightInd w:val="0"/>
              <w:rPr>
                <w:rFonts w:ascii="Arial" w:hAnsi="Arial" w:cs="Arial"/>
                <w:sz w:val="20"/>
                <w:szCs w:val="20"/>
              </w:rPr>
            </w:pPr>
            <w:r w:rsidRPr="002C2241">
              <w:rPr>
                <w:rFonts w:ascii="Arial" w:hAnsi="Arial" w:cs="Arial"/>
                <w:sz w:val="20"/>
                <w:szCs w:val="20"/>
              </w:rPr>
              <w:t>Expediting the Undergrounding of Distribution Equipment of Large Electrical</w:t>
            </w:r>
          </w:p>
          <w:p w:rsidRPr="002C2241" w:rsidR="00911F91" w:rsidP="005E4C74" w:rsidRDefault="00911F91" w14:paraId="4C4CFF82" w14:textId="77777777">
            <w:pPr>
              <w:pStyle w:val="ListParagraph"/>
              <w:autoSpaceDE w:val="0"/>
              <w:autoSpaceDN w:val="0"/>
              <w:adjustRightInd w:val="0"/>
              <w:rPr>
                <w:rFonts w:ascii="Arial" w:hAnsi="Arial" w:cs="Arial"/>
                <w:sz w:val="20"/>
                <w:szCs w:val="20"/>
              </w:rPr>
            </w:pPr>
            <w:r w:rsidRPr="002C2241">
              <w:rPr>
                <w:rFonts w:ascii="Arial" w:hAnsi="Arial" w:cs="Arial"/>
                <w:sz w:val="20"/>
                <w:szCs w:val="20"/>
              </w:rPr>
              <w:t>Corporations, previously adopted in Resolution SPD-15, issued March 8,</w:t>
            </w:r>
          </w:p>
          <w:p w:rsidRPr="002C2241" w:rsidR="00911F91" w:rsidP="005E4C74" w:rsidRDefault="00911F91" w14:paraId="40F2FDC3" w14:textId="77777777">
            <w:pPr>
              <w:pStyle w:val="ListParagraph"/>
              <w:autoSpaceDE w:val="0"/>
              <w:autoSpaceDN w:val="0"/>
              <w:adjustRightInd w:val="0"/>
              <w:rPr>
                <w:rFonts w:ascii="Arial" w:hAnsi="Arial" w:cs="Arial"/>
                <w:sz w:val="20"/>
                <w:szCs w:val="20"/>
              </w:rPr>
            </w:pPr>
            <w:r w:rsidRPr="002C2241">
              <w:rPr>
                <w:rFonts w:ascii="Arial" w:hAnsi="Arial" w:cs="Arial"/>
                <w:sz w:val="20"/>
                <w:szCs w:val="20"/>
              </w:rPr>
              <w:t>2024. Aligns the Commission's program with the recently adopted SB 884 10-Year</w:t>
            </w:r>
          </w:p>
          <w:p w:rsidRPr="002C2241" w:rsidR="00911F91" w:rsidP="005E4C74" w:rsidRDefault="00911F91" w14:paraId="44FDEC05" w14:textId="77777777">
            <w:pPr>
              <w:pStyle w:val="ListParagraph"/>
              <w:autoSpaceDE w:val="0"/>
              <w:autoSpaceDN w:val="0"/>
              <w:adjustRightInd w:val="0"/>
              <w:rPr>
                <w:rFonts w:ascii="Arial" w:hAnsi="Arial" w:cs="Arial"/>
                <w:sz w:val="20"/>
                <w:szCs w:val="20"/>
              </w:rPr>
            </w:pPr>
            <w:r w:rsidRPr="002C2241">
              <w:rPr>
                <w:rFonts w:ascii="Arial" w:hAnsi="Arial" w:cs="Arial"/>
                <w:sz w:val="20"/>
                <w:szCs w:val="20"/>
              </w:rPr>
              <w:t>Electrical Undergrounding Plan Guidelines of the Office of Energy Infrastructure</w:t>
            </w:r>
          </w:p>
          <w:p w:rsidRPr="00CD7966" w:rsidR="00911F91" w:rsidP="005E4C74" w:rsidRDefault="00911F91" w14:paraId="5C544EE9" w14:textId="77777777">
            <w:pPr>
              <w:pStyle w:val="ListParagraph"/>
              <w:autoSpaceDE w:val="0"/>
              <w:autoSpaceDN w:val="0"/>
              <w:adjustRightInd w:val="0"/>
              <w:rPr>
                <w:rFonts w:ascii="Arial" w:hAnsi="Arial" w:cs="Arial"/>
                <w:sz w:val="20"/>
                <w:szCs w:val="20"/>
              </w:rPr>
            </w:pPr>
            <w:r w:rsidRPr="002C2241">
              <w:rPr>
                <w:rFonts w:ascii="Arial" w:hAnsi="Arial" w:cs="Arial"/>
                <w:sz w:val="20"/>
                <w:szCs w:val="20"/>
              </w:rPr>
              <w:t>Safety.</w:t>
            </w:r>
            <w:r w:rsidRPr="00CD7966">
              <w:rPr>
                <w:rFonts w:ascii="Arial" w:hAnsi="Arial" w:cs="Arial"/>
                <w:sz w:val="20"/>
                <w:szCs w:val="20"/>
              </w:rPr>
              <w:cr/>
            </w:r>
          </w:p>
          <w:p w:rsidRPr="00395577" w:rsidR="00911F91" w:rsidP="005E4C74" w:rsidRDefault="00911F91" w14:paraId="29642B58" w14:textId="77777777">
            <w:pPr>
              <w:autoSpaceDE w:val="0"/>
              <w:autoSpaceDN w:val="0"/>
              <w:adjustRightInd w:val="0"/>
              <w:rPr>
                <w:rFonts w:ascii="Arial" w:hAnsi="Arial" w:cs="Arial"/>
                <w:b/>
                <w:bCs/>
                <w:sz w:val="20"/>
                <w:szCs w:val="20"/>
              </w:rPr>
            </w:pPr>
            <w:r w:rsidRPr="00395577">
              <w:rPr>
                <w:rFonts w:ascii="Arial" w:hAnsi="Arial" w:cs="Arial"/>
                <w:b/>
                <w:bCs/>
                <w:sz w:val="20"/>
                <w:szCs w:val="20"/>
              </w:rPr>
              <w:t>SAFETY CONSIDERATIONS:</w:t>
            </w:r>
            <w:r w:rsidRPr="00395577">
              <w:rPr>
                <w:rFonts w:ascii="Arial" w:hAnsi="Arial" w:cs="Arial"/>
                <w:b/>
                <w:bCs/>
                <w:sz w:val="20"/>
                <w:szCs w:val="20"/>
              </w:rPr>
              <w:br/>
            </w:r>
          </w:p>
          <w:p w:rsidRPr="002C2241" w:rsidR="00911F91" w:rsidP="005E4C74" w:rsidRDefault="00911F91" w14:paraId="02DF9BA0" w14:textId="77777777">
            <w:pPr>
              <w:pStyle w:val="ListParagraph"/>
              <w:numPr>
                <w:ilvl w:val="0"/>
                <w:numId w:val="40"/>
              </w:numPr>
              <w:autoSpaceDE w:val="0"/>
              <w:autoSpaceDN w:val="0"/>
              <w:adjustRightInd w:val="0"/>
              <w:rPr>
                <w:rFonts w:ascii="Arial" w:hAnsi="Arial" w:cs="Arial"/>
                <w:sz w:val="20"/>
                <w:szCs w:val="20"/>
              </w:rPr>
            </w:pPr>
            <w:r w:rsidRPr="002C2241">
              <w:rPr>
                <w:rFonts w:ascii="Arial" w:hAnsi="Arial" w:cs="Arial"/>
                <w:sz w:val="20"/>
                <w:szCs w:val="20"/>
              </w:rPr>
              <w:t>Reduce utility caused wildfires and increase reliability through the adopted</w:t>
            </w:r>
          </w:p>
          <w:p w:rsidR="00911F91" w:rsidP="005E4C74" w:rsidRDefault="00911F91" w14:paraId="5761F5A2" w14:textId="77777777">
            <w:pPr>
              <w:pStyle w:val="ListParagraph"/>
              <w:autoSpaceDE w:val="0"/>
              <w:autoSpaceDN w:val="0"/>
              <w:adjustRightInd w:val="0"/>
              <w:rPr>
                <w:rFonts w:ascii="Arial" w:hAnsi="Arial" w:cs="Arial"/>
                <w:sz w:val="20"/>
                <w:szCs w:val="20"/>
              </w:rPr>
            </w:pPr>
            <w:r w:rsidRPr="002C2241">
              <w:rPr>
                <w:rFonts w:ascii="Arial" w:hAnsi="Arial" w:cs="Arial"/>
                <w:sz w:val="20"/>
                <w:szCs w:val="20"/>
              </w:rPr>
              <w:t>expedited utility distribution infrastructure undergrounding program.</w:t>
            </w:r>
          </w:p>
          <w:p w:rsidRPr="00955AAA" w:rsidR="00911F91" w:rsidP="005E4C74" w:rsidRDefault="00911F91" w14:paraId="64191DA5" w14:textId="77777777">
            <w:pPr>
              <w:pStyle w:val="ListParagraph"/>
              <w:autoSpaceDE w:val="0"/>
              <w:autoSpaceDN w:val="0"/>
              <w:adjustRightInd w:val="0"/>
              <w:rPr>
                <w:rFonts w:ascii="Arial" w:hAnsi="Arial" w:cs="Arial"/>
                <w:sz w:val="20"/>
                <w:szCs w:val="20"/>
              </w:rPr>
            </w:pPr>
          </w:p>
          <w:p w:rsidRPr="00395577" w:rsidR="00911F91" w:rsidP="005E4C74" w:rsidRDefault="00911F91" w14:paraId="329332F6" w14:textId="77777777">
            <w:pPr>
              <w:autoSpaceDE w:val="0"/>
              <w:autoSpaceDN w:val="0"/>
              <w:adjustRightInd w:val="0"/>
              <w:rPr>
                <w:rFonts w:ascii="Arial" w:hAnsi="Arial" w:cs="Arial"/>
                <w:b/>
                <w:bCs/>
                <w:sz w:val="20"/>
                <w:szCs w:val="20"/>
              </w:rPr>
            </w:pPr>
            <w:r w:rsidRPr="00395577">
              <w:rPr>
                <w:rFonts w:ascii="Arial" w:hAnsi="Arial" w:cs="Arial"/>
                <w:b/>
                <w:bCs/>
                <w:sz w:val="20"/>
                <w:szCs w:val="20"/>
              </w:rPr>
              <w:t>ESTIMATED COST:</w:t>
            </w:r>
            <w:r w:rsidRPr="00395577">
              <w:rPr>
                <w:rFonts w:ascii="Arial" w:hAnsi="Arial" w:cs="Arial"/>
                <w:b/>
                <w:bCs/>
                <w:sz w:val="20"/>
                <w:szCs w:val="20"/>
              </w:rPr>
              <w:br/>
            </w:r>
          </w:p>
          <w:p w:rsidRPr="002C2241" w:rsidR="00911F91" w:rsidP="005E4C74" w:rsidRDefault="00911F91" w14:paraId="5416D00C" w14:textId="77777777">
            <w:pPr>
              <w:pStyle w:val="ListParagraph"/>
              <w:numPr>
                <w:ilvl w:val="0"/>
                <w:numId w:val="36"/>
              </w:numPr>
              <w:rPr>
                <w:rFonts w:ascii="Arial" w:hAnsi="Arial" w:cs="Arial"/>
                <w:iCs/>
                <w:sz w:val="20"/>
                <w:szCs w:val="20"/>
              </w:rPr>
            </w:pPr>
            <w:r w:rsidRPr="002C2241">
              <w:rPr>
                <w:rFonts w:ascii="Arial" w:hAnsi="Arial" w:cs="Arial"/>
                <w:sz w:val="20"/>
                <w:szCs w:val="20"/>
              </w:rPr>
              <w:t>There are no costs associated with this resolution.</w:t>
            </w:r>
          </w:p>
          <w:p w:rsidR="00911F91" w:rsidP="005E4C74" w:rsidRDefault="00911F91" w14:paraId="0A383D8C" w14:textId="77777777">
            <w:pPr>
              <w:pStyle w:val="ListParagraph"/>
              <w:rPr>
                <w:rFonts w:ascii="Arial" w:hAnsi="Arial" w:cs="Arial"/>
                <w:iCs/>
                <w:sz w:val="20"/>
                <w:szCs w:val="20"/>
              </w:rPr>
            </w:pPr>
          </w:p>
          <w:p w:rsidRPr="00CD7966" w:rsidR="00911F91" w:rsidP="005E4C74" w:rsidRDefault="00911F91" w14:paraId="2A9DC787" w14:textId="77777777">
            <w:pPr>
              <w:pStyle w:val="ListParagraph"/>
              <w:rPr>
                <w:rFonts w:ascii="Arial" w:hAnsi="Arial" w:cs="Arial"/>
                <w:iCs/>
                <w:sz w:val="20"/>
                <w:szCs w:val="20"/>
              </w:rPr>
            </w:pPr>
          </w:p>
          <w:p w:rsidR="00911F91" w:rsidP="005E4C74" w:rsidRDefault="00911F91" w14:paraId="01FC4B35" w14:textId="77777777">
            <w:pPr>
              <w:autoSpaceDE w:val="0"/>
              <w:autoSpaceDN w:val="0"/>
              <w:adjustRightInd w:val="0"/>
            </w:pPr>
            <w:hyperlink w:history="1" r:id="rId14">
              <w:r w:rsidRPr="00037639">
                <w:rPr>
                  <w:rStyle w:val="Hyperlink"/>
                  <w:rFonts w:ascii="Arial" w:hAnsi="Arial" w:cs="Arial"/>
                  <w:sz w:val="20"/>
                  <w:szCs w:val="20"/>
                </w:rPr>
                <w:t>http://docs.cpuc.ca.gov/SearchRes.aspx?docformat=ALL&amp;docid=</w:t>
              </w:r>
              <w:r w:rsidRPr="002773A4">
                <w:rPr>
                  <w:rStyle w:val="Hyperlink"/>
                  <w:rFonts w:ascii="Arial" w:hAnsi="Arial" w:cs="Arial"/>
                  <w:sz w:val="20"/>
                  <w:szCs w:val="20"/>
                </w:rPr>
                <w:t>583834088</w:t>
              </w:r>
            </w:hyperlink>
          </w:p>
          <w:p w:rsidR="00911F91" w:rsidP="005E4C74" w:rsidRDefault="00911F91" w14:paraId="46DDD678" w14:textId="77777777">
            <w:pPr>
              <w:autoSpaceDE w:val="0"/>
              <w:autoSpaceDN w:val="0"/>
              <w:adjustRightInd w:val="0"/>
            </w:pPr>
            <w:r w:rsidRPr="0035756D">
              <w:rPr>
                <w:rFonts w:ascii="Arial" w:hAnsi="Arial" w:cs="Arial"/>
                <w:sz w:val="20"/>
                <w:szCs w:val="20"/>
              </w:rPr>
              <w:t>Agenda 3569, Item 44 9/18/2025 (Baker)</w:t>
            </w:r>
            <w:r>
              <w:t xml:space="preserve"> </w:t>
            </w:r>
          </w:p>
          <w:p w:rsidR="00911F91" w:rsidP="005E4C74" w:rsidRDefault="00911F91" w14:paraId="47798580" w14:textId="77777777">
            <w:pPr>
              <w:autoSpaceDE w:val="0"/>
              <w:autoSpaceDN w:val="0"/>
              <w:adjustRightInd w:val="0"/>
              <w:rPr>
                <w:rFonts w:ascii="Arial" w:hAnsi="Arial" w:cs="Arial"/>
                <w:sz w:val="20"/>
                <w:szCs w:val="20"/>
              </w:rPr>
            </w:pPr>
            <w:r w:rsidRPr="002773A4">
              <w:rPr>
                <w:rFonts w:ascii="Arial" w:hAnsi="Arial" w:cs="Arial"/>
                <w:sz w:val="20"/>
                <w:szCs w:val="20"/>
              </w:rPr>
              <w:t>Agenda 3570, Item 40 10/9/2025 (Alice Reynolds)</w:t>
            </w:r>
          </w:p>
          <w:p w:rsidRPr="0035756D" w:rsidR="00911F91" w:rsidP="005E4C74" w:rsidRDefault="00911F91" w14:paraId="1C034A0E" w14:textId="77777777">
            <w:pPr>
              <w:autoSpaceDE w:val="0"/>
              <w:autoSpaceDN w:val="0"/>
              <w:adjustRightInd w:val="0"/>
              <w:rPr>
                <w:sz w:val="20"/>
                <w:szCs w:val="20"/>
              </w:rPr>
            </w:pPr>
          </w:p>
          <w:p w:rsidRPr="004C5B29" w:rsidR="00911F91" w:rsidP="005E4C74" w:rsidRDefault="00911F91" w14:paraId="453CCAA9" w14:textId="77777777">
            <w:pPr>
              <w:autoSpaceDE w:val="0"/>
              <w:autoSpaceDN w:val="0"/>
              <w:adjustRightInd w:val="0"/>
              <w:rPr>
                <w:bCs/>
                <w:iCs/>
                <w:sz w:val="20"/>
                <w:szCs w:val="20"/>
                <w:u w:val="single"/>
              </w:rPr>
            </w:pPr>
          </w:p>
        </w:tc>
      </w:tr>
    </w:tbl>
    <w:p w:rsidR="000E7C98" w:rsidP="0010621F" w:rsidRDefault="000E7C98" w14:paraId="3E8DAD6E" w14:textId="77777777"/>
    <w:sectPr w:rsidR="000E7C98" w:rsidSect="00B75350">
      <w:headerReference w:type="default" r:id="rId15"/>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6B18C" w14:textId="77777777" w:rsidR="00F0211F" w:rsidRDefault="00F0211F">
      <w:r>
        <w:separator/>
      </w:r>
    </w:p>
  </w:endnote>
  <w:endnote w:type="continuationSeparator" w:id="0">
    <w:p w14:paraId="19E5CB25" w14:textId="77777777" w:rsidR="00F0211F" w:rsidRDefault="00F0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F4E4B" w14:textId="77777777" w:rsidR="00F0211F" w:rsidRDefault="00F0211F">
      <w:r>
        <w:separator/>
      </w:r>
    </w:p>
  </w:footnote>
  <w:footnote w:type="continuationSeparator" w:id="0">
    <w:p w14:paraId="3CBD352B" w14:textId="77777777" w:rsidR="00F0211F" w:rsidRDefault="00F02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00B7" w14:textId="77777777" w:rsidR="006A0B79" w:rsidRPr="00D27ADF" w:rsidRDefault="006A0B79" w:rsidP="00D27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C96"/>
    <w:multiLevelType w:val="hybridMultilevel"/>
    <w:tmpl w:val="A9DE5F0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041E1650"/>
    <w:multiLevelType w:val="hybridMultilevel"/>
    <w:tmpl w:val="5B1E21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22390"/>
    <w:multiLevelType w:val="hybridMultilevel"/>
    <w:tmpl w:val="DF7C27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5122EE8"/>
    <w:multiLevelType w:val="hybridMultilevel"/>
    <w:tmpl w:val="8670F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4E276C"/>
    <w:multiLevelType w:val="hybridMultilevel"/>
    <w:tmpl w:val="50C4E0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CF4D8E"/>
    <w:multiLevelType w:val="multilevel"/>
    <w:tmpl w:val="F920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16329"/>
    <w:multiLevelType w:val="multilevel"/>
    <w:tmpl w:val="E8EC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20B31"/>
    <w:multiLevelType w:val="multilevel"/>
    <w:tmpl w:val="191A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C41A8E"/>
    <w:multiLevelType w:val="multilevel"/>
    <w:tmpl w:val="C4E2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375B1"/>
    <w:multiLevelType w:val="multilevel"/>
    <w:tmpl w:val="58F62C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C92B2F"/>
    <w:multiLevelType w:val="multilevel"/>
    <w:tmpl w:val="5B8C773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60BC5"/>
    <w:multiLevelType w:val="hybridMultilevel"/>
    <w:tmpl w:val="55FC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46E1D"/>
    <w:multiLevelType w:val="hybridMultilevel"/>
    <w:tmpl w:val="A314C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D2062D"/>
    <w:multiLevelType w:val="hybridMultilevel"/>
    <w:tmpl w:val="A2540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DC77740"/>
    <w:multiLevelType w:val="hybridMultilevel"/>
    <w:tmpl w:val="391A0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F6E4DF1"/>
    <w:multiLevelType w:val="hybridMultilevel"/>
    <w:tmpl w:val="DDDE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87213"/>
    <w:multiLevelType w:val="hybridMultilevel"/>
    <w:tmpl w:val="1AF0DE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C83CC6"/>
    <w:multiLevelType w:val="multilevel"/>
    <w:tmpl w:val="4B9C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D41C8D"/>
    <w:multiLevelType w:val="hybridMultilevel"/>
    <w:tmpl w:val="FE606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CF51BD"/>
    <w:multiLevelType w:val="multilevel"/>
    <w:tmpl w:val="15F4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1A223B"/>
    <w:multiLevelType w:val="hybridMultilevel"/>
    <w:tmpl w:val="F9A02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367BB8"/>
    <w:multiLevelType w:val="multilevel"/>
    <w:tmpl w:val="0932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BA54FD"/>
    <w:multiLevelType w:val="hybridMultilevel"/>
    <w:tmpl w:val="67E05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093130"/>
    <w:multiLevelType w:val="hybridMultilevel"/>
    <w:tmpl w:val="6DF4C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616ECD"/>
    <w:multiLevelType w:val="multilevel"/>
    <w:tmpl w:val="D914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D040A3"/>
    <w:multiLevelType w:val="hybridMultilevel"/>
    <w:tmpl w:val="1086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651A0"/>
    <w:multiLevelType w:val="multilevel"/>
    <w:tmpl w:val="427E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002875"/>
    <w:multiLevelType w:val="multilevel"/>
    <w:tmpl w:val="8224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A840F8"/>
    <w:multiLevelType w:val="hybridMultilevel"/>
    <w:tmpl w:val="EFD8CBFE"/>
    <w:lvl w:ilvl="0" w:tplc="04090001">
      <w:start w:val="1"/>
      <w:numFmt w:val="bullet"/>
      <w:lvlText w:val=""/>
      <w:lvlJc w:val="left"/>
      <w:pPr>
        <w:ind w:left="720" w:hanging="360"/>
      </w:pPr>
      <w:rPr>
        <w:rFonts w:ascii="Symbol" w:hAnsi="Symbol" w:hint="default"/>
      </w:rPr>
    </w:lvl>
    <w:lvl w:ilvl="1" w:tplc="11D6B3E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1341DB"/>
    <w:multiLevelType w:val="hybridMultilevel"/>
    <w:tmpl w:val="B00AF7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830690"/>
    <w:multiLevelType w:val="hybridMultilevel"/>
    <w:tmpl w:val="17160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492CDB"/>
    <w:multiLevelType w:val="multilevel"/>
    <w:tmpl w:val="ED78AD1E"/>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B31383"/>
    <w:multiLevelType w:val="hybridMultilevel"/>
    <w:tmpl w:val="0A2467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00B37"/>
    <w:multiLevelType w:val="hybridMultilevel"/>
    <w:tmpl w:val="0192A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901C29"/>
    <w:multiLevelType w:val="hybridMultilevel"/>
    <w:tmpl w:val="EA902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4C918C5"/>
    <w:multiLevelType w:val="multilevel"/>
    <w:tmpl w:val="EDE2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DF3960"/>
    <w:multiLevelType w:val="hybridMultilevel"/>
    <w:tmpl w:val="7422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0D4F6C"/>
    <w:multiLevelType w:val="hybridMultilevel"/>
    <w:tmpl w:val="5C162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BB4C8C"/>
    <w:multiLevelType w:val="hybridMultilevel"/>
    <w:tmpl w:val="A65E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C90F4D"/>
    <w:multiLevelType w:val="hybridMultilevel"/>
    <w:tmpl w:val="1C52D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1699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7919782">
    <w:abstractNumId w:val="4"/>
  </w:num>
  <w:num w:numId="3" w16cid:durableId="149635565">
    <w:abstractNumId w:val="20"/>
  </w:num>
  <w:num w:numId="4" w16cid:durableId="335814344">
    <w:abstractNumId w:val="18"/>
  </w:num>
  <w:num w:numId="5" w16cid:durableId="816342057">
    <w:abstractNumId w:val="37"/>
  </w:num>
  <w:num w:numId="6" w16cid:durableId="1564027454">
    <w:abstractNumId w:val="30"/>
  </w:num>
  <w:num w:numId="7" w16cid:durableId="1921520380">
    <w:abstractNumId w:val="23"/>
  </w:num>
  <w:num w:numId="8" w16cid:durableId="261497371">
    <w:abstractNumId w:val="1"/>
  </w:num>
  <w:num w:numId="9" w16cid:durableId="1844197885">
    <w:abstractNumId w:val="10"/>
  </w:num>
  <w:num w:numId="10" w16cid:durableId="1205026820">
    <w:abstractNumId w:val="29"/>
  </w:num>
  <w:num w:numId="11" w16cid:durableId="1507476615">
    <w:abstractNumId w:val="16"/>
  </w:num>
  <w:num w:numId="12" w16cid:durableId="1025785044">
    <w:abstractNumId w:val="5"/>
  </w:num>
  <w:num w:numId="13" w16cid:durableId="1010181500">
    <w:abstractNumId w:val="24"/>
  </w:num>
  <w:num w:numId="14" w16cid:durableId="648511446">
    <w:abstractNumId w:val="39"/>
  </w:num>
  <w:num w:numId="15" w16cid:durableId="716662448">
    <w:abstractNumId w:val="32"/>
  </w:num>
  <w:num w:numId="16" w16cid:durableId="659427453">
    <w:abstractNumId w:val="22"/>
  </w:num>
  <w:num w:numId="17" w16cid:durableId="200628801">
    <w:abstractNumId w:val="12"/>
  </w:num>
  <w:num w:numId="18" w16cid:durableId="1527480249">
    <w:abstractNumId w:val="25"/>
  </w:num>
  <w:num w:numId="19" w16cid:durableId="280067615">
    <w:abstractNumId w:val="6"/>
  </w:num>
  <w:num w:numId="20" w16cid:durableId="412970771">
    <w:abstractNumId w:val="21"/>
  </w:num>
  <w:num w:numId="21" w16cid:durableId="561327524">
    <w:abstractNumId w:val="8"/>
  </w:num>
  <w:num w:numId="22" w16cid:durableId="576718782">
    <w:abstractNumId w:val="19"/>
  </w:num>
  <w:num w:numId="23" w16cid:durableId="464391538">
    <w:abstractNumId w:val="7"/>
  </w:num>
  <w:num w:numId="24" w16cid:durableId="1798838900">
    <w:abstractNumId w:val="26"/>
  </w:num>
  <w:num w:numId="25" w16cid:durableId="1677072044">
    <w:abstractNumId w:val="9"/>
  </w:num>
  <w:num w:numId="26" w16cid:durableId="1993605331">
    <w:abstractNumId w:val="31"/>
  </w:num>
  <w:num w:numId="27" w16cid:durableId="1369573147">
    <w:abstractNumId w:val="27"/>
  </w:num>
  <w:num w:numId="28" w16cid:durableId="1263538732">
    <w:abstractNumId w:val="17"/>
  </w:num>
  <w:num w:numId="29" w16cid:durableId="292516709">
    <w:abstractNumId w:val="35"/>
  </w:num>
  <w:num w:numId="30" w16cid:durableId="1236739311">
    <w:abstractNumId w:val="34"/>
  </w:num>
  <w:num w:numId="31" w16cid:durableId="44764182">
    <w:abstractNumId w:val="33"/>
  </w:num>
  <w:num w:numId="32" w16cid:durableId="1700398499">
    <w:abstractNumId w:val="0"/>
  </w:num>
  <w:num w:numId="33" w16cid:durableId="378819506">
    <w:abstractNumId w:val="2"/>
  </w:num>
  <w:num w:numId="34" w16cid:durableId="1460605576">
    <w:abstractNumId w:val="13"/>
  </w:num>
  <w:num w:numId="35" w16cid:durableId="397824655">
    <w:abstractNumId w:val="28"/>
  </w:num>
  <w:num w:numId="36" w16cid:durableId="588388033">
    <w:abstractNumId w:val="36"/>
  </w:num>
  <w:num w:numId="37" w16cid:durableId="1080979097">
    <w:abstractNumId w:val="14"/>
  </w:num>
  <w:num w:numId="38" w16cid:durableId="48110780">
    <w:abstractNumId w:val="3"/>
  </w:num>
  <w:num w:numId="39" w16cid:durableId="1022511340">
    <w:abstractNumId w:val="15"/>
  </w:num>
  <w:num w:numId="40" w16cid:durableId="104616807">
    <w:abstractNumId w:val="38"/>
  </w:num>
  <w:num w:numId="41" w16cid:durableId="7507337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3F"/>
    <w:rsid w:val="00000517"/>
    <w:rsid w:val="00000ACA"/>
    <w:rsid w:val="00002FA6"/>
    <w:rsid w:val="000042AF"/>
    <w:rsid w:val="00010050"/>
    <w:rsid w:val="00011919"/>
    <w:rsid w:val="00012396"/>
    <w:rsid w:val="0001622A"/>
    <w:rsid w:val="000220E8"/>
    <w:rsid w:val="0002291C"/>
    <w:rsid w:val="00027CDD"/>
    <w:rsid w:val="00032D6E"/>
    <w:rsid w:val="000333BA"/>
    <w:rsid w:val="00033D04"/>
    <w:rsid w:val="00036742"/>
    <w:rsid w:val="00037B8D"/>
    <w:rsid w:val="0004190F"/>
    <w:rsid w:val="00042563"/>
    <w:rsid w:val="00046F2D"/>
    <w:rsid w:val="00050ADF"/>
    <w:rsid w:val="0005766D"/>
    <w:rsid w:val="00057AC3"/>
    <w:rsid w:val="00060011"/>
    <w:rsid w:val="00060F1B"/>
    <w:rsid w:val="000647AA"/>
    <w:rsid w:val="00080169"/>
    <w:rsid w:val="000854EB"/>
    <w:rsid w:val="00086AAA"/>
    <w:rsid w:val="000913E0"/>
    <w:rsid w:val="00091684"/>
    <w:rsid w:val="00092D51"/>
    <w:rsid w:val="000A1EC1"/>
    <w:rsid w:val="000A2386"/>
    <w:rsid w:val="000A7FB1"/>
    <w:rsid w:val="000B137A"/>
    <w:rsid w:val="000B24D0"/>
    <w:rsid w:val="000B44AC"/>
    <w:rsid w:val="000B5732"/>
    <w:rsid w:val="000B6B52"/>
    <w:rsid w:val="000B758C"/>
    <w:rsid w:val="000C03B8"/>
    <w:rsid w:val="000C19F8"/>
    <w:rsid w:val="000C4B12"/>
    <w:rsid w:val="000C516E"/>
    <w:rsid w:val="000C7B9C"/>
    <w:rsid w:val="000C7BCC"/>
    <w:rsid w:val="000D6160"/>
    <w:rsid w:val="000D651F"/>
    <w:rsid w:val="000D6DEB"/>
    <w:rsid w:val="000E491C"/>
    <w:rsid w:val="000E7C98"/>
    <w:rsid w:val="000F4C3D"/>
    <w:rsid w:val="000F642A"/>
    <w:rsid w:val="00105623"/>
    <w:rsid w:val="0010621F"/>
    <w:rsid w:val="00131EDF"/>
    <w:rsid w:val="00135AC5"/>
    <w:rsid w:val="001408B9"/>
    <w:rsid w:val="001443F1"/>
    <w:rsid w:val="00144E69"/>
    <w:rsid w:val="00146CB4"/>
    <w:rsid w:val="00146E67"/>
    <w:rsid w:val="00147A59"/>
    <w:rsid w:val="001512E8"/>
    <w:rsid w:val="001512F4"/>
    <w:rsid w:val="001552C4"/>
    <w:rsid w:val="001618D7"/>
    <w:rsid w:val="00161A5F"/>
    <w:rsid w:val="001642FD"/>
    <w:rsid w:val="00170E06"/>
    <w:rsid w:val="00177155"/>
    <w:rsid w:val="00177DF8"/>
    <w:rsid w:val="00181168"/>
    <w:rsid w:val="00182A75"/>
    <w:rsid w:val="00182AEA"/>
    <w:rsid w:val="00184472"/>
    <w:rsid w:val="00187A53"/>
    <w:rsid w:val="0019222E"/>
    <w:rsid w:val="0019248B"/>
    <w:rsid w:val="001A38C1"/>
    <w:rsid w:val="001A49E2"/>
    <w:rsid w:val="001A7FCE"/>
    <w:rsid w:val="001B198C"/>
    <w:rsid w:val="001B3274"/>
    <w:rsid w:val="001B4BA0"/>
    <w:rsid w:val="001B6809"/>
    <w:rsid w:val="001B6F3E"/>
    <w:rsid w:val="001C6BDE"/>
    <w:rsid w:val="001D11ED"/>
    <w:rsid w:val="001D1DE8"/>
    <w:rsid w:val="001D2128"/>
    <w:rsid w:val="001D447B"/>
    <w:rsid w:val="001E16B0"/>
    <w:rsid w:val="001E25F7"/>
    <w:rsid w:val="001E4E64"/>
    <w:rsid w:val="001F29AD"/>
    <w:rsid w:val="001F4B5D"/>
    <w:rsid w:val="00201B04"/>
    <w:rsid w:val="00203DA9"/>
    <w:rsid w:val="002107A3"/>
    <w:rsid w:val="00222B21"/>
    <w:rsid w:val="00225775"/>
    <w:rsid w:val="00226D72"/>
    <w:rsid w:val="00231216"/>
    <w:rsid w:val="00232D2E"/>
    <w:rsid w:val="00233D6D"/>
    <w:rsid w:val="0023480A"/>
    <w:rsid w:val="00236EB8"/>
    <w:rsid w:val="0023703B"/>
    <w:rsid w:val="002407E0"/>
    <w:rsid w:val="00242DD3"/>
    <w:rsid w:val="0024608D"/>
    <w:rsid w:val="00247B6C"/>
    <w:rsid w:val="002518A0"/>
    <w:rsid w:val="002552E7"/>
    <w:rsid w:val="0025530E"/>
    <w:rsid w:val="002659E1"/>
    <w:rsid w:val="00265EA2"/>
    <w:rsid w:val="002672F1"/>
    <w:rsid w:val="002773A4"/>
    <w:rsid w:val="00284360"/>
    <w:rsid w:val="00292251"/>
    <w:rsid w:val="00294431"/>
    <w:rsid w:val="00296975"/>
    <w:rsid w:val="0029720B"/>
    <w:rsid w:val="002A086B"/>
    <w:rsid w:val="002A2928"/>
    <w:rsid w:val="002A2E93"/>
    <w:rsid w:val="002A426D"/>
    <w:rsid w:val="002B0A28"/>
    <w:rsid w:val="002B0BB2"/>
    <w:rsid w:val="002B220C"/>
    <w:rsid w:val="002B3E65"/>
    <w:rsid w:val="002B6774"/>
    <w:rsid w:val="002B74F9"/>
    <w:rsid w:val="002B7FA4"/>
    <w:rsid w:val="002C2241"/>
    <w:rsid w:val="002C6125"/>
    <w:rsid w:val="002C6CBC"/>
    <w:rsid w:val="002D28A3"/>
    <w:rsid w:val="002D3933"/>
    <w:rsid w:val="002D57A8"/>
    <w:rsid w:val="002D70FE"/>
    <w:rsid w:val="002E47E6"/>
    <w:rsid w:val="002E6F3B"/>
    <w:rsid w:val="002E7043"/>
    <w:rsid w:val="002E73BC"/>
    <w:rsid w:val="00300903"/>
    <w:rsid w:val="00301BC8"/>
    <w:rsid w:val="00304562"/>
    <w:rsid w:val="00316081"/>
    <w:rsid w:val="003171A3"/>
    <w:rsid w:val="00322239"/>
    <w:rsid w:val="00322503"/>
    <w:rsid w:val="00327BD6"/>
    <w:rsid w:val="00343664"/>
    <w:rsid w:val="00343F6B"/>
    <w:rsid w:val="00350623"/>
    <w:rsid w:val="003530F8"/>
    <w:rsid w:val="0035756D"/>
    <w:rsid w:val="003640B4"/>
    <w:rsid w:val="00364E84"/>
    <w:rsid w:val="00367DED"/>
    <w:rsid w:val="00375BC5"/>
    <w:rsid w:val="00376561"/>
    <w:rsid w:val="00377F9C"/>
    <w:rsid w:val="00386CF2"/>
    <w:rsid w:val="00387521"/>
    <w:rsid w:val="00387754"/>
    <w:rsid w:val="00387CE0"/>
    <w:rsid w:val="00392410"/>
    <w:rsid w:val="00395577"/>
    <w:rsid w:val="00397983"/>
    <w:rsid w:val="00397EBF"/>
    <w:rsid w:val="003A31BF"/>
    <w:rsid w:val="003B40D4"/>
    <w:rsid w:val="003B78D9"/>
    <w:rsid w:val="003C26C2"/>
    <w:rsid w:val="003C668E"/>
    <w:rsid w:val="003D781F"/>
    <w:rsid w:val="003D7A01"/>
    <w:rsid w:val="003D7E44"/>
    <w:rsid w:val="003E0DE4"/>
    <w:rsid w:val="003F2B64"/>
    <w:rsid w:val="003F2BAE"/>
    <w:rsid w:val="003F5E86"/>
    <w:rsid w:val="004001B7"/>
    <w:rsid w:val="0040047A"/>
    <w:rsid w:val="00401C69"/>
    <w:rsid w:val="00403081"/>
    <w:rsid w:val="00405340"/>
    <w:rsid w:val="004077C8"/>
    <w:rsid w:val="00411E1A"/>
    <w:rsid w:val="00412ED6"/>
    <w:rsid w:val="00417881"/>
    <w:rsid w:val="0042025D"/>
    <w:rsid w:val="0042346E"/>
    <w:rsid w:val="00423D5F"/>
    <w:rsid w:val="00425017"/>
    <w:rsid w:val="004318C7"/>
    <w:rsid w:val="004507E0"/>
    <w:rsid w:val="004519B7"/>
    <w:rsid w:val="00454EAD"/>
    <w:rsid w:val="00455D7A"/>
    <w:rsid w:val="004605F2"/>
    <w:rsid w:val="00462814"/>
    <w:rsid w:val="004727A8"/>
    <w:rsid w:val="004742F3"/>
    <w:rsid w:val="00474BF8"/>
    <w:rsid w:val="00485A2D"/>
    <w:rsid w:val="004865FC"/>
    <w:rsid w:val="004876A5"/>
    <w:rsid w:val="004908BD"/>
    <w:rsid w:val="00492F03"/>
    <w:rsid w:val="0049391D"/>
    <w:rsid w:val="004952F0"/>
    <w:rsid w:val="004A086E"/>
    <w:rsid w:val="004A455E"/>
    <w:rsid w:val="004B0D0D"/>
    <w:rsid w:val="004C052A"/>
    <w:rsid w:val="004C4FD2"/>
    <w:rsid w:val="004C5B29"/>
    <w:rsid w:val="004C6C90"/>
    <w:rsid w:val="004D1B70"/>
    <w:rsid w:val="004D27D7"/>
    <w:rsid w:val="004D6724"/>
    <w:rsid w:val="004E0013"/>
    <w:rsid w:val="004E09A5"/>
    <w:rsid w:val="004E43DF"/>
    <w:rsid w:val="004F57A4"/>
    <w:rsid w:val="00501A9C"/>
    <w:rsid w:val="0050511F"/>
    <w:rsid w:val="00506F39"/>
    <w:rsid w:val="0051474C"/>
    <w:rsid w:val="00514901"/>
    <w:rsid w:val="00520218"/>
    <w:rsid w:val="00522ED2"/>
    <w:rsid w:val="0052382B"/>
    <w:rsid w:val="00524A04"/>
    <w:rsid w:val="005257D0"/>
    <w:rsid w:val="00526111"/>
    <w:rsid w:val="0053363C"/>
    <w:rsid w:val="005449C7"/>
    <w:rsid w:val="00555FDB"/>
    <w:rsid w:val="00557C7D"/>
    <w:rsid w:val="005619F7"/>
    <w:rsid w:val="00562831"/>
    <w:rsid w:val="00562CC5"/>
    <w:rsid w:val="005659D6"/>
    <w:rsid w:val="00566CCC"/>
    <w:rsid w:val="00577A70"/>
    <w:rsid w:val="00591A6D"/>
    <w:rsid w:val="00596B85"/>
    <w:rsid w:val="00597B35"/>
    <w:rsid w:val="005A0A70"/>
    <w:rsid w:val="005A12BE"/>
    <w:rsid w:val="005A4CBF"/>
    <w:rsid w:val="005B079B"/>
    <w:rsid w:val="005B12CE"/>
    <w:rsid w:val="005B4399"/>
    <w:rsid w:val="005C41D0"/>
    <w:rsid w:val="005C4727"/>
    <w:rsid w:val="005D0554"/>
    <w:rsid w:val="005D131C"/>
    <w:rsid w:val="005D5BE9"/>
    <w:rsid w:val="005D7BD0"/>
    <w:rsid w:val="005E1E66"/>
    <w:rsid w:val="005E247D"/>
    <w:rsid w:val="005E3939"/>
    <w:rsid w:val="005E3D9E"/>
    <w:rsid w:val="005E3E5A"/>
    <w:rsid w:val="005E5F70"/>
    <w:rsid w:val="005E7954"/>
    <w:rsid w:val="00607857"/>
    <w:rsid w:val="00626432"/>
    <w:rsid w:val="00633F5D"/>
    <w:rsid w:val="00642B56"/>
    <w:rsid w:val="00644AE1"/>
    <w:rsid w:val="0065084C"/>
    <w:rsid w:val="00656081"/>
    <w:rsid w:val="00663CAE"/>
    <w:rsid w:val="00667333"/>
    <w:rsid w:val="006712A4"/>
    <w:rsid w:val="00673366"/>
    <w:rsid w:val="00682013"/>
    <w:rsid w:val="00683A51"/>
    <w:rsid w:val="00684BE6"/>
    <w:rsid w:val="00686E85"/>
    <w:rsid w:val="00692396"/>
    <w:rsid w:val="00693FF0"/>
    <w:rsid w:val="006952F9"/>
    <w:rsid w:val="0069619D"/>
    <w:rsid w:val="006A0B79"/>
    <w:rsid w:val="006A0F13"/>
    <w:rsid w:val="006A2A4A"/>
    <w:rsid w:val="006A3786"/>
    <w:rsid w:val="006A6986"/>
    <w:rsid w:val="006B4CC3"/>
    <w:rsid w:val="006B5C42"/>
    <w:rsid w:val="006C0760"/>
    <w:rsid w:val="006C5577"/>
    <w:rsid w:val="006C746D"/>
    <w:rsid w:val="006D389B"/>
    <w:rsid w:val="006D48A5"/>
    <w:rsid w:val="006D7CE0"/>
    <w:rsid w:val="006E0705"/>
    <w:rsid w:val="006E2142"/>
    <w:rsid w:val="006E5A6B"/>
    <w:rsid w:val="006E5C5D"/>
    <w:rsid w:val="006E77BD"/>
    <w:rsid w:val="006F39F8"/>
    <w:rsid w:val="006F3C7E"/>
    <w:rsid w:val="006F7509"/>
    <w:rsid w:val="0070310A"/>
    <w:rsid w:val="00704440"/>
    <w:rsid w:val="007106CC"/>
    <w:rsid w:val="0071179C"/>
    <w:rsid w:val="00713435"/>
    <w:rsid w:val="00717C0C"/>
    <w:rsid w:val="0072111F"/>
    <w:rsid w:val="00723292"/>
    <w:rsid w:val="007335F3"/>
    <w:rsid w:val="00733D44"/>
    <w:rsid w:val="007377B9"/>
    <w:rsid w:val="0074044F"/>
    <w:rsid w:val="00740B49"/>
    <w:rsid w:val="007526B2"/>
    <w:rsid w:val="0075467E"/>
    <w:rsid w:val="00770E9B"/>
    <w:rsid w:val="00771512"/>
    <w:rsid w:val="00772B6E"/>
    <w:rsid w:val="00773497"/>
    <w:rsid w:val="00773C1E"/>
    <w:rsid w:val="0077494A"/>
    <w:rsid w:val="00775152"/>
    <w:rsid w:val="007758E1"/>
    <w:rsid w:val="00775D95"/>
    <w:rsid w:val="007767A4"/>
    <w:rsid w:val="00780CBB"/>
    <w:rsid w:val="00783A32"/>
    <w:rsid w:val="007852F3"/>
    <w:rsid w:val="0079035F"/>
    <w:rsid w:val="00792EF7"/>
    <w:rsid w:val="00793DAC"/>
    <w:rsid w:val="00795BFF"/>
    <w:rsid w:val="007A2ACE"/>
    <w:rsid w:val="007A3C97"/>
    <w:rsid w:val="007B0300"/>
    <w:rsid w:val="007B0847"/>
    <w:rsid w:val="007B32F9"/>
    <w:rsid w:val="007B41D8"/>
    <w:rsid w:val="007B4233"/>
    <w:rsid w:val="007B5809"/>
    <w:rsid w:val="007B5ED2"/>
    <w:rsid w:val="007C139B"/>
    <w:rsid w:val="007C30DB"/>
    <w:rsid w:val="007C4317"/>
    <w:rsid w:val="007D0AAE"/>
    <w:rsid w:val="007D2F69"/>
    <w:rsid w:val="007D3349"/>
    <w:rsid w:val="007D64F9"/>
    <w:rsid w:val="007F1A4C"/>
    <w:rsid w:val="007F5F86"/>
    <w:rsid w:val="00815E3B"/>
    <w:rsid w:val="00824A00"/>
    <w:rsid w:val="0082523F"/>
    <w:rsid w:val="00826BAC"/>
    <w:rsid w:val="00826BCD"/>
    <w:rsid w:val="00826C7B"/>
    <w:rsid w:val="00834A5A"/>
    <w:rsid w:val="0084424D"/>
    <w:rsid w:val="00844858"/>
    <w:rsid w:val="00845A31"/>
    <w:rsid w:val="008541D6"/>
    <w:rsid w:val="00855013"/>
    <w:rsid w:val="00856579"/>
    <w:rsid w:val="0086227D"/>
    <w:rsid w:val="00864A67"/>
    <w:rsid w:val="00864C41"/>
    <w:rsid w:val="00870CEF"/>
    <w:rsid w:val="00874647"/>
    <w:rsid w:val="00880F24"/>
    <w:rsid w:val="0089231D"/>
    <w:rsid w:val="00897E60"/>
    <w:rsid w:val="008A1245"/>
    <w:rsid w:val="008A2B14"/>
    <w:rsid w:val="008A60EB"/>
    <w:rsid w:val="008B01A8"/>
    <w:rsid w:val="008B347B"/>
    <w:rsid w:val="008B3763"/>
    <w:rsid w:val="008B3B7D"/>
    <w:rsid w:val="008C05C6"/>
    <w:rsid w:val="008C0B8B"/>
    <w:rsid w:val="008C62B9"/>
    <w:rsid w:val="008D37D1"/>
    <w:rsid w:val="008E404C"/>
    <w:rsid w:val="008F1BB9"/>
    <w:rsid w:val="008F303D"/>
    <w:rsid w:val="008F3BB3"/>
    <w:rsid w:val="008F766D"/>
    <w:rsid w:val="00900972"/>
    <w:rsid w:val="00910BC1"/>
    <w:rsid w:val="00911F91"/>
    <w:rsid w:val="00914C40"/>
    <w:rsid w:val="009250A3"/>
    <w:rsid w:val="00925900"/>
    <w:rsid w:val="00933EAB"/>
    <w:rsid w:val="00936B3B"/>
    <w:rsid w:val="0094227C"/>
    <w:rsid w:val="00945A3D"/>
    <w:rsid w:val="00950EF7"/>
    <w:rsid w:val="00951835"/>
    <w:rsid w:val="00952274"/>
    <w:rsid w:val="0095435C"/>
    <w:rsid w:val="00955AAA"/>
    <w:rsid w:val="00957C68"/>
    <w:rsid w:val="0096032A"/>
    <w:rsid w:val="00963027"/>
    <w:rsid w:val="0096320A"/>
    <w:rsid w:val="00972D02"/>
    <w:rsid w:val="00976C55"/>
    <w:rsid w:val="00977B06"/>
    <w:rsid w:val="0098017D"/>
    <w:rsid w:val="00981175"/>
    <w:rsid w:val="0098651D"/>
    <w:rsid w:val="00994D28"/>
    <w:rsid w:val="0099543C"/>
    <w:rsid w:val="00995F39"/>
    <w:rsid w:val="009A0218"/>
    <w:rsid w:val="009A0E1A"/>
    <w:rsid w:val="009B6A35"/>
    <w:rsid w:val="009B7D63"/>
    <w:rsid w:val="009C119D"/>
    <w:rsid w:val="009C3427"/>
    <w:rsid w:val="009C48C6"/>
    <w:rsid w:val="009D1D59"/>
    <w:rsid w:val="009D1E62"/>
    <w:rsid w:val="009D204E"/>
    <w:rsid w:val="009D357B"/>
    <w:rsid w:val="009D392B"/>
    <w:rsid w:val="009D5BC5"/>
    <w:rsid w:val="009D73BD"/>
    <w:rsid w:val="009D7CB4"/>
    <w:rsid w:val="009E246A"/>
    <w:rsid w:val="009E69AF"/>
    <w:rsid w:val="009E766B"/>
    <w:rsid w:val="009F149F"/>
    <w:rsid w:val="009F57B6"/>
    <w:rsid w:val="009F6C9F"/>
    <w:rsid w:val="009F731B"/>
    <w:rsid w:val="00A20812"/>
    <w:rsid w:val="00A25A66"/>
    <w:rsid w:val="00A265FC"/>
    <w:rsid w:val="00A30E77"/>
    <w:rsid w:val="00A3191B"/>
    <w:rsid w:val="00A367C2"/>
    <w:rsid w:val="00A41E99"/>
    <w:rsid w:val="00A50962"/>
    <w:rsid w:val="00A512AE"/>
    <w:rsid w:val="00A5579B"/>
    <w:rsid w:val="00A56A47"/>
    <w:rsid w:val="00A56E0E"/>
    <w:rsid w:val="00A57A56"/>
    <w:rsid w:val="00A61B2D"/>
    <w:rsid w:val="00A61E88"/>
    <w:rsid w:val="00A63AB6"/>
    <w:rsid w:val="00A63D83"/>
    <w:rsid w:val="00A70D52"/>
    <w:rsid w:val="00A7228B"/>
    <w:rsid w:val="00A756C3"/>
    <w:rsid w:val="00A76944"/>
    <w:rsid w:val="00A771C0"/>
    <w:rsid w:val="00A80383"/>
    <w:rsid w:val="00A81DB2"/>
    <w:rsid w:val="00A82D4D"/>
    <w:rsid w:val="00A869A7"/>
    <w:rsid w:val="00A87FD6"/>
    <w:rsid w:val="00AA58C8"/>
    <w:rsid w:val="00AB089D"/>
    <w:rsid w:val="00AB51E1"/>
    <w:rsid w:val="00AC04FE"/>
    <w:rsid w:val="00AC2731"/>
    <w:rsid w:val="00AC4EC5"/>
    <w:rsid w:val="00AC60BA"/>
    <w:rsid w:val="00AC614D"/>
    <w:rsid w:val="00AD3447"/>
    <w:rsid w:val="00AE372C"/>
    <w:rsid w:val="00AE3E8E"/>
    <w:rsid w:val="00AE566E"/>
    <w:rsid w:val="00AF114B"/>
    <w:rsid w:val="00AF4492"/>
    <w:rsid w:val="00AF6DBF"/>
    <w:rsid w:val="00B01EFE"/>
    <w:rsid w:val="00B03751"/>
    <w:rsid w:val="00B04E3D"/>
    <w:rsid w:val="00B110BC"/>
    <w:rsid w:val="00B14411"/>
    <w:rsid w:val="00B15E23"/>
    <w:rsid w:val="00B2015E"/>
    <w:rsid w:val="00B20758"/>
    <w:rsid w:val="00B25DAC"/>
    <w:rsid w:val="00B3196E"/>
    <w:rsid w:val="00B32298"/>
    <w:rsid w:val="00B32AB8"/>
    <w:rsid w:val="00B36ECF"/>
    <w:rsid w:val="00B471FF"/>
    <w:rsid w:val="00B47DED"/>
    <w:rsid w:val="00B56319"/>
    <w:rsid w:val="00B61991"/>
    <w:rsid w:val="00B64107"/>
    <w:rsid w:val="00B71088"/>
    <w:rsid w:val="00B75350"/>
    <w:rsid w:val="00B758A3"/>
    <w:rsid w:val="00B7675F"/>
    <w:rsid w:val="00B7733B"/>
    <w:rsid w:val="00B83EAA"/>
    <w:rsid w:val="00B85366"/>
    <w:rsid w:val="00B8691A"/>
    <w:rsid w:val="00BA3A1E"/>
    <w:rsid w:val="00BA49C4"/>
    <w:rsid w:val="00BA7135"/>
    <w:rsid w:val="00BB030B"/>
    <w:rsid w:val="00BB0D8B"/>
    <w:rsid w:val="00BC6A1B"/>
    <w:rsid w:val="00BD3F97"/>
    <w:rsid w:val="00BD5F19"/>
    <w:rsid w:val="00BD615D"/>
    <w:rsid w:val="00BD6C3F"/>
    <w:rsid w:val="00BD6C8F"/>
    <w:rsid w:val="00BD7D28"/>
    <w:rsid w:val="00BE1058"/>
    <w:rsid w:val="00BE305D"/>
    <w:rsid w:val="00BE5A72"/>
    <w:rsid w:val="00BE7634"/>
    <w:rsid w:val="00BF069C"/>
    <w:rsid w:val="00BF0B78"/>
    <w:rsid w:val="00BF1693"/>
    <w:rsid w:val="00BF257C"/>
    <w:rsid w:val="00BF6E50"/>
    <w:rsid w:val="00C029E5"/>
    <w:rsid w:val="00C03903"/>
    <w:rsid w:val="00C07227"/>
    <w:rsid w:val="00C12321"/>
    <w:rsid w:val="00C15D63"/>
    <w:rsid w:val="00C25C96"/>
    <w:rsid w:val="00C3279F"/>
    <w:rsid w:val="00C33003"/>
    <w:rsid w:val="00C348A9"/>
    <w:rsid w:val="00C34FB1"/>
    <w:rsid w:val="00C35382"/>
    <w:rsid w:val="00C405E5"/>
    <w:rsid w:val="00C4458A"/>
    <w:rsid w:val="00C53D29"/>
    <w:rsid w:val="00C54E78"/>
    <w:rsid w:val="00C567E3"/>
    <w:rsid w:val="00C60798"/>
    <w:rsid w:val="00C611E0"/>
    <w:rsid w:val="00C63061"/>
    <w:rsid w:val="00C6392E"/>
    <w:rsid w:val="00C650AE"/>
    <w:rsid w:val="00C70A2E"/>
    <w:rsid w:val="00C71218"/>
    <w:rsid w:val="00C823C8"/>
    <w:rsid w:val="00C91E5C"/>
    <w:rsid w:val="00CA10E4"/>
    <w:rsid w:val="00CA7E62"/>
    <w:rsid w:val="00CB2959"/>
    <w:rsid w:val="00CB41D8"/>
    <w:rsid w:val="00CB52F6"/>
    <w:rsid w:val="00CB7720"/>
    <w:rsid w:val="00CB7D12"/>
    <w:rsid w:val="00CC6936"/>
    <w:rsid w:val="00CD06A2"/>
    <w:rsid w:val="00CD2D8E"/>
    <w:rsid w:val="00CD5A05"/>
    <w:rsid w:val="00CD7966"/>
    <w:rsid w:val="00CD7E80"/>
    <w:rsid w:val="00CE18CA"/>
    <w:rsid w:val="00CE464F"/>
    <w:rsid w:val="00CE5625"/>
    <w:rsid w:val="00CF386D"/>
    <w:rsid w:val="00CF5DD5"/>
    <w:rsid w:val="00CF6456"/>
    <w:rsid w:val="00D01779"/>
    <w:rsid w:val="00D03618"/>
    <w:rsid w:val="00D03A2F"/>
    <w:rsid w:val="00D12956"/>
    <w:rsid w:val="00D15838"/>
    <w:rsid w:val="00D1632E"/>
    <w:rsid w:val="00D16C54"/>
    <w:rsid w:val="00D2094E"/>
    <w:rsid w:val="00D271AD"/>
    <w:rsid w:val="00D27ADF"/>
    <w:rsid w:val="00D345FF"/>
    <w:rsid w:val="00D40AD7"/>
    <w:rsid w:val="00D40D69"/>
    <w:rsid w:val="00D4211B"/>
    <w:rsid w:val="00D472C7"/>
    <w:rsid w:val="00D51160"/>
    <w:rsid w:val="00D5402F"/>
    <w:rsid w:val="00D57245"/>
    <w:rsid w:val="00D61CF6"/>
    <w:rsid w:val="00D62F32"/>
    <w:rsid w:val="00D71A7C"/>
    <w:rsid w:val="00D72DCA"/>
    <w:rsid w:val="00D7400F"/>
    <w:rsid w:val="00D740FB"/>
    <w:rsid w:val="00D77811"/>
    <w:rsid w:val="00D81598"/>
    <w:rsid w:val="00D85E5B"/>
    <w:rsid w:val="00D86351"/>
    <w:rsid w:val="00D865FC"/>
    <w:rsid w:val="00D907E5"/>
    <w:rsid w:val="00D91055"/>
    <w:rsid w:val="00D9225C"/>
    <w:rsid w:val="00D92835"/>
    <w:rsid w:val="00D92FAF"/>
    <w:rsid w:val="00DA0DD7"/>
    <w:rsid w:val="00DA2D4C"/>
    <w:rsid w:val="00DA40C9"/>
    <w:rsid w:val="00DA6786"/>
    <w:rsid w:val="00DA74D3"/>
    <w:rsid w:val="00DA7A9E"/>
    <w:rsid w:val="00DB1819"/>
    <w:rsid w:val="00DB5B0A"/>
    <w:rsid w:val="00DC0ED4"/>
    <w:rsid w:val="00DC2310"/>
    <w:rsid w:val="00DC4748"/>
    <w:rsid w:val="00DC621C"/>
    <w:rsid w:val="00DD5BB7"/>
    <w:rsid w:val="00DE536B"/>
    <w:rsid w:val="00DF03F1"/>
    <w:rsid w:val="00DF359B"/>
    <w:rsid w:val="00E013BB"/>
    <w:rsid w:val="00E0160B"/>
    <w:rsid w:val="00E01D56"/>
    <w:rsid w:val="00E024C3"/>
    <w:rsid w:val="00E05C8F"/>
    <w:rsid w:val="00E07AF7"/>
    <w:rsid w:val="00E10072"/>
    <w:rsid w:val="00E10FD4"/>
    <w:rsid w:val="00E11E54"/>
    <w:rsid w:val="00E1227C"/>
    <w:rsid w:val="00E246BA"/>
    <w:rsid w:val="00E25E07"/>
    <w:rsid w:val="00E32A92"/>
    <w:rsid w:val="00E337E3"/>
    <w:rsid w:val="00E43982"/>
    <w:rsid w:val="00E50D15"/>
    <w:rsid w:val="00E5123C"/>
    <w:rsid w:val="00E5158E"/>
    <w:rsid w:val="00E544A5"/>
    <w:rsid w:val="00E60165"/>
    <w:rsid w:val="00E631C9"/>
    <w:rsid w:val="00E6417A"/>
    <w:rsid w:val="00E711EA"/>
    <w:rsid w:val="00E71E56"/>
    <w:rsid w:val="00E74A4E"/>
    <w:rsid w:val="00E802A8"/>
    <w:rsid w:val="00E82E27"/>
    <w:rsid w:val="00E85C46"/>
    <w:rsid w:val="00E86EBB"/>
    <w:rsid w:val="00E93712"/>
    <w:rsid w:val="00EA023B"/>
    <w:rsid w:val="00EA4F83"/>
    <w:rsid w:val="00EB0ABE"/>
    <w:rsid w:val="00EB23BC"/>
    <w:rsid w:val="00EB3335"/>
    <w:rsid w:val="00EB4AA6"/>
    <w:rsid w:val="00EB79E4"/>
    <w:rsid w:val="00ED529E"/>
    <w:rsid w:val="00EE244E"/>
    <w:rsid w:val="00EE42C1"/>
    <w:rsid w:val="00EE474E"/>
    <w:rsid w:val="00EE4A40"/>
    <w:rsid w:val="00EE5EFB"/>
    <w:rsid w:val="00EF1868"/>
    <w:rsid w:val="00EF1B56"/>
    <w:rsid w:val="00EF26D7"/>
    <w:rsid w:val="00EF26DB"/>
    <w:rsid w:val="00EF3A24"/>
    <w:rsid w:val="00EF3B70"/>
    <w:rsid w:val="00EF3DB8"/>
    <w:rsid w:val="00EF40F0"/>
    <w:rsid w:val="00EF4807"/>
    <w:rsid w:val="00F0135F"/>
    <w:rsid w:val="00F019DB"/>
    <w:rsid w:val="00F0211F"/>
    <w:rsid w:val="00F02649"/>
    <w:rsid w:val="00F07C5E"/>
    <w:rsid w:val="00F161B5"/>
    <w:rsid w:val="00F2143B"/>
    <w:rsid w:val="00F2160C"/>
    <w:rsid w:val="00F230E2"/>
    <w:rsid w:val="00F23F05"/>
    <w:rsid w:val="00F24F8E"/>
    <w:rsid w:val="00F25499"/>
    <w:rsid w:val="00F31A3B"/>
    <w:rsid w:val="00F31C5E"/>
    <w:rsid w:val="00F33332"/>
    <w:rsid w:val="00F342B2"/>
    <w:rsid w:val="00F41EDA"/>
    <w:rsid w:val="00F45D81"/>
    <w:rsid w:val="00F45E91"/>
    <w:rsid w:val="00F50A13"/>
    <w:rsid w:val="00F62ED1"/>
    <w:rsid w:val="00F64FB2"/>
    <w:rsid w:val="00F654E5"/>
    <w:rsid w:val="00F74CE5"/>
    <w:rsid w:val="00F841DD"/>
    <w:rsid w:val="00F86D04"/>
    <w:rsid w:val="00F86E14"/>
    <w:rsid w:val="00F900C3"/>
    <w:rsid w:val="00F918E8"/>
    <w:rsid w:val="00F91FB5"/>
    <w:rsid w:val="00FA053B"/>
    <w:rsid w:val="00FA1F7F"/>
    <w:rsid w:val="00FA6045"/>
    <w:rsid w:val="00FA76CF"/>
    <w:rsid w:val="00FB5E93"/>
    <w:rsid w:val="00FB68D9"/>
    <w:rsid w:val="00FB75BC"/>
    <w:rsid w:val="00FC0B70"/>
    <w:rsid w:val="00FC139E"/>
    <w:rsid w:val="00FC22A4"/>
    <w:rsid w:val="00FD08F7"/>
    <w:rsid w:val="00FD426E"/>
    <w:rsid w:val="00FD6594"/>
    <w:rsid w:val="00FE72A9"/>
    <w:rsid w:val="00FE7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3AF6A"/>
  <w15:docId w15:val="{157AD0EA-2259-4238-90F7-07C202C41D27}"/>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5B29"/>
    <w:rPr>
      <w:sz w:val="24"/>
      <w:szCs w:val="24"/>
    </w:rPr>
  </w:style>
  <w:style w:type="paragraph" w:styleId="Heading1">
    <w:name w:val="heading 1"/>
    <w:basedOn w:val="Normal"/>
    <w:next w:val="Normal"/>
    <w:link w:val="Heading1Char"/>
    <w:qFormat/>
    <w:pPr>
      <w:keepNext/>
      <w:jc w:val="center"/>
      <w:outlineLvl w:val="0"/>
    </w:pPr>
    <w:rPr>
      <w:b/>
      <w:sz w:val="32"/>
    </w:rPr>
  </w:style>
  <w:style w:type="paragraph" w:styleId="Heading2">
    <w:name w:val="heading 2"/>
    <w:basedOn w:val="Normal"/>
    <w:next w:val="Normal"/>
    <w:qFormat/>
    <w:pPr>
      <w:keepNext/>
      <w:outlineLvl w:val="1"/>
    </w:pPr>
    <w:rPr>
      <w:b/>
      <w:bCs/>
      <w:color w:val="000000"/>
      <w:szCs w:val="17"/>
    </w:rPr>
  </w:style>
  <w:style w:type="paragraph" w:styleId="Heading3">
    <w:name w:val="heading 3"/>
    <w:basedOn w:val="Normal"/>
    <w:next w:val="Normal"/>
    <w:qFormat/>
    <w:pPr>
      <w:keepNext/>
      <w:pageBreakBefore/>
      <w:outlineLvl w:val="2"/>
    </w:pPr>
    <w:rPr>
      <w:b/>
    </w:rPr>
  </w:style>
  <w:style w:type="paragraph" w:styleId="Heading4">
    <w:name w:val="heading 4"/>
    <w:basedOn w:val="Normal"/>
    <w:next w:val="Normal"/>
    <w:qFormat/>
    <w:pPr>
      <w:keepNext/>
      <w:outlineLvl w:val="3"/>
    </w:pPr>
    <w:rPr>
      <w:i/>
      <w:iCs/>
      <w:color w:val="000000"/>
      <w:szCs w:val="17"/>
    </w:rPr>
  </w:style>
  <w:style w:type="paragraph" w:styleId="Heading5">
    <w:name w:val="heading 5"/>
    <w:basedOn w:val="Normal"/>
    <w:next w:val="Normal"/>
    <w:qFormat/>
    <w:pPr>
      <w:keepNex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Revision">
    <w:name w:val="Agenda Revision"/>
    <w:basedOn w:val="Normal"/>
    <w:rPr>
      <w:szCs w:val="2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fc295">
    <w:name w:val="fc295"/>
    <w:rPr>
      <w:rFonts w:ascii="Times New Roman" w:hAnsi="Times New Roman" w:cs="Times New Roman" w:hint="default"/>
      <w:b w:val="0"/>
      <w:bCs w:val="0"/>
      <w:color w:val="000000"/>
      <w:sz w:val="24"/>
      <w:szCs w:val="24"/>
    </w:rPr>
  </w:style>
  <w:style w:type="character" w:customStyle="1" w:styleId="fc561">
    <w:name w:val="fc561"/>
    <w:rPr>
      <w:rFonts w:ascii="Times New Roman" w:hAnsi="Times New Roman" w:cs="Times New Roman" w:hint="default"/>
      <w:b/>
      <w:bCs/>
      <w:color w:val="000000"/>
      <w:sz w:val="22"/>
      <w:szCs w:val="22"/>
    </w:rPr>
  </w:style>
  <w:style w:type="paragraph" w:styleId="BodyText">
    <w:name w:val="Body Text"/>
    <w:basedOn w:val="Normal"/>
    <w:rPr>
      <w:color w:val="000000"/>
      <w:szCs w:val="17"/>
    </w:rPr>
  </w:style>
  <w:style w:type="paragraph" w:styleId="z-TopofForm">
    <w:name w:val="HTML Top of Form"/>
    <w:basedOn w:val="Normal"/>
    <w:next w:val="Normal"/>
    <w:hidden/>
    <w:pPr>
      <w:pBdr>
        <w:bottom w:val="single" w:sz="6" w:space="1" w:color="auto"/>
      </w:pBdr>
      <w:jc w:val="center"/>
    </w:pPr>
    <w:rPr>
      <w:rFonts w:ascii="Arial" w:eastAsia="Arial Unicode MS"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eastAsia="Arial Unicode MS" w:hAnsi="Arial" w:cs="Arial"/>
      <w:vanish/>
      <w:sz w:val="16"/>
      <w:szCs w:val="16"/>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Indent">
    <w:name w:val="Body Text Indent"/>
    <w:basedOn w:val="Normal"/>
    <w:pPr>
      <w:overflowPunct w:val="0"/>
      <w:autoSpaceDE w:val="0"/>
      <w:autoSpaceDN w:val="0"/>
      <w:adjustRightInd w:val="0"/>
      <w:ind w:left="155"/>
      <w:textAlignment w:val="baseline"/>
    </w:pPr>
    <w:rPr>
      <w:sz w:val="26"/>
      <w:szCs w:val="20"/>
    </w:rPr>
  </w:style>
  <w:style w:type="paragraph" w:styleId="BodyText2">
    <w:name w:val="Body Text 2"/>
    <w:basedOn w:val="Normal"/>
    <w:rPr>
      <w:sz w:val="26"/>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customStyle="1" w:styleId="apple-style-span">
    <w:name w:val="apple-style-span"/>
    <w:basedOn w:val="DefaultParagraphFont"/>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800080"/>
      <w:u w:val="single"/>
    </w:rPr>
  </w:style>
  <w:style w:type="paragraph" w:styleId="ListParagraph">
    <w:name w:val="List Paragraph"/>
    <w:basedOn w:val="Normal"/>
    <w:uiPriority w:val="34"/>
    <w:qFormat/>
    <w:rsid w:val="00DC0ED4"/>
    <w:pPr>
      <w:ind w:left="720"/>
      <w:contextualSpacing/>
    </w:pPr>
  </w:style>
  <w:style w:type="character" w:customStyle="1" w:styleId="Heading1Char">
    <w:name w:val="Heading 1 Char"/>
    <w:basedOn w:val="DefaultParagraphFont"/>
    <w:link w:val="Heading1"/>
    <w:rsid w:val="001552C4"/>
    <w:rPr>
      <w:b/>
      <w:sz w:val="32"/>
      <w:szCs w:val="24"/>
    </w:rPr>
  </w:style>
  <w:style w:type="character" w:customStyle="1" w:styleId="UnresolvedMention1">
    <w:name w:val="Unresolved Mention1"/>
    <w:basedOn w:val="DefaultParagraphFont"/>
    <w:uiPriority w:val="99"/>
    <w:semiHidden/>
    <w:unhideWhenUsed/>
    <w:rsid w:val="00BB0D8B"/>
    <w:rPr>
      <w:color w:val="605E5C"/>
      <w:shd w:val="clear" w:color="auto" w:fill="E1DFDD"/>
    </w:rPr>
  </w:style>
  <w:style w:type="paragraph" w:customStyle="1" w:styleId="Default">
    <w:name w:val="Default"/>
    <w:rsid w:val="008448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86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590">
      <w:bodyDiv w:val="1"/>
      <w:marLeft w:val="0"/>
      <w:marRight w:val="0"/>
      <w:marTop w:val="0"/>
      <w:marBottom w:val="0"/>
      <w:divBdr>
        <w:top w:val="none" w:sz="0" w:space="0" w:color="auto"/>
        <w:left w:val="none" w:sz="0" w:space="0" w:color="auto"/>
        <w:bottom w:val="none" w:sz="0" w:space="0" w:color="auto"/>
        <w:right w:val="none" w:sz="0" w:space="0" w:color="auto"/>
      </w:divBdr>
    </w:div>
    <w:div w:id="91170734">
      <w:bodyDiv w:val="1"/>
      <w:marLeft w:val="0"/>
      <w:marRight w:val="0"/>
      <w:marTop w:val="0"/>
      <w:marBottom w:val="0"/>
      <w:divBdr>
        <w:top w:val="none" w:sz="0" w:space="0" w:color="auto"/>
        <w:left w:val="none" w:sz="0" w:space="0" w:color="auto"/>
        <w:bottom w:val="none" w:sz="0" w:space="0" w:color="auto"/>
        <w:right w:val="none" w:sz="0" w:space="0" w:color="auto"/>
      </w:divBdr>
    </w:div>
    <w:div w:id="203910598">
      <w:bodyDiv w:val="1"/>
      <w:marLeft w:val="0"/>
      <w:marRight w:val="0"/>
      <w:marTop w:val="0"/>
      <w:marBottom w:val="0"/>
      <w:divBdr>
        <w:top w:val="none" w:sz="0" w:space="0" w:color="auto"/>
        <w:left w:val="none" w:sz="0" w:space="0" w:color="auto"/>
        <w:bottom w:val="none" w:sz="0" w:space="0" w:color="auto"/>
        <w:right w:val="none" w:sz="0" w:space="0" w:color="auto"/>
      </w:divBdr>
    </w:div>
    <w:div w:id="233324473">
      <w:bodyDiv w:val="1"/>
      <w:marLeft w:val="0"/>
      <w:marRight w:val="0"/>
      <w:marTop w:val="0"/>
      <w:marBottom w:val="0"/>
      <w:divBdr>
        <w:top w:val="none" w:sz="0" w:space="0" w:color="auto"/>
        <w:left w:val="none" w:sz="0" w:space="0" w:color="auto"/>
        <w:bottom w:val="none" w:sz="0" w:space="0" w:color="auto"/>
        <w:right w:val="none" w:sz="0" w:space="0" w:color="auto"/>
      </w:divBdr>
    </w:div>
    <w:div w:id="300691232">
      <w:bodyDiv w:val="1"/>
      <w:marLeft w:val="0"/>
      <w:marRight w:val="0"/>
      <w:marTop w:val="0"/>
      <w:marBottom w:val="0"/>
      <w:divBdr>
        <w:top w:val="none" w:sz="0" w:space="0" w:color="auto"/>
        <w:left w:val="none" w:sz="0" w:space="0" w:color="auto"/>
        <w:bottom w:val="none" w:sz="0" w:space="0" w:color="auto"/>
        <w:right w:val="none" w:sz="0" w:space="0" w:color="auto"/>
      </w:divBdr>
    </w:div>
    <w:div w:id="307706697">
      <w:bodyDiv w:val="1"/>
      <w:marLeft w:val="0"/>
      <w:marRight w:val="0"/>
      <w:marTop w:val="0"/>
      <w:marBottom w:val="0"/>
      <w:divBdr>
        <w:top w:val="none" w:sz="0" w:space="0" w:color="auto"/>
        <w:left w:val="none" w:sz="0" w:space="0" w:color="auto"/>
        <w:bottom w:val="none" w:sz="0" w:space="0" w:color="auto"/>
        <w:right w:val="none" w:sz="0" w:space="0" w:color="auto"/>
      </w:divBdr>
    </w:div>
    <w:div w:id="398211751">
      <w:bodyDiv w:val="1"/>
      <w:marLeft w:val="0"/>
      <w:marRight w:val="0"/>
      <w:marTop w:val="0"/>
      <w:marBottom w:val="0"/>
      <w:divBdr>
        <w:top w:val="none" w:sz="0" w:space="0" w:color="auto"/>
        <w:left w:val="none" w:sz="0" w:space="0" w:color="auto"/>
        <w:bottom w:val="none" w:sz="0" w:space="0" w:color="auto"/>
        <w:right w:val="none" w:sz="0" w:space="0" w:color="auto"/>
      </w:divBdr>
    </w:div>
    <w:div w:id="452481023">
      <w:bodyDiv w:val="1"/>
      <w:marLeft w:val="0"/>
      <w:marRight w:val="0"/>
      <w:marTop w:val="0"/>
      <w:marBottom w:val="0"/>
      <w:divBdr>
        <w:top w:val="none" w:sz="0" w:space="0" w:color="auto"/>
        <w:left w:val="none" w:sz="0" w:space="0" w:color="auto"/>
        <w:bottom w:val="none" w:sz="0" w:space="0" w:color="auto"/>
        <w:right w:val="none" w:sz="0" w:space="0" w:color="auto"/>
      </w:divBdr>
    </w:div>
    <w:div w:id="553583651">
      <w:bodyDiv w:val="1"/>
      <w:marLeft w:val="0"/>
      <w:marRight w:val="0"/>
      <w:marTop w:val="0"/>
      <w:marBottom w:val="0"/>
      <w:divBdr>
        <w:top w:val="none" w:sz="0" w:space="0" w:color="auto"/>
        <w:left w:val="none" w:sz="0" w:space="0" w:color="auto"/>
        <w:bottom w:val="none" w:sz="0" w:space="0" w:color="auto"/>
        <w:right w:val="none" w:sz="0" w:space="0" w:color="auto"/>
      </w:divBdr>
    </w:div>
    <w:div w:id="656760432">
      <w:bodyDiv w:val="1"/>
      <w:marLeft w:val="0"/>
      <w:marRight w:val="0"/>
      <w:marTop w:val="0"/>
      <w:marBottom w:val="0"/>
      <w:divBdr>
        <w:top w:val="none" w:sz="0" w:space="0" w:color="auto"/>
        <w:left w:val="none" w:sz="0" w:space="0" w:color="auto"/>
        <w:bottom w:val="none" w:sz="0" w:space="0" w:color="auto"/>
        <w:right w:val="none" w:sz="0" w:space="0" w:color="auto"/>
      </w:divBdr>
      <w:divsChild>
        <w:div w:id="846600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568708">
      <w:bodyDiv w:val="1"/>
      <w:marLeft w:val="0"/>
      <w:marRight w:val="0"/>
      <w:marTop w:val="0"/>
      <w:marBottom w:val="0"/>
      <w:divBdr>
        <w:top w:val="none" w:sz="0" w:space="0" w:color="auto"/>
        <w:left w:val="none" w:sz="0" w:space="0" w:color="auto"/>
        <w:bottom w:val="none" w:sz="0" w:space="0" w:color="auto"/>
        <w:right w:val="none" w:sz="0" w:space="0" w:color="auto"/>
      </w:divBdr>
    </w:div>
    <w:div w:id="764613038">
      <w:bodyDiv w:val="1"/>
      <w:marLeft w:val="0"/>
      <w:marRight w:val="0"/>
      <w:marTop w:val="0"/>
      <w:marBottom w:val="0"/>
      <w:divBdr>
        <w:top w:val="none" w:sz="0" w:space="0" w:color="auto"/>
        <w:left w:val="none" w:sz="0" w:space="0" w:color="auto"/>
        <w:bottom w:val="none" w:sz="0" w:space="0" w:color="auto"/>
        <w:right w:val="none" w:sz="0" w:space="0" w:color="auto"/>
      </w:divBdr>
    </w:div>
    <w:div w:id="863204944">
      <w:bodyDiv w:val="1"/>
      <w:marLeft w:val="0"/>
      <w:marRight w:val="0"/>
      <w:marTop w:val="0"/>
      <w:marBottom w:val="0"/>
      <w:divBdr>
        <w:top w:val="none" w:sz="0" w:space="0" w:color="auto"/>
        <w:left w:val="none" w:sz="0" w:space="0" w:color="auto"/>
        <w:bottom w:val="none" w:sz="0" w:space="0" w:color="auto"/>
        <w:right w:val="none" w:sz="0" w:space="0" w:color="auto"/>
      </w:divBdr>
    </w:div>
    <w:div w:id="877468595">
      <w:bodyDiv w:val="1"/>
      <w:marLeft w:val="0"/>
      <w:marRight w:val="0"/>
      <w:marTop w:val="0"/>
      <w:marBottom w:val="0"/>
      <w:divBdr>
        <w:top w:val="none" w:sz="0" w:space="0" w:color="auto"/>
        <w:left w:val="none" w:sz="0" w:space="0" w:color="auto"/>
        <w:bottom w:val="none" w:sz="0" w:space="0" w:color="auto"/>
        <w:right w:val="none" w:sz="0" w:space="0" w:color="auto"/>
      </w:divBdr>
    </w:div>
    <w:div w:id="916667467">
      <w:bodyDiv w:val="1"/>
      <w:marLeft w:val="0"/>
      <w:marRight w:val="0"/>
      <w:marTop w:val="0"/>
      <w:marBottom w:val="0"/>
      <w:divBdr>
        <w:top w:val="none" w:sz="0" w:space="0" w:color="auto"/>
        <w:left w:val="none" w:sz="0" w:space="0" w:color="auto"/>
        <w:bottom w:val="none" w:sz="0" w:space="0" w:color="auto"/>
        <w:right w:val="none" w:sz="0" w:space="0" w:color="auto"/>
      </w:divBdr>
    </w:div>
    <w:div w:id="994798556">
      <w:bodyDiv w:val="1"/>
      <w:marLeft w:val="0"/>
      <w:marRight w:val="0"/>
      <w:marTop w:val="0"/>
      <w:marBottom w:val="0"/>
      <w:divBdr>
        <w:top w:val="none" w:sz="0" w:space="0" w:color="auto"/>
        <w:left w:val="none" w:sz="0" w:space="0" w:color="auto"/>
        <w:bottom w:val="none" w:sz="0" w:space="0" w:color="auto"/>
        <w:right w:val="none" w:sz="0" w:space="0" w:color="auto"/>
      </w:divBdr>
    </w:div>
    <w:div w:id="1147086852">
      <w:bodyDiv w:val="1"/>
      <w:marLeft w:val="0"/>
      <w:marRight w:val="0"/>
      <w:marTop w:val="0"/>
      <w:marBottom w:val="0"/>
      <w:divBdr>
        <w:top w:val="none" w:sz="0" w:space="0" w:color="auto"/>
        <w:left w:val="none" w:sz="0" w:space="0" w:color="auto"/>
        <w:bottom w:val="none" w:sz="0" w:space="0" w:color="auto"/>
        <w:right w:val="none" w:sz="0" w:space="0" w:color="auto"/>
      </w:divBdr>
    </w:div>
    <w:div w:id="1207833916">
      <w:bodyDiv w:val="1"/>
      <w:marLeft w:val="0"/>
      <w:marRight w:val="0"/>
      <w:marTop w:val="0"/>
      <w:marBottom w:val="0"/>
      <w:divBdr>
        <w:top w:val="none" w:sz="0" w:space="0" w:color="auto"/>
        <w:left w:val="none" w:sz="0" w:space="0" w:color="auto"/>
        <w:bottom w:val="none" w:sz="0" w:space="0" w:color="auto"/>
        <w:right w:val="none" w:sz="0" w:space="0" w:color="auto"/>
      </w:divBdr>
    </w:div>
    <w:div w:id="1280339699">
      <w:bodyDiv w:val="1"/>
      <w:marLeft w:val="0"/>
      <w:marRight w:val="0"/>
      <w:marTop w:val="0"/>
      <w:marBottom w:val="0"/>
      <w:divBdr>
        <w:top w:val="none" w:sz="0" w:space="0" w:color="auto"/>
        <w:left w:val="none" w:sz="0" w:space="0" w:color="auto"/>
        <w:bottom w:val="none" w:sz="0" w:space="0" w:color="auto"/>
        <w:right w:val="none" w:sz="0" w:space="0" w:color="auto"/>
      </w:divBdr>
    </w:div>
    <w:div w:id="1288002502">
      <w:bodyDiv w:val="1"/>
      <w:marLeft w:val="0"/>
      <w:marRight w:val="0"/>
      <w:marTop w:val="0"/>
      <w:marBottom w:val="0"/>
      <w:divBdr>
        <w:top w:val="none" w:sz="0" w:space="0" w:color="auto"/>
        <w:left w:val="none" w:sz="0" w:space="0" w:color="auto"/>
        <w:bottom w:val="none" w:sz="0" w:space="0" w:color="auto"/>
        <w:right w:val="none" w:sz="0" w:space="0" w:color="auto"/>
      </w:divBdr>
    </w:div>
    <w:div w:id="1340812002">
      <w:bodyDiv w:val="1"/>
      <w:marLeft w:val="0"/>
      <w:marRight w:val="0"/>
      <w:marTop w:val="0"/>
      <w:marBottom w:val="0"/>
      <w:divBdr>
        <w:top w:val="none" w:sz="0" w:space="0" w:color="auto"/>
        <w:left w:val="none" w:sz="0" w:space="0" w:color="auto"/>
        <w:bottom w:val="none" w:sz="0" w:space="0" w:color="auto"/>
        <w:right w:val="none" w:sz="0" w:space="0" w:color="auto"/>
      </w:divBdr>
    </w:div>
    <w:div w:id="1468234958">
      <w:bodyDiv w:val="1"/>
      <w:marLeft w:val="0"/>
      <w:marRight w:val="0"/>
      <w:marTop w:val="0"/>
      <w:marBottom w:val="0"/>
      <w:divBdr>
        <w:top w:val="none" w:sz="0" w:space="0" w:color="auto"/>
        <w:left w:val="none" w:sz="0" w:space="0" w:color="auto"/>
        <w:bottom w:val="none" w:sz="0" w:space="0" w:color="auto"/>
        <w:right w:val="none" w:sz="0" w:space="0" w:color="auto"/>
      </w:divBdr>
    </w:div>
    <w:div w:id="1844126062">
      <w:bodyDiv w:val="1"/>
      <w:marLeft w:val="0"/>
      <w:marRight w:val="0"/>
      <w:marTop w:val="0"/>
      <w:marBottom w:val="0"/>
      <w:divBdr>
        <w:top w:val="none" w:sz="0" w:space="0" w:color="auto"/>
        <w:left w:val="none" w:sz="0" w:space="0" w:color="auto"/>
        <w:bottom w:val="none" w:sz="0" w:space="0" w:color="auto"/>
        <w:right w:val="none" w:sz="0" w:space="0" w:color="auto"/>
      </w:divBdr>
    </w:div>
    <w:div w:id="1845515264">
      <w:bodyDiv w:val="1"/>
      <w:marLeft w:val="0"/>
      <w:marRight w:val="0"/>
      <w:marTop w:val="0"/>
      <w:marBottom w:val="0"/>
      <w:divBdr>
        <w:top w:val="none" w:sz="0" w:space="0" w:color="auto"/>
        <w:left w:val="none" w:sz="0" w:space="0" w:color="auto"/>
        <w:bottom w:val="none" w:sz="0" w:space="0" w:color="auto"/>
        <w:right w:val="none" w:sz="0" w:space="0" w:color="auto"/>
      </w:divBdr>
    </w:div>
    <w:div w:id="1918441724">
      <w:bodyDiv w:val="1"/>
      <w:marLeft w:val="0"/>
      <w:marRight w:val="0"/>
      <w:marTop w:val="0"/>
      <w:marBottom w:val="0"/>
      <w:divBdr>
        <w:top w:val="none" w:sz="0" w:space="0" w:color="auto"/>
        <w:left w:val="none" w:sz="0" w:space="0" w:color="auto"/>
        <w:bottom w:val="none" w:sz="0" w:space="0" w:color="auto"/>
        <w:right w:val="none" w:sz="0" w:space="0" w:color="auto"/>
      </w:divBdr>
      <w:divsChild>
        <w:div w:id="301428807">
          <w:marLeft w:val="0"/>
          <w:marRight w:val="0"/>
          <w:marTop w:val="0"/>
          <w:marBottom w:val="0"/>
          <w:divBdr>
            <w:top w:val="none" w:sz="0" w:space="0" w:color="auto"/>
            <w:left w:val="none" w:sz="0" w:space="0" w:color="auto"/>
            <w:bottom w:val="none" w:sz="0" w:space="0" w:color="auto"/>
            <w:right w:val="none" w:sz="0" w:space="0" w:color="auto"/>
          </w:divBdr>
        </w:div>
      </w:divsChild>
    </w:div>
    <w:div w:id="192715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c.ca.gov" TargetMode="External"/><Relationship Id="rId13" Type="http://schemas.openxmlformats.org/officeDocument/2006/relationships/hyperlink" Target="http://docs.cpuc.ca.gov/SearchRes.aspx?docformat=ALL&amp;docid=58130168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puc.ca.gov/SearchRes.aspx?docformat=ALL&amp;docid=58115190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puc.ca.gov/SearchRes.aspx?docformat=ALL&amp;docid=57906670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ublic.advisor@cpuc.ca.gov" TargetMode="External"/><Relationship Id="rId4" Type="http://schemas.openxmlformats.org/officeDocument/2006/relationships/settings" Target="settings.xml"/><Relationship Id="rId9" Type="http://schemas.openxmlformats.org/officeDocument/2006/relationships/hyperlink" Target="mailto:public.advisor@cpuc.ca.gov" TargetMode="External"/><Relationship Id="rId14" Type="http://schemas.openxmlformats.org/officeDocument/2006/relationships/hyperlink" Target="http://docs.cpuc.ca.gov/SearchRes.aspx?docformat=ALL&amp;docid=543079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973D8-8B5C-4FCB-84C1-ED21017C8F92}">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5</ap:Pages>
  <ap:Words>987</ap:Words>
  <ap:Characters>6638</ap:Characters>
  <ap:Application>Microsoft Office Word</ap:Application>
  <ap:DocSecurity>4</ap:DocSecurity>
  <ap:Lines>55</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7610</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2012-12-05T22:17:00Z</cp:lastPrinted>
  <dcterms:created xsi:type="dcterms:W3CDTF">2025-10-24T09:38:08Z</dcterms:created>
  <dcterms:modified xsi:type="dcterms:W3CDTF">2025-10-24T09:38:08Z</dcterms:modified>
</cp:coreProperties>
</file>