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FD0847" w14:paraId="2ABE0FB0" w14:textId="5FD6A04E">
      <w:pPr>
        <w:tabs>
          <w:tab w:val="center" w:pos="4680"/>
          <w:tab w:val="right" w:pos="9360"/>
        </w:tabs>
        <w:spacing w:line="240" w:lineRule="auto"/>
        <w:ind w:firstLine="0"/>
      </w:pPr>
      <w:r>
        <w:t>COM/ARD/</w:t>
      </w:r>
      <w:proofErr w:type="spellStart"/>
      <w:r>
        <w:t>asf</w:t>
      </w:r>
      <w:proofErr w:type="spellEnd"/>
      <w:r w:rsidR="00D674FC">
        <w:t xml:space="preserve">      </w:t>
      </w:r>
      <w:r w:rsidR="00DA7B5D">
        <w:rPr>
          <w:rFonts w:ascii="Arial" w:hAnsi="Arial" w:cs="Arial"/>
          <w:b/>
          <w:sz w:val="32"/>
          <w:szCs w:val="32"/>
        </w:rPr>
        <w:t>PROPOSED DECISION</w:t>
      </w:r>
      <w:r w:rsidR="00DA7B5D">
        <w:tab/>
      </w:r>
      <w:r w:rsidRPr="00EE4315" w:rsidR="00DA7B5D">
        <w:rPr>
          <w:b/>
        </w:rPr>
        <w:t>Agenda ID #</w:t>
      </w:r>
      <w:r w:rsidR="00CF4E80">
        <w:rPr>
          <w:b/>
        </w:rPr>
        <w:t>23769</w:t>
      </w:r>
      <w:r w:rsidR="00D674FC">
        <w:rPr>
          <w:b/>
        </w:rPr>
        <w:t xml:space="preserve"> (Rev. 1)</w:t>
      </w:r>
    </w:p>
    <w:p w:rsidR="00DA7B5D" w:rsidP="00632207" w:rsidRDefault="009D6306" w14:paraId="586C9818" w14:textId="0F5FCD7F">
      <w:pPr>
        <w:spacing w:line="240" w:lineRule="auto"/>
        <w:jc w:val="right"/>
        <w:rPr>
          <w:b/>
        </w:rPr>
      </w:pPr>
      <w:r>
        <w:rPr>
          <w:b/>
        </w:rPr>
        <w:t>Quasi-legislative</w:t>
      </w:r>
    </w:p>
    <w:p w:rsidRPr="00EE4315" w:rsidR="00D674FC" w:rsidP="00632207" w:rsidRDefault="00D674FC" w14:paraId="2FC35C7B" w14:textId="379FA981">
      <w:pPr>
        <w:spacing w:line="240" w:lineRule="auto"/>
        <w:jc w:val="right"/>
        <w:rPr>
          <w:b/>
        </w:rPr>
      </w:pPr>
      <w:r>
        <w:rPr>
          <w:b/>
        </w:rPr>
        <w:t>10/30/2025 Item #11</w:t>
      </w:r>
    </w:p>
    <w:p w:rsidR="00DA7B5D" w:rsidP="008F0116" w:rsidRDefault="00DA7B5D" w14:paraId="5913C3A8" w14:textId="77777777">
      <w:pPr>
        <w:ind w:firstLine="0"/>
      </w:pPr>
    </w:p>
    <w:p w:rsidR="00DA7B5D" w:rsidP="00FD0847" w:rsidRDefault="00DA7B5D" w14:paraId="6645F64B" w14:textId="14A3779D">
      <w:pPr>
        <w:spacing w:line="240" w:lineRule="auto"/>
        <w:ind w:left="1080" w:hanging="1080"/>
        <w:rPr>
          <w:b/>
          <w:bCs/>
          <w:u w:val="single"/>
        </w:rPr>
      </w:pPr>
      <w:r>
        <w:t xml:space="preserve">Decision </w:t>
      </w:r>
      <w:r w:rsidR="00FD0847">
        <w:rPr>
          <w:b/>
          <w:bCs/>
          <w:u w:val="single"/>
        </w:rPr>
        <w:t>PROPOSED DECISION OF COMMIS</w:t>
      </w:r>
      <w:r w:rsidR="008B152A">
        <w:rPr>
          <w:b/>
          <w:bCs/>
          <w:u w:val="single"/>
        </w:rPr>
        <w:t>S</w:t>
      </w:r>
      <w:r w:rsidR="00FD0847">
        <w:rPr>
          <w:b/>
          <w:bCs/>
          <w:u w:val="single"/>
        </w:rPr>
        <w:t>IONER A. REYNOLDS</w:t>
      </w:r>
    </w:p>
    <w:p w:rsidRPr="00FD0847" w:rsidR="00FD0847" w:rsidP="00FD0847" w:rsidRDefault="00FD0847" w14:paraId="44D25163" w14:textId="72A17667">
      <w:pPr>
        <w:spacing w:line="240" w:lineRule="auto"/>
        <w:ind w:left="1080" w:hanging="1080"/>
        <w:rPr>
          <w:b/>
          <w:bCs/>
        </w:rPr>
      </w:pPr>
      <w:r>
        <w:rPr>
          <w:b/>
          <w:bCs/>
        </w:rPr>
        <w:tab/>
        <w:t>(Mailed 9/</w:t>
      </w:r>
      <w:r w:rsidR="00516526">
        <w:rPr>
          <w:b/>
          <w:bCs/>
        </w:rPr>
        <w:t>25</w:t>
      </w:r>
      <w:r>
        <w:rPr>
          <w:b/>
          <w:bCs/>
        </w:rPr>
        <w:t>/2025)</w:t>
      </w:r>
    </w:p>
    <w:p w:rsidR="00DA7B5D" w:rsidP="00BB0243" w:rsidRDefault="00DA7B5D" w14:paraId="25069B86" w14:textId="77777777">
      <w:pPr>
        <w:spacing w:line="240" w:lineRule="auto"/>
        <w:jc w:val="center"/>
        <w:rPr>
          <w:u w:val="single"/>
        </w:rPr>
      </w:pPr>
    </w:p>
    <w:p w:rsidR="00DA7B5D" w:rsidP="00BB0243" w:rsidRDefault="00DA7B5D" w14:paraId="09893C53"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0DBEB0E"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22357540" w14:textId="77777777">
        <w:trPr>
          <w:jc w:val="center"/>
        </w:trPr>
        <w:tc>
          <w:tcPr>
            <w:tcW w:w="5040" w:type="dxa"/>
            <w:tcBorders>
              <w:top w:val="nil"/>
              <w:left w:val="nil"/>
              <w:bottom w:val="single" w:color="auto" w:sz="4" w:space="0"/>
              <w:right w:val="single" w:color="auto" w:sz="4" w:space="0"/>
            </w:tcBorders>
          </w:tcPr>
          <w:p w:rsidR="00314F37" w:rsidP="00C10B5F" w:rsidRDefault="00314F37" w14:paraId="6EF7BC50" w14:textId="77777777">
            <w:pPr>
              <w:spacing w:line="240" w:lineRule="auto"/>
              <w:ind w:firstLine="0"/>
              <w:rPr>
                <w:rFonts w:cs="Arial"/>
                <w:szCs w:val="26"/>
              </w:rPr>
            </w:pPr>
          </w:p>
          <w:p w:rsidRPr="00DA7B5D" w:rsidR="00DA7B5D" w:rsidP="00C10B5F" w:rsidRDefault="00110940" w14:paraId="3FD56D0D" w14:textId="539AA6A4">
            <w:pPr>
              <w:spacing w:line="240" w:lineRule="auto"/>
              <w:ind w:firstLine="0"/>
              <w:rPr>
                <w:rFonts w:cs="Arial"/>
                <w:szCs w:val="26"/>
              </w:rPr>
            </w:pPr>
            <w:r w:rsidRPr="00110940">
              <w:rPr>
                <w:rFonts w:cs="Arial"/>
                <w:szCs w:val="26"/>
              </w:rPr>
              <w:t>Order Instituting Rulemaking to Examine Electric Utility De</w:t>
            </w:r>
            <w:r w:rsidR="00314F37">
              <w:rPr>
                <w:rFonts w:cs="Arial"/>
                <w:szCs w:val="26"/>
              </w:rPr>
              <w:t>-</w:t>
            </w:r>
            <w:r w:rsidRPr="00110940">
              <w:rPr>
                <w:rFonts w:cs="Arial"/>
                <w:szCs w:val="26"/>
              </w:rPr>
              <w:t>Energization of Power Lines in Dangerous Conditions</w:t>
            </w:r>
            <w:r w:rsidR="00314F37">
              <w:rPr>
                <w:rFonts w:cs="Arial"/>
                <w:szCs w:val="26"/>
              </w:rPr>
              <w:t>.</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314F37" w14:paraId="79C55406" w14:textId="472F2027">
            <w:pPr>
              <w:spacing w:line="240" w:lineRule="auto"/>
              <w:ind w:firstLine="0"/>
              <w:jc w:val="center"/>
              <w:rPr>
                <w:rFonts w:cs="Arial"/>
                <w:szCs w:val="26"/>
              </w:rPr>
            </w:pPr>
            <w:r>
              <w:rPr>
                <w:rFonts w:cs="Arial"/>
                <w:szCs w:val="26"/>
              </w:rPr>
              <w:t>Rulemaking 18-12-005</w:t>
            </w:r>
          </w:p>
        </w:tc>
      </w:tr>
    </w:tbl>
    <w:p w:rsidR="00DA7B5D" w:rsidP="008F0116" w:rsidRDefault="00DA7B5D" w14:paraId="77DFD085" w14:textId="77777777">
      <w:pPr>
        <w:spacing w:line="240" w:lineRule="auto"/>
        <w:ind w:firstLine="0"/>
        <w:rPr>
          <w:rFonts w:ascii="Arial" w:hAnsi="Arial" w:cs="Arial"/>
          <w:sz w:val="24"/>
          <w:szCs w:val="24"/>
        </w:rPr>
      </w:pPr>
    </w:p>
    <w:p w:rsidR="00DA7B5D" w:rsidP="008F0116" w:rsidRDefault="00DA7B5D" w14:paraId="604F67F7" w14:textId="77777777">
      <w:pPr>
        <w:spacing w:line="240" w:lineRule="auto"/>
        <w:ind w:firstLine="0"/>
        <w:rPr>
          <w:rFonts w:ascii="Arial" w:hAnsi="Arial" w:cs="Arial"/>
          <w:sz w:val="24"/>
          <w:szCs w:val="24"/>
        </w:rPr>
      </w:pPr>
    </w:p>
    <w:p w:rsidR="00075A6A" w:rsidP="00B3087D" w:rsidRDefault="009B1ED9" w14:paraId="147DE6CB" w14:textId="77777777">
      <w:pPr>
        <w:pStyle w:val="Dummy"/>
        <w:jc w:val="center"/>
      </w:pPr>
      <w:bookmarkStart w:name="_Toc209082084" w:id="0"/>
      <w:r>
        <w:t xml:space="preserve">DECISION </w:t>
      </w:r>
      <w:r w:rsidR="00397CA9">
        <w:t>DENYING</w:t>
      </w:r>
      <w:r>
        <w:t xml:space="preserve"> PETITION FOR MODIFICATION</w:t>
      </w:r>
      <w:bookmarkEnd w:id="0"/>
      <w:r>
        <w:t xml:space="preserve"> </w:t>
      </w:r>
    </w:p>
    <w:p w:rsidRPr="001E2A62" w:rsidR="00D50119" w:rsidP="008F71B8" w:rsidRDefault="009B1ED9" w14:paraId="7A1D52F3" w14:textId="310DD570">
      <w:pPr>
        <w:pStyle w:val="Dummy"/>
        <w:jc w:val="center"/>
        <w:rPr>
          <w:rFonts w:ascii="Book Antiqua" w:hAnsi="Book Antiqua"/>
        </w:rPr>
      </w:pPr>
      <w:bookmarkStart w:name="_Toc209082085" w:id="1"/>
      <w:r>
        <w:t xml:space="preserve">OF </w:t>
      </w:r>
      <w:r w:rsidRPr="00FB30C9">
        <w:t>DECISION</w:t>
      </w:r>
      <w:r w:rsidR="00FB30C9">
        <w:t xml:space="preserve"> </w:t>
      </w:r>
      <w:r w:rsidRPr="00FB30C9">
        <w:t>24</w:t>
      </w:r>
      <w:r w:rsidR="008C110A">
        <w:noBreakHyphen/>
      </w:r>
      <w:r>
        <w:t>12</w:t>
      </w:r>
      <w:r w:rsidR="008C110A">
        <w:noBreakHyphen/>
      </w:r>
      <w:r>
        <w:t>005</w:t>
      </w:r>
      <w:bookmarkEnd w:id="1"/>
    </w:p>
    <w:p w:rsidR="005A148C" w:rsidP="005A148C" w:rsidRDefault="005A148C" w14:paraId="2A20DA82" w14:textId="77777777">
      <w:pPr>
        <w:pStyle w:val="Dummy"/>
      </w:pPr>
      <w:bookmarkStart w:name="_Toc8123714" w:id="2"/>
      <w:bookmarkStart w:name="_Toc209082086" w:id="3"/>
      <w:r>
        <w:t>Summary</w:t>
      </w:r>
      <w:bookmarkEnd w:id="2"/>
      <w:bookmarkEnd w:id="3"/>
    </w:p>
    <w:p w:rsidR="0073353F" w:rsidP="00E97D8F" w:rsidRDefault="005A148C" w14:paraId="22C8E77D" w14:textId="40F7DAE1">
      <w:pPr>
        <w:pStyle w:val="Standard"/>
      </w:pPr>
      <w:r>
        <w:t>Th</w:t>
      </w:r>
      <w:r w:rsidR="00057E0B">
        <w:t xml:space="preserve">is decision </w:t>
      </w:r>
      <w:r w:rsidR="000D67C2">
        <w:t>denies</w:t>
      </w:r>
      <w:r w:rsidR="00057E0B">
        <w:t xml:space="preserve"> </w:t>
      </w:r>
      <w:r w:rsidR="00111A21">
        <w:t>the</w:t>
      </w:r>
      <w:r w:rsidR="00057E0B">
        <w:t xml:space="preserve"> petition for modification of Decision</w:t>
      </w:r>
      <w:r w:rsidR="00DA73B3">
        <w:t xml:space="preserve"> (D.)</w:t>
      </w:r>
      <w:r w:rsidR="00057E0B">
        <w:t xml:space="preserve"> 24-12-005</w:t>
      </w:r>
      <w:r w:rsidR="008F640E">
        <w:t xml:space="preserve"> filed by</w:t>
      </w:r>
      <w:r w:rsidRPr="006869DC" w:rsidR="006869DC">
        <w:t xml:space="preserve"> Center for Accessible Technology</w:t>
      </w:r>
      <w:r w:rsidR="006869DC">
        <w:t xml:space="preserve"> (</w:t>
      </w:r>
      <w:proofErr w:type="spellStart"/>
      <w:r w:rsidR="006869DC">
        <w:t>CforAT</w:t>
      </w:r>
      <w:proofErr w:type="spellEnd"/>
      <w:r w:rsidR="006869DC">
        <w:t>)</w:t>
      </w:r>
      <w:r w:rsidR="00DA73B3">
        <w:t xml:space="preserve"> on July 1, 2025</w:t>
      </w:r>
      <w:r w:rsidR="006869DC">
        <w:t>.</w:t>
      </w:r>
      <w:r w:rsidR="00D62F13">
        <w:t xml:space="preserve"> </w:t>
      </w:r>
      <w:r w:rsidR="000A017D">
        <w:t xml:space="preserve">In </w:t>
      </w:r>
      <w:r w:rsidR="008F640E">
        <w:t>D.24-12-005</w:t>
      </w:r>
      <w:r w:rsidR="000A017D">
        <w:t>, the Commission</w:t>
      </w:r>
      <w:r w:rsidR="00526E2A">
        <w:t xml:space="preserve"> </w:t>
      </w:r>
      <w:r w:rsidR="000134FC">
        <w:t xml:space="preserve">denied a motion </w:t>
      </w:r>
      <w:r w:rsidR="00DA73B3">
        <w:t>seeking</w:t>
      </w:r>
      <w:r w:rsidR="000134FC">
        <w:t xml:space="preserve"> an order to show cause </w:t>
      </w:r>
      <w:r w:rsidR="008F640E">
        <w:t xml:space="preserve">filed by </w:t>
      </w:r>
      <w:proofErr w:type="spellStart"/>
      <w:r w:rsidR="00594314">
        <w:t>CforAT</w:t>
      </w:r>
      <w:proofErr w:type="spellEnd"/>
      <w:r w:rsidR="00594314">
        <w:t xml:space="preserve"> </w:t>
      </w:r>
      <w:r w:rsidR="00544978">
        <w:t xml:space="preserve">as to why Southern California Edison Company should not be sanctioned for </w:t>
      </w:r>
      <w:r w:rsidR="006869DC">
        <w:t xml:space="preserve">alleged </w:t>
      </w:r>
      <w:r w:rsidR="00DA73B3">
        <w:t>public safety power shuto</w:t>
      </w:r>
      <w:r w:rsidR="006869DC">
        <w:t xml:space="preserve">ff customer </w:t>
      </w:r>
      <w:r w:rsidR="00E900CF">
        <w:t xml:space="preserve">notification failures </w:t>
      </w:r>
      <w:r w:rsidR="00B45236">
        <w:t>during the wildfire season</w:t>
      </w:r>
      <w:r w:rsidR="00E97D8F">
        <w:t>.</w:t>
      </w:r>
      <w:r w:rsidR="006869DC">
        <w:t xml:space="preserve"> </w:t>
      </w:r>
      <w:r w:rsidR="00335383">
        <w:t>T</w:t>
      </w:r>
      <w:r w:rsidRPr="00335383" w:rsidR="00335383">
        <w:t xml:space="preserve">he Commission’s Safety and Enforcement Division has the authority to address </w:t>
      </w:r>
      <w:proofErr w:type="spellStart"/>
      <w:r w:rsidRPr="00335383" w:rsidR="00335383">
        <w:t>CforAT’s</w:t>
      </w:r>
      <w:proofErr w:type="spellEnd"/>
      <w:r w:rsidRPr="00335383" w:rsidR="00335383">
        <w:t xml:space="preserve"> concerns through</w:t>
      </w:r>
      <w:r w:rsidR="000A017D">
        <w:t>, for example,</w:t>
      </w:r>
      <w:r w:rsidRPr="00335383" w:rsidR="00335383">
        <w:t xml:space="preserve"> the compliance review process set forth in </w:t>
      </w:r>
      <w:r w:rsidR="005D2387">
        <w:t xml:space="preserve">Commission </w:t>
      </w:r>
      <w:r w:rsidRPr="00335383" w:rsidR="00335383">
        <w:t>Resolution M-4846</w:t>
      </w:r>
      <w:r w:rsidR="00566C08">
        <w:t>.</w:t>
      </w:r>
    </w:p>
    <w:p w:rsidR="00E97D8F" w:rsidP="00E97D8F" w:rsidRDefault="00E97D8F" w14:paraId="1C9E1D32" w14:textId="04C98112">
      <w:pPr>
        <w:pStyle w:val="Standard"/>
      </w:pPr>
      <w:r>
        <w:t>This proceeding is closed.</w:t>
      </w:r>
    </w:p>
    <w:p w:rsidRPr="00121089" w:rsidR="005A148C" w:rsidP="00FD0847" w:rsidRDefault="002C7FE9" w14:paraId="106572FD" w14:textId="77777777">
      <w:pPr>
        <w:pStyle w:val="Heading1"/>
      </w:pPr>
      <w:bookmarkStart w:name="_Toc8123715" w:id="4"/>
      <w:bookmarkStart w:name="_Toc209082087" w:id="5"/>
      <w:r w:rsidRPr="00FD0847">
        <w:t>Background</w:t>
      </w:r>
      <w:bookmarkEnd w:id="4"/>
      <w:bookmarkEnd w:id="5"/>
    </w:p>
    <w:p w:rsidR="005565E0" w:rsidP="00054CE1" w:rsidRDefault="002B5DBC" w14:paraId="27971F5C" w14:textId="4DC24CA6">
      <w:pPr>
        <w:pStyle w:val="Standard"/>
      </w:pPr>
      <w:r>
        <w:t xml:space="preserve">On </w:t>
      </w:r>
      <w:r w:rsidR="000B44F3">
        <w:t>Decem</w:t>
      </w:r>
      <w:r w:rsidR="00FD6539">
        <w:t>b</w:t>
      </w:r>
      <w:r w:rsidR="000B44F3">
        <w:t>er 13, 20</w:t>
      </w:r>
      <w:r w:rsidR="00FD6539">
        <w:t>1</w:t>
      </w:r>
      <w:r w:rsidR="00213DE1">
        <w:t>8</w:t>
      </w:r>
      <w:r>
        <w:t>, the</w:t>
      </w:r>
      <w:r w:rsidR="001006CC">
        <w:t xml:space="preserve"> California Public Utilities Commission </w:t>
      </w:r>
      <w:r w:rsidR="00A01E0B">
        <w:t xml:space="preserve">(Commission) opened Rulemaking </w:t>
      </w:r>
      <w:r w:rsidR="00DA73B3">
        <w:t xml:space="preserve">(R.) </w:t>
      </w:r>
      <w:r w:rsidR="00A01E0B">
        <w:t xml:space="preserve">18-12-005 to “examine its rules allowing </w:t>
      </w:r>
      <w:r w:rsidR="00A01E0B">
        <w:lastRenderedPageBreak/>
        <w:t>electric utilities under the Commission’s jurisdiction to de-energize power lines in case of dangerous conditions that threaten life or property in California.”</w:t>
      </w:r>
      <w:r w:rsidR="00A01E0B">
        <w:rPr>
          <w:rStyle w:val="FootnoteReference"/>
        </w:rPr>
        <w:footnoteReference w:id="2"/>
      </w:r>
      <w:r w:rsidR="00411A70">
        <w:t xml:space="preserve"> The Commission</w:t>
      </w:r>
      <w:r w:rsidR="58D8754A">
        <w:t>,</w:t>
      </w:r>
      <w:r w:rsidR="00411A70">
        <w:t xml:space="preserve"> through a series of decisions</w:t>
      </w:r>
      <w:r w:rsidR="367E7C6C">
        <w:t>,</w:t>
      </w:r>
      <w:r w:rsidR="00411A70">
        <w:t xml:space="preserve"> establish</w:t>
      </w:r>
      <w:r w:rsidR="003A184A">
        <w:t xml:space="preserve">ed rules and guidelines </w:t>
      </w:r>
      <w:r w:rsidR="0070199B">
        <w:t>applicable to electric investor-owned utilities</w:t>
      </w:r>
      <w:r w:rsidR="00A73B01">
        <w:t>’ decisions to de-energize power lines as a last resort measure to mitigate the risk of wildfire caused by electric utility infrastructure</w:t>
      </w:r>
      <w:r w:rsidR="000B5606">
        <w:t>, a process referred to as public safety power shutoff (PSPS) events.</w:t>
      </w:r>
      <w:r w:rsidR="003543C3">
        <w:rPr>
          <w:rStyle w:val="FootnoteReference"/>
        </w:rPr>
        <w:footnoteReference w:id="3"/>
      </w:r>
      <w:r w:rsidR="00054CE1">
        <w:t xml:space="preserve"> </w:t>
      </w:r>
      <w:r w:rsidR="00FC0555">
        <w:t>Finding</w:t>
      </w:r>
      <w:r w:rsidR="003B7443">
        <w:t xml:space="preserve"> that the </w:t>
      </w:r>
      <w:r w:rsidR="006805D6">
        <w:t xml:space="preserve">issues within scope of </w:t>
      </w:r>
      <w:r w:rsidR="00FC0555">
        <w:t>R</w:t>
      </w:r>
      <w:r w:rsidR="00DA73B3">
        <w:t>.18-12-005</w:t>
      </w:r>
      <w:r w:rsidR="006805D6">
        <w:t xml:space="preserve"> had been addressed, </w:t>
      </w:r>
      <w:r w:rsidR="00DA73B3">
        <w:t xml:space="preserve">the Commission in </w:t>
      </w:r>
      <w:r w:rsidR="006805D6">
        <w:t>Decision (D.)</w:t>
      </w:r>
      <w:r w:rsidR="004F0A02">
        <w:t xml:space="preserve"> </w:t>
      </w:r>
      <w:r w:rsidR="00D361FB">
        <w:t>24-12-005</w:t>
      </w:r>
      <w:r w:rsidR="000A017D">
        <w:t xml:space="preserve"> </w:t>
      </w:r>
      <w:r w:rsidR="00FC0555">
        <w:t>resolved</w:t>
      </w:r>
      <w:r w:rsidR="00D361FB">
        <w:t xml:space="preserve"> </w:t>
      </w:r>
      <w:r w:rsidR="00FD28FC">
        <w:t xml:space="preserve">the </w:t>
      </w:r>
      <w:r w:rsidR="00D361FB">
        <w:t>outstanding matters</w:t>
      </w:r>
      <w:r w:rsidR="00FD28FC">
        <w:t xml:space="preserve">, including </w:t>
      </w:r>
      <w:r w:rsidR="00DA73B3">
        <w:t>the</w:t>
      </w:r>
      <w:r w:rsidR="00FD28FC">
        <w:t xml:space="preserve"> </w:t>
      </w:r>
      <w:r w:rsidR="00563628">
        <w:t>moti</w:t>
      </w:r>
      <w:r w:rsidR="000E4968">
        <w:t>o</w:t>
      </w:r>
      <w:r w:rsidR="00563628">
        <w:t>n filed by the Center for Accessible Technology (</w:t>
      </w:r>
      <w:proofErr w:type="spellStart"/>
      <w:r w:rsidR="00563628">
        <w:t>CforAT</w:t>
      </w:r>
      <w:proofErr w:type="spellEnd"/>
      <w:r w:rsidR="00563628">
        <w:t xml:space="preserve">) on </w:t>
      </w:r>
      <w:r w:rsidR="00FB02F2">
        <w:t>August 6, 2024</w:t>
      </w:r>
      <w:r w:rsidR="00D361FB">
        <w:t xml:space="preserve"> and closed the </w:t>
      </w:r>
      <w:r w:rsidR="00FC0555">
        <w:t>R</w:t>
      </w:r>
      <w:r w:rsidR="000A017D">
        <w:t>ulemaking</w:t>
      </w:r>
      <w:r w:rsidR="00D361FB">
        <w:t>.</w:t>
      </w:r>
      <w:r w:rsidR="00626DB8">
        <w:rPr>
          <w:rStyle w:val="FootnoteReference"/>
        </w:rPr>
        <w:footnoteReference w:id="4"/>
      </w:r>
      <w:r w:rsidR="002E5B2E">
        <w:t xml:space="preserve"> </w:t>
      </w:r>
    </w:p>
    <w:p w:rsidR="00BA3E41" w:rsidP="00054CE1" w:rsidRDefault="00B64093" w14:paraId="5532EEEB" w14:textId="00CC0231">
      <w:pPr>
        <w:pStyle w:val="Standard"/>
      </w:pPr>
      <w:r>
        <w:t xml:space="preserve">The </w:t>
      </w:r>
      <w:r w:rsidR="001B7024">
        <w:t>August 6, 2024</w:t>
      </w:r>
      <w:r>
        <w:t xml:space="preserve"> motion by </w:t>
      </w:r>
      <w:proofErr w:type="spellStart"/>
      <w:r>
        <w:t>CforAT</w:t>
      </w:r>
      <w:proofErr w:type="spellEnd"/>
      <w:r w:rsidR="000A017D">
        <w:t>, which the Commission denied,</w:t>
      </w:r>
      <w:r>
        <w:t xml:space="preserve"> request</w:t>
      </w:r>
      <w:r w:rsidR="00787070">
        <w:t>ed</w:t>
      </w:r>
      <w:r>
        <w:t xml:space="preserve"> an order to show cause against Southern California Edison Company (SCE) for “substantial failures” to comply with </w:t>
      </w:r>
      <w:r w:rsidR="008F0077">
        <w:t xml:space="preserve">the </w:t>
      </w:r>
      <w:r>
        <w:t>Commission</w:t>
      </w:r>
      <w:r w:rsidR="00FB02F2">
        <w:t>’s</w:t>
      </w:r>
      <w:r>
        <w:t xml:space="preserve"> </w:t>
      </w:r>
      <w:r w:rsidR="00787070">
        <w:t xml:space="preserve">customer </w:t>
      </w:r>
      <w:r>
        <w:t>notification requirements for PSPS events that occurred during the 2023</w:t>
      </w:r>
      <w:r w:rsidR="00C420B9">
        <w:t xml:space="preserve"> and 2024</w:t>
      </w:r>
      <w:r>
        <w:t xml:space="preserve"> wildfire season</w:t>
      </w:r>
      <w:r w:rsidR="00C420B9">
        <w:t>s</w:t>
      </w:r>
      <w:r>
        <w:t>.</w:t>
      </w:r>
      <w:r>
        <w:rPr>
          <w:rStyle w:val="FootnoteReference"/>
        </w:rPr>
        <w:footnoteReference w:id="5"/>
      </w:r>
      <w:r>
        <w:t xml:space="preserve"> </w:t>
      </w:r>
      <w:r w:rsidR="000A017D">
        <w:t>In denying</w:t>
      </w:r>
      <w:r w:rsidR="000D1040">
        <w:t xml:space="preserve"> the </w:t>
      </w:r>
      <w:r w:rsidR="00183FF2">
        <w:t>August 6, 2024</w:t>
      </w:r>
      <w:r w:rsidR="000D1040">
        <w:t xml:space="preserve"> motion filed by </w:t>
      </w:r>
      <w:proofErr w:type="spellStart"/>
      <w:r w:rsidR="000D1040">
        <w:t>CforAT</w:t>
      </w:r>
      <w:proofErr w:type="spellEnd"/>
      <w:r w:rsidR="000D1040">
        <w:t>,</w:t>
      </w:r>
      <w:r w:rsidR="002E5B2E">
        <w:t xml:space="preserve"> </w:t>
      </w:r>
      <w:r w:rsidR="00902242">
        <w:t>the Commission in</w:t>
      </w:r>
      <w:r w:rsidR="008F0077">
        <w:t xml:space="preserve"> </w:t>
      </w:r>
      <w:r w:rsidR="00775D24">
        <w:t>D.24-12-005</w:t>
      </w:r>
      <w:r w:rsidR="000A017D">
        <w:t xml:space="preserve"> found</w:t>
      </w:r>
      <w:r w:rsidR="00EE16ED">
        <w:t xml:space="preserve"> that </w:t>
      </w:r>
      <w:r w:rsidR="009D063B">
        <w:t xml:space="preserve">“the procedures relied upon by staff, e.g., the on-going review process conducted by the Commission’s Safety and </w:t>
      </w:r>
      <w:r w:rsidR="009D063B">
        <w:lastRenderedPageBreak/>
        <w:t>Enforcement Division, are sufficient”</w:t>
      </w:r>
      <w:r w:rsidR="006C112B">
        <w:t xml:space="preserve"> and </w:t>
      </w:r>
      <w:r w:rsidR="003D5953">
        <w:t xml:space="preserve">“the Commission </w:t>
      </w:r>
      <w:r w:rsidR="006C1DC0">
        <w:t>retains the authority to issue an Order to Show Cause or initiate another appropriate enforcement action regarding these matters at any time.”</w:t>
      </w:r>
      <w:r w:rsidR="009D063B">
        <w:rPr>
          <w:rStyle w:val="FootnoteReference"/>
        </w:rPr>
        <w:footnoteReference w:id="6"/>
      </w:r>
    </w:p>
    <w:p w:rsidR="004F55C9" w:rsidP="00054CE1" w:rsidRDefault="00007B43" w14:paraId="7E29A259" w14:textId="56F79E68">
      <w:pPr>
        <w:pStyle w:val="Standard"/>
      </w:pPr>
      <w:r>
        <w:t>Subsequently, o</w:t>
      </w:r>
      <w:r w:rsidR="003C2028">
        <w:t xml:space="preserve">n </w:t>
      </w:r>
      <w:r w:rsidR="00D00698">
        <w:t xml:space="preserve">January 8, 2025, </w:t>
      </w:r>
      <w:proofErr w:type="spellStart"/>
      <w:r w:rsidR="00D00698">
        <w:t>CforAT</w:t>
      </w:r>
      <w:proofErr w:type="spellEnd"/>
      <w:r w:rsidR="00D00698">
        <w:t xml:space="preserve"> filed an application for rehearing of D.24-12-005</w:t>
      </w:r>
      <w:r w:rsidR="002812B0">
        <w:t xml:space="preserve"> on the basis that</w:t>
      </w:r>
      <w:r w:rsidR="00D95563">
        <w:t xml:space="preserve"> the Commission committed</w:t>
      </w:r>
      <w:r w:rsidR="004B5A49">
        <w:t xml:space="preserve"> </w:t>
      </w:r>
      <w:r w:rsidR="000E059A">
        <w:t xml:space="preserve">legal error </w:t>
      </w:r>
      <w:r w:rsidR="00B52F92">
        <w:t>for</w:t>
      </w:r>
      <w:r w:rsidR="004438F8">
        <w:t xml:space="preserve"> fail</w:t>
      </w:r>
      <w:r w:rsidR="00B52F92">
        <w:t>ure</w:t>
      </w:r>
      <w:r w:rsidR="004438F8">
        <w:t xml:space="preserve"> </w:t>
      </w:r>
      <w:r w:rsidR="002E5B9F">
        <w:t xml:space="preserve">to </w:t>
      </w:r>
      <w:r w:rsidR="004438F8">
        <w:t xml:space="preserve">(1) ensure the electric </w:t>
      </w:r>
      <w:r w:rsidR="00B52F92">
        <w:t>utilities</w:t>
      </w:r>
      <w:r w:rsidR="004438F8">
        <w:t xml:space="preserve"> execute PSPS events in compliance with </w:t>
      </w:r>
      <w:r w:rsidR="00030A00">
        <w:t xml:space="preserve">Public Utilities Code </w:t>
      </w:r>
      <w:r w:rsidR="00761260">
        <w:t xml:space="preserve">(Pub. Util. Code) </w:t>
      </w:r>
      <w:r w:rsidR="004438F8">
        <w:t>Sections 451 and 399.2(a</w:t>
      </w:r>
      <w:r w:rsidR="00FC0555">
        <w:t>)</w:t>
      </w:r>
      <w:r w:rsidR="00994677">
        <w:t>,</w:t>
      </w:r>
      <w:r w:rsidR="00C420B9">
        <w:t xml:space="preserve"> </w:t>
      </w:r>
      <w:r w:rsidR="004438F8">
        <w:t>and (2) demonstrate reasoned agency decision</w:t>
      </w:r>
      <w:r w:rsidR="00FC0555">
        <w:t>-</w:t>
      </w:r>
      <w:r w:rsidR="004438F8">
        <w:t>making as mandated by the California Supreme Court.</w:t>
      </w:r>
      <w:r w:rsidR="004B5A49">
        <w:t xml:space="preserve"> </w:t>
      </w:r>
      <w:r w:rsidR="00761260">
        <w:t xml:space="preserve">The </w:t>
      </w:r>
      <w:r w:rsidR="00650365">
        <w:t xml:space="preserve">Acton Town Council timely filed a response </w:t>
      </w:r>
      <w:r w:rsidR="002E5B9F">
        <w:t>in support of</w:t>
      </w:r>
      <w:r w:rsidR="00650365">
        <w:t xml:space="preserve"> </w:t>
      </w:r>
      <w:proofErr w:type="spellStart"/>
      <w:r w:rsidR="00B53119">
        <w:t>CforAT’s</w:t>
      </w:r>
      <w:proofErr w:type="spellEnd"/>
      <w:r w:rsidR="001A26C6">
        <w:t xml:space="preserve"> </w:t>
      </w:r>
      <w:r w:rsidR="00761260">
        <w:t xml:space="preserve">application for </w:t>
      </w:r>
      <w:r w:rsidR="00650365">
        <w:t>rehearing.</w:t>
      </w:r>
      <w:r w:rsidR="00507ABE">
        <w:t xml:space="preserve"> </w:t>
      </w:r>
      <w:r w:rsidR="00D95563">
        <w:t>No other responses</w:t>
      </w:r>
      <w:r w:rsidR="00B53119">
        <w:t xml:space="preserve"> were filed.</w:t>
      </w:r>
    </w:p>
    <w:p w:rsidR="003C2028" w:rsidP="00054CE1" w:rsidRDefault="00507ABE" w14:paraId="3D353AFC" w14:textId="6736572A">
      <w:pPr>
        <w:pStyle w:val="Standard"/>
      </w:pPr>
      <w:r>
        <w:t xml:space="preserve">On April </w:t>
      </w:r>
      <w:r w:rsidR="00BE00A7">
        <w:t>3</w:t>
      </w:r>
      <w:r>
        <w:t xml:space="preserve">, 2025, </w:t>
      </w:r>
      <w:r w:rsidR="00BE00A7">
        <w:t xml:space="preserve">the Commission </w:t>
      </w:r>
      <w:r w:rsidR="00B53119">
        <w:t>issued</w:t>
      </w:r>
      <w:r w:rsidR="00BE00A7">
        <w:t xml:space="preserve"> D.25-04-019 denying </w:t>
      </w:r>
      <w:proofErr w:type="spellStart"/>
      <w:r w:rsidR="00B53119">
        <w:t>CforAT’s</w:t>
      </w:r>
      <w:proofErr w:type="spellEnd"/>
      <w:r w:rsidR="00B53119">
        <w:t xml:space="preserve"> request for </w:t>
      </w:r>
      <w:r w:rsidR="00BE00A7">
        <w:t>rehearing of D.24-12-005</w:t>
      </w:r>
      <w:r w:rsidR="00B97D14">
        <w:t xml:space="preserve"> </w:t>
      </w:r>
      <w:r w:rsidR="00FC0555">
        <w:t xml:space="preserve">finding </w:t>
      </w:r>
      <w:r w:rsidR="00B53119">
        <w:t>that</w:t>
      </w:r>
      <w:r w:rsidR="00065B9F">
        <w:t xml:space="preserve"> </w:t>
      </w:r>
      <w:proofErr w:type="spellStart"/>
      <w:r w:rsidR="00065B9F">
        <w:t>CforAT</w:t>
      </w:r>
      <w:proofErr w:type="spellEnd"/>
      <w:r w:rsidR="00761260">
        <w:t xml:space="preserve"> </w:t>
      </w:r>
      <w:r w:rsidR="00065B9F">
        <w:t>failed to</w:t>
      </w:r>
      <w:r w:rsidR="000D5756">
        <w:t xml:space="preserve"> demonstrate any legal error warrant</w:t>
      </w:r>
      <w:r w:rsidR="00FC0555">
        <w:t>ing</w:t>
      </w:r>
      <w:r w:rsidR="000D5756">
        <w:t xml:space="preserve"> rehearing.</w:t>
      </w:r>
      <w:r w:rsidR="000D5756">
        <w:rPr>
          <w:rStyle w:val="FootnoteReference"/>
        </w:rPr>
        <w:footnoteReference w:id="7"/>
      </w:r>
    </w:p>
    <w:p w:rsidR="00C67666" w:rsidP="00E918E4" w:rsidRDefault="00D361FB" w14:paraId="05749A6E" w14:textId="55B7883C">
      <w:pPr>
        <w:pStyle w:val="Standard"/>
      </w:pPr>
      <w:r>
        <w:t xml:space="preserve">On July 1, 2025, </w:t>
      </w:r>
      <w:proofErr w:type="spellStart"/>
      <w:r w:rsidR="000E47AA">
        <w:t>CforAT</w:t>
      </w:r>
      <w:proofErr w:type="spellEnd"/>
      <w:r w:rsidR="000E47AA">
        <w:t xml:space="preserve"> filed </w:t>
      </w:r>
      <w:r w:rsidR="00B97D14">
        <w:t>this</w:t>
      </w:r>
      <w:r w:rsidR="000E47AA">
        <w:t xml:space="preserve"> petition </w:t>
      </w:r>
      <w:r w:rsidR="007C0062">
        <w:t xml:space="preserve">for modification of D.24-12-005. </w:t>
      </w:r>
      <w:r w:rsidR="009D59F6">
        <w:t>The petition</w:t>
      </w:r>
      <w:r w:rsidR="002E5B9F">
        <w:t xml:space="preserve"> </w:t>
      </w:r>
      <w:r w:rsidR="00C12489">
        <w:t>essentially</w:t>
      </w:r>
      <w:r w:rsidR="009D59F6">
        <w:t xml:space="preserve"> requests </w:t>
      </w:r>
      <w:r w:rsidR="00E506F4">
        <w:t xml:space="preserve">that the Commission </w:t>
      </w:r>
      <w:r w:rsidR="00711B66">
        <w:t>rev</w:t>
      </w:r>
      <w:r w:rsidR="00C12489">
        <w:t>isit</w:t>
      </w:r>
      <w:r w:rsidR="001B4F19">
        <w:t xml:space="preserve"> </w:t>
      </w:r>
      <w:r w:rsidR="003A0FFC">
        <w:t xml:space="preserve">its denial in </w:t>
      </w:r>
      <w:r w:rsidR="001B4F19">
        <w:t>D.24-12-005</w:t>
      </w:r>
      <w:r w:rsidR="004712A4">
        <w:t xml:space="preserve"> </w:t>
      </w:r>
      <w:r w:rsidR="001B4F19">
        <w:t xml:space="preserve">of </w:t>
      </w:r>
      <w:proofErr w:type="spellStart"/>
      <w:r w:rsidR="001B4F19">
        <w:t>CforAT’s</w:t>
      </w:r>
      <w:proofErr w:type="spellEnd"/>
      <w:r w:rsidR="001B4F19">
        <w:t xml:space="preserve"> </w:t>
      </w:r>
      <w:r w:rsidR="00FF43A6">
        <w:t>August 6, 2024 motion</w:t>
      </w:r>
      <w:r w:rsidR="000C7B90">
        <w:t xml:space="preserve"> for an </w:t>
      </w:r>
      <w:r w:rsidR="000C0287">
        <w:t>o</w:t>
      </w:r>
      <w:r w:rsidR="000C7B90">
        <w:t xml:space="preserve">rder to </w:t>
      </w:r>
      <w:r w:rsidR="000C0287">
        <w:t>s</w:t>
      </w:r>
      <w:r w:rsidR="000C7B90">
        <w:t xml:space="preserve">how </w:t>
      </w:r>
      <w:r w:rsidR="000C0287">
        <w:t>c</w:t>
      </w:r>
      <w:r w:rsidR="000C7B90">
        <w:t xml:space="preserve">ause </w:t>
      </w:r>
      <w:r w:rsidR="00BA1109">
        <w:t>against SCE “for its administration of the Commission’s de-energization requirements in wildfire seasons 2023 and 2024</w:t>
      </w:r>
      <w:r w:rsidR="00B94393">
        <w:t>.”</w:t>
      </w:r>
      <w:r w:rsidR="00B94393">
        <w:rPr>
          <w:rStyle w:val="FootnoteReference"/>
        </w:rPr>
        <w:footnoteReference w:id="8"/>
      </w:r>
      <w:r w:rsidR="009D59F6">
        <w:t xml:space="preserve"> </w:t>
      </w:r>
      <w:r w:rsidR="00C20CB3">
        <w:t>The petition</w:t>
      </w:r>
      <w:r w:rsidR="00761260">
        <w:t xml:space="preserve"> also </w:t>
      </w:r>
      <w:r w:rsidR="00C20CB3">
        <w:t xml:space="preserve">requests the Commission to </w:t>
      </w:r>
      <w:r w:rsidR="00C20CB3">
        <w:lastRenderedPageBreak/>
        <w:t>consider</w:t>
      </w:r>
      <w:r w:rsidR="00761260">
        <w:t xml:space="preserve"> developments since December 2024 pertaining to wildfires in SCE’s service territories and PSPS events.</w:t>
      </w:r>
      <w:r w:rsidR="00761260">
        <w:rPr>
          <w:rStyle w:val="FootnoteReference"/>
        </w:rPr>
        <w:footnoteReference w:id="9"/>
      </w:r>
    </w:p>
    <w:p w:rsidR="00D361FB" w:rsidP="00E918E4" w:rsidRDefault="00386B32" w14:paraId="43F720C1" w14:textId="18AED8C6">
      <w:pPr>
        <w:pStyle w:val="Standard"/>
      </w:pPr>
      <w:r>
        <w:t>Th</w:t>
      </w:r>
      <w:r w:rsidR="00C67666">
        <w:t>e July 1, 2025</w:t>
      </w:r>
      <w:r w:rsidR="004712A4">
        <w:t xml:space="preserve"> </w:t>
      </w:r>
      <w:r>
        <w:t xml:space="preserve">petition </w:t>
      </w:r>
      <w:r w:rsidR="00C67666">
        <w:t xml:space="preserve">generally </w:t>
      </w:r>
      <w:r>
        <w:t>asserts that</w:t>
      </w:r>
      <w:r w:rsidR="0057701B">
        <w:t xml:space="preserve"> SCE’s performance has worsened since</w:t>
      </w:r>
      <w:r w:rsidR="009567DB">
        <w:t xml:space="preserve"> December 2024 when</w:t>
      </w:r>
      <w:r w:rsidR="0057701B">
        <w:t xml:space="preserve"> the Commission </w:t>
      </w:r>
      <w:r w:rsidR="00C041CD">
        <w:t>issued D.24-12-005</w:t>
      </w:r>
      <w:r w:rsidR="00630D25">
        <w:t xml:space="preserve"> and that</w:t>
      </w:r>
      <w:r w:rsidR="00AD7C5E">
        <w:t xml:space="preserve">, according to </w:t>
      </w:r>
      <w:proofErr w:type="spellStart"/>
      <w:r w:rsidR="00AD7C5E">
        <w:t>CforAT</w:t>
      </w:r>
      <w:proofErr w:type="spellEnd"/>
      <w:r w:rsidR="00AD7C5E">
        <w:t>,</w:t>
      </w:r>
      <w:r w:rsidR="00630D25">
        <w:t xml:space="preserve"> </w:t>
      </w:r>
      <w:r w:rsidR="00460682">
        <w:t xml:space="preserve">SCE has </w:t>
      </w:r>
      <w:r w:rsidR="00AD7C5E">
        <w:t>not</w:t>
      </w:r>
      <w:r w:rsidR="00460682">
        <w:t xml:space="preserve"> present</w:t>
      </w:r>
      <w:r w:rsidR="00AD7C5E">
        <w:t>ed</w:t>
      </w:r>
      <w:r w:rsidR="00460682">
        <w:t xml:space="preserve"> any meaningful action plan for addressing </w:t>
      </w:r>
      <w:r w:rsidR="00EF7C20">
        <w:t xml:space="preserve">its </w:t>
      </w:r>
      <w:r w:rsidR="00AD7C5E">
        <w:t>defici</w:t>
      </w:r>
      <w:r w:rsidR="009B109E">
        <w:t>en</w:t>
      </w:r>
      <w:r w:rsidR="00AD7C5E">
        <w:t xml:space="preserve">t </w:t>
      </w:r>
      <w:r w:rsidR="00EF7C20">
        <w:t>performance</w:t>
      </w:r>
      <w:r w:rsidR="00C041CD">
        <w:t>.</w:t>
      </w:r>
      <w:r w:rsidR="00AD7C5E">
        <w:rPr>
          <w:rStyle w:val="FootnoteReference"/>
        </w:rPr>
        <w:footnoteReference w:id="10"/>
      </w:r>
      <w:r w:rsidR="00C041CD">
        <w:t xml:space="preserve"> </w:t>
      </w:r>
      <w:r w:rsidR="00241654">
        <w:t xml:space="preserve">The petition further asserts that </w:t>
      </w:r>
      <w:r w:rsidR="00752BC4">
        <w:t xml:space="preserve">the Commission’s </w:t>
      </w:r>
      <w:r w:rsidR="00241654">
        <w:t>Safety and Enforcement Division</w:t>
      </w:r>
      <w:r w:rsidR="00540073">
        <w:t xml:space="preserve">’s compliance review processes are inadequate to address </w:t>
      </w:r>
      <w:r w:rsidR="009B52ED">
        <w:t>the concerns raised</w:t>
      </w:r>
      <w:r w:rsidR="00F50C91">
        <w:t xml:space="preserve"> now and</w:t>
      </w:r>
      <w:r w:rsidR="009B52ED">
        <w:t xml:space="preserve"> in </w:t>
      </w:r>
      <w:proofErr w:type="spellStart"/>
      <w:r w:rsidR="009B52ED">
        <w:t>CforAT’s</w:t>
      </w:r>
      <w:proofErr w:type="spellEnd"/>
      <w:r w:rsidR="009B52ED">
        <w:t xml:space="preserve"> </w:t>
      </w:r>
      <w:r w:rsidR="00752BC4">
        <w:t xml:space="preserve">August 6, 2024 </w:t>
      </w:r>
      <w:r w:rsidR="009B52ED">
        <w:t>motion</w:t>
      </w:r>
      <w:r w:rsidR="009D59F6">
        <w:t>.</w:t>
      </w:r>
      <w:r w:rsidR="00E918E4">
        <w:t xml:space="preserve"> </w:t>
      </w:r>
      <w:r w:rsidR="00A62107">
        <w:t>The Utility Reform Network</w:t>
      </w:r>
      <w:r w:rsidR="00E333AB">
        <w:t xml:space="preserve"> and</w:t>
      </w:r>
      <w:r w:rsidR="00A62107">
        <w:t xml:space="preserve"> City of Moorpark</w:t>
      </w:r>
      <w:r w:rsidR="00E333AB">
        <w:t xml:space="preserve"> and Kern County (jointly) timely filed responses </w:t>
      </w:r>
      <w:r w:rsidR="00F50C91">
        <w:t>in support of</w:t>
      </w:r>
      <w:r w:rsidR="00E333AB">
        <w:t xml:space="preserve"> the </w:t>
      </w:r>
      <w:r w:rsidR="00752BC4">
        <w:t xml:space="preserve">July 1, </w:t>
      </w:r>
      <w:proofErr w:type="gramStart"/>
      <w:r w:rsidR="00752BC4">
        <w:t>2025</w:t>
      </w:r>
      <w:proofErr w:type="gramEnd"/>
      <w:r w:rsidR="00752BC4">
        <w:t xml:space="preserve"> </w:t>
      </w:r>
      <w:r w:rsidR="0007536F">
        <w:t xml:space="preserve">petition. </w:t>
      </w:r>
      <w:proofErr w:type="spellStart"/>
      <w:r w:rsidR="0007536F">
        <w:t>CforAT</w:t>
      </w:r>
      <w:proofErr w:type="spellEnd"/>
      <w:r w:rsidR="0007536F">
        <w:t xml:space="preserve"> timely filed a reply to responses.</w:t>
      </w:r>
    </w:p>
    <w:p w:rsidRPr="001064CF" w:rsidR="001A07E7" w:rsidP="00FD0847" w:rsidRDefault="00B7215F" w14:paraId="2F6720DC" w14:textId="279E30B3">
      <w:pPr>
        <w:pStyle w:val="Heading1"/>
      </w:pPr>
      <w:bookmarkStart w:name="_Toc209082088" w:id="6"/>
      <w:bookmarkStart w:name="_Toc8123719" w:id="7"/>
      <w:r w:rsidRPr="001064CF">
        <w:t xml:space="preserve">Procedural </w:t>
      </w:r>
      <w:r w:rsidRPr="001064CF" w:rsidR="00DF166D">
        <w:t xml:space="preserve">Requirement &amp; </w:t>
      </w:r>
      <w:r w:rsidRPr="001064CF" w:rsidR="001A07E7">
        <w:t>Standard of Review</w:t>
      </w:r>
      <w:bookmarkEnd w:id="6"/>
    </w:p>
    <w:p w:rsidR="00681019" w:rsidP="00504E0C" w:rsidRDefault="00737468" w14:paraId="191B0DE7" w14:textId="1B2B2767">
      <w:pPr>
        <w:pStyle w:val="Standard"/>
      </w:pPr>
      <w:r>
        <w:t>Rule 16.4 of the Commission’s Rules of Practice and Procedure</w:t>
      </w:r>
      <w:r w:rsidR="009913E8">
        <w:t xml:space="preserve"> </w:t>
      </w:r>
      <w:r>
        <w:t xml:space="preserve">governs petitions for modification. </w:t>
      </w:r>
      <w:r w:rsidRPr="00945701" w:rsidR="00945701">
        <w:t>Rule 16.4 derives its authority from Pub</w:t>
      </w:r>
      <w:r w:rsidR="00F50C91">
        <w:t>.</w:t>
      </w:r>
      <w:r w:rsidRPr="00945701" w:rsidR="00945701">
        <w:t xml:space="preserve"> Util</w:t>
      </w:r>
      <w:r w:rsidR="00F50C91">
        <w:t>.</w:t>
      </w:r>
      <w:r w:rsidRPr="00945701" w:rsidR="00945701">
        <w:t xml:space="preserve"> Code Section 1708</w:t>
      </w:r>
      <w:r w:rsidR="000706B6">
        <w:t>, which</w:t>
      </w:r>
      <w:r w:rsidRPr="00945701" w:rsidR="00945701">
        <w:t xml:space="preserve"> a</w:t>
      </w:r>
      <w:r w:rsidR="00FC0555">
        <w:t>uthorizes</w:t>
      </w:r>
      <w:r w:rsidRPr="00945701" w:rsidR="00945701">
        <w:t xml:space="preserve"> the Commission to rescind, alter, or amend any decision made by it. </w:t>
      </w:r>
    </w:p>
    <w:p w:rsidR="00B7215F" w:rsidP="00504E0C" w:rsidRDefault="00FC0555" w14:paraId="4ED46AD5" w14:textId="02C94E92">
      <w:pPr>
        <w:pStyle w:val="Standard"/>
      </w:pPr>
      <w:r>
        <w:t xml:space="preserve">Among other things, </w:t>
      </w:r>
      <w:r w:rsidR="004F3360">
        <w:t xml:space="preserve">Rule 16.4 </w:t>
      </w:r>
      <w:r w:rsidR="00681019">
        <w:t xml:space="preserve">sets forth certain procedural requirements. The rule </w:t>
      </w:r>
      <w:r w:rsidR="004F3360">
        <w:t>requires</w:t>
      </w:r>
      <w:r w:rsidR="003D0248">
        <w:t xml:space="preserve"> petitions for modification to concisely state the justification for the requested relief and to propose specific wording to carry out </w:t>
      </w:r>
      <w:r>
        <w:t xml:space="preserve">the </w:t>
      </w:r>
      <w:r w:rsidR="003D0248">
        <w:t xml:space="preserve">requested modifications </w:t>
      </w:r>
      <w:r w:rsidR="00AC7ABF">
        <w:t xml:space="preserve">to the </w:t>
      </w:r>
      <w:r>
        <w:t xml:space="preserve">underlying </w:t>
      </w:r>
      <w:r w:rsidR="00AC7ABF">
        <w:t>decision</w:t>
      </w:r>
      <w:r w:rsidR="007F5A11">
        <w:t>; any factual allegations must be supported with specific citations to the record in the proceeding or to matters that may be officially noticed</w:t>
      </w:r>
      <w:r w:rsidR="007A1DBF">
        <w:t xml:space="preserve">; allegations of new or changed facts must be </w:t>
      </w:r>
      <w:r w:rsidR="007A1DBF">
        <w:lastRenderedPageBreak/>
        <w:t>supported by an appropriate declaration or affidavit.</w:t>
      </w:r>
      <w:r w:rsidR="007A1DBF">
        <w:rPr>
          <w:rStyle w:val="FootnoteReference"/>
        </w:rPr>
        <w:footnoteReference w:id="11"/>
      </w:r>
      <w:r w:rsidR="00D0056D">
        <w:t xml:space="preserve"> Rule 16.4 further requires </w:t>
      </w:r>
      <w:r w:rsidR="00DC369F">
        <w:t>petitions for modification to be filed and served on all parties to the proceeding</w:t>
      </w:r>
      <w:r>
        <w:t>,</w:t>
      </w:r>
      <w:r w:rsidR="00DC369F">
        <w:t xml:space="preserve"> in which the decision proposed to be modified was made</w:t>
      </w:r>
      <w:r w:rsidR="00E80014">
        <w:t xml:space="preserve">, within one year of the effective date of the decision proposed to be modified; if more than one year </w:t>
      </w:r>
      <w:r w:rsidR="00233CF0">
        <w:t>has elapsed, the petition must explain why the petition could not have been presented within one year of the effective date of the decision.</w:t>
      </w:r>
      <w:r w:rsidR="0001180C">
        <w:rPr>
          <w:rStyle w:val="FootnoteReference"/>
        </w:rPr>
        <w:footnoteReference w:id="12"/>
      </w:r>
      <w:r w:rsidR="007C07A5">
        <w:tab/>
      </w:r>
    </w:p>
    <w:p w:rsidR="00B7215F" w:rsidP="00C420B9" w:rsidRDefault="00CE13AC" w14:paraId="43A3FAC1" w14:textId="0A565F10">
      <w:pPr>
        <w:pStyle w:val="Standard"/>
      </w:pPr>
      <w:proofErr w:type="spellStart"/>
      <w:r>
        <w:t>CforAT’s</w:t>
      </w:r>
      <w:proofErr w:type="spellEnd"/>
      <w:r>
        <w:t xml:space="preserve"> petition, having been filed </w:t>
      </w:r>
      <w:r w:rsidR="009263EB">
        <w:t xml:space="preserve">and served </w:t>
      </w:r>
      <w:r>
        <w:t xml:space="preserve">within one year </w:t>
      </w:r>
      <w:r w:rsidR="00FC0555">
        <w:t xml:space="preserve">of </w:t>
      </w:r>
      <w:r w:rsidR="009263EB">
        <w:t xml:space="preserve">the effective date of D.24-12-005 meets the </w:t>
      </w:r>
      <w:r w:rsidR="009A54CB">
        <w:t xml:space="preserve">requirements of Rule 16.4(c) and (d). The petition also </w:t>
      </w:r>
      <w:r w:rsidR="005B56E6">
        <w:t xml:space="preserve">proposes specific wording to carry out its requested modifications </w:t>
      </w:r>
      <w:r w:rsidR="00C420B9">
        <w:t xml:space="preserve">to the underlying decision, </w:t>
      </w:r>
      <w:r w:rsidR="008F2EC9">
        <w:t>states the justification for the requested relief</w:t>
      </w:r>
      <w:r w:rsidR="00C420B9">
        <w:t>,</w:t>
      </w:r>
      <w:r w:rsidR="003B766B">
        <w:t xml:space="preserve"> and provides supporting citations and declaration of </w:t>
      </w:r>
      <w:r w:rsidR="00B73BFE">
        <w:t>alleged new facts, in accordance with Rule 16.4(b).</w:t>
      </w:r>
      <w:r w:rsidR="00C420B9">
        <w:t xml:space="preserve"> </w:t>
      </w:r>
      <w:r w:rsidR="00B7215F">
        <w:t xml:space="preserve">As such, </w:t>
      </w:r>
      <w:proofErr w:type="spellStart"/>
      <w:r w:rsidR="00B7215F">
        <w:t>CforAT</w:t>
      </w:r>
      <w:proofErr w:type="spellEnd"/>
      <w:r w:rsidR="00B7215F">
        <w:t xml:space="preserve"> meets the </w:t>
      </w:r>
      <w:r w:rsidR="00DF166D">
        <w:t>procedural</w:t>
      </w:r>
      <w:r w:rsidR="00B7215F">
        <w:t xml:space="preserve"> requirements set forth in Rule 16.4.</w:t>
      </w:r>
    </w:p>
    <w:p w:rsidRPr="001A07E7" w:rsidR="001A07E7" w:rsidP="001A07E7" w:rsidRDefault="00DF166D" w14:paraId="0F7E1186" w14:textId="4B17A0CD">
      <w:pPr>
        <w:pStyle w:val="Standard"/>
      </w:pPr>
      <w:r>
        <w:t xml:space="preserve">Regarding the standard of review, </w:t>
      </w:r>
      <w:r w:rsidR="007C07A5">
        <w:t>the Commission</w:t>
      </w:r>
      <w:r w:rsidRPr="00945701" w:rsidR="00945701">
        <w:t xml:space="preserve"> consider</w:t>
      </w:r>
      <w:r w:rsidR="007C07A5">
        <w:t>s</w:t>
      </w:r>
      <w:r w:rsidRPr="00945701" w:rsidR="00945701">
        <w:t xml:space="preserve"> whether </w:t>
      </w:r>
      <w:proofErr w:type="spellStart"/>
      <w:r w:rsidR="006C2B87">
        <w:t>CforAT</w:t>
      </w:r>
      <w:r>
        <w:t>’s</w:t>
      </w:r>
      <w:proofErr w:type="spellEnd"/>
      <w:r>
        <w:t xml:space="preserve"> pe</w:t>
      </w:r>
      <w:r w:rsidR="00BC2628">
        <w:t>t</w:t>
      </w:r>
      <w:r>
        <w:t>ition</w:t>
      </w:r>
      <w:r w:rsidRPr="00945701" w:rsidR="00945701">
        <w:t xml:space="preserve"> me</w:t>
      </w:r>
      <w:r>
        <w:t>e</w:t>
      </w:r>
      <w:r w:rsidRPr="00945701" w:rsidR="00945701">
        <w:t>t</w:t>
      </w:r>
      <w:r w:rsidR="00323F28">
        <w:t>s</w:t>
      </w:r>
      <w:r w:rsidRPr="00945701" w:rsidR="00945701">
        <w:t xml:space="preserve"> </w:t>
      </w:r>
      <w:r w:rsidR="006C2B87">
        <w:t>the</w:t>
      </w:r>
      <w:r w:rsidRPr="00945701" w:rsidR="00945701">
        <w:t xml:space="preserve"> substant</w:t>
      </w:r>
      <w:r w:rsidR="00B7215F">
        <w:t>ive</w:t>
      </w:r>
      <w:r w:rsidRPr="00945701" w:rsidR="00945701">
        <w:t xml:space="preserve"> burden, pursuant to Rule 16.4, to demonstrate that the Commission should exercise its discretion to modify D.</w:t>
      </w:r>
      <w:r w:rsidR="006C2B87">
        <w:t>24-12-005</w:t>
      </w:r>
      <w:r w:rsidRPr="00945701" w:rsidR="00945701">
        <w:t>. The Commission has considerable discretion when ruling on a petition for modification.</w:t>
      </w:r>
      <w:r w:rsidR="00A31AFC">
        <w:rPr>
          <w:rStyle w:val="FootnoteReference"/>
        </w:rPr>
        <w:footnoteReference w:id="13"/>
      </w:r>
      <w:r w:rsidRPr="00945701" w:rsidR="00945701">
        <w:t xml:space="preserve"> </w:t>
      </w:r>
      <w:r w:rsidR="00B7215F">
        <w:t>At the same time, t</w:t>
      </w:r>
      <w:r w:rsidRPr="00945701" w:rsidR="00945701">
        <w:t>he Commission’s exercise of authority under Pub</w:t>
      </w:r>
      <w:r w:rsidR="00F50C91">
        <w:t>.</w:t>
      </w:r>
      <w:r w:rsidRPr="00945701" w:rsidR="00945701">
        <w:t xml:space="preserve"> Util</w:t>
      </w:r>
      <w:r w:rsidR="00F50C91">
        <w:t>.</w:t>
      </w:r>
      <w:r w:rsidRPr="00945701" w:rsidR="00945701">
        <w:t xml:space="preserve"> Code Section 1708 is an “’extraordinary remedy’ that must be </w:t>
      </w:r>
      <w:r w:rsidRPr="00945701" w:rsidR="00945701">
        <w:lastRenderedPageBreak/>
        <w:t>‘sparingly and carefully applied.’”</w:t>
      </w:r>
      <w:r w:rsidR="00A31AFC">
        <w:rPr>
          <w:rStyle w:val="FootnoteReference"/>
        </w:rPr>
        <w:footnoteReference w:id="14"/>
      </w:r>
      <w:r w:rsidR="00FA1AF7">
        <w:t xml:space="preserve"> </w:t>
      </w:r>
      <w:r w:rsidR="00C420B9">
        <w:t>The Commission addresses these substantive requirements below.</w:t>
      </w:r>
    </w:p>
    <w:p w:rsidR="005A148C" w:rsidP="00FD0847" w:rsidRDefault="00ED1206" w14:paraId="54FCBDB8" w14:textId="02450B68">
      <w:pPr>
        <w:pStyle w:val="Heading1"/>
      </w:pPr>
      <w:bookmarkStart w:name="_Toc209082089" w:id="8"/>
      <w:bookmarkEnd w:id="7"/>
      <w:r w:rsidRPr="00FD0847">
        <w:t>Discussion</w:t>
      </w:r>
      <w:bookmarkEnd w:id="8"/>
    </w:p>
    <w:p w:rsidR="00C420B9" w:rsidP="00C420B9" w:rsidRDefault="00ED1206" w14:paraId="554C2E2F" w14:textId="3EAFF36A">
      <w:pPr>
        <w:pStyle w:val="Standard"/>
      </w:pPr>
      <w:r>
        <w:t>The Commission is</w:t>
      </w:r>
      <w:r w:rsidR="00014614">
        <w:t xml:space="preserve"> not persuaded by </w:t>
      </w:r>
      <w:proofErr w:type="spellStart"/>
      <w:r w:rsidR="00A8556E">
        <w:t>CforAT’s</w:t>
      </w:r>
      <w:proofErr w:type="spellEnd"/>
      <w:r w:rsidR="00A8556E">
        <w:t xml:space="preserve"> </w:t>
      </w:r>
      <w:r w:rsidR="000162DD">
        <w:t xml:space="preserve">declaration </w:t>
      </w:r>
      <w:r w:rsidR="00F50C91">
        <w:t>that</w:t>
      </w:r>
      <w:r w:rsidR="000162DD">
        <w:t xml:space="preserve"> </w:t>
      </w:r>
      <w:r w:rsidR="00A8556E">
        <w:t xml:space="preserve">new facts </w:t>
      </w:r>
      <w:r w:rsidR="00F50C91">
        <w:t>warrant the</w:t>
      </w:r>
      <w:r w:rsidR="00AE4563">
        <w:t xml:space="preserve"> reopen</w:t>
      </w:r>
      <w:r w:rsidR="00F50C91">
        <w:t>ing of</w:t>
      </w:r>
      <w:r w:rsidR="00AE4563">
        <w:t xml:space="preserve"> </w:t>
      </w:r>
      <w:r w:rsidR="00F50C91">
        <w:t>R.</w:t>
      </w:r>
      <w:r w:rsidR="00AE4563">
        <w:t xml:space="preserve">18-12-005 for the purpose of </w:t>
      </w:r>
      <w:r w:rsidR="000B46D0">
        <w:t xml:space="preserve">modifying </w:t>
      </w:r>
      <w:r w:rsidR="0044635E">
        <w:t xml:space="preserve">D.24-12-005 </w:t>
      </w:r>
      <w:r w:rsidR="00F57005">
        <w:t>to issue</w:t>
      </w:r>
      <w:r w:rsidR="00AC6BE2">
        <w:t xml:space="preserve"> an </w:t>
      </w:r>
      <w:r w:rsidR="000C0287">
        <w:t>o</w:t>
      </w:r>
      <w:r w:rsidR="00AC6BE2">
        <w:t xml:space="preserve">rder to </w:t>
      </w:r>
      <w:r w:rsidR="000C0287">
        <w:t>s</w:t>
      </w:r>
      <w:r w:rsidR="00AC6BE2">
        <w:t xml:space="preserve">how </w:t>
      </w:r>
      <w:r w:rsidR="000C0287">
        <w:t>c</w:t>
      </w:r>
      <w:r w:rsidR="00AC6BE2">
        <w:t xml:space="preserve">ause </w:t>
      </w:r>
      <w:r w:rsidR="0012753F">
        <w:t xml:space="preserve">for </w:t>
      </w:r>
      <w:r w:rsidR="00AC6BE2">
        <w:t xml:space="preserve">SCE’s administration </w:t>
      </w:r>
      <w:r w:rsidR="00173A2A">
        <w:t xml:space="preserve">of PSPS </w:t>
      </w:r>
      <w:r w:rsidR="00C1700B">
        <w:t>events during the 2023 and 2024 wildfire seasons.</w:t>
      </w:r>
      <w:r w:rsidR="00466216">
        <w:t xml:space="preserve"> </w:t>
      </w:r>
      <w:r w:rsidR="00C420B9">
        <w:t>T</w:t>
      </w:r>
      <w:r w:rsidR="00C70671">
        <w:t xml:space="preserve">he Commission </w:t>
      </w:r>
      <w:r w:rsidR="004D7E90">
        <w:t>relies upon</w:t>
      </w:r>
      <w:r w:rsidR="00466216">
        <w:t xml:space="preserve"> </w:t>
      </w:r>
      <w:r w:rsidR="00DD69BA">
        <w:t>our findin</w:t>
      </w:r>
      <w:r w:rsidR="003226D7">
        <w:t>g</w:t>
      </w:r>
      <w:r w:rsidR="00BF7686">
        <w:t>s</w:t>
      </w:r>
      <w:r w:rsidR="00DD69BA">
        <w:t xml:space="preserve"> </w:t>
      </w:r>
      <w:proofErr w:type="gramStart"/>
      <w:r w:rsidR="00DD69BA">
        <w:t>in</w:t>
      </w:r>
      <w:proofErr w:type="gramEnd"/>
      <w:r w:rsidR="00DD69BA">
        <w:t xml:space="preserve"> D.24-12-005</w:t>
      </w:r>
      <w:r w:rsidR="00991C09">
        <w:rPr>
          <w:rStyle w:val="FootnoteReference"/>
        </w:rPr>
        <w:footnoteReference w:id="15"/>
      </w:r>
      <w:r w:rsidR="003716CB">
        <w:t xml:space="preserve"> that</w:t>
      </w:r>
      <w:r w:rsidR="00DD69BA">
        <w:t xml:space="preserve"> the </w:t>
      </w:r>
      <w:r w:rsidR="00A614EB">
        <w:t>Commission’s Safety and Enforcement Division</w:t>
      </w:r>
      <w:r w:rsidR="001A58C2">
        <w:t xml:space="preserve">’s </w:t>
      </w:r>
      <w:r w:rsidR="0089378D">
        <w:t xml:space="preserve">on-going review process for PSPS events is a </w:t>
      </w:r>
      <w:r w:rsidR="0056500C">
        <w:t xml:space="preserve">sufficient process to address the concerns raised by </w:t>
      </w:r>
      <w:proofErr w:type="spellStart"/>
      <w:r w:rsidR="00613D82">
        <w:t>CforAT</w:t>
      </w:r>
      <w:proofErr w:type="spellEnd"/>
      <w:r w:rsidR="00C420B9">
        <w:t>. As stated therein, the Commission’s procedures, including, but not limited to, those presented in Resolution M-4846 (November 5, 2020),</w:t>
      </w:r>
      <w:r w:rsidR="00C420B9">
        <w:rPr>
          <w:rStyle w:val="FootnoteReference"/>
        </w:rPr>
        <w:footnoteReference w:id="16"/>
      </w:r>
      <w:r w:rsidR="00C420B9">
        <w:t xml:space="preserve"> are sufficient to address the concerns raised by </w:t>
      </w:r>
      <w:proofErr w:type="spellStart"/>
      <w:r w:rsidR="00C420B9">
        <w:t>CforAT</w:t>
      </w:r>
      <w:proofErr w:type="spellEnd"/>
      <w:r w:rsidR="00C420B9">
        <w:t>. In addition,</w:t>
      </w:r>
      <w:r w:rsidR="00473868">
        <w:t xml:space="preserve"> the Commission has the authority to issue an order to show cause at any time</w:t>
      </w:r>
      <w:r w:rsidR="00636B56">
        <w:t>.</w:t>
      </w:r>
    </w:p>
    <w:p w:rsidRPr="000E270A" w:rsidR="000E270A" w:rsidP="00C420B9" w:rsidRDefault="00C420B9" w14:paraId="0D835A22" w14:textId="2D7CC461">
      <w:pPr>
        <w:pStyle w:val="Standard"/>
      </w:pPr>
      <w:r>
        <w:t>Therefore</w:t>
      </w:r>
      <w:r w:rsidR="000B3C48">
        <w:t xml:space="preserve">, </w:t>
      </w:r>
      <w:proofErr w:type="spellStart"/>
      <w:r w:rsidR="000B3C48">
        <w:t>CforAT’s</w:t>
      </w:r>
      <w:proofErr w:type="spellEnd"/>
      <w:r w:rsidR="000B3C48">
        <w:t xml:space="preserve"> July 1, </w:t>
      </w:r>
      <w:proofErr w:type="gramStart"/>
      <w:r w:rsidR="000B3C48">
        <w:t>2025</w:t>
      </w:r>
      <w:proofErr w:type="gramEnd"/>
      <w:r w:rsidR="000B3C48">
        <w:t xml:space="preserve"> petition for modification is denied.</w:t>
      </w:r>
      <w:r>
        <w:t xml:space="preserve"> </w:t>
      </w:r>
      <w:r w:rsidR="008E633F">
        <w:t>Notwithstanding</w:t>
      </w:r>
      <w:r w:rsidR="002D539A">
        <w:t xml:space="preserve"> the denial of</w:t>
      </w:r>
      <w:r w:rsidR="000B3C48">
        <w:t xml:space="preserve"> the petition</w:t>
      </w:r>
      <w:r w:rsidR="008E633F">
        <w:t>, t</w:t>
      </w:r>
      <w:r w:rsidR="0043133E">
        <w:t xml:space="preserve">he Commission </w:t>
      </w:r>
      <w:r w:rsidR="004F00C5">
        <w:t xml:space="preserve">notes that it </w:t>
      </w:r>
      <w:r w:rsidR="0043133E">
        <w:t>retains</w:t>
      </w:r>
      <w:r>
        <w:t xml:space="preserve"> </w:t>
      </w:r>
      <w:r w:rsidR="0043133E">
        <w:t>authority to issue</w:t>
      </w:r>
      <w:r w:rsidR="004F00C5">
        <w:t>, upon its own motion,</w:t>
      </w:r>
      <w:r w:rsidR="0043133E">
        <w:t xml:space="preserve"> an </w:t>
      </w:r>
      <w:r w:rsidR="000C0287">
        <w:t>o</w:t>
      </w:r>
      <w:r w:rsidR="00524918">
        <w:t xml:space="preserve">rder to </w:t>
      </w:r>
      <w:r w:rsidR="000C0287">
        <w:t>s</w:t>
      </w:r>
      <w:r w:rsidR="00524918">
        <w:t xml:space="preserve">how </w:t>
      </w:r>
      <w:r w:rsidR="000C0287">
        <w:t>c</w:t>
      </w:r>
      <w:r w:rsidR="00524918">
        <w:t xml:space="preserve">ause </w:t>
      </w:r>
      <w:r w:rsidR="00985E99">
        <w:t>or initiate other appropriate enforcement action</w:t>
      </w:r>
      <w:r w:rsidRPr="009C1B1A" w:rsidR="009C1B1A">
        <w:t xml:space="preserve"> </w:t>
      </w:r>
      <w:r w:rsidR="009C1B1A">
        <w:t>regarding these matters</w:t>
      </w:r>
      <w:r w:rsidR="00985E99">
        <w:t>. The Commission</w:t>
      </w:r>
      <w:r w:rsidR="00C754A4">
        <w:t xml:space="preserve"> may</w:t>
      </w:r>
      <w:r w:rsidR="009C1B1A">
        <w:t xml:space="preserve"> at any time</w:t>
      </w:r>
      <w:r w:rsidR="00C754A4">
        <w:t xml:space="preserve"> implement </w:t>
      </w:r>
      <w:r w:rsidR="004071FB">
        <w:t>appropriate regulatory tools to ensure</w:t>
      </w:r>
      <w:r w:rsidR="004F00C5">
        <w:t xml:space="preserve"> electric utility</w:t>
      </w:r>
      <w:r w:rsidR="004071FB">
        <w:t xml:space="preserve"> safety </w:t>
      </w:r>
      <w:r w:rsidR="004071FB">
        <w:lastRenderedPageBreak/>
        <w:t xml:space="preserve">and compliance with the PSPS guidelines, including but not limited to those </w:t>
      </w:r>
      <w:r w:rsidR="004F00C5">
        <w:t>presented</w:t>
      </w:r>
      <w:r w:rsidR="004071FB">
        <w:t xml:space="preserve"> in </w:t>
      </w:r>
      <w:r w:rsidR="000A781F">
        <w:t xml:space="preserve">Commission </w:t>
      </w:r>
      <w:r w:rsidR="004071FB">
        <w:t>Resolution M-4846</w:t>
      </w:r>
      <w:r w:rsidR="004F00C5">
        <w:t xml:space="preserve"> (</w:t>
      </w:r>
      <w:r w:rsidR="00A00547">
        <w:t>November 5, 2020</w:t>
      </w:r>
      <w:r w:rsidR="004F00C5">
        <w:t>)</w:t>
      </w:r>
      <w:r w:rsidR="00524918">
        <w:t>.</w:t>
      </w:r>
    </w:p>
    <w:p w:rsidR="00603238" w:rsidP="00FD0847" w:rsidRDefault="00603238" w14:paraId="032575AA" w14:textId="77777777">
      <w:pPr>
        <w:pStyle w:val="Heading1"/>
      </w:pPr>
      <w:bookmarkStart w:name="_Toc209082090" w:id="9"/>
      <w:bookmarkStart w:name="_Toc8123721" w:id="10"/>
      <w:r w:rsidRPr="00FD0847">
        <w:t>Summary</w:t>
      </w:r>
      <w:r>
        <w:t xml:space="preserve"> of Public Comment</w:t>
      </w:r>
      <w:bookmarkEnd w:id="9"/>
    </w:p>
    <w:p w:rsidRPr="00C55122" w:rsidR="00603238" w:rsidP="00284D8D" w:rsidRDefault="00603238" w14:paraId="0D5AC640" w14:textId="1F7E2D36">
      <w:pPr>
        <w:rPr>
          <w:rFonts w:ascii="Calibri" w:hAnsi="Calibri"/>
          <w:sz w:val="22"/>
        </w:rPr>
      </w:pPr>
      <w:r w:rsidRPr="00C55122">
        <w:t>Rule 1.18 allows member</w:t>
      </w:r>
      <w:r w:rsidR="00D36D9F">
        <w:t>s</w:t>
      </w:r>
      <w:r w:rsidRPr="00C55122">
        <w:t xml:space="preserve"> of the public to submit written </w:t>
      </w:r>
      <w:proofErr w:type="gramStart"/>
      <w:r w:rsidRPr="00C55122">
        <w:t>comment</w:t>
      </w:r>
      <w:proofErr w:type="gramEnd"/>
      <w:r w:rsidRPr="00C55122">
        <w:t xml:space="preserve"> in any Commission proceeding using the </w:t>
      </w:r>
      <w:r w:rsidRPr="00075A6A">
        <w:rPr>
          <w:i/>
          <w:iCs/>
        </w:rPr>
        <w:t>Public Comment</w:t>
      </w:r>
      <w:r w:rsidRPr="00C55122">
        <w:t xml:space="preserve"> tab of the online </w:t>
      </w:r>
      <w:r w:rsidRPr="00075A6A">
        <w:rPr>
          <w:i/>
          <w:iCs/>
        </w:rPr>
        <w:t>Docket Card</w:t>
      </w:r>
      <w:r w:rsidRPr="00C55122">
        <w:t xml:space="preserve"> for that proceeding on the Commission’s website. Rule 1.18(b) requires that relevant written comment submitted in a proceeding be summarized in the final decision issued in that proceeding.</w:t>
      </w:r>
      <w:r w:rsidR="00D05FBF">
        <w:t xml:space="preserve"> </w:t>
      </w:r>
    </w:p>
    <w:p w:rsidRPr="00603238" w:rsidR="00603238" w:rsidP="00164034" w:rsidRDefault="00A306F6" w14:paraId="6E7441A4" w14:textId="73A7A887">
      <w:pPr>
        <w:pStyle w:val="Standard"/>
      </w:pPr>
      <w:r>
        <w:t xml:space="preserve">The Commission received no </w:t>
      </w:r>
      <w:r w:rsidR="004732A3">
        <w:t>public</w:t>
      </w:r>
      <w:r>
        <w:t xml:space="preserve"> comments</w:t>
      </w:r>
      <w:r w:rsidR="002B5DBC">
        <w:t xml:space="preserve"> on the topic of this petition</w:t>
      </w:r>
      <w:r w:rsidR="004732A3">
        <w:t>.</w:t>
      </w:r>
    </w:p>
    <w:p w:rsidR="005939A5" w:rsidP="00FD0847" w:rsidRDefault="005939A5" w14:paraId="5A24E529" w14:textId="77777777">
      <w:pPr>
        <w:pStyle w:val="Heading1"/>
      </w:pPr>
      <w:bookmarkStart w:name="_Toc8123723" w:id="11"/>
      <w:bookmarkStart w:name="_Toc209082091" w:id="12"/>
      <w:bookmarkEnd w:id="10"/>
      <w:r>
        <w:t xml:space="preserve">Comments on </w:t>
      </w:r>
      <w:r w:rsidRPr="00FD0847">
        <w:t>Proposed</w:t>
      </w:r>
      <w:r>
        <w:t xml:space="preserve"> Decision</w:t>
      </w:r>
      <w:bookmarkEnd w:id="11"/>
      <w:bookmarkEnd w:id="12"/>
    </w:p>
    <w:p w:rsidR="005939A5" w:rsidP="005C58FA" w:rsidRDefault="005C58FA" w14:paraId="214D96A9" w14:textId="1347C245">
      <w:pPr>
        <w:pStyle w:val="Standard"/>
      </w:pPr>
      <w:r>
        <w:t xml:space="preserve">The proposed decision of </w:t>
      </w:r>
      <w:r w:rsidR="00610D87">
        <w:t>President</w:t>
      </w:r>
      <w:r>
        <w:t xml:space="preserve"> </w:t>
      </w:r>
      <w:r w:rsidR="00164034">
        <w:t>Alice Reynolds</w:t>
      </w:r>
      <w:r>
        <w:t xml:space="preserve"> in this matter was mailed to the parties in accordance with Section 311 of the Public Utilities Code and comments were allowed under Rule 14.3 of the Commission’s Rules of Practice and Procedure. </w:t>
      </w:r>
      <w:proofErr w:type="spellStart"/>
      <w:r w:rsidR="00353C76">
        <w:t>CforAT</w:t>
      </w:r>
      <w:proofErr w:type="spellEnd"/>
      <w:r w:rsidR="00353C76">
        <w:t xml:space="preserve"> timely filed c</w:t>
      </w:r>
      <w:r>
        <w:t>omments</w:t>
      </w:r>
      <w:r w:rsidR="009B7097">
        <w:t>; the Commission received no</w:t>
      </w:r>
      <w:r>
        <w:t xml:space="preserve"> reply comments.</w:t>
      </w:r>
      <w:r w:rsidR="00C878D5">
        <w:t xml:space="preserve"> </w:t>
      </w:r>
    </w:p>
    <w:p w:rsidR="005B557B" w:rsidP="005C58FA" w:rsidRDefault="006841AD" w14:paraId="72E587CD" w14:textId="6EADBF53">
      <w:pPr>
        <w:pStyle w:val="Standard"/>
      </w:pPr>
      <w:r>
        <w:t xml:space="preserve">The </w:t>
      </w:r>
      <w:proofErr w:type="gramStart"/>
      <w:r>
        <w:t xml:space="preserve">Commission </w:t>
      </w:r>
      <w:r w:rsidR="004E5943">
        <w:t xml:space="preserve"> ha</w:t>
      </w:r>
      <w:r>
        <w:t>s</w:t>
      </w:r>
      <w:proofErr w:type="gramEnd"/>
      <w:r w:rsidR="004E5943">
        <w:t xml:space="preserve">  considered </w:t>
      </w:r>
      <w:r>
        <w:t xml:space="preserve">the </w:t>
      </w:r>
      <w:r w:rsidR="001D40D1">
        <w:t>party</w:t>
      </w:r>
      <w:r w:rsidR="004E5943">
        <w:t xml:space="preserve"> </w:t>
      </w:r>
      <w:proofErr w:type="gramStart"/>
      <w:r w:rsidR="004E5943">
        <w:t>comments</w:t>
      </w:r>
      <w:proofErr w:type="gramEnd"/>
      <w:r w:rsidR="004E5943">
        <w:t xml:space="preserve"> and </w:t>
      </w:r>
      <w:r w:rsidR="00A37EA0">
        <w:t>no changes have been made</w:t>
      </w:r>
      <w:r w:rsidR="006745DC">
        <w:t xml:space="preserve"> to the proposed decision</w:t>
      </w:r>
      <w:r w:rsidR="003841BD">
        <w:t>.</w:t>
      </w:r>
    </w:p>
    <w:p w:rsidR="005939A5" w:rsidP="00FD0847" w:rsidRDefault="005939A5" w14:paraId="3899A04B" w14:textId="77777777">
      <w:pPr>
        <w:pStyle w:val="Heading1"/>
      </w:pPr>
      <w:bookmarkStart w:name="_Toc8123724" w:id="13"/>
      <w:bookmarkStart w:name="_Toc209082092" w:id="14"/>
      <w:r w:rsidRPr="00FD0847">
        <w:t>Assignment</w:t>
      </w:r>
      <w:r>
        <w:t xml:space="preserve"> of Proceeding</w:t>
      </w:r>
      <w:bookmarkEnd w:id="13"/>
      <w:bookmarkEnd w:id="14"/>
    </w:p>
    <w:p w:rsidR="005939A5" w:rsidP="006E6574" w:rsidRDefault="001453AD" w14:paraId="78A74159" w14:textId="791F4FE4">
      <w:pPr>
        <w:pStyle w:val="Standard"/>
      </w:pPr>
      <w:r>
        <w:t xml:space="preserve">President </w:t>
      </w:r>
      <w:r w:rsidR="00164034">
        <w:t>Alice Reynolds</w:t>
      </w:r>
      <w:r w:rsidR="005939A5">
        <w:t xml:space="preserve"> is the assigned Commissioner and</w:t>
      </w:r>
      <w:r w:rsidR="00164034">
        <w:t xml:space="preserve"> Regina M. DeAngelis and Valerie U. Kao are</w:t>
      </w:r>
      <w:r w:rsidR="005939A5">
        <w:t xml:space="preserve"> the assigned Administrative Law Judge</w:t>
      </w:r>
      <w:r w:rsidR="00C96DAE">
        <w:t>s</w:t>
      </w:r>
      <w:r w:rsidR="005939A5">
        <w:t xml:space="preserve"> in this proceeding.</w:t>
      </w:r>
    </w:p>
    <w:p w:rsidR="005939A5" w:rsidP="005939A5" w:rsidRDefault="005939A5" w14:paraId="4382E6F2" w14:textId="77777777">
      <w:pPr>
        <w:pStyle w:val="Dummy"/>
      </w:pPr>
      <w:bookmarkStart w:name="_Toc8123725" w:id="15"/>
      <w:bookmarkStart w:name="_Toc209082093" w:id="16"/>
      <w:r>
        <w:t>Findings of Fact</w:t>
      </w:r>
      <w:bookmarkEnd w:id="15"/>
      <w:bookmarkEnd w:id="16"/>
    </w:p>
    <w:p w:rsidR="00F62B7A" w:rsidP="001E2A62" w:rsidRDefault="00E95B81" w14:paraId="0FE2B63F" w14:textId="155E302F">
      <w:pPr>
        <w:pStyle w:val="FoF"/>
      </w:pPr>
      <w:r>
        <w:t xml:space="preserve">The Commission’s Safety and Enforcement Division’s </w:t>
      </w:r>
      <w:r w:rsidR="007440BD">
        <w:t>ongoing review process</w:t>
      </w:r>
      <w:r w:rsidR="000A781F">
        <w:t>es</w:t>
      </w:r>
      <w:r w:rsidR="007440BD">
        <w:t xml:space="preserve"> for PSPS events </w:t>
      </w:r>
      <w:r w:rsidR="000A781F">
        <w:t>are</w:t>
      </w:r>
      <w:r w:rsidR="007440BD">
        <w:t xml:space="preserve"> sufficient process to address the concerns raised by </w:t>
      </w:r>
      <w:proofErr w:type="spellStart"/>
      <w:r w:rsidR="00061AC5">
        <w:t>CforAT’s</w:t>
      </w:r>
      <w:proofErr w:type="spellEnd"/>
      <w:r w:rsidR="00061AC5">
        <w:t xml:space="preserve"> </w:t>
      </w:r>
      <w:r w:rsidR="007440BD">
        <w:t xml:space="preserve">July 1, </w:t>
      </w:r>
      <w:proofErr w:type="gramStart"/>
      <w:r w:rsidR="007440BD">
        <w:t>2025</w:t>
      </w:r>
      <w:proofErr w:type="gramEnd"/>
      <w:r w:rsidR="007440BD">
        <w:t xml:space="preserve"> petition for modification of D.24-12-005.</w:t>
      </w:r>
    </w:p>
    <w:p w:rsidRPr="001E2A62" w:rsidR="000B1F6A" w:rsidP="001E2A62" w:rsidRDefault="000B1F6A" w14:paraId="5DFDFBB9" w14:textId="70423ACB">
      <w:pPr>
        <w:pStyle w:val="FoF"/>
      </w:pPr>
      <w:r>
        <w:lastRenderedPageBreak/>
        <w:t>The Commission has the authority to issue</w:t>
      </w:r>
      <w:r w:rsidR="00061AC5">
        <w:t xml:space="preserve">, </w:t>
      </w:r>
      <w:proofErr w:type="gramStart"/>
      <w:r w:rsidR="00061AC5">
        <w:t>on</w:t>
      </w:r>
      <w:proofErr w:type="gramEnd"/>
      <w:r w:rsidR="00061AC5">
        <w:t xml:space="preserve"> its own motion,</w:t>
      </w:r>
      <w:r>
        <w:t xml:space="preserve"> an </w:t>
      </w:r>
      <w:r w:rsidR="000C0287">
        <w:t>o</w:t>
      </w:r>
      <w:r>
        <w:t xml:space="preserve">rder to </w:t>
      </w:r>
      <w:r w:rsidR="000C0287">
        <w:t>s</w:t>
      </w:r>
      <w:r>
        <w:t xml:space="preserve">how </w:t>
      </w:r>
      <w:r w:rsidR="000C0287">
        <w:t>c</w:t>
      </w:r>
      <w:r>
        <w:t>ause or initiate another appropriate enforcement action regarding these matters at any time in the future.</w:t>
      </w:r>
    </w:p>
    <w:p w:rsidRPr="001E2A62" w:rsidR="00932865" w:rsidP="00200BE0" w:rsidRDefault="005939A5" w14:paraId="5C12F5EC" w14:textId="17E7BD21">
      <w:pPr>
        <w:pStyle w:val="Dummy"/>
      </w:pPr>
      <w:bookmarkStart w:name="_Toc8123726" w:id="17"/>
      <w:bookmarkStart w:name="_Toc209082094" w:id="18"/>
      <w:r>
        <w:t>Conclusions of Law</w:t>
      </w:r>
      <w:bookmarkEnd w:id="17"/>
      <w:bookmarkEnd w:id="18"/>
    </w:p>
    <w:p w:rsidRPr="001E2A62" w:rsidR="00932865" w:rsidP="001E2A62" w:rsidRDefault="005D19E8" w14:paraId="5E714995" w14:textId="64AB6D98">
      <w:pPr>
        <w:pStyle w:val="CoL"/>
      </w:pPr>
      <w:r>
        <w:t xml:space="preserve">It is reasonable to find that </w:t>
      </w:r>
      <w:bookmarkStart w:name="_Hlk208385310" w:id="19"/>
      <w:r w:rsidR="003E76BC">
        <w:t xml:space="preserve">the Commission </w:t>
      </w:r>
      <w:r w:rsidR="0014316B">
        <w:t xml:space="preserve">has the authority to address </w:t>
      </w:r>
      <w:proofErr w:type="spellStart"/>
      <w:r w:rsidR="003E76BC">
        <w:t>CforAT’s</w:t>
      </w:r>
      <w:proofErr w:type="spellEnd"/>
      <w:r w:rsidR="003E76BC">
        <w:t xml:space="preserve"> concerns through</w:t>
      </w:r>
      <w:r w:rsidR="00BA7EDC">
        <w:t>, among other means,</w:t>
      </w:r>
      <w:r w:rsidR="003E76BC">
        <w:t xml:space="preserve"> </w:t>
      </w:r>
      <w:r w:rsidR="0014316B">
        <w:t>the</w:t>
      </w:r>
      <w:r w:rsidR="003E76BC">
        <w:t xml:space="preserve"> compliance review process</w:t>
      </w:r>
      <w:r w:rsidR="0014316B">
        <w:t xml:space="preserve"> set forth in</w:t>
      </w:r>
      <w:r w:rsidR="00F57005">
        <w:t xml:space="preserve"> </w:t>
      </w:r>
      <w:r w:rsidR="002C13E2">
        <w:t>Resolution M-4846</w:t>
      </w:r>
      <w:bookmarkEnd w:id="19"/>
      <w:r w:rsidR="00F57005">
        <w:t xml:space="preserve"> (November 5, 2020)</w:t>
      </w:r>
      <w:r w:rsidR="0014316B">
        <w:t>.</w:t>
      </w:r>
    </w:p>
    <w:p w:rsidRPr="001E2A62" w:rsidR="008F143D" w:rsidP="00D44DB6" w:rsidRDefault="0014316B" w14:paraId="3B20B3B8" w14:textId="7615319E">
      <w:pPr>
        <w:pStyle w:val="CoL"/>
      </w:pPr>
      <w:r>
        <w:t>Under existing law, the</w:t>
      </w:r>
      <w:r w:rsidR="00335383">
        <w:t xml:space="preserve"> </w:t>
      </w:r>
      <w:r w:rsidR="00250612">
        <w:t xml:space="preserve">Commission </w:t>
      </w:r>
      <w:r>
        <w:t xml:space="preserve">has the </w:t>
      </w:r>
      <w:r w:rsidR="00250612">
        <w:t xml:space="preserve">authority </w:t>
      </w:r>
      <w:r w:rsidR="008355D3">
        <w:t xml:space="preserve">to issue an </w:t>
      </w:r>
      <w:r w:rsidR="000C0287">
        <w:t>o</w:t>
      </w:r>
      <w:r w:rsidR="008355D3">
        <w:t xml:space="preserve">rder to </w:t>
      </w:r>
      <w:r w:rsidR="000C0287">
        <w:t>s</w:t>
      </w:r>
      <w:r w:rsidR="008355D3">
        <w:t xml:space="preserve">how </w:t>
      </w:r>
      <w:r w:rsidR="000C0287">
        <w:t>c</w:t>
      </w:r>
      <w:r w:rsidR="008355D3">
        <w:t xml:space="preserve">ause or initiate another appropriate enforcement action regarding matters </w:t>
      </w:r>
      <w:r>
        <w:t xml:space="preserve">raised by </w:t>
      </w:r>
      <w:proofErr w:type="spellStart"/>
      <w:r w:rsidR="00BF429D">
        <w:t>CforAT’s</w:t>
      </w:r>
      <w:proofErr w:type="spellEnd"/>
      <w:r>
        <w:t xml:space="preserve"> July 1, </w:t>
      </w:r>
      <w:proofErr w:type="gramStart"/>
      <w:r>
        <w:t>2025</w:t>
      </w:r>
      <w:proofErr w:type="gramEnd"/>
      <w:r>
        <w:t xml:space="preserve"> petition </w:t>
      </w:r>
      <w:r w:rsidR="008355D3">
        <w:t>at any time in the future.</w:t>
      </w:r>
    </w:p>
    <w:p w:rsidR="00BB0243" w:rsidP="000A6E05" w:rsidRDefault="005939A5" w14:paraId="709B6478" w14:textId="77777777">
      <w:pPr>
        <w:pStyle w:val="Mainex"/>
      </w:pPr>
      <w:bookmarkStart w:name="_Toc209082095" w:id="20"/>
      <w:r>
        <w:t>O</w:t>
      </w:r>
      <w:r w:rsidR="00722850">
        <w:t>RDER</w:t>
      </w:r>
      <w:bookmarkEnd w:id="20"/>
    </w:p>
    <w:p w:rsidR="00BB0243" w:rsidP="000A6E05" w:rsidRDefault="00BB0243" w14:paraId="146A4C81" w14:textId="77777777">
      <w:pPr>
        <w:keepNext/>
      </w:pPr>
      <w:r w:rsidRPr="00BB0243">
        <w:rPr>
          <w:b/>
        </w:rPr>
        <w:t>IT IS ORDERED</w:t>
      </w:r>
      <w:r>
        <w:t xml:space="preserve"> that:</w:t>
      </w:r>
    </w:p>
    <w:p w:rsidRPr="001E2A62" w:rsidR="00932865" w:rsidP="001E2A62" w:rsidRDefault="00FA37CB" w14:paraId="4D059C8C" w14:textId="3B28C31A">
      <w:pPr>
        <w:pStyle w:val="OP"/>
      </w:pPr>
      <w:r>
        <w:t xml:space="preserve">The July 1, </w:t>
      </w:r>
      <w:proofErr w:type="gramStart"/>
      <w:r>
        <w:t>2025</w:t>
      </w:r>
      <w:proofErr w:type="gramEnd"/>
      <w:r>
        <w:t xml:space="preserve"> petition for modification of Decision 24-12-005 </w:t>
      </w:r>
      <w:r w:rsidR="000110B9">
        <w:t xml:space="preserve">filed by Center for Accessible Technology </w:t>
      </w:r>
      <w:r>
        <w:t>is denied</w:t>
      </w:r>
      <w:r w:rsidRPr="001E2A62" w:rsidR="000A6E05">
        <w:t>.</w:t>
      </w:r>
    </w:p>
    <w:p w:rsidR="00F6397D" w:rsidP="00B3087D" w:rsidRDefault="00E23CBB" w14:paraId="6B537CBA" w14:textId="7D575DED">
      <w:pPr>
        <w:pStyle w:val="OP"/>
      </w:pPr>
      <w:r w:rsidRPr="001E2A62">
        <w:t xml:space="preserve">Rulemaking </w:t>
      </w:r>
      <w:r w:rsidR="008967EA">
        <w:t>18-12-005</w:t>
      </w:r>
      <w:r w:rsidRPr="001E2A62">
        <w:t xml:space="preserve"> is closed.</w:t>
      </w:r>
    </w:p>
    <w:p w:rsidR="008F0116" w:rsidP="008F0116" w:rsidRDefault="008F0116" w14:paraId="7CE4CB8D" w14:textId="77777777">
      <w:r>
        <w:t>This order is effective today.</w:t>
      </w:r>
    </w:p>
    <w:p w:rsidRPr="00714CF2" w:rsidR="00714CF2" w:rsidP="00816E05" w:rsidRDefault="008F0116" w14:paraId="7061D449" w14:textId="40B2910A">
      <w:r>
        <w:t xml:space="preserve">Dated </w:t>
      </w:r>
      <w:r>
        <w:rPr>
          <w:u w:val="single"/>
        </w:rPr>
        <w:tab/>
      </w:r>
      <w:r>
        <w:t>, at Sa</w:t>
      </w:r>
      <w:r w:rsidR="00FD0847">
        <w:t>cramento</w:t>
      </w:r>
      <w:r>
        <w:t>, California</w:t>
      </w:r>
    </w:p>
    <w:sectPr w:rsidRPr="00714CF2" w:rsidR="00714CF2" w:rsidSect="00B3239D">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p>
      <w:r>
        <w:t xml:space="preserve"/>
      </w:r>
    </w:p>
    <w:p>
      <w:r>
        <w:t xml:space="preserve">Attachment 1: </w:t>
      </w:r>
    </w:p>
    <w:p>
      <w:hyperlink w:history="true" r:id="Rd0cddca497304be9">
        <w:r w:rsidRPr="00CB1292">
          <w:rPr>
            <w:rStyle w:val="Hyperlink"/>
            <w:color w:val="2E74B5" w:themeColor="accent1" w:themeShade="BF"/>
            <w:u w:val="single"/>
          </w:rPr>
          <w:t>Redline - [Rev. 1] R.18-12-005.pdf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9BBC" w14:textId="77777777" w:rsidR="002C58BE" w:rsidRDefault="002C58BE" w:rsidP="0098138E">
      <w:pPr>
        <w:spacing w:line="240" w:lineRule="auto"/>
      </w:pPr>
      <w:r>
        <w:separator/>
      </w:r>
    </w:p>
  </w:endnote>
  <w:endnote w:type="continuationSeparator" w:id="0">
    <w:p w14:paraId="31C652CF" w14:textId="77777777" w:rsidR="002C58BE" w:rsidRDefault="002C58B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29955"/>
      <w:docPartObj>
        <w:docPartGallery w:val="Page Numbers (Bottom of Page)"/>
        <w:docPartUnique/>
      </w:docPartObj>
    </w:sdtPr>
    <w:sdtEndPr>
      <w:rPr>
        <w:noProof/>
      </w:rPr>
    </w:sdtEndPr>
    <w:sdtContent>
      <w:p w14:paraId="10632A24" w14:textId="01F3CB16" w:rsidR="00B3239D" w:rsidRDefault="00B3239D" w:rsidP="00B3239D">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7690FB35" w14:textId="0885CF02" w:rsidR="00E23CBB" w:rsidRDefault="00E23CBB" w:rsidP="00E527B0">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54283"/>
      <w:docPartObj>
        <w:docPartGallery w:val="Page Numbers (Bottom of Page)"/>
        <w:docPartUnique/>
      </w:docPartObj>
    </w:sdtPr>
    <w:sdtEndPr>
      <w:rPr>
        <w:noProof/>
      </w:rPr>
    </w:sdtEndPr>
    <w:sdtContent>
      <w:p w14:paraId="3BF01FBE" w14:textId="1A91B4DD" w:rsidR="00B3239D" w:rsidRDefault="00B31B97" w:rsidP="000550CB">
        <w:pPr>
          <w:pStyle w:val="Footer"/>
          <w:ind w:firstLine="0"/>
        </w:pPr>
        <w:r w:rsidRPr="00B40250">
          <w:rPr>
            <w:sz w:val="16"/>
            <w:szCs w:val="16"/>
          </w:rPr>
          <w:t>585350482</w:t>
        </w:r>
        <w:r w:rsidR="000550CB">
          <w:tab/>
        </w:r>
        <w:r w:rsidR="00B3239D">
          <w:fldChar w:fldCharType="begin"/>
        </w:r>
        <w:r w:rsidR="00B3239D">
          <w:instrText xml:space="preserve"> PAGE   \* MERGEFORMAT </w:instrText>
        </w:r>
        <w:r w:rsidR="00B3239D">
          <w:fldChar w:fldCharType="separate"/>
        </w:r>
        <w:r w:rsidR="00B3239D">
          <w:rPr>
            <w:noProof/>
          </w:rPr>
          <w:t>2</w:t>
        </w:r>
        <w:r w:rsidR="00B3239D">
          <w:rPr>
            <w:noProof/>
          </w:rPr>
          <w:fldChar w:fldCharType="end"/>
        </w:r>
      </w:p>
    </w:sdtContent>
  </w:sdt>
  <w:p w14:paraId="127C047C" w14:textId="77777777" w:rsidR="00E527B0" w:rsidRDefault="00E527B0" w:rsidP="007E0FEE">
    <w:pPr>
      <w:tabs>
        <w:tab w:val="center" w:pos="468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5CAE" w14:textId="77777777" w:rsidR="002C58BE" w:rsidRDefault="002C58BE" w:rsidP="00DF58E7">
      <w:pPr>
        <w:spacing w:line="240" w:lineRule="auto"/>
        <w:ind w:firstLine="0"/>
      </w:pPr>
      <w:r>
        <w:separator/>
      </w:r>
    </w:p>
  </w:footnote>
  <w:footnote w:type="continuationSeparator" w:id="0">
    <w:p w14:paraId="5F9C1101" w14:textId="77777777" w:rsidR="002C58BE" w:rsidRDefault="002C58BE" w:rsidP="00DF58E7">
      <w:pPr>
        <w:spacing w:line="240" w:lineRule="auto"/>
        <w:ind w:firstLine="0"/>
      </w:pPr>
      <w:r>
        <w:continuationSeparator/>
      </w:r>
    </w:p>
  </w:footnote>
  <w:footnote w:type="continuationNotice" w:id="1">
    <w:p w14:paraId="56EC69AA" w14:textId="77777777" w:rsidR="002C58BE" w:rsidRPr="00DF58E7" w:rsidRDefault="002C58BE"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24732E9" w14:textId="6C90CD05" w:rsidR="00A01E0B" w:rsidRDefault="00A01E0B">
      <w:pPr>
        <w:pStyle w:val="FootnoteText"/>
      </w:pPr>
      <w:r>
        <w:rPr>
          <w:rStyle w:val="FootnoteReference"/>
        </w:rPr>
        <w:footnoteRef/>
      </w:r>
      <w:r>
        <w:t xml:space="preserve"> </w:t>
      </w:r>
      <w:r w:rsidR="00E81B04" w:rsidRPr="00E81B04">
        <w:t>R.18-12-005</w:t>
      </w:r>
      <w:r w:rsidR="000F6B8F">
        <w:t>,</w:t>
      </w:r>
      <w:r w:rsidR="00E81B04" w:rsidRPr="00E81B04">
        <w:t xml:space="preserve"> </w:t>
      </w:r>
      <w:r w:rsidR="00E81B04" w:rsidRPr="00037F18">
        <w:rPr>
          <w:i/>
          <w:iCs/>
        </w:rPr>
        <w:t>Order Instituting Rulemaking to Examine Electric Utility De-Energization of Power Lines in Dangerous Conditions</w:t>
      </w:r>
      <w:r w:rsidR="00E81B04" w:rsidRPr="00E81B04">
        <w:t xml:space="preserve"> (December 13, 2018) at 1. All documents filed in this rulemaking are available on the Commission’s website at the </w:t>
      </w:r>
      <w:r w:rsidR="00E81B04" w:rsidRPr="00075A6A">
        <w:rPr>
          <w:i/>
          <w:iCs/>
        </w:rPr>
        <w:t>Docket Card</w:t>
      </w:r>
      <w:r w:rsidR="00E81B04" w:rsidRPr="00E81B04">
        <w:t xml:space="preserve"> by searching</w:t>
      </w:r>
      <w:r w:rsidR="00B52F92">
        <w:t>,</w:t>
      </w:r>
      <w:r w:rsidR="00FA30A5">
        <w:t xml:space="preserve"> </w:t>
      </w:r>
      <w:r w:rsidR="00E81B04" w:rsidRPr="00E81B04">
        <w:t>R1812005.</w:t>
      </w:r>
    </w:p>
  </w:footnote>
  <w:footnote w:id="3">
    <w:p w14:paraId="301BA42E" w14:textId="1C4909A1" w:rsidR="003543C3" w:rsidRDefault="003543C3">
      <w:pPr>
        <w:pStyle w:val="FootnoteText"/>
      </w:pPr>
      <w:r>
        <w:rPr>
          <w:rStyle w:val="FootnoteReference"/>
        </w:rPr>
        <w:footnoteRef/>
      </w:r>
      <w:r>
        <w:t xml:space="preserve"> </w:t>
      </w:r>
      <w:r w:rsidR="00FC0555">
        <w:t xml:space="preserve">For example, </w:t>
      </w:r>
      <w:r w:rsidR="003B2D41" w:rsidRPr="003B2D41">
        <w:t>D.19-05-042</w:t>
      </w:r>
      <w:r w:rsidR="00B52F92">
        <w:t>,</w:t>
      </w:r>
      <w:r w:rsidR="00FA30A5">
        <w:t xml:space="preserve"> </w:t>
      </w:r>
      <w:r w:rsidR="003B2D41" w:rsidRPr="0037201A">
        <w:rPr>
          <w:i/>
          <w:iCs/>
        </w:rPr>
        <w:t>Decision Adopting De-Energization (Public Safety Power Shut-Off) Guidelines (Phase 1 Guidelines)</w:t>
      </w:r>
      <w:r w:rsidR="005A5A56">
        <w:t xml:space="preserve">, </w:t>
      </w:r>
      <w:r w:rsidR="000F6B8F">
        <w:t>(</w:t>
      </w:r>
      <w:r w:rsidR="005A5A56">
        <w:t>June 4</w:t>
      </w:r>
      <w:r w:rsidR="003B2D41" w:rsidRPr="003B2D41">
        <w:t>, 2019</w:t>
      </w:r>
      <w:r w:rsidR="000F6B8F">
        <w:t>)</w:t>
      </w:r>
      <w:r w:rsidR="000A017D">
        <w:t xml:space="preserve">; </w:t>
      </w:r>
      <w:r w:rsidR="00054D46" w:rsidRPr="00054D46">
        <w:t>D.20-05-051</w:t>
      </w:r>
      <w:r w:rsidR="000F6B8F">
        <w:t>,</w:t>
      </w:r>
      <w:r w:rsidR="00054D46" w:rsidRPr="00054D46">
        <w:t xml:space="preserve"> </w:t>
      </w:r>
      <w:r w:rsidR="00054D46" w:rsidRPr="005A5A56">
        <w:rPr>
          <w:i/>
          <w:iCs/>
        </w:rPr>
        <w:t>Decision Adopting Phase 2 Updated and Additional Guidelines for De-Energization of Electric Facilities to Mitigate Wildfire Risk</w:t>
      </w:r>
      <w:r w:rsidR="005A5A56">
        <w:t xml:space="preserve">, </w:t>
      </w:r>
      <w:r w:rsidR="000F6B8F">
        <w:t>(</w:t>
      </w:r>
      <w:r w:rsidR="00B86D9B">
        <w:t>June</w:t>
      </w:r>
      <w:r w:rsidR="00054D46" w:rsidRPr="00054D46">
        <w:t xml:space="preserve"> </w:t>
      </w:r>
      <w:r w:rsidR="00B86D9B">
        <w:t>5</w:t>
      </w:r>
      <w:r w:rsidR="00054D46" w:rsidRPr="00054D46">
        <w:t>, 2020</w:t>
      </w:r>
      <w:r w:rsidR="000F6B8F">
        <w:t>)</w:t>
      </w:r>
      <w:r w:rsidR="002C768A">
        <w:t>;</w:t>
      </w:r>
      <w:r w:rsidR="00AB198F">
        <w:t xml:space="preserve"> </w:t>
      </w:r>
      <w:r w:rsidR="00AB198F" w:rsidRPr="00AB198F">
        <w:t>D.21-06-034</w:t>
      </w:r>
      <w:r w:rsidR="000F6B8F">
        <w:t>,</w:t>
      </w:r>
      <w:r w:rsidR="00AB198F" w:rsidRPr="00AB198F">
        <w:t xml:space="preserve"> </w:t>
      </w:r>
      <w:r w:rsidR="00AB198F" w:rsidRPr="00B86D9B">
        <w:rPr>
          <w:i/>
          <w:iCs/>
        </w:rPr>
        <w:t>Decision Adopting Phase 3 Revised and Additional Guidelines and Rules for Public Safety Power Shutoffs (Proactive De-Energizations) of Electric Facilities to Mitigate Wildfire Risk Caused by Utility Infrastructure</w:t>
      </w:r>
      <w:r w:rsidR="00B86D9B">
        <w:t xml:space="preserve"> </w:t>
      </w:r>
      <w:r w:rsidR="000F6B8F">
        <w:t>(</w:t>
      </w:r>
      <w:r w:rsidR="00AB198F" w:rsidRPr="00AB198F">
        <w:t>June</w:t>
      </w:r>
      <w:r w:rsidR="001C0EE6">
        <w:t xml:space="preserve"> </w:t>
      </w:r>
      <w:r w:rsidR="00AB198F" w:rsidRPr="00AB198F">
        <w:t>2</w:t>
      </w:r>
      <w:r w:rsidR="001C0EE6">
        <w:t>9</w:t>
      </w:r>
      <w:r w:rsidR="00AB198F" w:rsidRPr="00AB198F">
        <w:t>, 2021</w:t>
      </w:r>
      <w:r w:rsidR="000F6B8F">
        <w:t>)</w:t>
      </w:r>
      <w:r w:rsidR="00AB198F" w:rsidRPr="00AB198F">
        <w:t>.</w:t>
      </w:r>
    </w:p>
  </w:footnote>
  <w:footnote w:id="4">
    <w:p w14:paraId="4108817E" w14:textId="2313A318" w:rsidR="00626DB8" w:rsidRPr="00626DB8" w:rsidRDefault="00626DB8">
      <w:pPr>
        <w:pStyle w:val="FootnoteText"/>
      </w:pPr>
      <w:r>
        <w:rPr>
          <w:rStyle w:val="FootnoteReference"/>
        </w:rPr>
        <w:footnoteRef/>
      </w:r>
      <w:r>
        <w:t xml:space="preserve"> D.24-12-005, </w:t>
      </w:r>
      <w:r w:rsidRPr="007F052B">
        <w:rPr>
          <w:i/>
          <w:iCs/>
        </w:rPr>
        <w:t>Decision Resolving Miscellaneous Matters and Closing Proceeding</w:t>
      </w:r>
      <w:r>
        <w:rPr>
          <w:i/>
          <w:iCs/>
        </w:rPr>
        <w:t xml:space="preserve"> </w:t>
      </w:r>
      <w:r>
        <w:t>(December 9, 2024).</w:t>
      </w:r>
    </w:p>
  </w:footnote>
  <w:footnote w:id="5">
    <w:p w14:paraId="0C2F83EB" w14:textId="4DD61AF3" w:rsidR="00B64093" w:rsidRDefault="00B64093" w:rsidP="00B64093">
      <w:pPr>
        <w:pStyle w:val="FootnoteText"/>
      </w:pPr>
      <w:r>
        <w:rPr>
          <w:rStyle w:val="FootnoteReference"/>
        </w:rPr>
        <w:footnoteRef/>
      </w:r>
      <w:r>
        <w:t xml:space="preserve"> </w:t>
      </w:r>
      <w:r w:rsidRPr="00A51354">
        <w:rPr>
          <w:i/>
          <w:iCs/>
        </w:rPr>
        <w:t>Motion of Center for Accessible Technology for Order to Show Cause Against Southern California Edison for Severe Notification Failures During the 2023 Wildfire Season</w:t>
      </w:r>
      <w:r w:rsidR="00FB02F2">
        <w:t xml:space="preserve"> (filed </w:t>
      </w:r>
      <w:r>
        <w:t>August 6, 2024</w:t>
      </w:r>
      <w:r w:rsidR="00FB02F2">
        <w:t>)</w:t>
      </w:r>
      <w:r>
        <w:t xml:space="preserve"> at 1.</w:t>
      </w:r>
    </w:p>
  </w:footnote>
  <w:footnote w:id="6">
    <w:p w14:paraId="7F57E63C" w14:textId="4F9F2472" w:rsidR="009D063B" w:rsidRDefault="009D063B">
      <w:pPr>
        <w:pStyle w:val="FootnoteText"/>
      </w:pPr>
      <w:r>
        <w:rPr>
          <w:rStyle w:val="FootnoteReference"/>
        </w:rPr>
        <w:footnoteRef/>
      </w:r>
      <w:r>
        <w:t xml:space="preserve"> D.24-12-005</w:t>
      </w:r>
      <w:r w:rsidR="001B7024">
        <w:t>,</w:t>
      </w:r>
      <w:r>
        <w:t xml:space="preserve"> </w:t>
      </w:r>
      <w:r w:rsidR="007F052B" w:rsidRPr="007F052B">
        <w:rPr>
          <w:i/>
          <w:iCs/>
        </w:rPr>
        <w:t>Decision Resolving Miscellaneous Matters and Closing Proceeding</w:t>
      </w:r>
      <w:r w:rsidR="002E5B9F">
        <w:rPr>
          <w:i/>
          <w:iCs/>
        </w:rPr>
        <w:t xml:space="preserve"> </w:t>
      </w:r>
      <w:r w:rsidR="001B7024">
        <w:t>(</w:t>
      </w:r>
      <w:r w:rsidR="007F052B">
        <w:t>December 9, 2024</w:t>
      </w:r>
      <w:r w:rsidR="001B7024">
        <w:t>)</w:t>
      </w:r>
      <w:r w:rsidR="007F052B">
        <w:t xml:space="preserve"> </w:t>
      </w:r>
      <w:r>
        <w:t>at 18</w:t>
      </w:r>
      <w:r w:rsidR="006C1DC0">
        <w:t>-19</w:t>
      </w:r>
      <w:r>
        <w:t>.</w:t>
      </w:r>
    </w:p>
  </w:footnote>
  <w:footnote w:id="7">
    <w:p w14:paraId="27C5F5FA" w14:textId="39617099" w:rsidR="000D5756" w:rsidRDefault="000D5756">
      <w:pPr>
        <w:pStyle w:val="FootnoteText"/>
      </w:pPr>
      <w:r>
        <w:rPr>
          <w:rStyle w:val="FootnoteReference"/>
        </w:rPr>
        <w:footnoteRef/>
      </w:r>
      <w:r>
        <w:t xml:space="preserve"> D.25-04-019</w:t>
      </w:r>
      <w:r w:rsidR="009567DB">
        <w:t>,</w:t>
      </w:r>
      <w:r w:rsidR="00F34974">
        <w:t xml:space="preserve"> </w:t>
      </w:r>
      <w:r w:rsidR="00F34974" w:rsidRPr="00B27C0C">
        <w:rPr>
          <w:i/>
          <w:iCs/>
        </w:rPr>
        <w:t>Order Denying Rehearing of Decision 24-12-005</w:t>
      </w:r>
      <w:r w:rsidR="009567DB">
        <w:t xml:space="preserve"> (</w:t>
      </w:r>
      <w:r w:rsidR="00F34974">
        <w:t>April 4, 2025</w:t>
      </w:r>
      <w:r w:rsidR="009567DB">
        <w:t>)</w:t>
      </w:r>
      <w:r w:rsidR="00F34974">
        <w:t xml:space="preserve"> at 2</w:t>
      </w:r>
      <w:r w:rsidR="00037F18">
        <w:t>.</w:t>
      </w:r>
    </w:p>
  </w:footnote>
  <w:footnote w:id="8">
    <w:p w14:paraId="297EA154" w14:textId="158650F2" w:rsidR="00B94393" w:rsidRDefault="00B94393">
      <w:pPr>
        <w:pStyle w:val="FootnoteText"/>
      </w:pPr>
      <w:r>
        <w:rPr>
          <w:rStyle w:val="FootnoteReference"/>
        </w:rPr>
        <w:footnoteRef/>
      </w:r>
      <w:r>
        <w:t xml:space="preserve"> </w:t>
      </w:r>
      <w:r w:rsidR="00907650" w:rsidRPr="00004FBF">
        <w:rPr>
          <w:i/>
          <w:iCs/>
        </w:rPr>
        <w:t>Center for Accessible Technology’s Petition for Modification of D.24-12-005 Denying Motion for OSC and Closing Proceeding</w:t>
      </w:r>
      <w:r w:rsidR="00FC0555">
        <w:t xml:space="preserve"> (</w:t>
      </w:r>
      <w:r w:rsidR="00B66BFE">
        <w:t>filed July 1, 2025</w:t>
      </w:r>
      <w:r w:rsidR="00FC0555">
        <w:t>)</w:t>
      </w:r>
      <w:r w:rsidR="00E754F5">
        <w:t xml:space="preserve"> </w:t>
      </w:r>
      <w:r w:rsidR="00B66BFE">
        <w:t xml:space="preserve">at </w:t>
      </w:r>
      <w:r w:rsidR="000E114A">
        <w:t xml:space="preserve">60 </w:t>
      </w:r>
      <w:r w:rsidR="00FC0555">
        <w:t xml:space="preserve">and </w:t>
      </w:r>
      <w:r w:rsidR="00B66BFE">
        <w:t>Appendix A</w:t>
      </w:r>
      <w:r w:rsidR="000E114A">
        <w:t xml:space="preserve">, </w:t>
      </w:r>
      <w:r w:rsidR="00B66BFE">
        <w:t>Proposed Modifications to D.24-12-005</w:t>
      </w:r>
      <w:r w:rsidR="000E114A">
        <w:t>.</w:t>
      </w:r>
    </w:p>
  </w:footnote>
  <w:footnote w:id="9">
    <w:p w14:paraId="64A66854" w14:textId="7C345FB9" w:rsidR="00761260" w:rsidRPr="00761260" w:rsidRDefault="00761260">
      <w:pPr>
        <w:pStyle w:val="FootnoteText"/>
        <w:rPr>
          <w:lang w:val="en-ZW"/>
        </w:rPr>
      </w:pPr>
      <w:r>
        <w:rPr>
          <w:rStyle w:val="FootnoteReference"/>
        </w:rPr>
        <w:footnoteRef/>
      </w:r>
      <w:r>
        <w:t xml:space="preserve"> </w:t>
      </w:r>
      <w:r w:rsidRPr="00004FBF">
        <w:rPr>
          <w:i/>
          <w:iCs/>
        </w:rPr>
        <w:t>Center for Accessible Technology’s Petition for Modification of D.24-12-005 Denying Motion for OSC and Closing Proceeding</w:t>
      </w:r>
      <w:r w:rsidR="00FC0555">
        <w:t xml:space="preserve"> (</w:t>
      </w:r>
      <w:r>
        <w:t>filed July 1, 2025</w:t>
      </w:r>
      <w:r w:rsidR="00FC0555">
        <w:t>)</w:t>
      </w:r>
      <w:r>
        <w:t xml:space="preserve"> at 27-28.</w:t>
      </w:r>
    </w:p>
  </w:footnote>
  <w:footnote w:id="10">
    <w:p w14:paraId="36F330C7" w14:textId="388E1B1A" w:rsidR="00AD7C5E" w:rsidRPr="00075A6A" w:rsidRDefault="00AD7C5E">
      <w:pPr>
        <w:pStyle w:val="FootnoteText"/>
        <w:rPr>
          <w:lang w:val="en-ZW"/>
        </w:rPr>
      </w:pPr>
      <w:r>
        <w:rPr>
          <w:rStyle w:val="FootnoteReference"/>
        </w:rPr>
        <w:footnoteRef/>
      </w:r>
      <w:r w:rsidR="00681019">
        <w:t xml:space="preserve"> </w:t>
      </w:r>
      <w:r w:rsidR="00681019" w:rsidRPr="00004FBF">
        <w:rPr>
          <w:i/>
          <w:iCs/>
        </w:rPr>
        <w:t>Center for Accessible Technology’s Petition for Modification of D.24-12-005 Denying Motion for OSC and Closing Proceeding</w:t>
      </w:r>
      <w:r w:rsidR="00FC0555">
        <w:t xml:space="preserve"> (</w:t>
      </w:r>
      <w:r w:rsidR="00681019">
        <w:t>filed July 1, 2025</w:t>
      </w:r>
      <w:r w:rsidR="00FC0555">
        <w:t>)</w:t>
      </w:r>
      <w:r w:rsidR="00681019">
        <w:t xml:space="preserve"> </w:t>
      </w:r>
      <w:r w:rsidR="000A4182">
        <w:rPr>
          <w:lang w:val="en-ZW"/>
        </w:rPr>
        <w:t xml:space="preserve">at </w:t>
      </w:r>
      <w:r w:rsidR="00654A56">
        <w:rPr>
          <w:lang w:val="en-ZW"/>
        </w:rPr>
        <w:t>37-44.</w:t>
      </w:r>
    </w:p>
  </w:footnote>
  <w:footnote w:id="11">
    <w:p w14:paraId="06392847" w14:textId="59352257" w:rsidR="007A1DBF" w:rsidRDefault="007A1DBF">
      <w:pPr>
        <w:pStyle w:val="FootnoteText"/>
      </w:pPr>
      <w:r>
        <w:rPr>
          <w:rStyle w:val="FootnoteReference"/>
        </w:rPr>
        <w:footnoteRef/>
      </w:r>
      <w:r>
        <w:t xml:space="preserve"> </w:t>
      </w:r>
      <w:r w:rsidR="00F57005" w:rsidRPr="00A31AFC">
        <w:t>Rule 16.4</w:t>
      </w:r>
      <w:r w:rsidR="00F57005">
        <w:t xml:space="preserve">(b), </w:t>
      </w:r>
      <w:r w:rsidR="001064CF">
        <w:t xml:space="preserve">Commission’s </w:t>
      </w:r>
      <w:r w:rsidR="001439F5" w:rsidRPr="00A31AFC">
        <w:t>Rules of Practice and Procedure</w:t>
      </w:r>
      <w:r w:rsidR="00F57005">
        <w:t>.</w:t>
      </w:r>
    </w:p>
  </w:footnote>
  <w:footnote w:id="12">
    <w:p w14:paraId="5C17FFBC" w14:textId="085BA3C3" w:rsidR="0001180C" w:rsidRDefault="0001180C">
      <w:pPr>
        <w:pStyle w:val="FootnoteText"/>
      </w:pPr>
      <w:r>
        <w:rPr>
          <w:rStyle w:val="FootnoteReference"/>
        </w:rPr>
        <w:footnoteRef/>
      </w:r>
      <w:r>
        <w:t xml:space="preserve"> </w:t>
      </w:r>
      <w:r w:rsidR="00F57005" w:rsidRPr="00A31AFC">
        <w:t>Rule 16.4</w:t>
      </w:r>
      <w:r w:rsidR="00F57005">
        <w:t xml:space="preserve">(c) and (d), </w:t>
      </w:r>
      <w:r w:rsidR="001064CF">
        <w:t>Commission’s Rules</w:t>
      </w:r>
      <w:r w:rsidRPr="00A31AFC">
        <w:t xml:space="preserve"> of Practice and Procedure</w:t>
      </w:r>
      <w:r w:rsidR="00F57005">
        <w:t>.</w:t>
      </w:r>
    </w:p>
  </w:footnote>
  <w:footnote w:id="13">
    <w:p w14:paraId="0F57CF3D" w14:textId="39031E0F" w:rsidR="00A31AFC" w:rsidRDefault="00A31AFC">
      <w:pPr>
        <w:pStyle w:val="FootnoteText"/>
      </w:pPr>
      <w:r>
        <w:rPr>
          <w:rStyle w:val="FootnoteReference"/>
        </w:rPr>
        <w:footnoteRef/>
      </w:r>
      <w:r>
        <w:t xml:space="preserve"> </w:t>
      </w:r>
      <w:r w:rsidR="00F57005" w:rsidRPr="00A31AFC">
        <w:t>Rule 16.4</w:t>
      </w:r>
      <w:r w:rsidR="00F57005">
        <w:t xml:space="preserve">, </w:t>
      </w:r>
      <w:r w:rsidR="00926E8E">
        <w:t xml:space="preserve">Commission’s </w:t>
      </w:r>
      <w:r w:rsidRPr="00A31AFC">
        <w:t xml:space="preserve">Rules of Practice and Procedure; </w:t>
      </w:r>
      <w:r w:rsidRPr="00926E8E">
        <w:rPr>
          <w:i/>
          <w:iCs/>
        </w:rPr>
        <w:t>see also</w:t>
      </w:r>
      <w:r w:rsidR="00926E8E">
        <w:t xml:space="preserve">, </w:t>
      </w:r>
      <w:r w:rsidRPr="00926E8E">
        <w:rPr>
          <w:i/>
          <w:iCs/>
        </w:rPr>
        <w:t>PG&amp;E Corp. v. Public Utilities Com</w:t>
      </w:r>
      <w:r w:rsidRPr="00A31AFC">
        <w:t xml:space="preserve">. (2004) 118 Cal.App.4th 1174, 1215 </w:t>
      </w:r>
      <w:r w:rsidR="004D7E90">
        <w:t>(</w:t>
      </w:r>
      <w:r w:rsidRPr="00A31AFC">
        <w:t>Pub</w:t>
      </w:r>
      <w:r w:rsidR="00F57005">
        <w:t>. Util.</w:t>
      </w:r>
      <w:r w:rsidRPr="00A31AFC">
        <w:t xml:space="preserve"> Code Section 1708, which authorizes the Commission to “rescind, alter, or amend any order or decision made by it” is permissive</w:t>
      </w:r>
      <w:r w:rsidR="004D7E90">
        <w:t>)</w:t>
      </w:r>
      <w:r w:rsidRPr="00A31AFC">
        <w:t>.</w:t>
      </w:r>
    </w:p>
  </w:footnote>
  <w:footnote w:id="14">
    <w:p w14:paraId="1B139B0F" w14:textId="3768F76B" w:rsidR="00A31AFC" w:rsidRDefault="00A31AFC">
      <w:pPr>
        <w:pStyle w:val="FootnoteText"/>
      </w:pPr>
      <w:r>
        <w:rPr>
          <w:rStyle w:val="FootnoteReference"/>
        </w:rPr>
        <w:footnoteRef/>
      </w:r>
      <w:r>
        <w:t xml:space="preserve"> </w:t>
      </w:r>
      <w:r w:rsidR="00024264">
        <w:t>D.17-11-028</w:t>
      </w:r>
      <w:r w:rsidR="0044635E">
        <w:t xml:space="preserve"> </w:t>
      </w:r>
      <w:r w:rsidRPr="00A31AFC">
        <w:t xml:space="preserve">at 7; </w:t>
      </w:r>
      <w:r w:rsidR="00F61D9D">
        <w:t>D.98-10-032</w:t>
      </w:r>
      <w:r w:rsidRPr="00A31AFC">
        <w:t xml:space="preserve"> at 2.</w:t>
      </w:r>
    </w:p>
  </w:footnote>
  <w:footnote w:id="15">
    <w:p w14:paraId="0769D047" w14:textId="2F50651B" w:rsidR="00991C09" w:rsidRDefault="00991C09">
      <w:pPr>
        <w:pStyle w:val="FootnoteText"/>
      </w:pPr>
      <w:r>
        <w:rPr>
          <w:rStyle w:val="FootnoteReference"/>
        </w:rPr>
        <w:footnoteRef/>
      </w:r>
      <w:r>
        <w:t xml:space="preserve"> </w:t>
      </w:r>
      <w:r w:rsidR="00F50C91">
        <w:t>D.24-12-005,</w:t>
      </w:r>
      <w:r w:rsidR="00C20CB3" w:rsidRPr="00C20CB3">
        <w:rPr>
          <w:i/>
          <w:iCs/>
          <w:sz w:val="26"/>
          <w:szCs w:val="22"/>
        </w:rPr>
        <w:t xml:space="preserve"> </w:t>
      </w:r>
      <w:r w:rsidR="00C20CB3" w:rsidRPr="00C20CB3">
        <w:rPr>
          <w:i/>
          <w:iCs/>
        </w:rPr>
        <w:t xml:space="preserve">Decision Resolving Miscellaneous Matters and Closing Proceeding </w:t>
      </w:r>
      <w:r w:rsidR="00C20CB3" w:rsidRPr="00C20CB3">
        <w:t>(December 9, 2024)</w:t>
      </w:r>
      <w:r w:rsidR="00C20CB3">
        <w:t xml:space="preserve"> </w:t>
      </w:r>
      <w:r w:rsidR="0089378D">
        <w:t>Finding</w:t>
      </w:r>
      <w:r w:rsidR="00BF7686">
        <w:t>s</w:t>
      </w:r>
      <w:r w:rsidR="0089378D">
        <w:t xml:space="preserve"> of Fact 24</w:t>
      </w:r>
      <w:r w:rsidR="00BF7686">
        <w:t xml:space="preserve"> and 25</w:t>
      </w:r>
      <w:r w:rsidR="0089378D">
        <w:t xml:space="preserve"> at 23</w:t>
      </w:r>
      <w:r w:rsidR="00BF7686">
        <w:t>-24</w:t>
      </w:r>
      <w:r w:rsidR="0089378D">
        <w:t>.</w:t>
      </w:r>
    </w:p>
  </w:footnote>
  <w:footnote w:id="16">
    <w:p w14:paraId="05B8A694" w14:textId="77777777" w:rsidR="00C420B9" w:rsidRPr="00075A6A" w:rsidRDefault="00C420B9" w:rsidP="00C420B9">
      <w:pPr>
        <w:pStyle w:val="FootnoteText"/>
        <w:rPr>
          <w:lang w:val="en-ZW"/>
        </w:rPr>
      </w:pPr>
      <w:r>
        <w:rPr>
          <w:rStyle w:val="FootnoteReference"/>
        </w:rPr>
        <w:footnoteRef/>
      </w:r>
      <w:r>
        <w:t xml:space="preserve"> Commission Resolution M-4846 (November 6, 2020) </w:t>
      </w:r>
      <w:r w:rsidRPr="00075A6A">
        <w:rPr>
          <w:i/>
          <w:iCs/>
        </w:rPr>
        <w:t>Resolution Adopting Commission Enforcement Policy</w:t>
      </w:r>
      <w:r>
        <w:t>. The Commission adopted Resolution M-4846 in furtherance of an effective enforcement program to improve compliance with rules and regulations by utilities and other entities subject to Commission jurisdiction, which improves safety for employees, customers and the public. The resolution establishes enforcement guidelines and a penalty assessment methodology, and authorizes Commission staff to draft proposed Administrative Consent Orders and Administrative Enforcement Orders for Commission review and disposition.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CE9C" w14:textId="17FDA53B" w:rsidR="00FE2351" w:rsidRDefault="00FB30C9" w:rsidP="00EE4315">
    <w:pPr>
      <w:pStyle w:val="Header"/>
      <w:tabs>
        <w:tab w:val="clear" w:pos="4680"/>
      </w:tabs>
      <w:ind w:firstLine="0"/>
      <w:rPr>
        <w:b/>
      </w:rPr>
    </w:pPr>
    <w:r>
      <w:t>R.18-12-</w:t>
    </w:r>
    <w:proofErr w:type="gramStart"/>
    <w:r>
      <w:t>005</w:t>
    </w:r>
    <w:r w:rsidR="00FE2351">
      <w:t xml:space="preserve">  </w:t>
    </w:r>
    <w:r>
      <w:t>COM</w:t>
    </w:r>
    <w:proofErr w:type="gramEnd"/>
    <w:r w:rsidR="00FE2351">
      <w:t>/</w:t>
    </w:r>
    <w:r w:rsidR="00FD0847">
      <w:t>ADR/</w:t>
    </w:r>
    <w:proofErr w:type="spellStart"/>
    <w:r w:rsidR="00FD0847">
      <w:t>asf</w:t>
    </w:r>
    <w:proofErr w:type="spellEnd"/>
    <w:r w:rsidR="00FE2351">
      <w:tab/>
    </w:r>
    <w:r w:rsidR="00FE2351">
      <w:rPr>
        <w:b/>
      </w:rPr>
      <w:t>PROPOSED DECISION</w:t>
    </w:r>
    <w:r w:rsidR="00D674FC">
      <w:rPr>
        <w:b/>
      </w:rPr>
      <w:t xml:space="preserve"> (Rev. 1)</w:t>
    </w:r>
  </w:p>
  <w:p w14:paraId="78B6AEF8" w14:textId="77777777" w:rsidR="00FD0847" w:rsidRDefault="00FD0847" w:rsidP="00B3087D">
    <w:pPr>
      <w:pStyle w:val="Header"/>
      <w:tabs>
        <w:tab w:val="clear" w:pos="4680"/>
      </w:tabs>
      <w:ind w:firstLine="0"/>
      <w:rPr>
        <w:i/>
        <w:color w:val="FF0000"/>
      </w:rPr>
    </w:pPr>
  </w:p>
  <w:p w14:paraId="66F92F5A" w14:textId="77777777" w:rsidR="00FD0847" w:rsidRPr="00B3087D" w:rsidRDefault="00FD0847"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06D736D"/>
    <w:multiLevelType w:val="hybridMultilevel"/>
    <w:tmpl w:val="D66EB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A25780"/>
    <w:multiLevelType w:val="multilevel"/>
    <w:tmpl w:val="3C526EDE"/>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5"/>
  </w:num>
  <w:num w:numId="6" w16cid:durableId="973756952">
    <w:abstractNumId w:val="9"/>
  </w:num>
  <w:num w:numId="7" w16cid:durableId="827667741">
    <w:abstractNumId w:val="5"/>
  </w:num>
  <w:num w:numId="8" w16cid:durableId="1760327020">
    <w:abstractNumId w:val="14"/>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28084370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C"/>
    <w:rsid w:val="00000F6A"/>
    <w:rsid w:val="00004FBF"/>
    <w:rsid w:val="00007B43"/>
    <w:rsid w:val="000110B9"/>
    <w:rsid w:val="0001180C"/>
    <w:rsid w:val="000134FC"/>
    <w:rsid w:val="00014614"/>
    <w:rsid w:val="000162DD"/>
    <w:rsid w:val="00024264"/>
    <w:rsid w:val="00030A00"/>
    <w:rsid w:val="00036C33"/>
    <w:rsid w:val="00037F18"/>
    <w:rsid w:val="000469B9"/>
    <w:rsid w:val="00054CE1"/>
    <w:rsid w:val="00054D46"/>
    <w:rsid w:val="000550CB"/>
    <w:rsid w:val="00057E0B"/>
    <w:rsid w:val="00061AC5"/>
    <w:rsid w:val="000621D1"/>
    <w:rsid w:val="00064B4D"/>
    <w:rsid w:val="00065B9F"/>
    <w:rsid w:val="000706B6"/>
    <w:rsid w:val="0007115A"/>
    <w:rsid w:val="0007536F"/>
    <w:rsid w:val="00075A6A"/>
    <w:rsid w:val="00082D24"/>
    <w:rsid w:val="000973C8"/>
    <w:rsid w:val="000A017D"/>
    <w:rsid w:val="000A2AA9"/>
    <w:rsid w:val="000A4182"/>
    <w:rsid w:val="000A56F2"/>
    <w:rsid w:val="000A6E05"/>
    <w:rsid w:val="000A781F"/>
    <w:rsid w:val="000B12FA"/>
    <w:rsid w:val="000B1F6A"/>
    <w:rsid w:val="000B3C48"/>
    <w:rsid w:val="000B4440"/>
    <w:rsid w:val="000B44F3"/>
    <w:rsid w:val="000B46D0"/>
    <w:rsid w:val="000B5606"/>
    <w:rsid w:val="000C0287"/>
    <w:rsid w:val="000C08BF"/>
    <w:rsid w:val="000C0B8C"/>
    <w:rsid w:val="000C0B97"/>
    <w:rsid w:val="000C3B9A"/>
    <w:rsid w:val="000C7B90"/>
    <w:rsid w:val="000D1040"/>
    <w:rsid w:val="000D25A8"/>
    <w:rsid w:val="000D5756"/>
    <w:rsid w:val="000D67C2"/>
    <w:rsid w:val="000D778E"/>
    <w:rsid w:val="000E059A"/>
    <w:rsid w:val="000E0827"/>
    <w:rsid w:val="000E114A"/>
    <w:rsid w:val="000E270A"/>
    <w:rsid w:val="000E47AA"/>
    <w:rsid w:val="000E4968"/>
    <w:rsid w:val="000E4C53"/>
    <w:rsid w:val="000F48C6"/>
    <w:rsid w:val="000F6B8F"/>
    <w:rsid w:val="001006CC"/>
    <w:rsid w:val="001064CF"/>
    <w:rsid w:val="00110940"/>
    <w:rsid w:val="00111A21"/>
    <w:rsid w:val="00121089"/>
    <w:rsid w:val="0012753F"/>
    <w:rsid w:val="00132C4A"/>
    <w:rsid w:val="001424E9"/>
    <w:rsid w:val="0014316B"/>
    <w:rsid w:val="001439F5"/>
    <w:rsid w:val="001453AD"/>
    <w:rsid w:val="00150809"/>
    <w:rsid w:val="00152944"/>
    <w:rsid w:val="00164034"/>
    <w:rsid w:val="00173A2A"/>
    <w:rsid w:val="00174B76"/>
    <w:rsid w:val="00177576"/>
    <w:rsid w:val="00183FF2"/>
    <w:rsid w:val="00184A8F"/>
    <w:rsid w:val="001A07E7"/>
    <w:rsid w:val="001A26C6"/>
    <w:rsid w:val="001A4E99"/>
    <w:rsid w:val="001A58C2"/>
    <w:rsid w:val="001B44C6"/>
    <w:rsid w:val="001B4F19"/>
    <w:rsid w:val="001B7024"/>
    <w:rsid w:val="001B7FC0"/>
    <w:rsid w:val="001C0EE6"/>
    <w:rsid w:val="001C1ED4"/>
    <w:rsid w:val="001C363F"/>
    <w:rsid w:val="001D03F9"/>
    <w:rsid w:val="001D40D1"/>
    <w:rsid w:val="001E2A62"/>
    <w:rsid w:val="001F2819"/>
    <w:rsid w:val="00200BE0"/>
    <w:rsid w:val="002043EC"/>
    <w:rsid w:val="00206AC8"/>
    <w:rsid w:val="00213DE1"/>
    <w:rsid w:val="00215F95"/>
    <w:rsid w:val="0021746A"/>
    <w:rsid w:val="00220247"/>
    <w:rsid w:val="00233CF0"/>
    <w:rsid w:val="00241654"/>
    <w:rsid w:val="00243DC0"/>
    <w:rsid w:val="00247477"/>
    <w:rsid w:val="00250612"/>
    <w:rsid w:val="0025420C"/>
    <w:rsid w:val="0026032E"/>
    <w:rsid w:val="00270440"/>
    <w:rsid w:val="00274B53"/>
    <w:rsid w:val="002812B0"/>
    <w:rsid w:val="00284D8D"/>
    <w:rsid w:val="00287BC5"/>
    <w:rsid w:val="00293DEE"/>
    <w:rsid w:val="002A0B5D"/>
    <w:rsid w:val="002B1C95"/>
    <w:rsid w:val="002B5DBC"/>
    <w:rsid w:val="002B789B"/>
    <w:rsid w:val="002C13E2"/>
    <w:rsid w:val="002C58BE"/>
    <w:rsid w:val="002C768A"/>
    <w:rsid w:val="002C7FE9"/>
    <w:rsid w:val="002D0DC5"/>
    <w:rsid w:val="002D4EFD"/>
    <w:rsid w:val="002D539A"/>
    <w:rsid w:val="002E5B2E"/>
    <w:rsid w:val="002E5B9F"/>
    <w:rsid w:val="002F50B6"/>
    <w:rsid w:val="003003FD"/>
    <w:rsid w:val="0031286B"/>
    <w:rsid w:val="00314F37"/>
    <w:rsid w:val="00315A97"/>
    <w:rsid w:val="00316071"/>
    <w:rsid w:val="003226D7"/>
    <w:rsid w:val="00323F28"/>
    <w:rsid w:val="00335383"/>
    <w:rsid w:val="003437AC"/>
    <w:rsid w:val="00343E5C"/>
    <w:rsid w:val="00344FB8"/>
    <w:rsid w:val="003464F5"/>
    <w:rsid w:val="00353C76"/>
    <w:rsid w:val="003543C3"/>
    <w:rsid w:val="0036017B"/>
    <w:rsid w:val="00362755"/>
    <w:rsid w:val="003716CB"/>
    <w:rsid w:val="0037201A"/>
    <w:rsid w:val="00373B93"/>
    <w:rsid w:val="00380CD1"/>
    <w:rsid w:val="003830DD"/>
    <w:rsid w:val="003841BD"/>
    <w:rsid w:val="00386B32"/>
    <w:rsid w:val="0039405F"/>
    <w:rsid w:val="00397CA9"/>
    <w:rsid w:val="003A02CA"/>
    <w:rsid w:val="003A0FFC"/>
    <w:rsid w:val="003A184A"/>
    <w:rsid w:val="003A38F0"/>
    <w:rsid w:val="003A6AF7"/>
    <w:rsid w:val="003B07B0"/>
    <w:rsid w:val="003B1006"/>
    <w:rsid w:val="003B29D9"/>
    <w:rsid w:val="003B2D41"/>
    <w:rsid w:val="003B5E8F"/>
    <w:rsid w:val="003B7443"/>
    <w:rsid w:val="003B766B"/>
    <w:rsid w:val="003C2028"/>
    <w:rsid w:val="003C2C78"/>
    <w:rsid w:val="003D0248"/>
    <w:rsid w:val="003D252A"/>
    <w:rsid w:val="003D5953"/>
    <w:rsid w:val="003E4F77"/>
    <w:rsid w:val="003E76BC"/>
    <w:rsid w:val="003F069A"/>
    <w:rsid w:val="003F288C"/>
    <w:rsid w:val="003F4329"/>
    <w:rsid w:val="003F7DB4"/>
    <w:rsid w:val="0040080C"/>
    <w:rsid w:val="00403E74"/>
    <w:rsid w:val="004071FB"/>
    <w:rsid w:val="00411A70"/>
    <w:rsid w:val="00412534"/>
    <w:rsid w:val="00412C83"/>
    <w:rsid w:val="0041781C"/>
    <w:rsid w:val="00426014"/>
    <w:rsid w:val="0043032D"/>
    <w:rsid w:val="0043133E"/>
    <w:rsid w:val="004438F8"/>
    <w:rsid w:val="00445C6C"/>
    <w:rsid w:val="0044617E"/>
    <w:rsid w:val="0044635E"/>
    <w:rsid w:val="00455E3B"/>
    <w:rsid w:val="00460682"/>
    <w:rsid w:val="0046078B"/>
    <w:rsid w:val="00460B7D"/>
    <w:rsid w:val="00466216"/>
    <w:rsid w:val="00470695"/>
    <w:rsid w:val="004712A4"/>
    <w:rsid w:val="004732A3"/>
    <w:rsid w:val="00473868"/>
    <w:rsid w:val="00476FA7"/>
    <w:rsid w:val="00480CB0"/>
    <w:rsid w:val="00483603"/>
    <w:rsid w:val="004A1EAD"/>
    <w:rsid w:val="004A47BE"/>
    <w:rsid w:val="004B2997"/>
    <w:rsid w:val="004B34EA"/>
    <w:rsid w:val="004B5494"/>
    <w:rsid w:val="004B5A49"/>
    <w:rsid w:val="004C7A2B"/>
    <w:rsid w:val="004C7D3A"/>
    <w:rsid w:val="004D7E90"/>
    <w:rsid w:val="004E5943"/>
    <w:rsid w:val="004F00C5"/>
    <w:rsid w:val="004F0A02"/>
    <w:rsid w:val="004F3360"/>
    <w:rsid w:val="004F55C9"/>
    <w:rsid w:val="00501252"/>
    <w:rsid w:val="005018A8"/>
    <w:rsid w:val="00504E0C"/>
    <w:rsid w:val="00505A39"/>
    <w:rsid w:val="00507ABE"/>
    <w:rsid w:val="00516526"/>
    <w:rsid w:val="005240BF"/>
    <w:rsid w:val="00524918"/>
    <w:rsid w:val="00526E2A"/>
    <w:rsid w:val="00540073"/>
    <w:rsid w:val="0054346C"/>
    <w:rsid w:val="00544978"/>
    <w:rsid w:val="005565E0"/>
    <w:rsid w:val="00563628"/>
    <w:rsid w:val="0056500C"/>
    <w:rsid w:val="00566C08"/>
    <w:rsid w:val="0057701B"/>
    <w:rsid w:val="00585390"/>
    <w:rsid w:val="00586D68"/>
    <w:rsid w:val="005939A5"/>
    <w:rsid w:val="00594314"/>
    <w:rsid w:val="00596A72"/>
    <w:rsid w:val="005A148C"/>
    <w:rsid w:val="005A5A56"/>
    <w:rsid w:val="005B557B"/>
    <w:rsid w:val="005B56E6"/>
    <w:rsid w:val="005C2831"/>
    <w:rsid w:val="005C58FA"/>
    <w:rsid w:val="005D19E8"/>
    <w:rsid w:val="005D2387"/>
    <w:rsid w:val="005D38F7"/>
    <w:rsid w:val="005D4BFC"/>
    <w:rsid w:val="00603238"/>
    <w:rsid w:val="006070B6"/>
    <w:rsid w:val="00610D87"/>
    <w:rsid w:val="00613D82"/>
    <w:rsid w:val="006217AC"/>
    <w:rsid w:val="006222B1"/>
    <w:rsid w:val="00624EA4"/>
    <w:rsid w:val="00626DB8"/>
    <w:rsid w:val="00630D25"/>
    <w:rsid w:val="00632207"/>
    <w:rsid w:val="0063491C"/>
    <w:rsid w:val="00636B56"/>
    <w:rsid w:val="00641A5C"/>
    <w:rsid w:val="00650365"/>
    <w:rsid w:val="00654A56"/>
    <w:rsid w:val="00661AFE"/>
    <w:rsid w:val="006745DC"/>
    <w:rsid w:val="00675BFF"/>
    <w:rsid w:val="006805D6"/>
    <w:rsid w:val="00680F19"/>
    <w:rsid w:val="00681019"/>
    <w:rsid w:val="00683B2C"/>
    <w:rsid w:val="006841AD"/>
    <w:rsid w:val="006869DC"/>
    <w:rsid w:val="006A0EDB"/>
    <w:rsid w:val="006B1C48"/>
    <w:rsid w:val="006B4655"/>
    <w:rsid w:val="006B7BA3"/>
    <w:rsid w:val="006C112B"/>
    <w:rsid w:val="006C1DC0"/>
    <w:rsid w:val="006C1F10"/>
    <w:rsid w:val="006C2640"/>
    <w:rsid w:val="006C2B87"/>
    <w:rsid w:val="006C7672"/>
    <w:rsid w:val="006D2947"/>
    <w:rsid w:val="006E5E28"/>
    <w:rsid w:val="006E6574"/>
    <w:rsid w:val="006F0E80"/>
    <w:rsid w:val="006F6465"/>
    <w:rsid w:val="0070199B"/>
    <w:rsid w:val="00711B66"/>
    <w:rsid w:val="00714CF2"/>
    <w:rsid w:val="007156B9"/>
    <w:rsid w:val="00715E4C"/>
    <w:rsid w:val="00720817"/>
    <w:rsid w:val="00722850"/>
    <w:rsid w:val="0073353F"/>
    <w:rsid w:val="00735A91"/>
    <w:rsid w:val="00737468"/>
    <w:rsid w:val="00742E45"/>
    <w:rsid w:val="007440BD"/>
    <w:rsid w:val="007447AF"/>
    <w:rsid w:val="0074651E"/>
    <w:rsid w:val="00750816"/>
    <w:rsid w:val="00752BC4"/>
    <w:rsid w:val="00757644"/>
    <w:rsid w:val="00761260"/>
    <w:rsid w:val="007657C1"/>
    <w:rsid w:val="00773BF3"/>
    <w:rsid w:val="00774FA6"/>
    <w:rsid w:val="00775D24"/>
    <w:rsid w:val="0077755F"/>
    <w:rsid w:val="0078277F"/>
    <w:rsid w:val="00787070"/>
    <w:rsid w:val="00793A5D"/>
    <w:rsid w:val="007A1DBF"/>
    <w:rsid w:val="007A1E25"/>
    <w:rsid w:val="007A2FC3"/>
    <w:rsid w:val="007A406D"/>
    <w:rsid w:val="007A62B0"/>
    <w:rsid w:val="007B6097"/>
    <w:rsid w:val="007B698C"/>
    <w:rsid w:val="007C0062"/>
    <w:rsid w:val="007C07A5"/>
    <w:rsid w:val="007C3461"/>
    <w:rsid w:val="007C5A0C"/>
    <w:rsid w:val="007E0FEE"/>
    <w:rsid w:val="007E71F5"/>
    <w:rsid w:val="007F052B"/>
    <w:rsid w:val="007F0F74"/>
    <w:rsid w:val="007F2017"/>
    <w:rsid w:val="007F5A11"/>
    <w:rsid w:val="0080390E"/>
    <w:rsid w:val="008159CF"/>
    <w:rsid w:val="00816BD3"/>
    <w:rsid w:val="00816E05"/>
    <w:rsid w:val="00821EEA"/>
    <w:rsid w:val="008339BB"/>
    <w:rsid w:val="008355D3"/>
    <w:rsid w:val="00836E2A"/>
    <w:rsid w:val="00837AE6"/>
    <w:rsid w:val="0086419A"/>
    <w:rsid w:val="0087023B"/>
    <w:rsid w:val="008727D9"/>
    <w:rsid w:val="008929FF"/>
    <w:rsid w:val="0089378D"/>
    <w:rsid w:val="008967EA"/>
    <w:rsid w:val="0089680E"/>
    <w:rsid w:val="008A08BF"/>
    <w:rsid w:val="008A179F"/>
    <w:rsid w:val="008A357E"/>
    <w:rsid w:val="008A5BF7"/>
    <w:rsid w:val="008B0864"/>
    <w:rsid w:val="008B152A"/>
    <w:rsid w:val="008B175A"/>
    <w:rsid w:val="008C110A"/>
    <w:rsid w:val="008C3CB7"/>
    <w:rsid w:val="008C7413"/>
    <w:rsid w:val="008D16B7"/>
    <w:rsid w:val="008D6765"/>
    <w:rsid w:val="008E633F"/>
    <w:rsid w:val="008E6AE6"/>
    <w:rsid w:val="008F0077"/>
    <w:rsid w:val="008F0116"/>
    <w:rsid w:val="008F143D"/>
    <w:rsid w:val="008F2B5D"/>
    <w:rsid w:val="008F2EC9"/>
    <w:rsid w:val="008F409C"/>
    <w:rsid w:val="008F640E"/>
    <w:rsid w:val="008F71B8"/>
    <w:rsid w:val="008F7B47"/>
    <w:rsid w:val="00902242"/>
    <w:rsid w:val="00903334"/>
    <w:rsid w:val="00903D63"/>
    <w:rsid w:val="0090559F"/>
    <w:rsid w:val="00907650"/>
    <w:rsid w:val="00912909"/>
    <w:rsid w:val="009202B1"/>
    <w:rsid w:val="009263EB"/>
    <w:rsid w:val="00926E8E"/>
    <w:rsid w:val="00932865"/>
    <w:rsid w:val="009351BC"/>
    <w:rsid w:val="0093721E"/>
    <w:rsid w:val="00943EA7"/>
    <w:rsid w:val="0094531A"/>
    <w:rsid w:val="00945701"/>
    <w:rsid w:val="009567DB"/>
    <w:rsid w:val="0098138E"/>
    <w:rsid w:val="00985E99"/>
    <w:rsid w:val="0098655A"/>
    <w:rsid w:val="009902FE"/>
    <w:rsid w:val="009913E8"/>
    <w:rsid w:val="00991C09"/>
    <w:rsid w:val="00994677"/>
    <w:rsid w:val="009A54CB"/>
    <w:rsid w:val="009A6E36"/>
    <w:rsid w:val="009B109E"/>
    <w:rsid w:val="009B1ED9"/>
    <w:rsid w:val="009B52ED"/>
    <w:rsid w:val="009B7097"/>
    <w:rsid w:val="009C1B1A"/>
    <w:rsid w:val="009D063B"/>
    <w:rsid w:val="009D59F6"/>
    <w:rsid w:val="009D6306"/>
    <w:rsid w:val="009E6052"/>
    <w:rsid w:val="009E7C7F"/>
    <w:rsid w:val="00A00547"/>
    <w:rsid w:val="00A01E0B"/>
    <w:rsid w:val="00A02128"/>
    <w:rsid w:val="00A17CE0"/>
    <w:rsid w:val="00A23D48"/>
    <w:rsid w:val="00A26777"/>
    <w:rsid w:val="00A306F6"/>
    <w:rsid w:val="00A31AFC"/>
    <w:rsid w:val="00A37EA0"/>
    <w:rsid w:val="00A42306"/>
    <w:rsid w:val="00A44E8D"/>
    <w:rsid w:val="00A46EA8"/>
    <w:rsid w:val="00A51354"/>
    <w:rsid w:val="00A55ACD"/>
    <w:rsid w:val="00A56F0D"/>
    <w:rsid w:val="00A614EB"/>
    <w:rsid w:val="00A62107"/>
    <w:rsid w:val="00A73B01"/>
    <w:rsid w:val="00A83D1A"/>
    <w:rsid w:val="00A8556E"/>
    <w:rsid w:val="00A85D27"/>
    <w:rsid w:val="00AB198F"/>
    <w:rsid w:val="00AB2BF4"/>
    <w:rsid w:val="00AB3919"/>
    <w:rsid w:val="00AB7875"/>
    <w:rsid w:val="00AC68EE"/>
    <w:rsid w:val="00AC6BE2"/>
    <w:rsid w:val="00AC7ABF"/>
    <w:rsid w:val="00AD7C5E"/>
    <w:rsid w:val="00AE1FEE"/>
    <w:rsid w:val="00AE4563"/>
    <w:rsid w:val="00AF7A0A"/>
    <w:rsid w:val="00B01F7E"/>
    <w:rsid w:val="00B10A96"/>
    <w:rsid w:val="00B11741"/>
    <w:rsid w:val="00B13BFA"/>
    <w:rsid w:val="00B16C2A"/>
    <w:rsid w:val="00B21369"/>
    <w:rsid w:val="00B27C0C"/>
    <w:rsid w:val="00B3087D"/>
    <w:rsid w:val="00B31B97"/>
    <w:rsid w:val="00B3239D"/>
    <w:rsid w:val="00B34794"/>
    <w:rsid w:val="00B40250"/>
    <w:rsid w:val="00B45236"/>
    <w:rsid w:val="00B458EB"/>
    <w:rsid w:val="00B52F92"/>
    <w:rsid w:val="00B53119"/>
    <w:rsid w:val="00B60421"/>
    <w:rsid w:val="00B61D4B"/>
    <w:rsid w:val="00B64093"/>
    <w:rsid w:val="00B66BFE"/>
    <w:rsid w:val="00B7215F"/>
    <w:rsid w:val="00B73BFE"/>
    <w:rsid w:val="00B817E8"/>
    <w:rsid w:val="00B81EB6"/>
    <w:rsid w:val="00B81FE3"/>
    <w:rsid w:val="00B86D9B"/>
    <w:rsid w:val="00B94393"/>
    <w:rsid w:val="00B97D14"/>
    <w:rsid w:val="00BA1109"/>
    <w:rsid w:val="00BA3E41"/>
    <w:rsid w:val="00BA56A1"/>
    <w:rsid w:val="00BA7EDC"/>
    <w:rsid w:val="00BB002A"/>
    <w:rsid w:val="00BB0243"/>
    <w:rsid w:val="00BC2628"/>
    <w:rsid w:val="00BD590E"/>
    <w:rsid w:val="00BE00A7"/>
    <w:rsid w:val="00BF429D"/>
    <w:rsid w:val="00BF7548"/>
    <w:rsid w:val="00BF7686"/>
    <w:rsid w:val="00C00041"/>
    <w:rsid w:val="00C041CD"/>
    <w:rsid w:val="00C073F2"/>
    <w:rsid w:val="00C10B5F"/>
    <w:rsid w:val="00C12489"/>
    <w:rsid w:val="00C1700B"/>
    <w:rsid w:val="00C20CB3"/>
    <w:rsid w:val="00C22D6D"/>
    <w:rsid w:val="00C241E2"/>
    <w:rsid w:val="00C420B9"/>
    <w:rsid w:val="00C5283B"/>
    <w:rsid w:val="00C55122"/>
    <w:rsid w:val="00C612A7"/>
    <w:rsid w:val="00C67666"/>
    <w:rsid w:val="00C70671"/>
    <w:rsid w:val="00C7327D"/>
    <w:rsid w:val="00C754A4"/>
    <w:rsid w:val="00C878D5"/>
    <w:rsid w:val="00C87E50"/>
    <w:rsid w:val="00C9033B"/>
    <w:rsid w:val="00C913A1"/>
    <w:rsid w:val="00C96DAE"/>
    <w:rsid w:val="00CA5BA3"/>
    <w:rsid w:val="00CA64DE"/>
    <w:rsid w:val="00CC44BE"/>
    <w:rsid w:val="00CC5524"/>
    <w:rsid w:val="00CC6A99"/>
    <w:rsid w:val="00CD2757"/>
    <w:rsid w:val="00CE13AC"/>
    <w:rsid w:val="00CF4E80"/>
    <w:rsid w:val="00CF5A48"/>
    <w:rsid w:val="00D0056D"/>
    <w:rsid w:val="00D00698"/>
    <w:rsid w:val="00D00AA3"/>
    <w:rsid w:val="00D0504E"/>
    <w:rsid w:val="00D05FBF"/>
    <w:rsid w:val="00D07F73"/>
    <w:rsid w:val="00D10FEF"/>
    <w:rsid w:val="00D13722"/>
    <w:rsid w:val="00D14844"/>
    <w:rsid w:val="00D1565B"/>
    <w:rsid w:val="00D2041C"/>
    <w:rsid w:val="00D22114"/>
    <w:rsid w:val="00D25ADE"/>
    <w:rsid w:val="00D361FB"/>
    <w:rsid w:val="00D36D9F"/>
    <w:rsid w:val="00D43297"/>
    <w:rsid w:val="00D44DB6"/>
    <w:rsid w:val="00D50119"/>
    <w:rsid w:val="00D62F13"/>
    <w:rsid w:val="00D63DE2"/>
    <w:rsid w:val="00D674FC"/>
    <w:rsid w:val="00D82A43"/>
    <w:rsid w:val="00D84438"/>
    <w:rsid w:val="00D95563"/>
    <w:rsid w:val="00DA0F90"/>
    <w:rsid w:val="00DA73B3"/>
    <w:rsid w:val="00DA7B5D"/>
    <w:rsid w:val="00DB66A9"/>
    <w:rsid w:val="00DC369F"/>
    <w:rsid w:val="00DD69BA"/>
    <w:rsid w:val="00DF166D"/>
    <w:rsid w:val="00DF58E7"/>
    <w:rsid w:val="00E11876"/>
    <w:rsid w:val="00E149C8"/>
    <w:rsid w:val="00E17691"/>
    <w:rsid w:val="00E23CBB"/>
    <w:rsid w:val="00E333AB"/>
    <w:rsid w:val="00E37B59"/>
    <w:rsid w:val="00E37E18"/>
    <w:rsid w:val="00E47FF5"/>
    <w:rsid w:val="00E506F4"/>
    <w:rsid w:val="00E527B0"/>
    <w:rsid w:val="00E53438"/>
    <w:rsid w:val="00E5360D"/>
    <w:rsid w:val="00E57794"/>
    <w:rsid w:val="00E725FC"/>
    <w:rsid w:val="00E754F5"/>
    <w:rsid w:val="00E80014"/>
    <w:rsid w:val="00E81B04"/>
    <w:rsid w:val="00E900CF"/>
    <w:rsid w:val="00E918E4"/>
    <w:rsid w:val="00E95B81"/>
    <w:rsid w:val="00E97D8F"/>
    <w:rsid w:val="00EA36C6"/>
    <w:rsid w:val="00EA6AD6"/>
    <w:rsid w:val="00EB07DF"/>
    <w:rsid w:val="00EB1911"/>
    <w:rsid w:val="00EC30F9"/>
    <w:rsid w:val="00ED1206"/>
    <w:rsid w:val="00ED5725"/>
    <w:rsid w:val="00ED7031"/>
    <w:rsid w:val="00ED7125"/>
    <w:rsid w:val="00EE16ED"/>
    <w:rsid w:val="00EE3060"/>
    <w:rsid w:val="00EE4315"/>
    <w:rsid w:val="00EF6925"/>
    <w:rsid w:val="00EF7C20"/>
    <w:rsid w:val="00F12118"/>
    <w:rsid w:val="00F26ED3"/>
    <w:rsid w:val="00F27F5F"/>
    <w:rsid w:val="00F342A9"/>
    <w:rsid w:val="00F34974"/>
    <w:rsid w:val="00F50C91"/>
    <w:rsid w:val="00F5499E"/>
    <w:rsid w:val="00F57005"/>
    <w:rsid w:val="00F61D9D"/>
    <w:rsid w:val="00F62B7A"/>
    <w:rsid w:val="00F6397D"/>
    <w:rsid w:val="00F7293E"/>
    <w:rsid w:val="00F76650"/>
    <w:rsid w:val="00F77829"/>
    <w:rsid w:val="00F9187B"/>
    <w:rsid w:val="00F92385"/>
    <w:rsid w:val="00FA1AF7"/>
    <w:rsid w:val="00FA1B4F"/>
    <w:rsid w:val="00FA30A5"/>
    <w:rsid w:val="00FA37CB"/>
    <w:rsid w:val="00FB02F2"/>
    <w:rsid w:val="00FB30C9"/>
    <w:rsid w:val="00FC0506"/>
    <w:rsid w:val="00FC0555"/>
    <w:rsid w:val="00FC47F9"/>
    <w:rsid w:val="00FD0847"/>
    <w:rsid w:val="00FD28FC"/>
    <w:rsid w:val="00FD2CC9"/>
    <w:rsid w:val="00FD6539"/>
    <w:rsid w:val="00FE2351"/>
    <w:rsid w:val="00FE337D"/>
    <w:rsid w:val="00FE5580"/>
    <w:rsid w:val="00FF110C"/>
    <w:rsid w:val="00FF43A6"/>
    <w:rsid w:val="08634C0B"/>
    <w:rsid w:val="0EFBD37C"/>
    <w:rsid w:val="1FB7C323"/>
    <w:rsid w:val="2DEC936F"/>
    <w:rsid w:val="367E7C6C"/>
    <w:rsid w:val="49662190"/>
    <w:rsid w:val="4FE43169"/>
    <w:rsid w:val="58D8754A"/>
    <w:rsid w:val="5B2F37AD"/>
    <w:rsid w:val="651C1D68"/>
    <w:rsid w:val="68F4AEDB"/>
    <w:rsid w:val="769EF4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01086"/>
  <w15:chartTrackingRefBased/>
  <w15:docId w15:val="{19D1BD2F-B08F-4A77-B089-2BB9E0B003C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0706B6"/>
    <w:rPr>
      <w:sz w:val="16"/>
      <w:szCs w:val="16"/>
    </w:rPr>
  </w:style>
  <w:style w:type="paragraph" w:styleId="CommentText">
    <w:name w:val="annotation text"/>
    <w:basedOn w:val="Normal"/>
    <w:link w:val="CommentTextChar"/>
    <w:uiPriority w:val="99"/>
    <w:unhideWhenUsed/>
    <w:rsid w:val="000706B6"/>
    <w:pPr>
      <w:spacing w:line="240" w:lineRule="auto"/>
    </w:pPr>
    <w:rPr>
      <w:sz w:val="20"/>
      <w:szCs w:val="20"/>
    </w:rPr>
  </w:style>
  <w:style w:type="character" w:customStyle="1" w:styleId="CommentTextChar">
    <w:name w:val="Comment Text Char"/>
    <w:basedOn w:val="DefaultParagraphFont"/>
    <w:link w:val="CommentText"/>
    <w:uiPriority w:val="99"/>
    <w:rsid w:val="000706B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0706B6"/>
    <w:rPr>
      <w:b/>
      <w:bCs/>
    </w:rPr>
  </w:style>
  <w:style w:type="character" w:customStyle="1" w:styleId="CommentSubjectChar">
    <w:name w:val="Comment Subject Char"/>
    <w:basedOn w:val="CommentTextChar"/>
    <w:link w:val="CommentSubject"/>
    <w:uiPriority w:val="99"/>
    <w:semiHidden/>
    <w:rsid w:val="000706B6"/>
    <w:rPr>
      <w:rFonts w:ascii="Book Antiqua" w:hAnsi="Book Antiqua"/>
      <w:b/>
      <w:bCs/>
      <w:sz w:val="20"/>
      <w:szCs w:val="20"/>
    </w:rPr>
  </w:style>
  <w:style w:type="paragraph" w:styleId="Revision">
    <w:name w:val="Revision"/>
    <w:hidden/>
    <w:uiPriority w:val="99"/>
    <w:semiHidden/>
    <w:rsid w:val="00397CA9"/>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docs.cpuc.ca.gov/PublishedDocs/Published/G000/M585/K066/585066736.pdf" TargetMode="External" Id="Rd0cddca497304b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
        <AccountId xsi:nil="true"/>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1546</ap:Words>
  <ap:Characters>8813</ap:Characters>
  <ap:Application>Microsoft Office Word</ap:Application>
  <ap:DocSecurity>0</ap:DocSecurity>
  <ap:Lines>73</ap:Lines>
  <ap:Paragraphs>20</ap:Paragraphs>
  <ap:ScaleCrop>false</ap:ScaleCrop>
  <ap:Company/>
  <ap:LinksUpToDate>false</ap:LinksUpToDate>
  <ap:CharactersWithSpaces>10339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2025-10-27T16:00:14Z</dcterms:created>
  <dcterms:modified xsi:type="dcterms:W3CDTF">2025-10-27T16:00:14Z</dcterms:modified>
</cp:coreProperties>
</file>